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146050</wp:posOffset>
            </wp:positionV>
            <wp:extent cx="7249160" cy="33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9160" cy="336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213360</wp:posOffset>
            </wp:positionV>
            <wp:extent cx="7249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UNITED STATES</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2714625</wp:posOffset>
            </wp:positionH>
            <wp:positionV relativeFrom="paragraph">
              <wp:posOffset>204470</wp:posOffset>
            </wp:positionV>
            <wp:extent cx="18268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255"/>
                    </a:xfrm>
                    <a:prstGeom prst="rect">
                      <a:avLst/>
                    </a:prstGeom>
                    <a:noFill/>
                  </pic:spPr>
                </pic:pic>
              </a:graphicData>
            </a:graphic>
          </wp:anchor>
        </w:drawing>
      </w:r>
    </w:p>
    <w:p>
      <w:pPr>
        <w:spacing w:after="0" w:line="200" w:lineRule="exact"/>
        <w:rPr>
          <w:sz w:val="24"/>
          <w:szCs w:val="24"/>
          <w:color w:val="auto"/>
        </w:rPr>
      </w:pPr>
    </w:p>
    <w:p>
      <w:pPr>
        <w:spacing w:after="0" w:line="39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2714625</wp:posOffset>
            </wp:positionH>
            <wp:positionV relativeFrom="paragraph">
              <wp:posOffset>221615</wp:posOffset>
            </wp:positionV>
            <wp:extent cx="18268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ind w:right="40"/>
        <w:spacing w:after="0"/>
        <w:rPr>
          <w:sz w:val="20"/>
          <w:szCs w:val="20"/>
          <w:color w:val="auto"/>
        </w:rPr>
      </w:pPr>
      <w:r>
        <w:rPr>
          <w:rFonts w:ascii="Arial" w:cs="Arial" w:eastAsia="Arial" w:hAnsi="Arial"/>
          <w:sz w:val="21"/>
          <w:szCs w:val="21"/>
          <w:b w:val="1"/>
          <w:bCs w:val="1"/>
          <w:color w:val="auto"/>
        </w:rPr>
        <w:t>REPORT OF FOREIGN PRIVATE ISSUER</w:t>
      </w:r>
    </w:p>
    <w:p>
      <w:pPr>
        <w:spacing w:after="0" w:line="18" w:lineRule="exact"/>
        <w:rPr>
          <w:sz w:val="24"/>
          <w:szCs w:val="24"/>
          <w:color w:val="auto"/>
        </w:rPr>
      </w:pPr>
    </w:p>
    <w:p>
      <w:pPr>
        <w:jc w:val="center"/>
        <w:ind w:right="40"/>
        <w:spacing w:after="0"/>
        <w:rPr>
          <w:sz w:val="20"/>
          <w:szCs w:val="20"/>
          <w:color w:val="auto"/>
        </w:rPr>
      </w:pPr>
      <w:r>
        <w:rPr>
          <w:rFonts w:ascii="Arial" w:cs="Arial" w:eastAsia="Arial" w:hAnsi="Arial"/>
          <w:sz w:val="21"/>
          <w:szCs w:val="21"/>
          <w:b w:val="1"/>
          <w:bCs w:val="1"/>
          <w:color w:val="auto"/>
        </w:rPr>
        <w:t>PURSUANT TO RULE 13a-16 OR 15d-16 OF THE</w:t>
      </w:r>
    </w:p>
    <w:p>
      <w:pPr>
        <w:jc w:val="center"/>
        <w:ind w:right="40"/>
        <w:spacing w:after="0"/>
        <w:rPr>
          <w:sz w:val="20"/>
          <w:szCs w:val="20"/>
          <w:color w:val="auto"/>
        </w:rPr>
      </w:pPr>
      <w:r>
        <w:rPr>
          <w:rFonts w:ascii="Arial" w:cs="Arial" w:eastAsia="Arial" w:hAnsi="Arial"/>
          <w:sz w:val="21"/>
          <w:szCs w:val="21"/>
          <w:b w:val="1"/>
          <w:bCs w:val="1"/>
          <w:color w:val="auto"/>
        </w:rPr>
        <w:t>SECURITIES EXCHANGE ACT OF 1934</w:t>
      </w:r>
    </w:p>
    <w:p>
      <w:pPr>
        <w:spacing w:after="0" w:line="19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month of July 2013</w:t>
      </w:r>
    </w:p>
    <w:p>
      <w:pPr>
        <w:spacing w:after="0" w:line="21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000-30666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2714625</wp:posOffset>
            </wp:positionH>
            <wp:positionV relativeFrom="paragraph">
              <wp:posOffset>217170</wp:posOffset>
            </wp:positionV>
            <wp:extent cx="18268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NETEASE,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2714625</wp:posOffset>
            </wp:positionH>
            <wp:positionV relativeFrom="paragraph">
              <wp:posOffset>213360</wp:posOffset>
            </wp:positionV>
            <wp:extent cx="18268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26/F, SP Tower D</w:t>
      </w:r>
    </w:p>
    <w:p>
      <w:pPr>
        <w:spacing w:after="0" w:line="22"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Tsinghua Science Park Building 8</w:t>
      </w:r>
    </w:p>
    <w:p>
      <w:pPr>
        <w:spacing w:after="0" w:line="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No. 1 Zhongguancun East Road, Haidian District</w:t>
      </w:r>
    </w:p>
    <w:p>
      <w:pPr>
        <w:spacing w:after="0" w:line="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Beijing 100084, People’s Republic of China</w:t>
      </w:r>
    </w:p>
    <w:p>
      <w:pPr>
        <w:spacing w:after="0" w:line="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2714625</wp:posOffset>
            </wp:positionH>
            <wp:positionV relativeFrom="paragraph">
              <wp:posOffset>205740</wp:posOffset>
            </wp:positionV>
            <wp:extent cx="18268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217" w:lineRule="exact"/>
        <w:rPr>
          <w:sz w:val="24"/>
          <w:szCs w:val="24"/>
          <w:color w:val="auto"/>
        </w:rPr>
      </w:pPr>
    </w:p>
    <w:p>
      <w:pPr>
        <w:jc w:val="center"/>
        <w:ind w:right="20"/>
        <w:spacing w:after="0"/>
        <w:tabs>
          <w:tab w:leader="none" w:pos="200" w:val="left"/>
        </w:tabs>
        <w:rPr>
          <w:sz w:val="20"/>
          <w:szCs w:val="20"/>
          <w:color w:val="auto"/>
        </w:rPr>
      </w:pPr>
      <w:r>
        <w:rPr>
          <w:rFonts w:ascii="Arial" w:cs="Arial" w:eastAsia="Arial" w:hAnsi="Arial"/>
          <w:sz w:val="18"/>
          <w:szCs w:val="18"/>
          <w:color w:val="auto"/>
        </w:rPr>
        <w:t>Form 20-F x</w:t>
      </w:r>
      <w:r>
        <w:rPr>
          <w:sz w:val="20"/>
          <w:szCs w:val="20"/>
          <w:color w:val="auto"/>
        </w:rPr>
        <w:tab/>
      </w:r>
      <w:r>
        <w:rPr>
          <w:rFonts w:ascii="Arial" w:cs="Arial" w:eastAsia="Arial" w:hAnsi="Arial"/>
          <w:sz w:val="15"/>
          <w:szCs w:val="15"/>
          <w:color w:val="auto"/>
        </w:rPr>
        <w:t>Form 40-F o</w:t>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o</w:t>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128905</wp:posOffset>
            </wp:positionV>
            <wp:extent cx="7249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170815</wp:posOffset>
            </wp:positionV>
            <wp:extent cx="7249160" cy="336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9160" cy="336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404495</wp:posOffset>
            </wp:positionV>
            <wp:extent cx="727011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60" w:type="dxa"/>
            <w:vAlign w:val="bottom"/>
            <w:gridSpan w:val="2"/>
          </w:tcPr>
          <w:p>
            <w:pPr>
              <w:jc w:val="center"/>
              <w:ind w:right="2860"/>
              <w:spacing w:after="0"/>
              <w:rPr>
                <w:sz w:val="20"/>
                <w:szCs w:val="20"/>
                <w:color w:val="auto"/>
              </w:rPr>
            </w:pPr>
            <w:r>
              <w:rPr>
                <w:rFonts w:ascii="Arial" w:cs="Arial" w:eastAsia="Arial" w:hAnsi="Arial"/>
                <w:sz w:val="18"/>
                <w:szCs w:val="18"/>
                <w:b w:val="1"/>
                <w:bCs w:val="1"/>
                <w:color w:val="auto"/>
                <w:w w:val="97"/>
              </w:rPr>
              <w:t>NETEASE, INC.</w:t>
            </w: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60" w:type="dxa"/>
            <w:vAlign w:val="bottom"/>
            <w:gridSpan w:val="2"/>
          </w:tcPr>
          <w:p>
            <w:pPr>
              <w:jc w:val="center"/>
              <w:ind w:right="2880"/>
              <w:spacing w:after="0"/>
              <w:rPr>
                <w:sz w:val="20"/>
                <w:szCs w:val="20"/>
                <w:color w:val="auto"/>
              </w:rPr>
            </w:pPr>
            <w:r>
              <w:rPr>
                <w:rFonts w:ascii="Arial" w:cs="Arial" w:eastAsia="Arial" w:hAnsi="Arial"/>
                <w:sz w:val="18"/>
                <w:szCs w:val="18"/>
                <w:b w:val="1"/>
                <w:bCs w:val="1"/>
                <w:color w:val="auto"/>
                <w:w w:val="93"/>
              </w:rPr>
              <w:t>Form 6-K</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60" w:type="dxa"/>
            <w:vAlign w:val="bottom"/>
            <w:gridSpan w:val="2"/>
          </w:tcPr>
          <w:p>
            <w:pPr>
              <w:jc w:val="center"/>
              <w:ind w:right="2860"/>
              <w:spacing w:after="0"/>
              <w:rPr>
                <w:sz w:val="20"/>
                <w:szCs w:val="20"/>
                <w:color w:val="auto"/>
              </w:rPr>
            </w:pPr>
            <w:r>
              <w:rPr>
                <w:rFonts w:ascii="Arial" w:cs="Arial" w:eastAsia="Arial" w:hAnsi="Arial"/>
                <w:sz w:val="18"/>
                <w:szCs w:val="18"/>
                <w:color w:val="auto"/>
                <w:w w:val="94"/>
              </w:rPr>
              <w:t>TABLE OF CONTENTS</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10280" w:type="dxa"/>
            <w:vAlign w:val="bottom"/>
            <w:gridSpan w:val="7"/>
            <w:vMerge w:val="restart"/>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Signature</w:t>
              </w:r>
            </w:hyperlink>
          </w:p>
        </w:tc>
        <w:tc>
          <w:tcPr>
            <w:tcW w:w="11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2"/>
        </w:trPr>
        <w:tc>
          <w:tcPr>
            <w:tcW w:w="10280" w:type="dxa"/>
            <w:vAlign w:val="bottom"/>
            <w:gridSpan w:val="7"/>
            <w:vMerge w:val="continue"/>
          </w:tcPr>
          <w:p>
            <w:pPr>
              <w:spacing w:after="0"/>
              <w:rPr>
                <w:sz w:val="13"/>
                <w:szCs w:val="13"/>
                <w:color w:val="auto"/>
              </w:rPr>
            </w:pPr>
          </w:p>
        </w:tc>
        <w:tc>
          <w:tcPr>
            <w:tcW w:w="114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5"/>
                <w:szCs w:val="15"/>
                <w:color w:val="auto"/>
              </w:rPr>
              <w:t>Page 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10280" w:type="dxa"/>
            <w:vAlign w:val="bottom"/>
            <w:gridSpan w:val="7"/>
          </w:tcPr>
          <w:p>
            <w:pPr>
              <w:spacing w:after="0"/>
              <w:rPr>
                <w:rFonts w:ascii="Arial" w:cs="Arial" w:eastAsia="Arial" w:hAnsi="Arial"/>
                <w:sz w:val="18"/>
                <w:szCs w:val="18"/>
                <w:color w:val="0000EE"/>
              </w:rPr>
            </w:pPr>
            <w:hyperlink r:id="rId18">
              <w:r>
                <w:rPr>
                  <w:rFonts w:ascii="Arial" w:cs="Arial" w:eastAsia="Arial" w:hAnsi="Arial"/>
                  <w:sz w:val="18"/>
                  <w:szCs w:val="18"/>
                  <w:color w:val="0000EE"/>
                </w:rPr>
                <w:t>Notice of 2013 Annual General Meeting of Shareholders</w:t>
              </w:r>
            </w:hyperlink>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Exhibit 99.1</w:t>
            </w:r>
          </w:p>
        </w:tc>
        <w:tc>
          <w:tcPr>
            <w:tcW w:w="0" w:type="dxa"/>
            <w:vAlign w:val="bottom"/>
          </w:tcPr>
          <w:p>
            <w:pPr>
              <w:spacing w:after="0"/>
              <w:rPr>
                <w:sz w:val="1"/>
                <w:szCs w:val="1"/>
                <w:color w:val="auto"/>
              </w:rPr>
            </w:pPr>
          </w:p>
        </w:tc>
      </w:tr>
      <w:tr>
        <w:trPr>
          <w:trHeight w:val="192"/>
        </w:trPr>
        <w:tc>
          <w:tcPr>
            <w:tcW w:w="4020" w:type="dxa"/>
            <w:vAlign w:val="bottom"/>
            <w:tcBorders>
              <w:top w:val="single" w:sz="8" w:color="0000EE"/>
            </w:tcBorders>
            <w:gridSpan w:val="5"/>
          </w:tcPr>
          <w:p>
            <w:pPr>
              <w:spacing w:after="0" w:line="192" w:lineRule="exact"/>
              <w:rPr>
                <w:rFonts w:ascii="Arial" w:cs="Arial" w:eastAsia="Arial" w:hAnsi="Arial"/>
                <w:sz w:val="18"/>
                <w:szCs w:val="18"/>
                <w:color w:val="0000EE"/>
                <w:w w:val="99"/>
              </w:rPr>
            </w:pPr>
            <w:hyperlink r:id="rId19">
              <w:r>
                <w:rPr>
                  <w:rFonts w:ascii="Arial" w:cs="Arial" w:eastAsia="Arial" w:hAnsi="Arial"/>
                  <w:sz w:val="18"/>
                  <w:szCs w:val="18"/>
                  <w:color w:val="0000EE"/>
                  <w:w w:val="99"/>
                </w:rPr>
                <w:t>Proxy Statement for 2013 Annual General Meeting</w:t>
              </w:r>
            </w:hyperlink>
          </w:p>
        </w:tc>
        <w:tc>
          <w:tcPr>
            <w:tcW w:w="6260" w:type="dxa"/>
            <w:vAlign w:val="bottom"/>
            <w:gridSpan w:val="2"/>
          </w:tcPr>
          <w:p>
            <w:pPr>
              <w:spacing w:after="0"/>
              <w:rPr>
                <w:sz w:val="16"/>
                <w:szCs w:val="16"/>
                <w:color w:val="auto"/>
              </w:rPr>
            </w:pPr>
          </w:p>
        </w:tc>
        <w:tc>
          <w:tcPr>
            <w:tcW w:w="1180" w:type="dxa"/>
            <w:vAlign w:val="bottom"/>
            <w:gridSpan w:val="2"/>
          </w:tcPr>
          <w:p>
            <w:pPr>
              <w:jc w:val="right"/>
              <w:ind w:right="40"/>
              <w:spacing w:after="0" w:line="192" w:lineRule="exact"/>
              <w:rPr>
                <w:sz w:val="20"/>
                <w:szCs w:val="20"/>
                <w:color w:val="auto"/>
              </w:rPr>
            </w:pPr>
            <w:r>
              <w:rPr>
                <w:rFonts w:ascii="Arial" w:cs="Arial" w:eastAsia="Arial" w:hAnsi="Arial"/>
                <w:sz w:val="18"/>
                <w:szCs w:val="18"/>
                <w:color w:val="auto"/>
              </w:rPr>
              <w:t>Exhibit 99.2</w:t>
            </w:r>
          </w:p>
        </w:tc>
        <w:tc>
          <w:tcPr>
            <w:tcW w:w="0" w:type="dxa"/>
            <w:vAlign w:val="bottom"/>
          </w:tcPr>
          <w:p>
            <w:pPr>
              <w:spacing w:after="0"/>
              <w:rPr>
                <w:sz w:val="1"/>
                <w:szCs w:val="1"/>
                <w:color w:val="auto"/>
              </w:rPr>
            </w:pPr>
          </w:p>
        </w:tc>
      </w:tr>
      <w:tr>
        <w:trPr>
          <w:trHeight w:val="20"/>
        </w:trPr>
        <w:tc>
          <w:tcPr>
            <w:tcW w:w="1260" w:type="dxa"/>
            <w:vAlign w:val="bottom"/>
            <w:gridSpan w:val="2"/>
            <w:shd w:val="clear" w:color="auto" w:fill="0000EE"/>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680" w:type="dxa"/>
            <w:vAlign w:val="bottom"/>
            <w:tcBorders>
              <w:bottom w:val="single" w:sz="8" w:color="0000EE"/>
            </w:tcBorders>
            <w:gridSpan w:val="4"/>
          </w:tcPr>
          <w:p>
            <w:pPr>
              <w:spacing w:after="0" w:line="192" w:lineRule="exact"/>
              <w:rPr>
                <w:rFonts w:ascii="Arial" w:cs="Arial" w:eastAsia="Arial" w:hAnsi="Arial"/>
                <w:sz w:val="18"/>
                <w:szCs w:val="18"/>
                <w:color w:val="0000EE"/>
                <w:w w:val="90"/>
              </w:rPr>
            </w:pPr>
            <w:hyperlink r:id="rId20">
              <w:r>
                <w:rPr>
                  <w:rFonts w:ascii="Arial" w:cs="Arial" w:eastAsia="Arial" w:hAnsi="Arial"/>
                  <w:sz w:val="18"/>
                  <w:szCs w:val="18"/>
                  <w:color w:val="0000EE"/>
                  <w:w w:val="90"/>
                </w:rPr>
                <w:t>Form of Proxy Card for Holders of Ordinary Shares</w:t>
              </w:r>
            </w:hyperlink>
          </w:p>
        </w:tc>
        <w:tc>
          <w:tcPr>
            <w:tcW w:w="6600" w:type="dxa"/>
            <w:vAlign w:val="bottom"/>
            <w:gridSpan w:val="3"/>
          </w:tcPr>
          <w:p>
            <w:pPr>
              <w:spacing w:after="0"/>
              <w:rPr>
                <w:sz w:val="16"/>
                <w:szCs w:val="16"/>
                <w:color w:val="auto"/>
              </w:rPr>
            </w:pPr>
          </w:p>
        </w:tc>
        <w:tc>
          <w:tcPr>
            <w:tcW w:w="1180" w:type="dxa"/>
            <w:vAlign w:val="bottom"/>
            <w:gridSpan w:val="2"/>
          </w:tcPr>
          <w:p>
            <w:pPr>
              <w:jc w:val="right"/>
              <w:ind w:right="40"/>
              <w:spacing w:after="0" w:line="192" w:lineRule="exact"/>
              <w:rPr>
                <w:sz w:val="20"/>
                <w:szCs w:val="20"/>
                <w:color w:val="auto"/>
              </w:rPr>
            </w:pPr>
            <w:r>
              <w:rPr>
                <w:rFonts w:ascii="Arial" w:cs="Arial" w:eastAsia="Arial" w:hAnsi="Arial"/>
                <w:sz w:val="18"/>
                <w:szCs w:val="18"/>
                <w:color w:val="auto"/>
              </w:rPr>
              <w:t>Exhibit 99.3</w:t>
            </w:r>
          </w:p>
        </w:tc>
        <w:tc>
          <w:tcPr>
            <w:tcW w:w="0" w:type="dxa"/>
            <w:vAlign w:val="bottom"/>
          </w:tcPr>
          <w:p>
            <w:pPr>
              <w:spacing w:after="0"/>
              <w:rPr>
                <w:sz w:val="1"/>
                <w:szCs w:val="1"/>
                <w:color w:val="auto"/>
              </w:rPr>
            </w:pPr>
          </w:p>
        </w:tc>
      </w:tr>
      <w:tr>
        <w:trPr>
          <w:trHeight w:val="192"/>
        </w:trPr>
        <w:tc>
          <w:tcPr>
            <w:tcW w:w="10280" w:type="dxa"/>
            <w:vAlign w:val="bottom"/>
            <w:gridSpan w:val="7"/>
          </w:tcPr>
          <w:p>
            <w:pPr>
              <w:spacing w:after="0" w:line="192" w:lineRule="exact"/>
              <w:rPr>
                <w:rFonts w:ascii="Arial" w:cs="Arial" w:eastAsia="Arial" w:hAnsi="Arial"/>
                <w:sz w:val="18"/>
                <w:szCs w:val="18"/>
                <w:color w:val="0000EE"/>
              </w:rPr>
            </w:pPr>
            <w:hyperlink r:id="rId21">
              <w:r>
                <w:rPr>
                  <w:rFonts w:ascii="Arial" w:cs="Arial" w:eastAsia="Arial" w:hAnsi="Arial"/>
                  <w:sz w:val="18"/>
                  <w:szCs w:val="18"/>
                  <w:color w:val="0000EE"/>
                </w:rPr>
                <w:t>Form of Voting Instruction Card to The Bank of New York Mellon for Holders of American Depositary Shares</w:t>
              </w:r>
            </w:hyperlink>
          </w:p>
        </w:tc>
        <w:tc>
          <w:tcPr>
            <w:tcW w:w="1180" w:type="dxa"/>
            <w:vAlign w:val="bottom"/>
            <w:gridSpan w:val="2"/>
          </w:tcPr>
          <w:p>
            <w:pPr>
              <w:jc w:val="right"/>
              <w:ind w:right="40"/>
              <w:spacing w:after="0" w:line="192" w:lineRule="exact"/>
              <w:rPr>
                <w:sz w:val="20"/>
                <w:szCs w:val="20"/>
                <w:color w:val="auto"/>
              </w:rPr>
            </w:pPr>
            <w:r>
              <w:rPr>
                <w:rFonts w:ascii="Arial" w:cs="Arial" w:eastAsia="Arial" w:hAnsi="Arial"/>
                <w:sz w:val="18"/>
                <w:szCs w:val="18"/>
                <w:color w:val="auto"/>
              </w:rPr>
              <w:t>Exhibit 99.4</w:t>
            </w:r>
          </w:p>
        </w:tc>
        <w:tc>
          <w:tcPr>
            <w:tcW w:w="0" w:type="dxa"/>
            <w:vAlign w:val="bottom"/>
          </w:tcPr>
          <w:p>
            <w:pPr>
              <w:spacing w:after="0"/>
              <w:rPr>
                <w:sz w:val="1"/>
                <w:szCs w:val="1"/>
                <w:color w:val="auto"/>
              </w:rPr>
            </w:pPr>
          </w:p>
        </w:tc>
      </w:tr>
      <w:tr>
        <w:trPr>
          <w:trHeight w:val="443"/>
        </w:trPr>
        <w:tc>
          <w:tcPr>
            <w:tcW w:w="7840" w:type="dxa"/>
            <w:vAlign w:val="bottom"/>
            <w:tcBorders>
              <w:top w:val="single" w:sz="8" w:color="0000EE"/>
            </w:tcBorders>
            <w:gridSpan w:val="6"/>
          </w:tcPr>
          <w:p>
            <w:pPr>
              <w:jc w:val="center"/>
              <w:ind w:left="3492"/>
              <w:spacing w:after="0"/>
              <w:rPr>
                <w:sz w:val="20"/>
                <w:szCs w:val="20"/>
                <w:color w:val="auto"/>
              </w:rPr>
            </w:pPr>
            <w:r>
              <w:rPr>
                <w:rFonts w:ascii="Arial" w:cs="Arial" w:eastAsia="Arial" w:hAnsi="Arial"/>
                <w:sz w:val="18"/>
                <w:szCs w:val="18"/>
                <w:color w:val="auto"/>
                <w:w w:val="99"/>
              </w:rPr>
              <w:t>2</w:t>
            </w:r>
          </w:p>
        </w:tc>
        <w:tc>
          <w:tcPr>
            <w:tcW w:w="2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68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236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3820" w:type="dxa"/>
            <w:vAlign w:val="bottom"/>
            <w:tcBorders>
              <w:bottom w:val="single" w:sz="8" w:color="010101"/>
            </w:tcBorders>
          </w:tcPr>
          <w:p>
            <w:pPr>
              <w:spacing w:after="0"/>
              <w:rPr>
                <w:sz w:val="11"/>
                <w:szCs w:val="11"/>
                <w:color w:val="auto"/>
              </w:rPr>
            </w:pPr>
          </w:p>
        </w:tc>
        <w:tc>
          <w:tcPr>
            <w:tcW w:w="244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14"/>
        </w:trPr>
        <w:tc>
          <w:tcPr>
            <w:tcW w:w="10280" w:type="dxa"/>
            <w:vAlign w:val="bottom"/>
            <w:gridSpan w:val="7"/>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68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2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60" w:type="dxa"/>
            <w:vAlign w:val="bottom"/>
            <w:gridSpan w:val="2"/>
          </w:tcPr>
          <w:p>
            <w:pPr>
              <w:jc w:val="center"/>
              <w:ind w:right="2860"/>
              <w:spacing w:after="0"/>
              <w:rPr>
                <w:sz w:val="20"/>
                <w:szCs w:val="20"/>
                <w:color w:val="auto"/>
              </w:rPr>
            </w:pPr>
            <w:r>
              <w:rPr>
                <w:rFonts w:ascii="Arial" w:cs="Arial" w:eastAsia="Arial" w:hAnsi="Arial"/>
                <w:sz w:val="18"/>
                <w:szCs w:val="18"/>
                <w:color w:val="auto"/>
                <w:w w:val="92"/>
              </w:rPr>
              <w:t>SIGNATURES</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7259320</wp:posOffset>
            </wp:positionH>
            <wp:positionV relativeFrom="paragraph">
              <wp:posOffset>-648970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-648970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1" w:lineRule="exact"/>
        <w:rPr>
          <w:sz w:val="20"/>
          <w:szCs w:val="20"/>
          <w:color w:val="auto"/>
        </w:rPr>
      </w:pPr>
    </w:p>
    <w:p>
      <w:pPr>
        <w:ind w:right="420"/>
        <w:spacing w:after="0" w:line="26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460"/>
          </w:cols>
          <w:pgMar w:left="240" w:top="233" w:right="199" w:bottom="0" w:gutter="0" w:footer="0" w:header="0"/>
        </w:sectPr>
      </w:pPr>
    </w:p>
    <w:bookmarkStart w:id="1" w:name="page2"/>
    <w:bookmarkEnd w:id="1"/>
    <w:p>
      <w:pPr>
        <w:ind w:left="5720"/>
        <w:spacing w:after="0"/>
        <w:rPr>
          <w:sz w:val="20"/>
          <w:szCs w:val="20"/>
          <w:color w:val="auto"/>
        </w:rPr>
      </w:pPr>
      <w:r>
        <w:rPr>
          <w:rFonts w:ascii="Arial" w:cs="Arial" w:eastAsia="Arial" w:hAnsi="Arial"/>
          <w:sz w:val="18"/>
          <w:szCs w:val="18"/>
          <w:color w:val="auto"/>
        </w:rPr>
        <w:t>NETEASE, INC.</w:t>
      </w:r>
    </w:p>
    <w:p>
      <w:pPr>
        <w:spacing w:after="0" w:line="217" w:lineRule="exact"/>
        <w:rPr>
          <w:sz w:val="20"/>
          <w:szCs w:val="20"/>
          <w:color w:val="auto"/>
        </w:rPr>
      </w:pPr>
    </w:p>
    <w:tbl>
      <w:tblPr>
        <w:tblLayout w:type="fixed"/>
        <w:tblInd w:w="5720" w:type="dxa"/>
        <w:tblCellMar>
          <w:top w:w="0" w:type="dxa"/>
          <w:left w:w="0" w:type="dxa"/>
          <w:bottom w:w="0" w:type="dxa"/>
          <w:right w:w="0" w:type="dxa"/>
        </w:tblCellMar>
      </w:tblPr>
      <w:tr>
        <w:trPr>
          <w:trHeight w:val="223"/>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Onward Choi</w:t>
            </w:r>
          </w:p>
        </w:tc>
      </w:tr>
      <w:tr>
        <w:trPr>
          <w:trHeight w:val="194"/>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00" w:type="dxa"/>
            <w:vAlign w:val="bottom"/>
          </w:tcPr>
          <w:p>
            <w:pPr>
              <w:spacing w:after="0" w:line="195" w:lineRule="exact"/>
              <w:rPr>
                <w:sz w:val="20"/>
                <w:szCs w:val="20"/>
                <w:color w:val="auto"/>
              </w:rPr>
            </w:pPr>
            <w:r>
              <w:rPr>
                <w:rFonts w:ascii="Arial" w:cs="Arial" w:eastAsia="Arial" w:hAnsi="Arial"/>
                <w:sz w:val="18"/>
                <w:szCs w:val="18"/>
                <w:color w:val="auto"/>
              </w:rPr>
              <w:t>Onward Choi</w:t>
            </w:r>
          </w:p>
        </w:tc>
      </w:tr>
      <w:tr>
        <w:trPr>
          <w:trHeight w:val="223"/>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5000" w:type="dxa"/>
            <w:vAlign w:val="bottom"/>
          </w:tcPr>
          <w:p>
            <w:pPr>
              <w:spacing w:after="0"/>
              <w:rPr>
                <w:sz w:val="20"/>
                <w:szCs w:val="20"/>
                <w:color w:val="auto"/>
              </w:rPr>
            </w:pPr>
            <w:r>
              <w:rPr>
                <w:rFonts w:ascii="Arial" w:cs="Arial" w:eastAsia="Arial" w:hAnsi="Arial"/>
                <w:sz w:val="18"/>
                <w:szCs w:val="18"/>
                <w:color w:val="auto"/>
              </w:rPr>
              <w:t>Acting Chief Financial Officer</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2013</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7011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NetEase,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26/F, SP Tower 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Tsinghua Science Park Building 8</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 1 Zhongguancun East Road, Haidian District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Beijing, People’s Republic of China 100084</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2013 ANNUAL GENERAL MEETING OF SHAREHOLDERS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SEPTEMBER 5, 2013</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Regarding the Availability of Proxy Materials for the 2013 Annual</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Meeting of Shareholders to be Held on September 5, 2013</w:t>
      </w:r>
    </w:p>
    <w:p>
      <w:pPr>
        <w:spacing w:after="0" w:line="206" w:lineRule="exact"/>
        <w:rPr>
          <w:sz w:val="20"/>
          <w:szCs w:val="20"/>
          <w:color w:val="auto"/>
        </w:rPr>
      </w:pPr>
    </w:p>
    <w:p>
      <w:pPr>
        <w:ind w:right="60" w:firstLine="433"/>
        <w:spacing w:after="0" w:line="271" w:lineRule="auto"/>
        <w:rPr>
          <w:sz w:val="20"/>
          <w:szCs w:val="20"/>
          <w:color w:val="auto"/>
        </w:rPr>
      </w:pPr>
      <w:r>
        <w:rPr>
          <w:rFonts w:ascii="Arial" w:cs="Arial" w:eastAsia="Arial" w:hAnsi="Arial"/>
          <w:sz w:val="17"/>
          <w:szCs w:val="17"/>
          <w:color w:val="auto"/>
        </w:rPr>
        <w:t>This Notice is to inform you that NetEase, Inc. 2013 Annual General Meeting of Shareholders is being held on September 5, 2013 and the proxy materials for such meeting are available on the Internet. Follow the instructions below to view the proxy materials and vote or, in the case of holders of American Depositary Shares (“ADSs”), submit your voting instructions to The Bank of New York Mellon, as depositary, or request a paper or email copy. The items to be voted on and location of the 2013 Annual General Meeting of Shareholders are also set out below.</w:t>
      </w:r>
    </w:p>
    <w:p>
      <w:pPr>
        <w:spacing w:after="0" w:line="172" w:lineRule="exact"/>
        <w:rPr>
          <w:sz w:val="20"/>
          <w:szCs w:val="20"/>
          <w:color w:val="auto"/>
        </w:rPr>
      </w:pPr>
    </w:p>
    <w:p>
      <w:pPr>
        <w:jc w:val="both"/>
        <w:ind w:right="20" w:firstLine="433"/>
        <w:spacing w:after="0" w:line="259" w:lineRule="auto"/>
        <w:rPr>
          <w:sz w:val="20"/>
          <w:szCs w:val="20"/>
          <w:color w:val="auto"/>
        </w:rPr>
      </w:pPr>
      <w:r>
        <w:rPr>
          <w:rFonts w:ascii="Arial" w:cs="Arial" w:eastAsia="Arial" w:hAnsi="Arial"/>
          <w:sz w:val="18"/>
          <w:szCs w:val="18"/>
          <w:b w:val="1"/>
          <w:bCs w:val="1"/>
          <w:color w:val="auto"/>
        </w:rPr>
        <w:t>This communication presents only an overview of the more complete proxy materials that are available to you on the Internet. We encourage you to access and review all of the important information contained in the proxy materials before voting or, in the case of holders of ADSs, submitting your voting instructions to The Bank of New York Mellon, as depositary.</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The proxy statement and 2012 Annual Report on Form 20-F are available at </w:t>
      </w:r>
      <w:r>
        <w:rPr>
          <w:rFonts w:ascii="Arial" w:cs="Arial" w:eastAsia="Arial" w:hAnsi="Arial"/>
          <w:sz w:val="18"/>
          <w:szCs w:val="18"/>
          <w:color w:val="auto"/>
        </w:rPr>
        <w:t>http://ir.netease.com.</w:t>
      </w:r>
    </w:p>
    <w:p>
      <w:pPr>
        <w:spacing w:after="0" w:line="217" w:lineRule="exact"/>
        <w:rPr>
          <w:sz w:val="20"/>
          <w:szCs w:val="20"/>
          <w:color w:val="auto"/>
        </w:rPr>
      </w:pPr>
    </w:p>
    <w:p>
      <w:pPr>
        <w:ind w:right="240" w:firstLine="433"/>
        <w:spacing w:after="0" w:line="272" w:lineRule="auto"/>
        <w:rPr>
          <w:sz w:val="20"/>
          <w:szCs w:val="20"/>
          <w:color w:val="auto"/>
        </w:rPr>
      </w:pPr>
      <w:r>
        <w:rPr>
          <w:rFonts w:ascii="Arial" w:cs="Arial" w:eastAsia="Arial" w:hAnsi="Arial"/>
          <w:sz w:val="18"/>
          <w:szCs w:val="18"/>
          <w:b w:val="1"/>
          <w:bCs w:val="1"/>
          <w:color w:val="auto"/>
        </w:rPr>
        <w:t>If you want to receive a paper or email copy of these documents, you must request one. There is no charge to you for requesting a copy. Please make your request for a copy as instructed below at the earliest opportunity to facilitate timely delivery.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7011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360" w:firstLine="433"/>
        <w:spacing w:after="0" w:line="277" w:lineRule="auto"/>
        <w:rPr>
          <w:sz w:val="20"/>
          <w:szCs w:val="20"/>
          <w:color w:val="auto"/>
        </w:rPr>
      </w:pPr>
      <w:r>
        <w:rPr>
          <w:rFonts w:ascii="Arial" w:cs="Arial" w:eastAsia="Arial" w:hAnsi="Arial"/>
          <w:sz w:val="17"/>
          <w:szCs w:val="17"/>
          <w:color w:val="auto"/>
        </w:rPr>
        <w:t>NOTICE IS HEREBY GIVEN that the 2013 annual general meeting of shareholders of NetEase, Inc. (the “2013 Annual General Meeting of Shareholders”) will be held on September 5, 2013 at 10:00 a.m., Beijing time, at our offices located at 26/F, SP Tower D, Tsinghua Science Park Building 8, No. 1 Zhongguancun East Road, Haidian District, Beijing, People’s Republic of China 100084, for the following purposes:</w:t>
      </w:r>
    </w:p>
    <w:p>
      <w:pPr>
        <w:spacing w:after="0" w:line="172" w:lineRule="exact"/>
        <w:rPr>
          <w:sz w:val="20"/>
          <w:szCs w:val="20"/>
          <w:color w:val="auto"/>
        </w:rPr>
      </w:pPr>
    </w:p>
    <w:p>
      <w:pPr>
        <w:ind w:left="640" w:right="240" w:hanging="316"/>
        <w:spacing w:after="0" w:line="265" w:lineRule="auto"/>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re-elect seven directors to serve for the ensuing year and until their successors are elected and duly qualified, or until such directors’ earlier death, bankruptcy, insanity, resignation or removal.</w:t>
      </w:r>
    </w:p>
    <w:p>
      <w:pPr>
        <w:spacing w:after="0" w:line="179" w:lineRule="exact"/>
        <w:rPr>
          <w:rFonts w:ascii="Arial" w:cs="Arial" w:eastAsia="Arial" w:hAnsi="Arial"/>
          <w:sz w:val="18"/>
          <w:szCs w:val="18"/>
          <w:color w:val="auto"/>
        </w:rPr>
      </w:pPr>
    </w:p>
    <w:p>
      <w:pPr>
        <w:ind w:left="640" w:right="160" w:hanging="316"/>
        <w:spacing w:after="0" w:line="265" w:lineRule="auto"/>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Zhong Tian CPAs Limited Company as independent auditors of NetEase, Inc. for the fiscal year ending December 31, 2013.</w:t>
      </w:r>
    </w:p>
    <w:p>
      <w:pPr>
        <w:spacing w:after="0" w:line="179" w:lineRule="exact"/>
        <w:rPr>
          <w:rFonts w:ascii="Arial" w:cs="Arial" w:eastAsia="Arial" w:hAnsi="Arial"/>
          <w:sz w:val="18"/>
          <w:szCs w:val="18"/>
          <w:color w:val="auto"/>
        </w:rPr>
      </w:pPr>
    </w:p>
    <w:p>
      <w:pPr>
        <w:ind w:left="640" w:right="200" w:hanging="316"/>
        <w:spacing w:after="0" w:line="265" w:lineRule="auto"/>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2013 Annual General Meeting of Shareholders or any adjournment or postponement thereof.</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foregoing items of business are more fully described in the proxy statement. You may access the following proxy materials at http://ir.netease.com:</w:t>
      </w:r>
    </w:p>
    <w:p>
      <w:pPr>
        <w:spacing w:after="0" w:line="252" w:lineRule="exact"/>
        <w:rPr>
          <w:sz w:val="20"/>
          <w:szCs w:val="20"/>
          <w:color w:val="auto"/>
        </w:rPr>
      </w:pPr>
    </w:p>
    <w:p>
      <w:pPr>
        <w:ind w:left="640" w:hanging="316"/>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Proxy statement, and</w:t>
      </w:r>
    </w:p>
    <w:p>
      <w:pPr>
        <w:spacing w:after="0" w:line="217" w:lineRule="exact"/>
        <w:rPr>
          <w:rFonts w:ascii="Arial" w:cs="Arial" w:eastAsia="Arial" w:hAnsi="Arial"/>
          <w:sz w:val="18"/>
          <w:szCs w:val="18"/>
          <w:color w:val="auto"/>
        </w:rPr>
      </w:pPr>
    </w:p>
    <w:p>
      <w:pPr>
        <w:ind w:left="5660" w:right="5500" w:hanging="5336"/>
        <w:spacing w:after="0" w:line="450" w:lineRule="auto"/>
        <w:tabs>
          <w:tab w:leader="none" w:pos="632" w:val="left"/>
        </w:tabs>
        <w:numPr>
          <w:ilvl w:val="0"/>
          <w:numId w:val="2"/>
        </w:numPr>
        <w:rPr>
          <w:rFonts w:ascii="Arial" w:cs="Arial" w:eastAsia="Arial" w:hAnsi="Arial"/>
          <w:sz w:val="15"/>
          <w:szCs w:val="15"/>
          <w:color w:val="auto"/>
        </w:rPr>
      </w:pPr>
      <w:r>
        <w:rPr>
          <w:rFonts w:ascii="Arial" w:cs="Arial" w:eastAsia="Arial" w:hAnsi="Arial"/>
          <w:sz w:val="15"/>
          <w:szCs w:val="15"/>
          <w:color w:val="auto"/>
        </w:rPr>
        <w:t>2012 Annual Report on Form 20-F for the year ended December 31, 2012.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271780</wp:posOffset>
            </wp:positionV>
            <wp:extent cx="727011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Holders of Ordinary Shares</w:t>
      </w:r>
    </w:p>
    <w:p>
      <w:pPr>
        <w:spacing w:after="0" w:line="2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You should vote by either attending the meeting in person or by mailing the attached Proxy Card to us as instructed therein.</w:t>
      </w:r>
    </w:p>
    <w:p>
      <w:pPr>
        <w:spacing w:after="0" w:line="217" w:lineRule="exact"/>
        <w:rPr>
          <w:sz w:val="20"/>
          <w:szCs w:val="20"/>
          <w:color w:val="auto"/>
        </w:rPr>
      </w:pPr>
    </w:p>
    <w:p>
      <w:pPr>
        <w:ind w:right="80" w:firstLine="433"/>
        <w:spacing w:after="0" w:line="318" w:lineRule="auto"/>
        <w:rPr>
          <w:sz w:val="20"/>
          <w:szCs w:val="20"/>
          <w:color w:val="auto"/>
        </w:rPr>
      </w:pPr>
      <w:r>
        <w:rPr>
          <w:rFonts w:ascii="Arial" w:cs="Arial" w:eastAsia="Arial" w:hAnsi="Arial"/>
          <w:sz w:val="15"/>
          <w:szCs w:val="15"/>
          <w:color w:val="auto"/>
        </w:rPr>
        <w:t>If you prefer a paper or email copy of the proxy materials, you may request one by sending an email or calling Cassia Curran, Manager of IR Department, at cassia@corp.netease.com or +86 571 8985 2076. Please make sure you request a copy at the earliest opportunity to facilitate timely delivery. There is no charge to you for requesting a copy. You will have the opportunity to make a request to (1) receive paper copies for all future meetings or only for the 2013 Annual General Meeting of Shareholders or (2) receive email copies for all future meetings or only for the 2013 Annual General Meeting of Shareholders.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Holders of American Depositary Shares</w:t>
      </w:r>
    </w:p>
    <w:p>
      <w:pPr>
        <w:spacing w:after="0" w:line="217" w:lineRule="exact"/>
        <w:rPr>
          <w:sz w:val="20"/>
          <w:szCs w:val="20"/>
          <w:color w:val="auto"/>
        </w:rPr>
      </w:pPr>
    </w:p>
    <w:p>
      <w:pPr>
        <w:ind w:right="20" w:firstLine="433"/>
        <w:spacing w:after="0" w:line="249" w:lineRule="auto"/>
        <w:rPr>
          <w:sz w:val="20"/>
          <w:szCs w:val="20"/>
          <w:color w:val="auto"/>
        </w:rPr>
      </w:pPr>
      <w:r>
        <w:rPr>
          <w:rFonts w:ascii="Arial" w:cs="Arial" w:eastAsia="Arial" w:hAnsi="Arial"/>
          <w:sz w:val="18"/>
          <w:szCs w:val="18"/>
          <w:color w:val="auto"/>
        </w:rPr>
        <w:t>The Bank of New York Mellon, as depositary of the ADSs, has advised us that it intends to mail to all holders of ADSs this Notice and an ADS Voting Instruction Card. Upon the delivery of a signed and completed ADS Voting Instruction Card as instructed therein, The Bank of New York Mellon will endeavor, to the extent practicable, to vote or cause to be voted the amount of ordinary shares represented by the ADSs, evidenced by American Depositary Receipts related to those ADSs, in accordance with the instructions set forth in such request. The Bank of New York Mellon has advised us that it will not vote or attempt to exercise the right to vote other than in accordance with those instructions. As the holder of record for all the ordinary shares represented by the ADSs, only The Bank of New York Mellon may vote those ordinary shares at the 2013 Annual General Meeting of Shareholders. Holders of ADSs may attend, but may not vote at, such meeting.</w:t>
      </w:r>
    </w:p>
    <w:p>
      <w:pPr>
        <w:spacing w:after="0" w:line="194" w:lineRule="exact"/>
        <w:rPr>
          <w:sz w:val="20"/>
          <w:szCs w:val="20"/>
          <w:color w:val="auto"/>
        </w:rPr>
      </w:pPr>
    </w:p>
    <w:p>
      <w:pPr>
        <w:ind w:right="60" w:firstLine="433"/>
        <w:spacing w:after="0" w:line="255" w:lineRule="auto"/>
        <w:rPr>
          <w:sz w:val="20"/>
          <w:szCs w:val="20"/>
          <w:color w:val="auto"/>
        </w:rPr>
      </w:pPr>
      <w:r>
        <w:rPr>
          <w:rFonts w:ascii="Arial" w:cs="Arial" w:eastAsia="Arial" w:hAnsi="Arial"/>
          <w:sz w:val="18"/>
          <w:szCs w:val="18"/>
          <w:color w:val="auto"/>
        </w:rPr>
        <w:t>The Bank of New York Mellon and its agents are not responsible if they fail to carry out your voting instructions or for the manner in which they carry out your voting instructions. This means that if the ordinary shares underlying your ADSs are not able to be voted at the 2013 Annual General Meeting of Shareholders, there may be nothing you can do.</w:t>
      </w:r>
    </w:p>
    <w:p>
      <w:pPr>
        <w:sectPr>
          <w:pgSz w:w="11900" w:h="16838" w:orient="portrait"/>
          <w:cols w:equalWidth="0" w:num="1">
            <w:col w:w="11420"/>
          </w:cols>
          <w:pgMar w:left="240" w:top="121" w:right="239" w:bottom="0" w:gutter="0" w:footer="0" w:header="0"/>
        </w:sectPr>
      </w:pPr>
    </w:p>
    <w:bookmarkStart w:id="3" w:name="page4"/>
    <w:bookmarkEnd w:id="3"/>
    <w:p>
      <w:pPr>
        <w:ind w:right="200" w:firstLine="433"/>
        <w:spacing w:after="0" w:line="250" w:lineRule="auto"/>
        <w:rPr>
          <w:sz w:val="20"/>
          <w:szCs w:val="20"/>
          <w:color w:val="auto"/>
        </w:rPr>
      </w:pPr>
      <w:r>
        <w:rPr>
          <w:rFonts w:ascii="Arial" w:cs="Arial" w:eastAsia="Arial" w:hAnsi="Arial"/>
          <w:sz w:val="18"/>
          <w:szCs w:val="18"/>
          <w:color w:val="auto"/>
        </w:rPr>
        <w:t>If (1) the enclosed ADS Voting Instruction Card is signed but is missing voting instructions, (2) the enclosed ADS Voting Instruction Card is improperly completed or (3) no ADS Voting Instruction Card is received by The Bank of New York Mellon from a holder of ADSs prior to 5:00 p.m., New York Time on August 29, 2013, The Bank of New York Mellon will deem such holder of ADSs to have instructed it to give a proxy to the chairman of the 2013 Annual General Meeting of Shareholders to vote in favor of each proposal recommended by our board of directors and against each proposal opposed by our board of directors.</w:t>
      </w:r>
    </w:p>
    <w:p>
      <w:pPr>
        <w:spacing w:after="0" w:line="195" w:lineRule="exact"/>
        <w:rPr>
          <w:sz w:val="20"/>
          <w:szCs w:val="20"/>
          <w:color w:val="auto"/>
        </w:rPr>
      </w:pPr>
    </w:p>
    <w:p>
      <w:pPr>
        <w:ind w:right="80" w:firstLine="433"/>
        <w:spacing w:after="0" w:line="318" w:lineRule="auto"/>
        <w:rPr>
          <w:sz w:val="20"/>
          <w:szCs w:val="20"/>
          <w:color w:val="auto"/>
        </w:rPr>
      </w:pPr>
      <w:r>
        <w:rPr>
          <w:rFonts w:ascii="Arial" w:cs="Arial" w:eastAsia="Arial" w:hAnsi="Arial"/>
          <w:sz w:val="15"/>
          <w:szCs w:val="15"/>
          <w:color w:val="auto"/>
        </w:rPr>
        <w:t>If you prefer a paper or email copy of the proxy materials, you may request one by sending an email or calling Cassia Curran, Manager of IR Department, at cassia@corp.netease.com or +86 571 8985 2076. Please make sure you request a copy at the earliest opportunity to facilitate timely delivery. There is no charge to you for requesting a copy. You will have the opportunity to make a request to (1) receive paper copies for all future meetings or only for the 2013 Annual General Meeting of Shareholders or (2) receive email copies for all future meetings or only for the 2013 Annual General Meeting of Shareholders.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7011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Holders of record of our ordinary shares or ADSs representing those ordinary shares at the close of business on July 24, 2013 are entitled to vote at the</w:t>
      </w:r>
    </w:p>
    <w:p>
      <w:pPr>
        <w:spacing w:after="0" w:line="51" w:lineRule="exact"/>
        <w:rPr>
          <w:sz w:val="20"/>
          <w:szCs w:val="20"/>
          <w:color w:val="auto"/>
        </w:rPr>
      </w:pPr>
    </w:p>
    <w:p>
      <w:pPr>
        <w:ind w:right="520"/>
        <w:spacing w:after="0" w:line="251" w:lineRule="auto"/>
        <w:rPr>
          <w:sz w:val="20"/>
          <w:szCs w:val="20"/>
          <w:color w:val="auto"/>
        </w:rPr>
      </w:pPr>
      <w:r>
        <w:rPr>
          <w:rFonts w:ascii="Arial" w:cs="Arial" w:eastAsia="Arial" w:hAnsi="Arial"/>
          <w:sz w:val="18"/>
          <w:szCs w:val="18"/>
          <w:color w:val="auto"/>
        </w:rPr>
        <w:t>2013 Annual General Meeting of Shareholders and any adjournment or postponement thereof, and are encouraged and cordially invited to attend the 2013 Annual General Meeting of Shareholders. Directions to attend the meeting can be found at http://ir.netease.com.</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FOR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6570980</wp:posOffset>
            </wp:positionH>
            <wp:positionV relativeFrom="paragraph">
              <wp:posOffset>280670</wp:posOffset>
            </wp:positionV>
            <wp:extent cx="681990" cy="437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681990"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William Lei Ding</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Member of the Board of Directors and Chief Executive Officer</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Beijing, China</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July 31, 2013</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YOUR VOTE IS IMPORTANT</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7011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NetEase,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26/F, SP Tower 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Tsinghua Science Park Building 8</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 1 Zhongguancun East Road, Haidian District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Beijing, People’s Republic of China 100084</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2013 ANNUAL GENERAL MEETING OF SHAREHOLDERS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SEPTEMBER 5, 2013</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3" w:lineRule="exact"/>
        <w:rPr>
          <w:sz w:val="20"/>
          <w:szCs w:val="20"/>
          <w:color w:val="auto"/>
        </w:rPr>
      </w:pPr>
    </w:p>
    <w:p>
      <w:pPr>
        <w:ind w:right="260" w:firstLine="433"/>
        <w:spacing w:after="0" w:line="277" w:lineRule="auto"/>
        <w:rPr>
          <w:sz w:val="20"/>
          <w:szCs w:val="20"/>
          <w:color w:val="auto"/>
        </w:rPr>
      </w:pPr>
      <w:r>
        <w:rPr>
          <w:rFonts w:ascii="Arial" w:cs="Arial" w:eastAsia="Arial" w:hAnsi="Arial"/>
          <w:sz w:val="17"/>
          <w:szCs w:val="17"/>
          <w:color w:val="auto"/>
        </w:rPr>
        <w:t>We are soliciting proxies on behalf of our board of directors for use at the annual general meeting of shareholders to be held on September 5, 2013 at 10:00 a.m., Beijing time, or at any adjournment or postponement thereof. The annual general meeting will be held at our offices located at 26/F, SP Tower D, Tsinghua Science Park Building 8, No. 1 Zhongguancun East Road, Haidian District, Beijing, People’s Republic of China 100084.</w:t>
      </w:r>
    </w:p>
    <w:p>
      <w:pPr>
        <w:spacing w:after="0" w:line="172" w:lineRule="exact"/>
        <w:rPr>
          <w:sz w:val="20"/>
          <w:szCs w:val="20"/>
          <w:color w:val="auto"/>
        </w:rPr>
      </w:pPr>
    </w:p>
    <w:p>
      <w:pPr>
        <w:ind w:right="540" w:firstLine="433"/>
        <w:spacing w:after="0" w:line="265" w:lineRule="auto"/>
        <w:rPr>
          <w:sz w:val="20"/>
          <w:szCs w:val="20"/>
          <w:color w:val="auto"/>
        </w:rPr>
      </w:pPr>
      <w:r>
        <w:rPr>
          <w:rFonts w:ascii="Arial" w:cs="Arial" w:eastAsia="Arial" w:hAnsi="Arial"/>
          <w:sz w:val="18"/>
          <w:szCs w:val="18"/>
          <w:color w:val="auto"/>
        </w:rPr>
        <w:t>This proxy statement is available to shareholders beginning on July 31, 2013 and the form of proxy is first being mailed to shareholders on or about July 31, 2013.</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w:t>
      </w:r>
    </w:p>
    <w:p>
      <w:pPr>
        <w:spacing w:after="0" w:line="223" w:lineRule="exact"/>
        <w:rPr>
          <w:sz w:val="20"/>
          <w:szCs w:val="20"/>
          <w:color w:val="auto"/>
        </w:rPr>
      </w:pPr>
    </w:p>
    <w:p>
      <w:pPr>
        <w:ind w:right="60" w:firstLine="433"/>
        <w:spacing w:after="0" w:line="252" w:lineRule="auto"/>
        <w:rPr>
          <w:sz w:val="20"/>
          <w:szCs w:val="20"/>
          <w:color w:val="auto"/>
        </w:rPr>
      </w:pPr>
      <w:r>
        <w:rPr>
          <w:rFonts w:ascii="Arial" w:cs="Arial" w:eastAsia="Arial" w:hAnsi="Arial"/>
          <w:sz w:val="18"/>
          <w:szCs w:val="18"/>
          <w:color w:val="auto"/>
        </w:rPr>
        <w:t>Any proxy given by a holder of ordinary shares pursuant to this solicitation may be revoked by the person giving it at any time before its use by delivering a written notice of revocation or a duly executed proxy bearing a later date or by attending the annual general meeting and voting in person. Attendance at the annual general meeting in and of itself does not revoke a prior proxy. A written notice of revocation must be delivered to the attention of Mr. Onward Choi, our Acting Chief Financial Officer.</w:t>
      </w:r>
    </w:p>
    <w:p>
      <w:pPr>
        <w:spacing w:after="0" w:line="191" w:lineRule="exact"/>
        <w:rPr>
          <w:sz w:val="20"/>
          <w:szCs w:val="20"/>
          <w:color w:val="auto"/>
        </w:rPr>
      </w:pPr>
    </w:p>
    <w:p>
      <w:pPr>
        <w:ind w:right="20" w:firstLine="433"/>
        <w:spacing w:after="0" w:line="255" w:lineRule="auto"/>
        <w:rPr>
          <w:sz w:val="20"/>
          <w:szCs w:val="20"/>
          <w:color w:val="auto"/>
        </w:rPr>
      </w:pPr>
      <w:r>
        <w:rPr>
          <w:rFonts w:ascii="Arial" w:cs="Arial" w:eastAsia="Arial" w:hAnsi="Arial"/>
          <w:sz w:val="18"/>
          <w:szCs w:val="18"/>
          <w:color w:val="auto"/>
        </w:rPr>
        <w:t>A holder of our American Depositary Shares, known as ADSs, representing our ordinary shares, may revoke a previously delivered ADS Voting Instruction Card by delivery a written notice of revocation or a duly executed ADS Voting Instruction Card bearing a later date to The Bank of New York Mellon prior to 5:00 p.m., New York Time, on August 29, 2013.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 Share Ownership and Quorum</w:t>
      </w:r>
    </w:p>
    <w:p>
      <w:pPr>
        <w:spacing w:after="0" w:line="223" w:lineRule="exact"/>
        <w:rPr>
          <w:sz w:val="20"/>
          <w:szCs w:val="20"/>
          <w:color w:val="auto"/>
        </w:rPr>
      </w:pPr>
    </w:p>
    <w:p>
      <w:pPr>
        <w:ind w:right="40" w:firstLine="433"/>
        <w:spacing w:after="0" w:line="250" w:lineRule="auto"/>
        <w:rPr>
          <w:sz w:val="20"/>
          <w:szCs w:val="20"/>
          <w:color w:val="auto"/>
        </w:rPr>
      </w:pPr>
      <w:r>
        <w:rPr>
          <w:rFonts w:ascii="Arial" w:cs="Arial" w:eastAsia="Arial" w:hAnsi="Arial"/>
          <w:sz w:val="18"/>
          <w:szCs w:val="18"/>
          <w:color w:val="auto"/>
        </w:rPr>
        <w:t>Shareholders of record at the close of business on July 24, 2013 are entitled to vote at the annual general meeting. Our ordinary shares underlying ADSs are included for purposes of this determination. As of June 30, 2013, 3,249,973,381 of our ordinary shares, par value US$0.0001 per share, were outstanding, of which approximately 1,843,973,115 were represented by ADSs. The presence of at least two ordinary shareholders in person or by proxy will constitute a quorum for the transaction of business at the annual general meeting; provided, however, that in no case shall such quorum represent less than 33 1/3% of our outstanding ordinary shares.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and Solicitation</w:t>
      </w:r>
    </w:p>
    <w:p>
      <w:pPr>
        <w:spacing w:after="0" w:line="223" w:lineRule="exact"/>
        <w:rPr>
          <w:sz w:val="20"/>
          <w:szCs w:val="20"/>
          <w:color w:val="auto"/>
        </w:rPr>
      </w:pPr>
    </w:p>
    <w:p>
      <w:pPr>
        <w:jc w:val="both"/>
        <w:ind w:right="140" w:firstLine="433"/>
        <w:spacing w:after="0" w:line="255" w:lineRule="auto"/>
        <w:rPr>
          <w:sz w:val="20"/>
          <w:szCs w:val="20"/>
          <w:color w:val="auto"/>
        </w:rPr>
      </w:pPr>
      <w:r>
        <w:rPr>
          <w:rFonts w:ascii="Arial" w:cs="Arial" w:eastAsia="Arial" w:hAnsi="Arial"/>
          <w:sz w:val="18"/>
          <w:szCs w:val="18"/>
          <w:color w:val="auto"/>
        </w:rPr>
        <w:t>Each share outstanding on the record date is entitled to one vote. Voting by holders of ordinary shares at the annual general meeting will be by a show of hands unless the chairman of the meeting or any shareholder present in person or by proxy demands that a poll be taken. Holders of ADSs cannot vote at such meeting.</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7011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right="40" w:firstLine="433"/>
        <w:spacing w:after="0" w:line="255" w:lineRule="auto"/>
        <w:rPr>
          <w:sz w:val="20"/>
          <w:szCs w:val="20"/>
          <w:color w:val="auto"/>
        </w:rPr>
      </w:pPr>
      <w:r>
        <w:rPr>
          <w:rFonts w:ascii="Arial" w:cs="Arial" w:eastAsia="Arial" w:hAnsi="Arial"/>
          <w:sz w:val="18"/>
          <w:szCs w:val="18"/>
          <w:color w:val="auto"/>
        </w:rPr>
        <w:t>The costs of soliciting proxies will be borne by our company. Proxies may be solicited by certain of our directors, officers and regular employees, without additional compensation, in person or by telephone or electronic mail. The solicitation materials are available on our company’s website at http://ir.netease.com. Hard copies of the solicitation materials are available upon request to shareholders free of charge.</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Voting by Holders of Ordinary Shares</w:t>
      </w:r>
    </w:p>
    <w:p>
      <w:pPr>
        <w:spacing w:after="0" w:line="223" w:lineRule="exact"/>
        <w:rPr>
          <w:sz w:val="20"/>
          <w:szCs w:val="20"/>
          <w:color w:val="auto"/>
        </w:rPr>
      </w:pPr>
    </w:p>
    <w:p>
      <w:pPr>
        <w:ind w:right="80" w:firstLine="433"/>
        <w:spacing w:after="0" w:line="269" w:lineRule="auto"/>
        <w:rPr>
          <w:sz w:val="20"/>
          <w:szCs w:val="20"/>
          <w:color w:val="auto"/>
        </w:rPr>
      </w:pPr>
      <w:r>
        <w:rPr>
          <w:rFonts w:ascii="Arial" w:cs="Arial" w:eastAsia="Arial" w:hAnsi="Arial"/>
          <w:sz w:val="17"/>
          <w:szCs w:val="17"/>
          <w:color w:val="auto"/>
        </w:rPr>
        <w:t>When proxies are properly dated, executed and returned by holders of ordinary shares, the shares they represent will be voted at the annual general meeting in accordance with the instructions of the shareholder. If no specific instructions are given by such holders, the shares will be voted “FOR” proposals 1 and 2 and in the proxy holder’s discretion as to other matters that may properly come before the annual general meeting. Abstentions by holders of ordinary shares are included in the determination of the number of shares present and voting but are not counted as votes for or against a proposal. Broker non-votes will not be counted towards a quorum or for any purpose in determining whether the proposal is approved.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Voting by Holders of American Depositary Shares</w:t>
      </w:r>
    </w:p>
    <w:p>
      <w:pPr>
        <w:spacing w:after="0" w:line="223" w:lineRule="exact"/>
        <w:rPr>
          <w:sz w:val="20"/>
          <w:szCs w:val="20"/>
          <w:color w:val="auto"/>
        </w:rPr>
      </w:pPr>
    </w:p>
    <w:p>
      <w:pPr>
        <w:ind w:right="40" w:firstLine="433"/>
        <w:spacing w:after="0" w:line="309" w:lineRule="auto"/>
        <w:rPr>
          <w:sz w:val="20"/>
          <w:szCs w:val="20"/>
          <w:color w:val="auto"/>
        </w:rPr>
      </w:pPr>
      <w:r>
        <w:rPr>
          <w:rFonts w:ascii="Arial" w:cs="Arial" w:eastAsia="Arial" w:hAnsi="Arial"/>
          <w:sz w:val="15"/>
          <w:szCs w:val="15"/>
          <w:color w:val="auto"/>
        </w:rPr>
        <w:t>The Bank of New York Mellon, as depositary of the ADSs, has advised us that it intends to mail to all owners of ADSs the Notice of 2013 Annual General Meeting of Shareholders and an ADS Voting Instruction Card. Upon the delivery of a signed and completed ADS Voting Instruction Card as instructed therein, The Bank of New York Mellon will endeavor, to the extent practicable, to vote or cause to be voted the amount of ordinary shares represented by the ADSs, evidenced by American Depositary Receipts related to those ADSs, in accordance with the instructions set forth in such request. The Bank of New York Mellon has advised us that it will not vote or attempt to exercise the right to vote other than in accordance with those instructions. As the holder of record for all the shares represented by the ADSs, only The Bank of New York Mellon may vote those shares at the annual general meeting.</w:t>
      </w:r>
    </w:p>
    <w:p>
      <w:pPr>
        <w:spacing w:after="0" w:line="153" w:lineRule="exact"/>
        <w:rPr>
          <w:sz w:val="20"/>
          <w:szCs w:val="20"/>
          <w:color w:val="auto"/>
        </w:rPr>
      </w:pPr>
    </w:p>
    <w:p>
      <w:pPr>
        <w:ind w:right="60" w:firstLine="433"/>
        <w:spacing w:after="0" w:line="255" w:lineRule="auto"/>
        <w:rPr>
          <w:sz w:val="20"/>
          <w:szCs w:val="20"/>
          <w:color w:val="auto"/>
        </w:rPr>
      </w:pPr>
      <w:r>
        <w:rPr>
          <w:rFonts w:ascii="Arial" w:cs="Arial" w:eastAsia="Arial" w:hAnsi="Arial"/>
          <w:sz w:val="18"/>
          <w:szCs w:val="18"/>
          <w:color w:val="auto"/>
        </w:rPr>
        <w:t>The Bank of New York Mellon and its agents are not responsible if they fail to carry out your voting instructions or for the manner in which they carry out your voting instructions. This means that if the ordinary shares underlying your ADSs are not able to be voted at the annual general meeting, there may be nothing you can do.</w:t>
      </w:r>
    </w:p>
    <w:p>
      <w:pPr>
        <w:spacing w:after="0" w:line="189" w:lineRule="exact"/>
        <w:rPr>
          <w:sz w:val="20"/>
          <w:szCs w:val="20"/>
          <w:color w:val="auto"/>
        </w:rPr>
      </w:pPr>
    </w:p>
    <w:p>
      <w:pPr>
        <w:ind w:right="140" w:firstLine="433"/>
        <w:spacing w:after="0" w:line="366" w:lineRule="auto"/>
        <w:rPr>
          <w:sz w:val="20"/>
          <w:szCs w:val="20"/>
          <w:color w:val="auto"/>
        </w:rPr>
      </w:pPr>
      <w:r>
        <w:rPr>
          <w:rFonts w:ascii="Arial" w:cs="Arial" w:eastAsia="Arial" w:hAnsi="Arial"/>
          <w:sz w:val="15"/>
          <w:szCs w:val="15"/>
          <w:color w:val="auto"/>
        </w:rPr>
        <w:t>If (i) the enclosed ADS Voting Instruction Card is signed but is missing voting instructions, (ii) the enclosed ADS Voting Instruction Card is improperly completed or (iii) no ADS Voting Instruction Card is received by The Bank of New York Mellon from a holder of ADSs prior to 5:00 p.m., New York Time, on</w:t>
      </w:r>
    </w:p>
    <w:p>
      <w:pPr>
        <w:sectPr>
          <w:pgSz w:w="11900" w:h="16838" w:orient="portrait"/>
          <w:cols w:equalWidth="0" w:num="1">
            <w:col w:w="11420"/>
          </w:cols>
          <w:pgMar w:left="240" w:top="121" w:right="239" w:bottom="0" w:gutter="0" w:footer="0" w:header="0"/>
        </w:sectPr>
      </w:pPr>
    </w:p>
    <w:bookmarkStart w:id="5" w:name="page6"/>
    <w:bookmarkEnd w:id="5"/>
    <w:p>
      <w:pPr>
        <w:ind w:right="460"/>
        <w:spacing w:after="0" w:line="366" w:lineRule="auto"/>
        <w:rPr>
          <w:sz w:val="20"/>
          <w:szCs w:val="20"/>
          <w:color w:val="auto"/>
        </w:rPr>
      </w:pPr>
      <w:r>
        <w:rPr>
          <w:rFonts w:ascii="Arial" w:cs="Arial" w:eastAsia="Arial" w:hAnsi="Arial"/>
          <w:sz w:val="15"/>
          <w:szCs w:val="15"/>
          <w:color w:val="auto"/>
        </w:rPr>
        <w:t>August 29, 2013, The Bank of New York Mellon will deem such holder of ADSs to have instructed it to give a proxy to the chairman of the annual general meeting to vote in favor of each proposal recommended by our board of directors and against each proposal opposed by our board of directors.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Deadline for Shareholder Proposals</w:t>
      </w:r>
    </w:p>
    <w:p>
      <w:pPr>
        <w:spacing w:after="0" w:line="223" w:lineRule="exact"/>
        <w:rPr>
          <w:sz w:val="20"/>
          <w:szCs w:val="20"/>
          <w:color w:val="auto"/>
        </w:rPr>
      </w:pPr>
    </w:p>
    <w:p>
      <w:pPr>
        <w:ind w:right="20" w:firstLine="442"/>
        <w:spacing w:after="0" w:line="277" w:lineRule="auto"/>
        <w:rPr>
          <w:sz w:val="20"/>
          <w:szCs w:val="20"/>
          <w:color w:val="auto"/>
        </w:rPr>
      </w:pPr>
      <w:r>
        <w:rPr>
          <w:rFonts w:ascii="Arial" w:cs="Arial" w:eastAsia="Arial" w:hAnsi="Arial"/>
          <w:sz w:val="17"/>
          <w:szCs w:val="17"/>
          <w:color w:val="auto"/>
        </w:rPr>
        <w:t>Proposals which our shareholders wish to be considered for inclusion in our proxy statement and proxy card for the 2014 annual general meeting must be received by March 31, 2014 at 26/F, SP Tower D, Tsinghua Science Park Building 8, No. 1 Zhongguancun East Road, Haidian District, Beijing 100084, People’s Republic of China. The submission of a proposal does not assure that it will be included in the proxy statement or the proxy card.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7011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23" w:lineRule="exact"/>
        <w:rPr>
          <w:sz w:val="20"/>
          <w:szCs w:val="20"/>
          <w:color w:val="auto"/>
        </w:rPr>
      </w:pPr>
    </w:p>
    <w:p>
      <w:pPr>
        <w:ind w:right="80" w:firstLine="433"/>
        <w:spacing w:after="0" w:line="250" w:lineRule="auto"/>
        <w:rPr>
          <w:sz w:val="20"/>
          <w:szCs w:val="20"/>
          <w:color w:val="auto"/>
        </w:rPr>
      </w:pPr>
      <w:r>
        <w:rPr>
          <w:rFonts w:ascii="Arial" w:cs="Arial" w:eastAsia="Arial" w:hAnsi="Arial"/>
          <w:sz w:val="18"/>
          <w:szCs w:val="18"/>
          <w:color w:val="auto"/>
        </w:rPr>
        <w:t>The board of directors has nominated all of our seven current directors for re-election at the 2013 annual general meeting. Each director to be elected will hold office until the next annual general meeting of shareholders and until such director’s successor is elected and is duly qualified, or until such director’s earlier death, bankruptcy, insanity, resignation or removal. All of the nominees have been previously elected by our shareholders. Our Articles of Association presently authorize up to ten board positions. Proxies cannot, however, be voted for a greater number of persons than the number of nominees named in this proxy statement.</w:t>
      </w:r>
    </w:p>
    <w:p>
      <w:pPr>
        <w:spacing w:after="0" w:line="195" w:lineRule="exact"/>
        <w:rPr>
          <w:sz w:val="20"/>
          <w:szCs w:val="20"/>
          <w:color w:val="auto"/>
        </w:rPr>
      </w:pPr>
    </w:p>
    <w:p>
      <w:pPr>
        <w:ind w:right="40" w:firstLine="433"/>
        <w:spacing w:after="0" w:line="252" w:lineRule="auto"/>
        <w:rPr>
          <w:sz w:val="20"/>
          <w:szCs w:val="20"/>
          <w:color w:val="auto"/>
        </w:rPr>
      </w:pPr>
      <w:r>
        <w:rPr>
          <w:rFonts w:ascii="Arial" w:cs="Arial" w:eastAsia="Arial" w:hAnsi="Arial"/>
          <w:sz w:val="18"/>
          <w:szCs w:val="18"/>
          <w:color w:val="auto"/>
        </w:rPr>
        <w:t>Shares represented by executed proxies will be voted, if authority to do so is not withheld, for the election of the seven nominees named below. The board has no reason to believe that any of the nominees named below will be unable or unwilling to serve as a director if elected. In the event that any nominee should be unavailable for election as a result of an unexpected occurrence, such shares will be voted for the election of such substitute nominee as management may propose.</w:t>
      </w:r>
    </w:p>
    <w:p>
      <w:pPr>
        <w:spacing w:after="0" w:line="191" w:lineRule="exact"/>
        <w:rPr>
          <w:sz w:val="20"/>
          <w:szCs w:val="20"/>
          <w:color w:val="auto"/>
        </w:rPr>
      </w:pPr>
    </w:p>
    <w:p>
      <w:pPr>
        <w:ind w:right="100" w:firstLine="433"/>
        <w:spacing w:after="0" w:line="265" w:lineRule="auto"/>
        <w:rPr>
          <w:sz w:val="20"/>
          <w:szCs w:val="20"/>
          <w:color w:val="auto"/>
        </w:rPr>
      </w:pPr>
      <w:r>
        <w:rPr>
          <w:rFonts w:ascii="Arial" w:cs="Arial" w:eastAsia="Arial" w:hAnsi="Arial"/>
          <w:sz w:val="18"/>
          <w:szCs w:val="18"/>
          <w:color w:val="auto"/>
        </w:rPr>
        <w:t>The names of the nominees, as well as our other current executive officers, their ages as of April 1, 2013 and the principal positions with NetEase held by them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2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680" w:type="dxa"/>
            <w:vAlign w:val="bottom"/>
          </w:tcPr>
          <w:p>
            <w:pPr>
              <w:jc w:val="right"/>
              <w:ind w:right="134"/>
              <w:spacing w:after="0"/>
              <w:rPr>
                <w:sz w:val="20"/>
                <w:szCs w:val="20"/>
                <w:color w:val="auto"/>
              </w:rPr>
            </w:pPr>
            <w:r>
              <w:rPr>
                <w:rFonts w:ascii="Arial" w:cs="Arial" w:eastAsia="Arial" w:hAnsi="Arial"/>
                <w:sz w:val="14"/>
                <w:szCs w:val="14"/>
                <w:b w:val="1"/>
                <w:bCs w:val="1"/>
                <w:color w:val="auto"/>
              </w:rPr>
              <w:t>Age</w:t>
            </w:r>
          </w:p>
        </w:tc>
        <w:tc>
          <w:tcPr>
            <w:tcW w:w="280" w:type="dxa"/>
            <w:vAlign w:val="bottom"/>
          </w:tcPr>
          <w:p>
            <w:pPr>
              <w:spacing w:after="0"/>
              <w:rPr>
                <w:sz w:val="14"/>
                <w:szCs w:val="14"/>
                <w:color w:val="auto"/>
              </w:rPr>
            </w:pPr>
          </w:p>
        </w:tc>
        <w:tc>
          <w:tcPr>
            <w:tcW w:w="5200" w:type="dxa"/>
            <w:vAlign w:val="bottom"/>
          </w:tcPr>
          <w:p>
            <w:pPr>
              <w:ind w:left="2360"/>
              <w:spacing w:after="0"/>
              <w:rPr>
                <w:sz w:val="20"/>
                <w:szCs w:val="20"/>
                <w:color w:val="auto"/>
              </w:rPr>
            </w:pPr>
            <w:r>
              <w:rPr>
                <w:rFonts w:ascii="Arial" w:cs="Arial" w:eastAsia="Arial" w:hAnsi="Arial"/>
                <w:sz w:val="14"/>
                <w:szCs w:val="14"/>
                <w:b w:val="1"/>
                <w:bCs w:val="1"/>
                <w:color w:val="auto"/>
              </w:rPr>
              <w:t>Position</w:t>
            </w:r>
          </w:p>
        </w:tc>
      </w:tr>
      <w:tr>
        <w:trPr>
          <w:trHeight w:val="205"/>
        </w:trPr>
        <w:tc>
          <w:tcPr>
            <w:tcW w:w="496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William Lei Ding</w:t>
            </w:r>
          </w:p>
        </w:tc>
        <w:tc>
          <w:tcPr>
            <w:tcW w:w="3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ind w:right="414"/>
              <w:spacing w:after="0" w:line="206" w:lineRule="exact"/>
              <w:rPr>
                <w:sz w:val="20"/>
                <w:szCs w:val="20"/>
                <w:color w:val="auto"/>
              </w:rPr>
            </w:pPr>
            <w:r>
              <w:rPr>
                <w:rFonts w:ascii="Arial" w:cs="Arial" w:eastAsia="Arial" w:hAnsi="Arial"/>
                <w:sz w:val="18"/>
                <w:szCs w:val="18"/>
                <w:color w:val="auto"/>
                <w:w w:val="79"/>
              </w:rPr>
              <w:t>41</w:t>
            </w:r>
          </w:p>
        </w:tc>
        <w:tc>
          <w:tcPr>
            <w:tcW w:w="280" w:type="dxa"/>
            <w:vAlign w:val="bottom"/>
            <w:tcBorders>
              <w:top w:val="single" w:sz="8" w:color="CCEEFF"/>
            </w:tcBorders>
            <w:shd w:val="clear" w:color="auto" w:fill="CCEEFF"/>
          </w:tcPr>
          <w:p>
            <w:pPr>
              <w:spacing w:after="0"/>
              <w:rPr>
                <w:sz w:val="17"/>
                <w:szCs w:val="17"/>
                <w:color w:val="auto"/>
              </w:rPr>
            </w:pPr>
          </w:p>
        </w:tc>
        <w:tc>
          <w:tcPr>
            <w:tcW w:w="520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Director and Chief Executive Officer</w:t>
            </w:r>
          </w:p>
        </w:tc>
      </w:tr>
      <w:tr>
        <w:trPr>
          <w:trHeight w:val="212"/>
        </w:trPr>
        <w:tc>
          <w:tcPr>
            <w:tcW w:w="5260" w:type="dxa"/>
            <w:vAlign w:val="bottom"/>
            <w:gridSpan w:val="2"/>
          </w:tcPr>
          <w:p>
            <w:pPr>
              <w:spacing w:after="0"/>
              <w:rPr>
                <w:sz w:val="20"/>
                <w:szCs w:val="20"/>
                <w:color w:val="auto"/>
              </w:rPr>
            </w:pPr>
            <w:r>
              <w:rPr>
                <w:rFonts w:ascii="Arial" w:cs="Arial" w:eastAsia="Arial" w:hAnsi="Arial"/>
                <w:sz w:val="18"/>
                <w:szCs w:val="18"/>
                <w:color w:val="auto"/>
              </w:rPr>
              <w:t>Alice Cheng (1)</w:t>
            </w:r>
          </w:p>
        </w:tc>
        <w:tc>
          <w:tcPr>
            <w:tcW w:w="680" w:type="dxa"/>
            <w:vAlign w:val="bottom"/>
          </w:tcPr>
          <w:p>
            <w:pPr>
              <w:jc w:val="right"/>
              <w:ind w:right="414"/>
              <w:spacing w:after="0"/>
              <w:rPr>
                <w:sz w:val="20"/>
                <w:szCs w:val="20"/>
                <w:color w:val="auto"/>
              </w:rPr>
            </w:pPr>
            <w:r>
              <w:rPr>
                <w:rFonts w:ascii="Arial" w:cs="Arial" w:eastAsia="Arial" w:hAnsi="Arial"/>
                <w:sz w:val="18"/>
                <w:szCs w:val="18"/>
                <w:color w:val="auto"/>
                <w:w w:val="79"/>
              </w:rPr>
              <w:t>51</w:t>
            </w:r>
          </w:p>
        </w:tc>
        <w:tc>
          <w:tcPr>
            <w:tcW w:w="5480" w:type="dxa"/>
            <w:vAlign w:val="bottom"/>
            <w:gridSpan w:val="2"/>
          </w:tcPr>
          <w:p>
            <w:pPr>
              <w:ind w:left="280"/>
              <w:spacing w:after="0"/>
              <w:rPr>
                <w:sz w:val="20"/>
                <w:szCs w:val="20"/>
                <w:color w:val="auto"/>
              </w:rPr>
            </w:pPr>
            <w:r>
              <w:rPr>
                <w:rFonts w:ascii="Arial" w:cs="Arial" w:eastAsia="Arial" w:hAnsi="Arial"/>
                <w:sz w:val="18"/>
                <w:szCs w:val="18"/>
                <w:color w:val="auto"/>
              </w:rPr>
              <w:t>Director</w:t>
            </w:r>
          </w:p>
        </w:tc>
      </w:tr>
      <w:tr>
        <w:trPr>
          <w:trHeight w:val="212"/>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Denny Lee</w:t>
            </w:r>
          </w:p>
        </w:tc>
        <w:tc>
          <w:tcPr>
            <w:tcW w:w="680" w:type="dxa"/>
            <w:vAlign w:val="bottom"/>
            <w:shd w:val="clear" w:color="auto" w:fill="CCEEFF"/>
          </w:tcPr>
          <w:p>
            <w:pPr>
              <w:jc w:val="right"/>
              <w:ind w:right="414"/>
              <w:spacing w:after="0"/>
              <w:rPr>
                <w:sz w:val="20"/>
                <w:szCs w:val="20"/>
                <w:color w:val="auto"/>
              </w:rPr>
            </w:pPr>
            <w:r>
              <w:rPr>
                <w:rFonts w:ascii="Arial" w:cs="Arial" w:eastAsia="Arial" w:hAnsi="Arial"/>
                <w:sz w:val="18"/>
                <w:szCs w:val="18"/>
                <w:color w:val="auto"/>
                <w:w w:val="79"/>
              </w:rPr>
              <w:t>45</w:t>
            </w:r>
          </w:p>
        </w:tc>
        <w:tc>
          <w:tcPr>
            <w:tcW w:w="5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Director</w:t>
            </w:r>
          </w:p>
        </w:tc>
      </w:tr>
      <w:tr>
        <w:trPr>
          <w:trHeight w:val="212"/>
        </w:trPr>
        <w:tc>
          <w:tcPr>
            <w:tcW w:w="5260" w:type="dxa"/>
            <w:vAlign w:val="bottom"/>
            <w:gridSpan w:val="2"/>
          </w:tcPr>
          <w:p>
            <w:pPr>
              <w:spacing w:after="0"/>
              <w:rPr>
                <w:sz w:val="20"/>
                <w:szCs w:val="20"/>
                <w:color w:val="auto"/>
              </w:rPr>
            </w:pPr>
            <w:r>
              <w:rPr>
                <w:rFonts w:ascii="Arial" w:cs="Arial" w:eastAsia="Arial" w:hAnsi="Arial"/>
                <w:sz w:val="18"/>
                <w:szCs w:val="18"/>
                <w:color w:val="auto"/>
              </w:rPr>
              <w:t>Joseph Tong (1)</w:t>
            </w:r>
          </w:p>
        </w:tc>
        <w:tc>
          <w:tcPr>
            <w:tcW w:w="680" w:type="dxa"/>
            <w:vAlign w:val="bottom"/>
          </w:tcPr>
          <w:p>
            <w:pPr>
              <w:jc w:val="right"/>
              <w:ind w:right="414"/>
              <w:spacing w:after="0"/>
              <w:rPr>
                <w:sz w:val="20"/>
                <w:szCs w:val="20"/>
                <w:color w:val="auto"/>
              </w:rPr>
            </w:pPr>
            <w:r>
              <w:rPr>
                <w:rFonts w:ascii="Arial" w:cs="Arial" w:eastAsia="Arial" w:hAnsi="Arial"/>
                <w:sz w:val="18"/>
                <w:szCs w:val="18"/>
                <w:color w:val="auto"/>
                <w:w w:val="79"/>
              </w:rPr>
              <w:t>50</w:t>
            </w:r>
          </w:p>
        </w:tc>
        <w:tc>
          <w:tcPr>
            <w:tcW w:w="5480" w:type="dxa"/>
            <w:vAlign w:val="bottom"/>
            <w:gridSpan w:val="2"/>
          </w:tcPr>
          <w:p>
            <w:pPr>
              <w:ind w:left="280"/>
              <w:spacing w:after="0"/>
              <w:rPr>
                <w:sz w:val="20"/>
                <w:szCs w:val="20"/>
                <w:color w:val="auto"/>
              </w:rPr>
            </w:pPr>
            <w:r>
              <w:rPr>
                <w:rFonts w:ascii="Arial" w:cs="Arial" w:eastAsia="Arial" w:hAnsi="Arial"/>
                <w:sz w:val="18"/>
                <w:szCs w:val="18"/>
                <w:color w:val="auto"/>
              </w:rPr>
              <w:t>Director</w:t>
            </w:r>
          </w:p>
        </w:tc>
      </w:tr>
      <w:tr>
        <w:trPr>
          <w:trHeight w:val="212"/>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Lun Feng</w:t>
            </w:r>
          </w:p>
        </w:tc>
        <w:tc>
          <w:tcPr>
            <w:tcW w:w="680" w:type="dxa"/>
            <w:vAlign w:val="bottom"/>
            <w:shd w:val="clear" w:color="auto" w:fill="CCEEFF"/>
          </w:tcPr>
          <w:p>
            <w:pPr>
              <w:jc w:val="right"/>
              <w:ind w:right="414"/>
              <w:spacing w:after="0"/>
              <w:rPr>
                <w:sz w:val="20"/>
                <w:szCs w:val="20"/>
                <w:color w:val="auto"/>
              </w:rPr>
            </w:pPr>
            <w:r>
              <w:rPr>
                <w:rFonts w:ascii="Arial" w:cs="Arial" w:eastAsia="Arial" w:hAnsi="Arial"/>
                <w:sz w:val="18"/>
                <w:szCs w:val="18"/>
                <w:color w:val="auto"/>
                <w:w w:val="79"/>
              </w:rPr>
              <w:t>53</w:t>
            </w:r>
          </w:p>
        </w:tc>
        <w:tc>
          <w:tcPr>
            <w:tcW w:w="5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Director</w:t>
            </w:r>
          </w:p>
        </w:tc>
      </w:tr>
      <w:tr>
        <w:trPr>
          <w:trHeight w:val="212"/>
        </w:trPr>
        <w:tc>
          <w:tcPr>
            <w:tcW w:w="5260" w:type="dxa"/>
            <w:vAlign w:val="bottom"/>
            <w:gridSpan w:val="2"/>
          </w:tcPr>
          <w:p>
            <w:pPr>
              <w:spacing w:after="0"/>
              <w:rPr>
                <w:sz w:val="20"/>
                <w:szCs w:val="20"/>
                <w:color w:val="auto"/>
              </w:rPr>
            </w:pPr>
            <w:r>
              <w:rPr>
                <w:rFonts w:ascii="Arial" w:cs="Arial" w:eastAsia="Arial" w:hAnsi="Arial"/>
                <w:sz w:val="18"/>
                <w:szCs w:val="18"/>
                <w:color w:val="auto"/>
              </w:rPr>
              <w:t>Michael Leung (1)</w:t>
            </w:r>
          </w:p>
        </w:tc>
        <w:tc>
          <w:tcPr>
            <w:tcW w:w="680" w:type="dxa"/>
            <w:vAlign w:val="bottom"/>
          </w:tcPr>
          <w:p>
            <w:pPr>
              <w:jc w:val="right"/>
              <w:ind w:right="414"/>
              <w:spacing w:after="0"/>
              <w:rPr>
                <w:sz w:val="20"/>
                <w:szCs w:val="20"/>
                <w:color w:val="auto"/>
              </w:rPr>
            </w:pPr>
            <w:r>
              <w:rPr>
                <w:rFonts w:ascii="Arial" w:cs="Arial" w:eastAsia="Arial" w:hAnsi="Arial"/>
                <w:sz w:val="18"/>
                <w:szCs w:val="18"/>
                <w:color w:val="auto"/>
                <w:w w:val="79"/>
              </w:rPr>
              <w:t>59</w:t>
            </w:r>
          </w:p>
        </w:tc>
        <w:tc>
          <w:tcPr>
            <w:tcW w:w="5480" w:type="dxa"/>
            <w:vAlign w:val="bottom"/>
            <w:gridSpan w:val="2"/>
          </w:tcPr>
          <w:p>
            <w:pPr>
              <w:ind w:left="280"/>
              <w:spacing w:after="0"/>
              <w:rPr>
                <w:sz w:val="20"/>
                <w:szCs w:val="20"/>
                <w:color w:val="auto"/>
              </w:rPr>
            </w:pPr>
            <w:r>
              <w:rPr>
                <w:rFonts w:ascii="Arial" w:cs="Arial" w:eastAsia="Arial" w:hAnsi="Arial"/>
                <w:sz w:val="18"/>
                <w:szCs w:val="18"/>
                <w:color w:val="auto"/>
              </w:rPr>
              <w:t>Director</w:t>
            </w:r>
          </w:p>
        </w:tc>
      </w:tr>
      <w:tr>
        <w:trPr>
          <w:trHeight w:val="212"/>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Tong</w:t>
            </w:r>
          </w:p>
        </w:tc>
        <w:tc>
          <w:tcPr>
            <w:tcW w:w="680" w:type="dxa"/>
            <w:vAlign w:val="bottom"/>
            <w:shd w:val="clear" w:color="auto" w:fill="CCEEFF"/>
          </w:tcPr>
          <w:p>
            <w:pPr>
              <w:jc w:val="right"/>
              <w:ind w:right="414"/>
              <w:spacing w:after="0"/>
              <w:rPr>
                <w:sz w:val="20"/>
                <w:szCs w:val="20"/>
                <w:color w:val="auto"/>
              </w:rPr>
            </w:pPr>
            <w:r>
              <w:rPr>
                <w:rFonts w:ascii="Arial" w:cs="Arial" w:eastAsia="Arial" w:hAnsi="Arial"/>
                <w:sz w:val="18"/>
                <w:szCs w:val="18"/>
                <w:color w:val="auto"/>
                <w:w w:val="79"/>
              </w:rPr>
              <w:t>41</w:t>
            </w:r>
          </w:p>
        </w:tc>
        <w:tc>
          <w:tcPr>
            <w:tcW w:w="5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Director</w:t>
            </w:r>
          </w:p>
        </w:tc>
      </w:tr>
      <w:tr>
        <w:trPr>
          <w:trHeight w:val="223"/>
        </w:trPr>
        <w:tc>
          <w:tcPr>
            <w:tcW w:w="5260" w:type="dxa"/>
            <w:vAlign w:val="bottom"/>
            <w:gridSpan w:val="2"/>
          </w:tcPr>
          <w:p>
            <w:pPr>
              <w:spacing w:after="0"/>
              <w:rPr>
                <w:sz w:val="20"/>
                <w:szCs w:val="20"/>
                <w:color w:val="auto"/>
              </w:rPr>
            </w:pPr>
            <w:r>
              <w:rPr>
                <w:rFonts w:ascii="Arial" w:cs="Arial" w:eastAsia="Arial" w:hAnsi="Arial"/>
                <w:sz w:val="18"/>
                <w:szCs w:val="18"/>
                <w:color w:val="auto"/>
              </w:rPr>
              <w:t>Onward Choi</w:t>
            </w:r>
          </w:p>
        </w:tc>
        <w:tc>
          <w:tcPr>
            <w:tcW w:w="680" w:type="dxa"/>
            <w:vAlign w:val="bottom"/>
          </w:tcPr>
          <w:p>
            <w:pPr>
              <w:jc w:val="right"/>
              <w:ind w:right="414"/>
              <w:spacing w:after="0"/>
              <w:rPr>
                <w:sz w:val="20"/>
                <w:szCs w:val="20"/>
                <w:color w:val="auto"/>
              </w:rPr>
            </w:pPr>
            <w:r>
              <w:rPr>
                <w:rFonts w:ascii="Arial" w:cs="Arial" w:eastAsia="Arial" w:hAnsi="Arial"/>
                <w:sz w:val="18"/>
                <w:szCs w:val="18"/>
                <w:color w:val="auto"/>
                <w:w w:val="79"/>
              </w:rPr>
              <w:t>42</w:t>
            </w:r>
          </w:p>
        </w:tc>
        <w:tc>
          <w:tcPr>
            <w:tcW w:w="5480" w:type="dxa"/>
            <w:vAlign w:val="bottom"/>
            <w:gridSpan w:val="2"/>
          </w:tcPr>
          <w:p>
            <w:pPr>
              <w:ind w:left="280"/>
              <w:spacing w:after="0"/>
              <w:rPr>
                <w:sz w:val="20"/>
                <w:szCs w:val="20"/>
                <w:color w:val="auto"/>
              </w:rPr>
            </w:pPr>
            <w:r>
              <w:rPr>
                <w:rFonts w:ascii="Arial" w:cs="Arial" w:eastAsia="Arial" w:hAnsi="Arial"/>
                <w:sz w:val="18"/>
                <w:szCs w:val="18"/>
                <w:color w:val="auto"/>
              </w:rPr>
              <w:t>Acting 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194945</wp:posOffset>
            </wp:positionV>
            <wp:extent cx="182689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1826895" cy="8255"/>
                    </a:xfrm>
                    <a:prstGeom prst="rect">
                      <a:avLst/>
                    </a:prstGeom>
                    <a:noFill/>
                  </pic:spPr>
                </pic:pic>
              </a:graphicData>
            </a:graphic>
          </wp:anchor>
        </w:drawing>
      </w:r>
    </w:p>
    <w:p>
      <w:pPr>
        <w:spacing w:after="0" w:line="394" w:lineRule="exact"/>
        <w:rPr>
          <w:sz w:val="20"/>
          <w:szCs w:val="20"/>
          <w:color w:val="auto"/>
        </w:rPr>
      </w:pPr>
    </w:p>
    <w:p>
      <w:pPr>
        <w:ind w:left="640" w:hanging="634"/>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Member of the audit, compensation and nominating committees.</w:t>
      </w:r>
    </w:p>
    <w:p>
      <w:pPr>
        <w:spacing w:after="0" w:line="217"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Directors Nominated for Election at the Annual General Meeting</w:t>
      </w:r>
    </w:p>
    <w:p>
      <w:pPr>
        <w:spacing w:after="0" w:line="217" w:lineRule="exact"/>
        <w:rPr>
          <w:sz w:val="20"/>
          <w:szCs w:val="20"/>
          <w:color w:val="auto"/>
        </w:rPr>
      </w:pPr>
    </w:p>
    <w:p>
      <w:pPr>
        <w:ind w:right="80" w:firstLine="433"/>
        <w:spacing w:after="0" w:line="309" w:lineRule="auto"/>
        <w:rPr>
          <w:sz w:val="20"/>
          <w:szCs w:val="20"/>
          <w:color w:val="auto"/>
        </w:rPr>
      </w:pPr>
      <w:r>
        <w:rPr>
          <w:rFonts w:ascii="Arial" w:cs="Arial" w:eastAsia="Arial" w:hAnsi="Arial"/>
          <w:sz w:val="15"/>
          <w:szCs w:val="15"/>
          <w:i w:val="1"/>
          <w:iCs w:val="1"/>
          <w:color w:val="auto"/>
        </w:rPr>
        <w:t>William Lei Ding</w:t>
      </w:r>
      <w:r>
        <w:rPr>
          <w:rFonts w:ascii="Arial" w:cs="Arial" w:eastAsia="Arial" w:hAnsi="Arial"/>
          <w:sz w:val="15"/>
          <w:szCs w:val="15"/>
          <w:color w:val="auto"/>
        </w:rPr>
        <w:t>, our founder, has served as a director since July 1999 and as our Chief Executive Officer since November 2005. From March 2001 until</w:t>
      </w:r>
      <w:r>
        <w:rPr>
          <w:rFonts w:ascii="Arial" w:cs="Arial" w:eastAsia="Arial" w:hAnsi="Arial"/>
          <w:sz w:val="15"/>
          <w:szCs w:val="15"/>
          <w:i w:val="1"/>
          <w:iCs w:val="1"/>
          <w:color w:val="auto"/>
        </w:rPr>
        <w:t xml:space="preserve"> </w:t>
      </w:r>
      <w:r>
        <w:rPr>
          <w:rFonts w:ascii="Arial" w:cs="Arial" w:eastAsia="Arial" w:hAnsi="Arial"/>
          <w:sz w:val="15"/>
          <w:szCs w:val="15"/>
          <w:color w:val="auto"/>
        </w:rPr>
        <w:t>November 2005, Mr. Ding served as our Chief Architect, and, from June 2001 until September 2001, he served as our Acting Chief Executive Officer and Acting Chief Operating Officer. Mr. Ding stepped down as Chairman of the board of directors in September 2001 (we currently have no permanently appointed Chairman). From July 1999 until March 2001, Mr. Ding served as Co-Chief Technology Officer, and from July 1999 until April 2000, he also served as our interim Chief Executive Officer. Mr. Ding established Guangzhou NetEase and Shanghai EaseNet, our affiliates, in May 1997 and January 2008. Mr. Ding holds a Bachelor of Science degree in Communication Technology from the University of Electronic Science and Technology of China.</w:t>
      </w:r>
    </w:p>
    <w:p>
      <w:pPr>
        <w:spacing w:after="0" w:line="153" w:lineRule="exact"/>
        <w:rPr>
          <w:sz w:val="20"/>
          <w:szCs w:val="20"/>
          <w:color w:val="auto"/>
        </w:rPr>
      </w:pPr>
    </w:p>
    <w:p>
      <w:pPr>
        <w:ind w:right="360" w:firstLine="442"/>
        <w:spacing w:after="0" w:line="366" w:lineRule="auto"/>
        <w:rPr>
          <w:sz w:val="20"/>
          <w:szCs w:val="20"/>
          <w:color w:val="auto"/>
        </w:rPr>
      </w:pPr>
      <w:r>
        <w:rPr>
          <w:rFonts w:ascii="Arial" w:cs="Arial" w:eastAsia="Arial" w:hAnsi="Arial"/>
          <w:sz w:val="15"/>
          <w:szCs w:val="15"/>
          <w:i w:val="1"/>
          <w:iCs w:val="1"/>
          <w:color w:val="auto"/>
        </w:rPr>
        <w:t xml:space="preserve">Alice Cheng </w:t>
      </w:r>
      <w:r>
        <w:rPr>
          <w:rFonts w:ascii="Arial" w:cs="Arial" w:eastAsia="Arial" w:hAnsi="Arial"/>
          <w:sz w:val="15"/>
          <w:szCs w:val="15"/>
          <w:color w:val="auto"/>
        </w:rPr>
        <w:t>has served as a director since June 2007. Ms. Cheng has been the Chief Financial Officer of BBK Electronics Corp., Ltd., a PRC-based</w:t>
      </w:r>
      <w:r>
        <w:rPr>
          <w:rFonts w:ascii="Arial" w:cs="Arial" w:eastAsia="Arial" w:hAnsi="Arial"/>
          <w:sz w:val="15"/>
          <w:szCs w:val="15"/>
          <w:i w:val="1"/>
          <w:iCs w:val="1"/>
          <w:color w:val="auto"/>
        </w:rPr>
        <w:t xml:space="preserve"> </w:t>
      </w:r>
      <w:r>
        <w:rPr>
          <w:rFonts w:ascii="Arial" w:cs="Arial" w:eastAsia="Arial" w:hAnsi="Arial"/>
          <w:sz w:val="15"/>
          <w:szCs w:val="15"/>
          <w:color w:val="auto"/>
        </w:rPr>
        <w:t>manufacturer of audio/visual equipment, since May 2005. From October 2010 to April 2013, she served as a supervisor of Wistron Information Technology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7011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320"/>
        <w:spacing w:after="0" w:line="269" w:lineRule="auto"/>
        <w:rPr>
          <w:sz w:val="20"/>
          <w:szCs w:val="20"/>
          <w:color w:val="auto"/>
        </w:rPr>
      </w:pPr>
      <w:r>
        <w:rPr>
          <w:rFonts w:ascii="Arial" w:cs="Arial" w:eastAsia="Arial" w:hAnsi="Arial"/>
          <w:sz w:val="17"/>
          <w:szCs w:val="17"/>
          <w:color w:val="auto"/>
        </w:rPr>
        <w:t>Corporation in Taiwan, an information technology company with operations in Taiwan, China and Japan. From January 2002 to April 2005, she served as Financial Controller of Wistron Corporation, a Taiwanese original design manufacturer of notebook computers and other electronics. Prior to that, she held various positions with Acer Inc., a Taiwanese computer manufacturer, culminating in the position of Financial Controller. Ms. Cheng received a Bachelor of Accounting from the Chinese Culture University in Taiwan in 1983 and a Masters of Business Administration from the Thunderbird School of Global Management in Arizona in 2003. She is licensed as a certified public accountant in Taiwan and the PRC.</w:t>
      </w:r>
    </w:p>
    <w:p>
      <w:pPr>
        <w:spacing w:after="0" w:line="177" w:lineRule="exact"/>
        <w:rPr>
          <w:sz w:val="20"/>
          <w:szCs w:val="20"/>
          <w:color w:val="auto"/>
        </w:rPr>
      </w:pPr>
    </w:p>
    <w:p>
      <w:pPr>
        <w:ind w:firstLine="433"/>
        <w:spacing w:after="0" w:line="249" w:lineRule="auto"/>
        <w:rPr>
          <w:sz w:val="20"/>
          <w:szCs w:val="20"/>
          <w:color w:val="auto"/>
        </w:rPr>
      </w:pPr>
      <w:r>
        <w:rPr>
          <w:rFonts w:ascii="Arial" w:cs="Arial" w:eastAsia="Arial" w:hAnsi="Arial"/>
          <w:sz w:val="18"/>
          <w:szCs w:val="18"/>
          <w:i w:val="1"/>
          <w:iCs w:val="1"/>
          <w:color w:val="auto"/>
        </w:rPr>
        <w:t xml:space="preserve">Denny Lee </w:t>
      </w:r>
      <w:r>
        <w:rPr>
          <w:rFonts w:ascii="Arial" w:cs="Arial" w:eastAsia="Arial" w:hAnsi="Arial"/>
          <w:sz w:val="18"/>
          <w:szCs w:val="18"/>
          <w:color w:val="auto"/>
        </w:rPr>
        <w:t>has served as a director since April 2002. Mr. Lee previously served as our Chief Financial Officer from April 2002 until June 2007 and as our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Controller from November 2001 until April 2002. Prior to joining our company, Mr. Lee worked in the Hong Kong office of KPMG for more than ten years. Mr. Lee graduated from the Hong Kong Polytechnic University majoring in accounting and is a member of the Hong Kong Institute of Certified Public Accountants and the Association of Chartered Certified Accountants. Mr. Lee currently serves as the chairman of the audit committees and the independent non-executive director on the boards of New Oriental Education &amp; Technology Group Inc. and Concord Medical Services Holdings Limited, all of which are listed on the New York Stock Exchange.</w:t>
      </w:r>
    </w:p>
    <w:p>
      <w:pPr>
        <w:spacing w:after="0" w:line="197" w:lineRule="exact"/>
        <w:rPr>
          <w:sz w:val="20"/>
          <w:szCs w:val="20"/>
          <w:color w:val="auto"/>
        </w:rPr>
      </w:pPr>
    </w:p>
    <w:p>
      <w:pPr>
        <w:ind w:right="180" w:firstLine="433"/>
        <w:spacing w:after="0" w:line="318" w:lineRule="auto"/>
        <w:rPr>
          <w:sz w:val="20"/>
          <w:szCs w:val="20"/>
          <w:color w:val="auto"/>
        </w:rPr>
      </w:pPr>
      <w:r>
        <w:rPr>
          <w:rFonts w:ascii="Arial" w:cs="Arial" w:eastAsia="Arial" w:hAnsi="Arial"/>
          <w:sz w:val="15"/>
          <w:szCs w:val="15"/>
          <w:i w:val="1"/>
          <w:iCs w:val="1"/>
          <w:color w:val="auto"/>
        </w:rPr>
        <w:t xml:space="preserve">Joseph Tong </w:t>
      </w:r>
      <w:r>
        <w:rPr>
          <w:rFonts w:ascii="Arial" w:cs="Arial" w:eastAsia="Arial" w:hAnsi="Arial"/>
          <w:sz w:val="15"/>
          <w:szCs w:val="15"/>
          <w:color w:val="auto"/>
        </w:rPr>
        <w:t>has been a director of Parworld Investment Management Limited, which provides financial and investment advisory services, since</w:t>
      </w:r>
      <w:r>
        <w:rPr>
          <w:rFonts w:ascii="Arial" w:cs="Arial" w:eastAsia="Arial" w:hAnsi="Arial"/>
          <w:sz w:val="15"/>
          <w:szCs w:val="15"/>
          <w:i w:val="1"/>
          <w:iCs w:val="1"/>
          <w:color w:val="auto"/>
        </w:rPr>
        <w:t xml:space="preserve"> </w:t>
      </w:r>
      <w:r>
        <w:rPr>
          <w:rFonts w:ascii="Arial" w:cs="Arial" w:eastAsia="Arial" w:hAnsi="Arial"/>
          <w:sz w:val="15"/>
          <w:szCs w:val="15"/>
          <w:color w:val="auto"/>
        </w:rPr>
        <w:t>April 2004. From December 2002 until April 2004, Mr. Tong was engaged in establishing offices and operations in Hong Kong and China, setting up accounting and internal control policies and overseeing the overall operations for TLM Apparel Co., Ltd., a garment trading company operating in Hong Kong and China which he co-founded. Prior to that, from September 2000 to September 2002, he was the e-Commerce Director of the Asia Region for Universal</w:t>
      </w:r>
    </w:p>
    <w:p>
      <w:pPr>
        <w:sectPr>
          <w:pgSz w:w="11900" w:h="16838" w:orient="portrait"/>
          <w:cols w:equalWidth="0" w:num="1">
            <w:col w:w="11420"/>
          </w:cols>
          <w:pgMar w:left="240" w:top="127" w:right="239" w:bottom="0" w:gutter="0" w:footer="0" w:header="0"/>
        </w:sectPr>
      </w:pPr>
    </w:p>
    <w:bookmarkStart w:id="6" w:name="page7"/>
    <w:bookmarkEnd w:id="6"/>
    <w:p>
      <w:pPr>
        <w:ind w:right="140"/>
        <w:spacing w:after="0" w:line="250" w:lineRule="auto"/>
        <w:rPr>
          <w:sz w:val="20"/>
          <w:szCs w:val="20"/>
          <w:color w:val="auto"/>
        </w:rPr>
      </w:pPr>
      <w:r>
        <w:rPr>
          <w:rFonts w:ascii="Arial" w:cs="Arial" w:eastAsia="Arial" w:hAnsi="Arial"/>
          <w:sz w:val="18"/>
          <w:szCs w:val="18"/>
          <w:color w:val="auto"/>
        </w:rPr>
        <w:t>Music Limited where he was responsible for forming e-business development strategies and overseeing new promotional opportunities. Mr. Tong currently serves as the chairman of the audit committee, a member of the nominating and remuneration committees and an independent director of Crosby Capital Limited, which is listed on the Stock Exchange of Hong Kong Limited. Mr. Tong received a Bachelor of Social Science degree with honors in Accounting and Statistics from the University of Southampton, England. He is a member of the American Institute of Certified Public Accountants and has served as a director since March 2003.</w:t>
      </w:r>
    </w:p>
    <w:p>
      <w:pPr>
        <w:spacing w:after="0" w:line="195" w:lineRule="exact"/>
        <w:rPr>
          <w:sz w:val="20"/>
          <w:szCs w:val="20"/>
          <w:color w:val="auto"/>
        </w:rPr>
      </w:pPr>
    </w:p>
    <w:p>
      <w:pPr>
        <w:jc w:val="both"/>
        <w:ind w:right="120" w:firstLine="433"/>
        <w:spacing w:after="0" w:line="255" w:lineRule="auto"/>
        <w:rPr>
          <w:sz w:val="20"/>
          <w:szCs w:val="20"/>
          <w:color w:val="auto"/>
        </w:rPr>
      </w:pPr>
      <w:r>
        <w:rPr>
          <w:rFonts w:ascii="Arial" w:cs="Arial" w:eastAsia="Arial" w:hAnsi="Arial"/>
          <w:sz w:val="18"/>
          <w:szCs w:val="18"/>
          <w:i w:val="1"/>
          <w:iCs w:val="1"/>
          <w:color w:val="auto"/>
        </w:rPr>
        <w:t xml:space="preserve">Lun Feng </w:t>
      </w:r>
      <w:r>
        <w:rPr>
          <w:rFonts w:ascii="Arial" w:cs="Arial" w:eastAsia="Arial" w:hAnsi="Arial"/>
          <w:sz w:val="18"/>
          <w:szCs w:val="18"/>
          <w:color w:val="auto"/>
        </w:rPr>
        <w:t>has served as a director since July 2005. He has been the Chairman of Vantone Holdings Co., Ltd., a private real estate investment company in</w:t>
      </w:r>
      <w:r>
        <w:rPr>
          <w:rFonts w:ascii="Arial" w:cs="Arial" w:eastAsia="Arial" w:hAnsi="Arial"/>
          <w:sz w:val="18"/>
          <w:szCs w:val="18"/>
          <w:i w:val="1"/>
          <w:iCs w:val="1"/>
          <w:color w:val="auto"/>
        </w:rPr>
        <w:t xml:space="preserve"> </w:t>
      </w:r>
      <w:r>
        <w:rPr>
          <w:rFonts w:ascii="Arial" w:cs="Arial" w:eastAsia="Arial" w:hAnsi="Arial"/>
          <w:sz w:val="18"/>
          <w:szCs w:val="18"/>
          <w:color w:val="auto"/>
        </w:rPr>
        <w:t>China, since 1993. Mr. Feng has a Juris Doctor from the Chinese Academy of Social Sciences, a Masters of Law degree from the Party School of the Chinese Communist Party and a Bachelor of Arts in Economics from Northwest University.</w:t>
      </w:r>
    </w:p>
    <w:p>
      <w:pPr>
        <w:spacing w:after="0" w:line="189" w:lineRule="exact"/>
        <w:rPr>
          <w:sz w:val="20"/>
          <w:szCs w:val="20"/>
          <w:color w:val="auto"/>
        </w:rPr>
      </w:pPr>
    </w:p>
    <w:p>
      <w:pPr>
        <w:ind w:right="20" w:firstLine="433"/>
        <w:spacing w:after="0" w:line="304" w:lineRule="auto"/>
        <w:rPr>
          <w:sz w:val="20"/>
          <w:szCs w:val="20"/>
          <w:color w:val="auto"/>
        </w:rPr>
      </w:pPr>
      <w:r>
        <w:rPr>
          <w:rFonts w:ascii="Arial" w:cs="Arial" w:eastAsia="Arial" w:hAnsi="Arial"/>
          <w:sz w:val="15"/>
          <w:szCs w:val="15"/>
          <w:i w:val="1"/>
          <w:iCs w:val="1"/>
          <w:color w:val="auto"/>
        </w:rPr>
        <w:t xml:space="preserve">Michael Leung </w:t>
      </w:r>
      <w:r>
        <w:rPr>
          <w:rFonts w:ascii="Arial" w:cs="Arial" w:eastAsia="Arial" w:hAnsi="Arial"/>
          <w:sz w:val="15"/>
          <w:szCs w:val="15"/>
          <w:color w:val="auto"/>
        </w:rPr>
        <w:t>has served as a director since July 2002. Mr. Leung held senior positions with Peregrine Capital (China) Limited, SG Securities (HK)</w:t>
      </w:r>
      <w:r>
        <w:rPr>
          <w:rFonts w:ascii="Arial" w:cs="Arial" w:eastAsia="Arial" w:hAnsi="Arial"/>
          <w:sz w:val="15"/>
          <w:szCs w:val="15"/>
          <w:i w:val="1"/>
          <w:iCs w:val="1"/>
          <w:color w:val="auto"/>
        </w:rPr>
        <w:t xml:space="preserve"> </w:t>
      </w:r>
      <w:r>
        <w:rPr>
          <w:rFonts w:ascii="Arial" w:cs="Arial" w:eastAsia="Arial" w:hAnsi="Arial"/>
          <w:sz w:val="15"/>
          <w:szCs w:val="15"/>
          <w:color w:val="auto"/>
        </w:rPr>
        <w:t>Limited (previously known as Crosby Securities (Hong Kong) Limited), Swiss Bank Corporation, Hong Kong Branch, and Optima Capital Limited (previously known as Ke Capital (Hong Kong) Limited) where he provided financial advisory services. Mr. Leung was also a director at Emerging Markets Partnership (Hong Kong) Limited, which was the principal advisor to the AIG Asian Infrastructure Fund L.P, and an independent non-executive director of Anhui Expressway Company Limited, a company listed on the Stock Exchange of Hong Kong Limited. Mr. Leung serves as an independent non-executive director for China Ting Group Holdings Limited, Junefield Department Store Group Limited, Orange Sky Golden Harvest Entertainment (Holdings) Limited and China Huiyuan Juice Group Limited and as an executive director of Chanceton Financial Group Limited, all of which are companies listed on the Stock Exchange of Hong Kong Limited. Mr. Leung is also the responsible officer of Chanceton Capital Partners Limited, which provides advice on corporate finance. Mr. Leung received a Bachelor’s Degree in Social Sciences from the University of Hong Kong with a major in accounting, management and statistics.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7011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firstLine="433"/>
        <w:spacing w:after="0" w:line="267" w:lineRule="auto"/>
        <w:rPr>
          <w:sz w:val="20"/>
          <w:szCs w:val="20"/>
          <w:color w:val="auto"/>
        </w:rPr>
      </w:pPr>
      <w:r>
        <w:rPr>
          <w:rFonts w:ascii="Arial" w:cs="Arial" w:eastAsia="Arial" w:hAnsi="Arial"/>
          <w:sz w:val="17"/>
          <w:szCs w:val="17"/>
          <w:i w:val="1"/>
          <w:iCs w:val="1"/>
          <w:color w:val="auto"/>
        </w:rPr>
        <w:t xml:space="preserve">Michael Tong </w:t>
      </w:r>
      <w:r>
        <w:rPr>
          <w:rFonts w:ascii="Arial" w:cs="Arial" w:eastAsia="Arial" w:hAnsi="Arial"/>
          <w:sz w:val="17"/>
          <w:szCs w:val="17"/>
          <w:color w:val="auto"/>
        </w:rPr>
        <w:t>has served as a director of our company since December 1999. He joined our company as an executive in May 2003 and later served as our</w:t>
      </w:r>
      <w:r>
        <w:rPr>
          <w:rFonts w:ascii="Arial" w:cs="Arial" w:eastAsia="Arial" w:hAnsi="Arial"/>
          <w:sz w:val="17"/>
          <w:szCs w:val="17"/>
          <w:i w:val="1"/>
          <w:iCs w:val="1"/>
          <w:color w:val="auto"/>
        </w:rPr>
        <w:t xml:space="preserve"> </w:t>
      </w:r>
      <w:r>
        <w:rPr>
          <w:rFonts w:ascii="Arial" w:cs="Arial" w:eastAsia="Arial" w:hAnsi="Arial"/>
          <w:sz w:val="17"/>
          <w:szCs w:val="17"/>
          <w:color w:val="auto"/>
        </w:rPr>
        <w:t>Co-Chief Operating Officer from July 2004 to March 2009. Before joining our company as an executive, Mr. Tong had approximately seven years of experience in the investment industry working in several venture capital and private equity firms, including techpacific.com Venture Capital Limited, Softbank China Venture Investments Limited and Nomura China Venture Investment Limited. Mr. Tong also served as a director for Qunar.com, a Chinese travel website, from October 2007 to June 2011. Mr. Tong graduated with a Bachelor of Business Administration from the University of Wisconsin, Madison with a major in Accounting and an extra concentration in Computer Science in 1993.</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i w:val="1"/>
          <w:iCs w:val="1"/>
          <w:u w:val="single" w:color="auto"/>
          <w:color w:val="auto"/>
        </w:rPr>
        <w:t>Other Current Executive Officer (not subject to proposal 1)</w:t>
      </w:r>
    </w:p>
    <w:p>
      <w:pPr>
        <w:spacing w:after="0" w:line="217" w:lineRule="exact"/>
        <w:rPr>
          <w:sz w:val="20"/>
          <w:szCs w:val="20"/>
          <w:color w:val="auto"/>
        </w:rPr>
      </w:pPr>
    </w:p>
    <w:p>
      <w:pPr>
        <w:ind w:firstLine="433"/>
        <w:spacing w:after="0" w:line="265" w:lineRule="auto"/>
        <w:rPr>
          <w:sz w:val="20"/>
          <w:szCs w:val="20"/>
          <w:color w:val="auto"/>
        </w:rPr>
      </w:pPr>
      <w:r>
        <w:rPr>
          <w:rFonts w:ascii="Arial" w:cs="Arial" w:eastAsia="Arial" w:hAnsi="Arial"/>
          <w:sz w:val="17"/>
          <w:szCs w:val="17"/>
          <w:i w:val="1"/>
          <w:iCs w:val="1"/>
          <w:color w:val="auto"/>
        </w:rPr>
        <w:t xml:space="preserve">Onward Choi </w:t>
      </w:r>
      <w:r>
        <w:rPr>
          <w:rFonts w:ascii="Arial" w:cs="Arial" w:eastAsia="Arial" w:hAnsi="Arial"/>
          <w:sz w:val="17"/>
          <w:szCs w:val="17"/>
          <w:color w:val="auto"/>
        </w:rPr>
        <w:t>has served as our Acting Chief Financial Officer since July 2007. Mr. Choi previously served as our Financial Controller from January 2005</w:t>
      </w:r>
      <w:r>
        <w:rPr>
          <w:rFonts w:ascii="Arial" w:cs="Arial" w:eastAsia="Arial" w:hAnsi="Arial"/>
          <w:sz w:val="17"/>
          <w:szCs w:val="17"/>
          <w:i w:val="1"/>
          <w:iCs w:val="1"/>
          <w:color w:val="auto"/>
        </w:rPr>
        <w:t xml:space="preserve"> </w:t>
      </w:r>
      <w:r>
        <w:rPr>
          <w:rFonts w:ascii="Arial" w:cs="Arial" w:eastAsia="Arial" w:hAnsi="Arial"/>
          <w:sz w:val="17"/>
          <w:szCs w:val="17"/>
          <w:color w:val="auto"/>
        </w:rPr>
        <w:t>to June 2007 and as our Corporate Finance Director from November 2003 to December 2004. Prior to joining our company, Mr. Choi worked in the Beijing office of Ernst &amp; Young, the Hong Kong Trade Development Council and the Hong Kong office of KPMG for over ten years. Mr. Choi currently serves as the chairman of the audit committee and the independent non-executive director for Beijing Jingkelong Company Limited and China ITS (Holdings) Co., Ltd., which are listed on the Stock Exchange of Hong Kong Limited. Mr. Choi is a member of the Institute of Chartered Accountants in England and Wales, a fellow member of the Association of Chartered Certified Accountants, a fellow member of the CPA Australia, a fellow member of the Hong Kong Institute of Certified Public Accountants and a registered practicing Certified Public Accountant in Hong Kong. Mr. Choi holds a Bachelor of Arts degree in accountancy with honors from the Hong Kong Polytechnic University.</w:t>
      </w:r>
    </w:p>
    <w:p>
      <w:pPr>
        <w:spacing w:after="0" w:line="183" w:lineRule="exact"/>
        <w:rPr>
          <w:sz w:val="20"/>
          <w:szCs w:val="20"/>
          <w:color w:val="auto"/>
        </w:rPr>
      </w:pPr>
    </w:p>
    <w:p>
      <w:pPr>
        <w:ind w:right="760" w:firstLine="433"/>
        <w:spacing w:after="0" w:line="294" w:lineRule="auto"/>
        <w:rPr>
          <w:sz w:val="20"/>
          <w:szCs w:val="20"/>
          <w:color w:val="auto"/>
        </w:rPr>
      </w:pPr>
      <w:r>
        <w:rPr>
          <w:rFonts w:ascii="Arial" w:cs="Arial" w:eastAsia="Arial" w:hAnsi="Arial"/>
          <w:sz w:val="17"/>
          <w:szCs w:val="17"/>
          <w:color w:val="auto"/>
        </w:rPr>
        <w:t>The directors will be elected by a majority of the votes present in person or represented by proxy and entitled to vote. In electing directors, each shareholder may cast one vote per share owned for each director to be elected; shareholders cannot use cumulative voting.</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THE BOARD OF DIRECTORS RECOMMENDS A VOTE </w:t>
      </w:r>
      <w:r>
        <w:rPr>
          <w:rFonts w:ascii="Arial" w:cs="Arial" w:eastAsia="Arial" w:hAnsi="Arial"/>
          <w:sz w:val="18"/>
          <w:szCs w:val="18"/>
          <w:b w:val="1"/>
          <w:bCs w:val="1"/>
          <w:i w:val="1"/>
          <w:iCs w:val="1"/>
          <w:color w:val="auto"/>
        </w:rPr>
        <w:t>FOR</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ELECTION OF EACH OF THE NOMINEES NAMED ABOVE.</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7011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2</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RATIFICATION OF INDEPENDENT AUDITORS</w:t>
      </w:r>
    </w:p>
    <w:p>
      <w:pPr>
        <w:spacing w:after="0" w:line="223" w:lineRule="exact"/>
        <w:rPr>
          <w:sz w:val="20"/>
          <w:szCs w:val="20"/>
          <w:color w:val="auto"/>
        </w:rPr>
      </w:pPr>
    </w:p>
    <w:p>
      <w:pPr>
        <w:jc w:val="both"/>
        <w:ind w:right="620" w:firstLine="433"/>
        <w:spacing w:after="0" w:line="255" w:lineRule="auto"/>
        <w:rPr>
          <w:sz w:val="20"/>
          <w:szCs w:val="20"/>
          <w:color w:val="auto"/>
        </w:rPr>
      </w:pPr>
      <w:r>
        <w:rPr>
          <w:rFonts w:ascii="Arial" w:cs="Arial" w:eastAsia="Arial" w:hAnsi="Arial"/>
          <w:sz w:val="18"/>
          <w:szCs w:val="18"/>
          <w:color w:val="auto"/>
        </w:rPr>
        <w:t>Our audit committee recommends, and our board concurs, that PricewaterhouseCoopers Zhong Tian CPAs Limited Company be appointed as our independent auditors for the year ending December 31, 2013. Our board of directors first appointed PricewaterhouseCoopers Zhong Tian CPAs Limited Company as our independent auditors in July 2002.</w:t>
      </w:r>
    </w:p>
    <w:p>
      <w:pPr>
        <w:spacing w:after="0" w:line="189" w:lineRule="exact"/>
        <w:rPr>
          <w:sz w:val="20"/>
          <w:szCs w:val="20"/>
          <w:color w:val="auto"/>
        </w:rPr>
      </w:pPr>
    </w:p>
    <w:p>
      <w:pPr>
        <w:ind w:right="220" w:firstLine="433"/>
        <w:spacing w:after="0" w:line="255" w:lineRule="auto"/>
        <w:rPr>
          <w:sz w:val="20"/>
          <w:szCs w:val="20"/>
          <w:color w:val="auto"/>
        </w:rPr>
      </w:pPr>
      <w:r>
        <w:rPr>
          <w:rFonts w:ascii="Arial" w:cs="Arial" w:eastAsia="Arial" w:hAnsi="Arial"/>
          <w:sz w:val="18"/>
          <w:szCs w:val="18"/>
          <w:color w:val="auto"/>
        </w:rPr>
        <w:t>In the event our shareholders fail to ratify the appointment, our audit committee will reconsider its selection. Even if the selection is ratified, our audit committee in its discretion may direct the appointment of a different independent auditing firm at any time during the year if the audit committee believes that such a change would be in the best interests of our company and shareholders.</w:t>
      </w:r>
    </w:p>
    <w:p>
      <w:pPr>
        <w:spacing w:after="0" w:line="189" w:lineRule="exact"/>
        <w:rPr>
          <w:sz w:val="20"/>
          <w:szCs w:val="20"/>
          <w:color w:val="auto"/>
        </w:rPr>
      </w:pPr>
    </w:p>
    <w:p>
      <w:pPr>
        <w:ind w:right="260" w:firstLine="433"/>
        <w:spacing w:after="0" w:line="294" w:lineRule="auto"/>
        <w:rPr>
          <w:sz w:val="20"/>
          <w:szCs w:val="20"/>
          <w:color w:val="auto"/>
        </w:rPr>
      </w:pPr>
      <w:r>
        <w:rPr>
          <w:rFonts w:ascii="Arial" w:cs="Arial" w:eastAsia="Arial" w:hAnsi="Arial"/>
          <w:sz w:val="17"/>
          <w:szCs w:val="17"/>
          <w:color w:val="auto"/>
        </w:rPr>
        <w:t>A representative of PricewaterhouseCoopers Zhong Tian CPAs Limited Company is expected to be present at the annual general meeting, will have the opportunity to make a statement if he or she desires to do so, and will be available to respond to appropriate questions.</w:t>
      </w:r>
    </w:p>
    <w:p>
      <w:pPr>
        <w:spacing w:after="0" w:line="158" w:lineRule="exact"/>
        <w:rPr>
          <w:sz w:val="20"/>
          <w:szCs w:val="20"/>
          <w:color w:val="auto"/>
        </w:rPr>
      </w:pPr>
    </w:p>
    <w:p>
      <w:pPr>
        <w:ind w:right="180" w:firstLine="433"/>
        <w:spacing w:after="0" w:line="265" w:lineRule="auto"/>
        <w:rPr>
          <w:sz w:val="20"/>
          <w:szCs w:val="20"/>
          <w:color w:val="auto"/>
        </w:rPr>
      </w:pPr>
      <w:r>
        <w:rPr>
          <w:rFonts w:ascii="Arial" w:cs="Arial" w:eastAsia="Arial" w:hAnsi="Arial"/>
          <w:sz w:val="18"/>
          <w:szCs w:val="18"/>
          <w:color w:val="auto"/>
        </w:rPr>
        <w:t>The affirmative vote of the holders of a majority of the shares present in person or represented by proxy and voting at the annual general meeting will be required to approve this proposal 2.</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THE BOARD AND THE AUDIT COMMITTEE RECOMMEND A VOTE </w:t>
      </w:r>
      <w:r>
        <w:rPr>
          <w:rFonts w:ascii="Arial" w:cs="Arial" w:eastAsia="Arial" w:hAnsi="Arial"/>
          <w:sz w:val="18"/>
          <w:szCs w:val="18"/>
          <w:b w:val="1"/>
          <w:bCs w:val="1"/>
          <w:i w:val="1"/>
          <w:iCs w:val="1"/>
          <w:color w:val="auto"/>
        </w:rPr>
        <w:t>FOR</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RATIFICATION OF THE APPOINTMENT OF</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PRICEWATERHOUSECOOPERS ZHONG TIAN CPAS LIMITED COMPANY</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OUR INDEPENDENT AUDITORS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ENDING DECEMBER 31, 2013.</w:t>
      </w:r>
    </w:p>
    <w:p>
      <w:pPr>
        <w:sectPr>
          <w:pgSz w:w="11900" w:h="16838" w:orient="portrait"/>
          <w:cols w:equalWidth="0" w:num="1">
            <w:col w:w="11400"/>
          </w:cols>
          <w:pgMar w:left="240" w:top="127" w:right="259" w:bottom="0" w:gutter="0" w:footer="0" w:header="0"/>
        </w:sect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00"/>
          </w:cols>
          <w:pgMar w:left="240" w:top="127" w:right="259" w:bottom="0" w:gutter="0" w:footer="0" w:header="0"/>
          <w:type w:val="continuous"/>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27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7270115" cy="27305"/>
                    </a:xfrm>
                    <a:prstGeom prst="rect">
                      <a:avLst/>
                    </a:prstGeom>
                    <a:noFill/>
                  </pic:spPr>
                </pic:pic>
              </a:graphicData>
            </a:graphic>
          </wp:anchor>
        </w:drawing>
        <w:t>AUDIT COMMITTEE PRE-APPROVAL POLICIES AND PROCEDURES</w:t>
      </w:r>
    </w:p>
    <w:p>
      <w:pPr>
        <w:spacing w:after="0" w:line="223" w:lineRule="exact"/>
        <w:rPr>
          <w:sz w:val="20"/>
          <w:szCs w:val="20"/>
          <w:color w:val="auto"/>
        </w:rPr>
      </w:pPr>
    </w:p>
    <w:p>
      <w:pPr>
        <w:ind w:right="360" w:firstLine="433"/>
        <w:spacing w:after="0" w:line="255" w:lineRule="auto"/>
        <w:rPr>
          <w:sz w:val="20"/>
          <w:szCs w:val="20"/>
          <w:color w:val="auto"/>
        </w:rPr>
      </w:pPr>
      <w:r>
        <w:rPr>
          <w:rFonts w:ascii="Arial" w:cs="Arial" w:eastAsia="Arial" w:hAnsi="Arial"/>
          <w:sz w:val="18"/>
          <w:szCs w:val="18"/>
          <w:color w:val="auto"/>
        </w:rPr>
        <w:t>Our audit committee has adopted procedures which set forth the manner in which the audit committee will review and approve all audit and non-audit services to be provided by PricewaterhouseCoopers Zhong Tian CPAs Limited Company before that firm is retained for such services. The pre-approval procedures are as follows:</w:t>
      </w:r>
    </w:p>
    <w:p>
      <w:pPr>
        <w:spacing w:after="0" w:line="189" w:lineRule="exact"/>
        <w:rPr>
          <w:sz w:val="20"/>
          <w:szCs w:val="20"/>
          <w:color w:val="auto"/>
        </w:rPr>
      </w:pPr>
    </w:p>
    <w:p>
      <w:pPr>
        <w:ind w:left="640" w:right="240" w:hanging="316"/>
        <w:spacing w:after="0" w:line="265" w:lineRule="auto"/>
        <w:tabs>
          <w:tab w:leader="none" w:pos="605"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audit or non-audit service to be provided to us by the independent accountant must be submitted to the audit committee for review and approval, with a description of the services to be performed and the fees to be charged.</w:t>
      </w:r>
    </w:p>
    <w:p>
      <w:pPr>
        <w:spacing w:after="0" w:line="179" w:lineRule="exact"/>
        <w:rPr>
          <w:rFonts w:ascii="Arial" w:cs="Arial" w:eastAsia="Arial" w:hAnsi="Arial"/>
          <w:sz w:val="18"/>
          <w:szCs w:val="18"/>
          <w:color w:val="auto"/>
        </w:rPr>
      </w:pPr>
    </w:p>
    <w:p>
      <w:pPr>
        <w:ind w:left="640" w:right="520" w:hanging="316"/>
        <w:spacing w:after="0" w:line="265" w:lineRule="auto"/>
        <w:tabs>
          <w:tab w:leader="none" w:pos="60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audit committee in its sole discretion then approves or disapproves the proposed services and documents such approval, if given, through the execution of an engagement letter for the services by a member of the audit committee.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SHAREHOLDER COMMUNICATIONS WITH</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BOARD OF DIRECTORS</w:t>
      </w:r>
    </w:p>
    <w:p>
      <w:pPr>
        <w:spacing w:after="0" w:line="206" w:lineRule="exact"/>
        <w:rPr>
          <w:sz w:val="20"/>
          <w:szCs w:val="20"/>
          <w:color w:val="auto"/>
        </w:rPr>
      </w:pPr>
    </w:p>
    <w:p>
      <w:pPr>
        <w:ind w:right="20" w:firstLine="433"/>
        <w:spacing w:after="0" w:line="265" w:lineRule="auto"/>
        <w:rPr>
          <w:sz w:val="20"/>
          <w:szCs w:val="20"/>
          <w:color w:val="auto"/>
        </w:rPr>
      </w:pPr>
      <w:r>
        <w:rPr>
          <w:rFonts w:ascii="Arial" w:cs="Arial" w:eastAsia="Arial" w:hAnsi="Arial"/>
          <w:sz w:val="18"/>
          <w:szCs w:val="18"/>
          <w:color w:val="auto"/>
        </w:rPr>
        <w:t>The following procedures have been established by our board of directors in order to facilitate communications between our shareholders and our board of directors:</w:t>
      </w:r>
    </w:p>
    <w:p>
      <w:pPr>
        <w:spacing w:after="0" w:line="179" w:lineRule="exact"/>
        <w:rPr>
          <w:sz w:val="20"/>
          <w:szCs w:val="20"/>
          <w:color w:val="auto"/>
        </w:rPr>
      </w:pPr>
    </w:p>
    <w:p>
      <w:pPr>
        <w:ind w:left="640" w:right="60" w:hanging="316"/>
        <w:spacing w:after="0" w:line="255" w:lineRule="auto"/>
        <w:tabs>
          <w:tab w:leader="none" w:pos="641"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Shareholders may send correspondence, which should indicate that the sender is a shareholder, to our board of directors or to any individual director by mail to NetEase, Inc., 26/F, SP Tower D, Tsinghua Science Park Building 8, No. 1 Zhongguancun East Road, Haidian District, Beijing, People’s Republic of China 100084, Attention: Acting Chief Financial Officer.</w:t>
      </w:r>
    </w:p>
    <w:p>
      <w:pPr>
        <w:spacing w:after="0" w:line="188" w:lineRule="exact"/>
        <w:rPr>
          <w:rFonts w:ascii="Arial" w:cs="Arial" w:eastAsia="Arial" w:hAnsi="Arial"/>
          <w:sz w:val="18"/>
          <w:szCs w:val="18"/>
          <w:color w:val="auto"/>
        </w:rPr>
      </w:pPr>
    </w:p>
    <w:p>
      <w:pPr>
        <w:jc w:val="both"/>
        <w:ind w:left="640" w:right="180" w:hanging="316"/>
        <w:spacing w:after="0" w:line="255" w:lineRule="auto"/>
        <w:tabs>
          <w:tab w:leader="none" w:pos="641"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Acting Chief Financial Officer will be responsible for the first review and logging of this correspondence and will forward the communication to the director or directors to whom it is addressed unless it is a type of correspondence which our board has identified as correspondence which may be retained in our files and not sent to directors.</w:t>
      </w:r>
    </w:p>
    <w:p>
      <w:pPr>
        <w:spacing w:after="0" w:line="188" w:lineRule="exact"/>
        <w:rPr>
          <w:rFonts w:ascii="Arial" w:cs="Arial" w:eastAsia="Arial" w:hAnsi="Arial"/>
          <w:sz w:val="18"/>
          <w:szCs w:val="18"/>
          <w:color w:val="auto"/>
        </w:rPr>
      </w:pPr>
    </w:p>
    <w:p>
      <w:pPr>
        <w:ind w:left="640"/>
        <w:spacing w:after="0" w:line="250" w:lineRule="auto"/>
        <w:rPr>
          <w:rFonts w:ascii="Arial" w:cs="Arial" w:eastAsia="Arial" w:hAnsi="Arial"/>
          <w:sz w:val="18"/>
          <w:szCs w:val="18"/>
          <w:color w:val="auto"/>
        </w:rPr>
      </w:pPr>
      <w:r>
        <w:rPr>
          <w:rFonts w:ascii="Arial" w:cs="Arial" w:eastAsia="Arial" w:hAnsi="Arial"/>
          <w:sz w:val="18"/>
          <w:szCs w:val="18"/>
          <w:color w:val="auto"/>
        </w:rPr>
        <w:t>Our board of directors has authorized the Acting Chief Financial Officer to retain and not send to directors communications that: (a) are advertising or promotional in nature (offering goods or services), (b) solely relate to complaints by clients with respect to ordinary course of business customer service and satisfaction issues, or (c) clearly are unrelated to our business, industry, management or board or committee matters. These types of communications will be logged and filed but not circulated to directors. Except as set forth in the preceding sentence, the Acting Chief Financial Officer will not screen communications sent to directors.</w:t>
      </w:r>
    </w:p>
    <w:p>
      <w:pPr>
        <w:spacing w:after="0" w:line="194" w:lineRule="exact"/>
        <w:rPr>
          <w:rFonts w:ascii="Arial" w:cs="Arial" w:eastAsia="Arial" w:hAnsi="Arial"/>
          <w:sz w:val="18"/>
          <w:szCs w:val="18"/>
          <w:color w:val="auto"/>
        </w:rPr>
      </w:pPr>
    </w:p>
    <w:p>
      <w:pPr>
        <w:ind w:left="640" w:right="140" w:hanging="316"/>
        <w:spacing w:after="0" w:line="255" w:lineRule="auto"/>
        <w:tabs>
          <w:tab w:leader="none" w:pos="641"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log of shareholder correspondence will be available to members of our board for inspection. At least once each year, the Acting Chief Financial Officer will provide to our board a summary of the communications received from shareholders, including the communications not sent to directors in accordance with screening procedures approved by our board.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7011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ACCESS TO CORPORATE GOVERNANCE POLICIES</w:t>
      </w:r>
    </w:p>
    <w:p>
      <w:pPr>
        <w:spacing w:after="0" w:line="223" w:lineRule="exact"/>
        <w:rPr>
          <w:sz w:val="20"/>
          <w:szCs w:val="20"/>
          <w:color w:val="auto"/>
        </w:rPr>
      </w:pPr>
    </w:p>
    <w:p>
      <w:pPr>
        <w:ind w:right="860" w:firstLine="433"/>
        <w:spacing w:after="0" w:line="294" w:lineRule="auto"/>
        <w:rPr>
          <w:sz w:val="20"/>
          <w:szCs w:val="20"/>
          <w:color w:val="auto"/>
        </w:rPr>
      </w:pPr>
      <w:r>
        <w:rPr>
          <w:rFonts w:ascii="Arial" w:cs="Arial" w:eastAsia="Arial" w:hAnsi="Arial"/>
          <w:sz w:val="17"/>
          <w:szCs w:val="17"/>
          <w:color w:val="auto"/>
        </w:rPr>
        <w:t>We adopted a Code of Business Conduct which is available on our company’s website http://ir.netease.com. To the extent required by law, any amendments to, or waivers from, any provision of the Code of Business Conduct will be promptly disclosed to the public.</w:t>
      </w:r>
    </w:p>
    <w:p>
      <w:pPr>
        <w:spacing w:after="0" w:line="158" w:lineRule="exact"/>
        <w:rPr>
          <w:sz w:val="20"/>
          <w:szCs w:val="20"/>
          <w:color w:val="auto"/>
        </w:rPr>
      </w:pPr>
    </w:p>
    <w:p>
      <w:pPr>
        <w:ind w:right="120" w:firstLine="433"/>
        <w:spacing w:after="0" w:line="255" w:lineRule="auto"/>
        <w:rPr>
          <w:sz w:val="20"/>
          <w:szCs w:val="20"/>
          <w:color w:val="auto"/>
        </w:rPr>
      </w:pPr>
      <w:r>
        <w:rPr>
          <w:rFonts w:ascii="Arial" w:cs="Arial" w:eastAsia="Arial" w:hAnsi="Arial"/>
          <w:sz w:val="18"/>
          <w:szCs w:val="18"/>
          <w:color w:val="auto"/>
        </w:rPr>
        <w:t>Copies of our company’s committee charters and Code of Business Conduct will be provided to any shareholder upon written request to the Acting Chief Financial Officer of NetEase, Inc., 26/F, SP Tower D, Tsinghua Science Park Building 8, No. 1 Zhongguancun East Road, Haidian District, Beijing, People’s Republic of China 100084.</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REPORT TO SHAREHOLDERS</w:t>
      </w:r>
    </w:p>
    <w:p>
      <w:pPr>
        <w:spacing w:after="0" w:line="223" w:lineRule="exact"/>
        <w:rPr>
          <w:sz w:val="20"/>
          <w:szCs w:val="20"/>
          <w:color w:val="auto"/>
        </w:rPr>
      </w:pPr>
    </w:p>
    <w:p>
      <w:pPr>
        <w:ind w:right="220" w:firstLine="433"/>
        <w:spacing w:after="0" w:line="250" w:lineRule="auto"/>
        <w:rPr>
          <w:sz w:val="20"/>
          <w:szCs w:val="20"/>
          <w:color w:val="auto"/>
        </w:rPr>
      </w:pPr>
      <w:r>
        <w:rPr>
          <w:rFonts w:ascii="Arial" w:cs="Arial" w:eastAsia="Arial" w:hAnsi="Arial"/>
          <w:sz w:val="18"/>
          <w:szCs w:val="18"/>
          <w:color w:val="auto"/>
        </w:rPr>
        <w:t>Pursuant to NASDAQ’s Marketplace Rules which permit companies to make available their annual report to shareholders on or through the company’s website, we post our annual reports on our website. Our annual reports are also filed with the U.S. Securities and Exchange Commission. You may obtain a copy of our 2012 annual report by visiting our website http://ir.netease.com. If you want to receive a paper or email copy of our 2012 annual report, you must request one. There is no charge to you for requesting a copy. Please make your request for a copy to Cassia Curran of NetEase, Inc., at cassia@corp.netease.com.</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7011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223" w:lineRule="exact"/>
        <w:rPr>
          <w:sz w:val="20"/>
          <w:szCs w:val="20"/>
          <w:color w:val="auto"/>
        </w:rPr>
      </w:pPr>
    </w:p>
    <w:p>
      <w:pPr>
        <w:ind w:firstLine="433"/>
        <w:spacing w:after="0" w:line="366" w:lineRule="auto"/>
        <w:rPr>
          <w:sz w:val="20"/>
          <w:szCs w:val="20"/>
          <w:color w:val="auto"/>
        </w:rPr>
      </w:pPr>
      <w:r>
        <w:rPr>
          <w:rFonts w:ascii="Arial" w:cs="Arial" w:eastAsia="Arial" w:hAnsi="Arial"/>
          <w:sz w:val="15"/>
          <w:szCs w:val="15"/>
          <w:color w:val="auto"/>
        </w:rPr>
        <w:t>We know of no other matters to be submitted to the annual general meeting. If any other matters properly come before the annual general meeting, it is the intention of the persons named in the enclosed form of proxy to vote the shares they represent as the board of directors may recommend.</w:t>
      </w:r>
    </w:p>
    <w:p>
      <w:pPr>
        <w:spacing w:after="0" w:line="200" w:lineRule="exact"/>
        <w:rPr>
          <w:sz w:val="20"/>
          <w:szCs w:val="20"/>
          <w:color w:val="auto"/>
        </w:rPr>
      </w:pPr>
    </w:p>
    <w:p>
      <w:pPr>
        <w:spacing w:after="0" w:line="3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146050</wp:posOffset>
            </wp:positionV>
            <wp:extent cx="723900" cy="4629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723900" cy="462915"/>
                    </a:xfrm>
                    <a:prstGeom prst="rect">
                      <a:avLst/>
                    </a:prstGeom>
                    <a:noFill/>
                  </pic:spPr>
                </pic:pic>
              </a:graphicData>
            </a:graphic>
          </wp:anchor>
        </w:drawing>
      </w:r>
    </w:p>
    <w:p>
      <w:pPr>
        <w:sectPr>
          <w:pgSz w:w="11900" w:h="16838" w:orient="portrait"/>
          <w:cols w:equalWidth="0" w:num="1">
            <w:col w:w="11400"/>
          </w:cols>
          <w:pgMar w:left="240" w:top="718" w:right="259" w:bottom="784" w:gutter="0" w:footer="0" w:header="0"/>
        </w:sectPr>
      </w:pPr>
    </w:p>
    <w:bookmarkStart w:id="8" w:name="page9"/>
    <w:bookmarkEnd w:id="8"/>
    <w:p>
      <w:pPr>
        <w:ind w:left="5720"/>
        <w:spacing w:after="0"/>
        <w:rPr>
          <w:sz w:val="20"/>
          <w:szCs w:val="20"/>
          <w:color w:val="auto"/>
        </w:rPr>
      </w:pPr>
      <w:r>
        <w:rPr>
          <w:rFonts w:ascii="Arial" w:cs="Arial" w:eastAsia="Arial" w:hAnsi="Arial"/>
          <w:sz w:val="18"/>
          <w:szCs w:val="18"/>
          <w:color w:val="auto"/>
        </w:rPr>
        <w:t>William Lei Ding</w:t>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Member of the Board of Directors and Chief Executive Officer</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Dated: July 31, 2013</w:t>
      </w:r>
    </w:p>
    <w:p>
      <w:pPr>
        <w:spacing w:after="0" w:line="21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7011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ectPr>
          <w:pgSz w:w="11900" w:h="16838" w:orient="portrait"/>
          <w:cols w:equalWidth="0" w:num="1">
            <w:col w:w="10219"/>
          </w:cols>
          <w:pgMar w:left="240" w:top="127"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29"/>
        </w:trPr>
        <w:tc>
          <w:tcPr>
            <w:tcW w:w="10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060" w:type="dxa"/>
            <w:vAlign w:val="bottom"/>
          </w:tcPr>
          <w:p>
            <w:pPr>
              <w:ind w:left="1140"/>
              <w:spacing w:after="0"/>
              <w:rPr>
                <w:sz w:val="20"/>
                <w:szCs w:val="20"/>
                <w:color w:val="auto"/>
              </w:rPr>
            </w:pPr>
            <w:r>
              <w:rPr>
                <w:rFonts w:ascii="Arial" w:cs="Arial" w:eastAsia="Arial" w:hAnsi="Arial"/>
                <w:sz w:val="18"/>
                <w:szCs w:val="18"/>
                <w:b w:val="1"/>
                <w:bCs w:val="1"/>
                <w:color w:val="auto"/>
                <w:w w:val="89"/>
              </w:rPr>
              <w:t>Exhibit 99.3</w:t>
            </w:r>
          </w:p>
        </w:tc>
      </w:tr>
      <w:tr>
        <w:trPr>
          <w:trHeight w:val="407"/>
        </w:trPr>
        <w:tc>
          <w:tcPr>
            <w:tcW w:w="10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40" w:type="dxa"/>
            <w:vAlign w:val="bottom"/>
            <w:gridSpan w:val="3"/>
          </w:tcPr>
          <w:p>
            <w:pPr>
              <w:jc w:val="center"/>
              <w:ind w:right="560"/>
              <w:spacing w:after="0"/>
              <w:rPr>
                <w:sz w:val="20"/>
                <w:szCs w:val="20"/>
                <w:color w:val="auto"/>
              </w:rPr>
            </w:pPr>
            <w:r>
              <w:rPr>
                <w:rFonts w:ascii="Arial" w:cs="Arial" w:eastAsia="Arial" w:hAnsi="Arial"/>
                <w:sz w:val="18"/>
                <w:szCs w:val="18"/>
                <w:b w:val="1"/>
                <w:bCs w:val="1"/>
                <w:color w:val="auto"/>
                <w:w w:val="99"/>
              </w:rPr>
              <w:t>THIS PROXY IS SOLICITED ON BEHALF OF</w:t>
            </w:r>
          </w:p>
        </w:tc>
        <w:tc>
          <w:tcPr>
            <w:tcW w:w="2060" w:type="dxa"/>
            <w:vAlign w:val="bottom"/>
          </w:tcPr>
          <w:p>
            <w:pPr>
              <w:spacing w:after="0"/>
              <w:rPr>
                <w:sz w:val="24"/>
                <w:szCs w:val="24"/>
                <w:color w:val="auto"/>
              </w:rPr>
            </w:pPr>
          </w:p>
        </w:tc>
      </w:tr>
      <w:tr>
        <w:trPr>
          <w:trHeight w:val="212"/>
        </w:trPr>
        <w:tc>
          <w:tcPr>
            <w:tcW w:w="10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740" w:type="dxa"/>
            <w:vAlign w:val="bottom"/>
            <w:gridSpan w:val="3"/>
          </w:tcPr>
          <w:p>
            <w:pPr>
              <w:jc w:val="center"/>
              <w:ind w:right="560"/>
              <w:spacing w:after="0"/>
              <w:rPr>
                <w:sz w:val="20"/>
                <w:szCs w:val="20"/>
                <w:color w:val="auto"/>
              </w:rPr>
            </w:pPr>
            <w:r>
              <w:rPr>
                <w:rFonts w:ascii="Arial" w:cs="Arial" w:eastAsia="Arial" w:hAnsi="Arial"/>
                <w:sz w:val="18"/>
                <w:szCs w:val="18"/>
                <w:b w:val="1"/>
                <w:bCs w:val="1"/>
                <w:color w:val="auto"/>
                <w:w w:val="98"/>
              </w:rPr>
              <w:t>THE BOARD OF DIRECTORS OF NETEASE, INC.</w:t>
            </w:r>
          </w:p>
        </w:tc>
        <w:tc>
          <w:tcPr>
            <w:tcW w:w="2060" w:type="dxa"/>
            <w:vAlign w:val="bottom"/>
          </w:tcPr>
          <w:p>
            <w:pPr>
              <w:spacing w:after="0"/>
              <w:rPr>
                <w:sz w:val="18"/>
                <w:szCs w:val="18"/>
                <w:color w:val="auto"/>
              </w:rPr>
            </w:pPr>
          </w:p>
        </w:tc>
      </w:tr>
      <w:tr>
        <w:trPr>
          <w:trHeight w:val="212"/>
        </w:trPr>
        <w:tc>
          <w:tcPr>
            <w:tcW w:w="10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740" w:type="dxa"/>
            <w:vAlign w:val="bottom"/>
            <w:gridSpan w:val="3"/>
          </w:tcPr>
          <w:p>
            <w:pPr>
              <w:jc w:val="center"/>
              <w:ind w:right="560"/>
              <w:spacing w:after="0"/>
              <w:rPr>
                <w:sz w:val="20"/>
                <w:szCs w:val="20"/>
                <w:color w:val="auto"/>
              </w:rPr>
            </w:pPr>
            <w:r>
              <w:rPr>
                <w:rFonts w:ascii="Arial" w:cs="Arial" w:eastAsia="Arial" w:hAnsi="Arial"/>
                <w:sz w:val="18"/>
                <w:szCs w:val="18"/>
                <w:b w:val="1"/>
                <w:bCs w:val="1"/>
                <w:color w:val="auto"/>
                <w:w w:val="98"/>
              </w:rPr>
              <w:t>FOR THE 2013 ANNUAL GENERAL MEETING OF SHAREHOLDERS</w:t>
            </w:r>
          </w:p>
        </w:tc>
        <w:tc>
          <w:tcPr>
            <w:tcW w:w="2060" w:type="dxa"/>
            <w:vAlign w:val="bottom"/>
          </w:tcPr>
          <w:p>
            <w:pPr>
              <w:spacing w:after="0"/>
              <w:rPr>
                <w:sz w:val="18"/>
                <w:szCs w:val="18"/>
                <w:color w:val="auto"/>
              </w:rPr>
            </w:pPr>
          </w:p>
        </w:tc>
      </w:tr>
      <w:tr>
        <w:trPr>
          <w:trHeight w:val="229"/>
        </w:trPr>
        <w:tc>
          <w:tcPr>
            <w:tcW w:w="10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740" w:type="dxa"/>
            <w:vAlign w:val="bottom"/>
            <w:gridSpan w:val="3"/>
          </w:tcPr>
          <w:p>
            <w:pPr>
              <w:jc w:val="center"/>
              <w:ind w:right="560"/>
              <w:spacing w:after="0"/>
              <w:rPr>
                <w:sz w:val="20"/>
                <w:szCs w:val="20"/>
                <w:color w:val="auto"/>
              </w:rPr>
            </w:pPr>
            <w:r>
              <w:rPr>
                <w:rFonts w:ascii="Arial" w:cs="Arial" w:eastAsia="Arial" w:hAnsi="Arial"/>
                <w:sz w:val="18"/>
                <w:szCs w:val="18"/>
                <w:b w:val="1"/>
                <w:bCs w:val="1"/>
                <w:color w:val="auto"/>
                <w:w w:val="95"/>
              </w:rPr>
              <w:t>TO BE HELD ON SEPTEMBER 5, 2013</w:t>
            </w:r>
          </w:p>
        </w:tc>
        <w:tc>
          <w:tcPr>
            <w:tcW w:w="2060" w:type="dxa"/>
            <w:vAlign w:val="bottom"/>
          </w:tcPr>
          <w:p>
            <w:pPr>
              <w:spacing w:after="0"/>
              <w:rPr>
                <w:sz w:val="19"/>
                <w:szCs w:val="19"/>
                <w:color w:val="auto"/>
              </w:rPr>
            </w:pPr>
          </w:p>
        </w:tc>
      </w:tr>
      <w:tr>
        <w:trPr>
          <w:trHeight w:val="386"/>
        </w:trPr>
        <w:tc>
          <w:tcPr>
            <w:tcW w:w="2600" w:type="dxa"/>
            <w:vAlign w:val="bottom"/>
            <w:gridSpan w:val="3"/>
          </w:tcPr>
          <w:p>
            <w:pPr>
              <w:jc w:val="right"/>
              <w:spacing w:after="0"/>
              <w:rPr>
                <w:sz w:val="20"/>
                <w:szCs w:val="20"/>
                <w:color w:val="auto"/>
              </w:rPr>
            </w:pPr>
            <w:r>
              <w:rPr>
                <w:rFonts w:ascii="Arial" w:cs="Arial" w:eastAsia="Arial" w:hAnsi="Arial"/>
                <w:sz w:val="18"/>
                <w:szCs w:val="18"/>
                <w:color w:val="auto"/>
              </w:rPr>
              <w:t>The undersigned shareholder,</w:t>
            </w:r>
            <w:r>
              <w:rPr>
                <w:rFonts w:ascii="Arial" w:cs="Arial" w:eastAsia="Arial" w:hAnsi="Arial"/>
                <w:sz w:val="22"/>
                <w:szCs w:val="22"/>
                <w:color w:val="auto"/>
                <w:vertAlign w:val="superscript"/>
              </w:rPr>
              <w:t>1</w:t>
            </w:r>
          </w:p>
        </w:tc>
        <w:tc>
          <w:tcPr>
            <w:tcW w:w="20" w:type="dxa"/>
            <w:vAlign w:val="bottom"/>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240" w:type="dxa"/>
            <w:vAlign w:val="bottom"/>
          </w:tcPr>
          <w:p>
            <w:pPr>
              <w:ind w:left="40"/>
              <w:spacing w:after="0"/>
              <w:rPr>
                <w:sz w:val="20"/>
                <w:szCs w:val="20"/>
                <w:color w:val="auto"/>
              </w:rPr>
            </w:pPr>
            <w:r>
              <w:rPr>
                <w:rFonts w:ascii="Arial" w:cs="Arial" w:eastAsia="Arial" w:hAnsi="Arial"/>
                <w:sz w:val="18"/>
                <w:szCs w:val="18"/>
                <w:i w:val="1"/>
                <w:iCs w:val="1"/>
                <w:color w:val="auto"/>
                <w:w w:val="95"/>
              </w:rPr>
              <w:t xml:space="preserve">[insert name] </w:t>
            </w:r>
            <w:r>
              <w:rPr>
                <w:rFonts w:ascii="Arial" w:cs="Arial" w:eastAsia="Arial" w:hAnsi="Arial"/>
                <w:sz w:val="18"/>
                <w:szCs w:val="18"/>
                <w:color w:val="auto"/>
                <w:w w:val="95"/>
              </w:rPr>
              <w:t>of</w:t>
            </w:r>
          </w:p>
        </w:tc>
        <w:tc>
          <w:tcPr>
            <w:tcW w:w="3720" w:type="dxa"/>
            <w:vAlign w:val="bottom"/>
            <w:tcBorders>
              <w:bottom w:val="single" w:sz="8" w:color="auto"/>
            </w:tcBorders>
          </w:tcPr>
          <w:p>
            <w:pPr>
              <w:spacing w:after="0"/>
              <w:rPr>
                <w:sz w:val="24"/>
                <w:szCs w:val="24"/>
                <w:color w:val="auto"/>
              </w:rPr>
            </w:pPr>
          </w:p>
        </w:tc>
        <w:tc>
          <w:tcPr>
            <w:tcW w:w="2060" w:type="dxa"/>
            <w:vAlign w:val="bottom"/>
          </w:tcPr>
          <w:p>
            <w:pPr>
              <w:ind w:left="40"/>
              <w:spacing w:after="0"/>
              <w:rPr>
                <w:sz w:val="20"/>
                <w:szCs w:val="20"/>
                <w:color w:val="auto"/>
              </w:rPr>
            </w:pPr>
            <w:r>
              <w:rPr>
                <w:rFonts w:ascii="Arial" w:cs="Arial" w:eastAsia="Arial" w:hAnsi="Arial"/>
                <w:sz w:val="18"/>
                <w:szCs w:val="18"/>
                <w:i w:val="1"/>
                <w:iCs w:val="1"/>
                <w:color w:val="auto"/>
              </w:rPr>
              <w:t xml:space="preserve">[insert address], </w:t>
            </w:r>
            <w:r>
              <w:rPr>
                <w:rFonts w:ascii="Arial" w:cs="Arial" w:eastAsia="Arial" w:hAnsi="Arial"/>
                <w:sz w:val="18"/>
                <w:szCs w:val="18"/>
                <w:color w:val="auto"/>
              </w:rPr>
              <w:t>being a</w:t>
            </w:r>
          </w:p>
        </w:tc>
      </w:tr>
      <w:tr>
        <w:trPr>
          <w:trHeight w:val="192"/>
        </w:trPr>
        <w:tc>
          <w:tcPr>
            <w:tcW w:w="1060" w:type="dxa"/>
            <w:vAlign w:val="bottom"/>
          </w:tcPr>
          <w:p>
            <w:pPr>
              <w:spacing w:after="0" w:line="192" w:lineRule="exact"/>
              <w:rPr>
                <w:sz w:val="20"/>
                <w:szCs w:val="20"/>
                <w:color w:val="auto"/>
              </w:rPr>
            </w:pPr>
            <w:r>
              <w:rPr>
                <w:rFonts w:ascii="Arial" w:cs="Arial" w:eastAsia="Arial" w:hAnsi="Arial"/>
                <w:sz w:val="18"/>
                <w:szCs w:val="18"/>
                <w:color w:val="auto"/>
                <w:w w:val="90"/>
              </w:rPr>
              <w:t>shareholder of</w:t>
            </w:r>
          </w:p>
        </w:tc>
        <w:tc>
          <w:tcPr>
            <w:tcW w:w="1460" w:type="dxa"/>
            <w:vAlign w:val="bottom"/>
            <w:tcBorders>
              <w:bottom w:val="single" w:sz="8" w:color="auto"/>
            </w:tcBorders>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2</w:t>
            </w:r>
          </w:p>
        </w:tc>
        <w:tc>
          <w:tcPr>
            <w:tcW w:w="8820" w:type="dxa"/>
            <w:vAlign w:val="bottom"/>
            <w:gridSpan w:val="5"/>
          </w:tcPr>
          <w:p>
            <w:pPr>
              <w:ind w:left="20"/>
              <w:spacing w:after="0" w:line="192" w:lineRule="exact"/>
              <w:rPr>
                <w:sz w:val="20"/>
                <w:szCs w:val="20"/>
                <w:color w:val="auto"/>
              </w:rPr>
            </w:pPr>
            <w:r>
              <w:rPr>
                <w:rFonts w:ascii="Arial" w:cs="Arial" w:eastAsia="Arial" w:hAnsi="Arial"/>
                <w:sz w:val="18"/>
                <w:szCs w:val="18"/>
                <w:color w:val="auto"/>
                <w:w w:val="93"/>
              </w:rPr>
              <w:t>ordinary shares of NETEASE, INC., a Cayman Islands company (the “Company”), hereby acknowledges receipt of the</w:t>
            </w:r>
          </w:p>
        </w:tc>
      </w:tr>
    </w:tbl>
    <w:p>
      <w:pPr>
        <w:spacing w:after="0" w:line="14"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color w:val="auto"/>
        </w:rPr>
        <w:t>notice of 2013 Annual General Meeting of Shareholders and proxy statement (either through the Internet or paper or email copy), each dated July 31, 2013, and hereby appoints William Lei Ding and Onward Choi, or any one of them, proxies, with full power to each of substitution, on behalf and in the name of the undersigned, to represent the undersigned at the 2013 annual general meeting of shareholders of the Company to be held on September 5, 2013 at 10:00 a.m., Beijing time, at the Company’s offices located at 26/F, SP Tower D, Tsinghua Science Park Building 8, No. 1 Zhongguancun East Road, Haidian District, Beijing, People’s Republic of China 100084, and at any adjournment or adjournments thereof, and to vote all ordinary shares which the undersigned would be entitled to vote if then and there personally present, on the matters set forth below (i) as specified by the undersigned below and (ii) in the discretion of any proxy upon such other business as may properly come before the meeting, all as set forth in the notice of 2013 annual general meeting and proxy statement previously furnished to you either through the Internet or paper or email copy.</w:t>
      </w:r>
    </w:p>
    <w:p>
      <w:pPr>
        <w:spacing w:after="0" w:line="177" w:lineRule="exact"/>
        <w:rPr>
          <w:sz w:val="20"/>
          <w:szCs w:val="20"/>
          <w:color w:val="auto"/>
        </w:rPr>
      </w:pPr>
    </w:p>
    <w:p>
      <w:pPr>
        <w:ind w:right="360" w:firstLine="433"/>
        <w:spacing w:after="0" w:line="230" w:lineRule="auto"/>
        <w:rPr>
          <w:sz w:val="20"/>
          <w:szCs w:val="20"/>
          <w:color w:val="auto"/>
        </w:rPr>
      </w:pPr>
      <w:r>
        <w:rPr>
          <w:rFonts w:ascii="Arial" w:cs="Arial" w:eastAsia="Arial" w:hAnsi="Arial"/>
          <w:sz w:val="18"/>
          <w:szCs w:val="18"/>
          <w:b w:val="1"/>
          <w:bCs w:val="1"/>
          <w:color w:val="auto"/>
        </w:rPr>
        <w:t>This proxy when properly executed will be voted in the manner directed herein by the undersigned shareholder</w:t>
      </w:r>
      <w:r>
        <w:rPr>
          <w:rFonts w:ascii="Arial" w:cs="Arial" w:eastAsia="Arial" w:hAnsi="Arial"/>
          <w:sz w:val="22"/>
          <w:szCs w:val="22"/>
          <w:b w:val="1"/>
          <w:bCs w:val="1"/>
          <w:color w:val="auto"/>
          <w:vertAlign w:val="superscript"/>
        </w:rPr>
        <w:t>3</w:t>
      </w:r>
      <w:r>
        <w:rPr>
          <w:rFonts w:ascii="Arial" w:cs="Arial" w:eastAsia="Arial" w:hAnsi="Arial"/>
          <w:sz w:val="18"/>
          <w:szCs w:val="18"/>
          <w:b w:val="1"/>
          <w:bCs w:val="1"/>
          <w:color w:val="auto"/>
        </w:rPr>
        <w:t>. If no direction is made, this proxy will be voted FOR the following proposals:</w:t>
      </w:r>
    </w:p>
    <w:p>
      <w:pPr>
        <w:spacing w:after="0" w:line="202" w:lineRule="exact"/>
        <w:rPr>
          <w:sz w:val="20"/>
          <w:szCs w:val="20"/>
          <w:color w:val="auto"/>
        </w:rPr>
      </w:pPr>
    </w:p>
    <w:p>
      <w:pPr>
        <w:ind w:right="280" w:firstLine="433"/>
        <w:spacing w:after="0" w:line="265" w:lineRule="auto"/>
        <w:rPr>
          <w:sz w:val="20"/>
          <w:szCs w:val="20"/>
          <w:color w:val="auto"/>
        </w:rPr>
      </w:pPr>
      <w:r>
        <w:rPr>
          <w:rFonts w:ascii="Arial" w:cs="Arial" w:eastAsia="Arial" w:hAnsi="Arial"/>
          <w:sz w:val="18"/>
          <w:szCs w:val="18"/>
          <w:color w:val="auto"/>
        </w:rPr>
        <w:t>PROPOSAL NO. 1: Re-elect the following directors to serve for the ensuing year and until their successors are elected and duly qualified, or until such directors’ earlier death, bankruptcy, insanity, resignation or removal:</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860" w:type="dxa"/>
            <w:vAlign w:val="bottom"/>
          </w:tcPr>
          <w:p>
            <w:pPr>
              <w:spacing w:after="0"/>
              <w:rPr>
                <w:sz w:val="20"/>
                <w:szCs w:val="20"/>
                <w:color w:val="auto"/>
              </w:rPr>
            </w:pPr>
            <w:r>
              <w:rPr>
                <w:rFonts w:ascii="Arial" w:cs="Arial" w:eastAsia="Arial" w:hAnsi="Arial"/>
                <w:sz w:val="14"/>
                <w:szCs w:val="14"/>
                <w:b w:val="1"/>
                <w:bCs w:val="1"/>
                <w:color w:val="auto"/>
              </w:rPr>
              <w:t>PROPOSAL NO. 1</w:t>
            </w:r>
          </w:p>
        </w:tc>
        <w:tc>
          <w:tcPr>
            <w:tcW w:w="340" w:type="dxa"/>
            <w:vAlign w:val="bottom"/>
          </w:tcPr>
          <w:p>
            <w:pPr>
              <w:spacing w:after="0"/>
              <w:rPr>
                <w:sz w:val="14"/>
                <w:szCs w:val="14"/>
                <w:color w:val="auto"/>
              </w:rPr>
            </w:pPr>
          </w:p>
        </w:tc>
        <w:tc>
          <w:tcPr>
            <w:tcW w:w="2540" w:type="dxa"/>
            <w:vAlign w:val="bottom"/>
          </w:tcPr>
          <w:p>
            <w:pPr>
              <w:ind w:left="1060"/>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ind w:left="280"/>
              <w:spacing w:after="0"/>
              <w:rPr>
                <w:sz w:val="20"/>
                <w:szCs w:val="20"/>
                <w:color w:val="auto"/>
              </w:rPr>
            </w:pPr>
            <w:r>
              <w:rPr>
                <w:rFonts w:ascii="Arial" w:cs="Arial" w:eastAsia="Arial" w:hAnsi="Arial"/>
                <w:sz w:val="14"/>
                <w:szCs w:val="14"/>
                <w:b w:val="1"/>
                <w:bCs w:val="1"/>
                <w:color w:val="auto"/>
              </w:rPr>
              <w:t>FOR</w:t>
            </w:r>
          </w:p>
        </w:tc>
        <w:tc>
          <w:tcPr>
            <w:tcW w:w="100" w:type="dxa"/>
            <w:vAlign w:val="bottom"/>
          </w:tcPr>
          <w:p>
            <w:pPr>
              <w:spacing w:after="0"/>
              <w:rPr>
                <w:sz w:val="14"/>
                <w:szCs w:val="14"/>
                <w:color w:val="auto"/>
              </w:rPr>
            </w:pPr>
          </w:p>
        </w:tc>
        <w:tc>
          <w:tcPr>
            <w:tcW w:w="1700" w:type="dxa"/>
            <w:vAlign w:val="bottom"/>
          </w:tcPr>
          <w:p>
            <w:pPr>
              <w:jc w:val="right"/>
              <w:ind w:right="494"/>
              <w:spacing w:after="0"/>
              <w:rPr>
                <w:sz w:val="20"/>
                <w:szCs w:val="20"/>
                <w:color w:val="auto"/>
              </w:rPr>
            </w:pPr>
            <w:r>
              <w:rPr>
                <w:rFonts w:ascii="Arial" w:cs="Arial" w:eastAsia="Arial" w:hAnsi="Arial"/>
                <w:sz w:val="14"/>
                <w:szCs w:val="14"/>
                <w:b w:val="1"/>
                <w:bCs w:val="1"/>
                <w:color w:val="auto"/>
              </w:rPr>
              <w:t>AGAINST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jc w:val="right"/>
              <w:ind w:right="494"/>
              <w:spacing w:after="0"/>
              <w:rPr>
                <w:sz w:val="20"/>
                <w:szCs w:val="20"/>
                <w:color w:val="auto"/>
              </w:rPr>
            </w:pPr>
            <w:r>
              <w:rPr>
                <w:rFonts w:ascii="Arial" w:cs="Arial" w:eastAsia="Arial" w:hAnsi="Arial"/>
                <w:sz w:val="14"/>
                <w:szCs w:val="14"/>
                <w:b w:val="1"/>
                <w:bCs w:val="1"/>
                <w:color w:val="auto"/>
              </w:rPr>
              <w:t>ABSTAIN</w:t>
            </w:r>
          </w:p>
        </w:tc>
      </w:tr>
      <w:tr>
        <w:trPr>
          <w:trHeight w:val="205"/>
        </w:trPr>
        <w:tc>
          <w:tcPr>
            <w:tcW w:w="286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1a</w:t>
            </w:r>
          </w:p>
        </w:tc>
        <w:tc>
          <w:tcPr>
            <w:tcW w:w="340" w:type="dxa"/>
            <w:vAlign w:val="bottom"/>
            <w:tcBorders>
              <w:top w:val="single" w:sz="8" w:color="CCEEFF"/>
            </w:tcBorders>
            <w:shd w:val="clear" w:color="auto" w:fill="CCEEFF"/>
          </w:tcPr>
          <w:p>
            <w:pPr>
              <w:spacing w:after="0"/>
              <w:rPr>
                <w:sz w:val="17"/>
                <w:szCs w:val="17"/>
                <w:color w:val="auto"/>
              </w:rPr>
            </w:pPr>
          </w:p>
        </w:tc>
        <w:tc>
          <w:tcPr>
            <w:tcW w:w="254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William Lei Ding</w:t>
            </w: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w w:val="78"/>
              </w:rPr>
              <w:t>[</w:t>
            </w:r>
          </w:p>
        </w:tc>
        <w:tc>
          <w:tcPr>
            <w:tcW w:w="980" w:type="dxa"/>
            <w:vAlign w:val="bottom"/>
            <w:tcBorders>
              <w:top w:val="single" w:sz="8" w:color="auto"/>
            </w:tcBorders>
            <w:shd w:val="clear" w:color="auto" w:fill="CCEEFF"/>
          </w:tcPr>
          <w:p>
            <w:pPr>
              <w:jc w:val="right"/>
              <w:ind w:right="794"/>
              <w:spacing w:after="0" w:line="206"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w w:val="78"/>
              </w:rPr>
              <w:t>[</w:t>
            </w:r>
          </w:p>
        </w:tc>
        <w:tc>
          <w:tcPr>
            <w:tcW w:w="1700" w:type="dxa"/>
            <w:vAlign w:val="bottom"/>
            <w:tcBorders>
              <w:top w:val="single" w:sz="8" w:color="auto"/>
            </w:tcBorders>
            <w:shd w:val="clear" w:color="auto" w:fill="CCEEFF"/>
          </w:tcPr>
          <w:p>
            <w:pPr>
              <w:jc w:val="right"/>
              <w:ind w:right="1514"/>
              <w:spacing w:after="0" w:line="206"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w w:val="78"/>
              </w:rPr>
              <w:t>[</w:t>
            </w:r>
          </w:p>
        </w:tc>
        <w:tc>
          <w:tcPr>
            <w:tcW w:w="1680" w:type="dxa"/>
            <w:vAlign w:val="bottom"/>
            <w:tcBorders>
              <w:top w:val="single" w:sz="8" w:color="auto"/>
            </w:tcBorders>
            <w:shd w:val="clear" w:color="auto" w:fill="CCEEFF"/>
          </w:tcPr>
          <w:p>
            <w:pPr>
              <w:jc w:val="right"/>
              <w:ind w:right="1474"/>
              <w:spacing w:after="0" w:line="206" w:lineRule="exact"/>
              <w:rPr>
                <w:sz w:val="20"/>
                <w:szCs w:val="20"/>
                <w:color w:val="auto"/>
              </w:rPr>
            </w:pPr>
            <w:r>
              <w:rPr>
                <w:rFonts w:ascii="Arial" w:cs="Arial" w:eastAsia="Arial" w:hAnsi="Arial"/>
                <w:sz w:val="18"/>
                <w:szCs w:val="18"/>
                <w:color w:val="auto"/>
              </w:rPr>
              <w:t>]</w:t>
            </w:r>
          </w:p>
        </w:tc>
      </w:tr>
      <w:tr>
        <w:trPr>
          <w:trHeight w:val="212"/>
        </w:trPr>
        <w:tc>
          <w:tcPr>
            <w:tcW w:w="2860" w:type="dxa"/>
            <w:vAlign w:val="bottom"/>
          </w:tcPr>
          <w:p>
            <w:pPr>
              <w:spacing w:after="0"/>
              <w:rPr>
                <w:sz w:val="20"/>
                <w:szCs w:val="20"/>
                <w:color w:val="auto"/>
              </w:rPr>
            </w:pPr>
            <w:r>
              <w:rPr>
                <w:rFonts w:ascii="Arial" w:cs="Arial" w:eastAsia="Arial" w:hAnsi="Arial"/>
                <w:sz w:val="18"/>
                <w:szCs w:val="18"/>
                <w:color w:val="auto"/>
              </w:rPr>
              <w:t>1b</w:t>
            </w:r>
          </w:p>
        </w:tc>
        <w:tc>
          <w:tcPr>
            <w:tcW w:w="2880" w:type="dxa"/>
            <w:vAlign w:val="bottom"/>
            <w:gridSpan w:val="2"/>
          </w:tcPr>
          <w:p>
            <w:pPr>
              <w:ind w:left="340"/>
              <w:spacing w:after="0"/>
              <w:rPr>
                <w:sz w:val="20"/>
                <w:szCs w:val="20"/>
                <w:color w:val="auto"/>
              </w:rPr>
            </w:pPr>
            <w:r>
              <w:rPr>
                <w:rFonts w:ascii="Arial" w:cs="Arial" w:eastAsia="Arial" w:hAnsi="Arial"/>
                <w:sz w:val="18"/>
                <w:szCs w:val="18"/>
                <w:color w:val="auto"/>
              </w:rPr>
              <w:t>Alice Cheng</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9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700" w:type="dxa"/>
            <w:vAlign w:val="bottom"/>
          </w:tcPr>
          <w:p>
            <w:pPr>
              <w:jc w:val="right"/>
              <w:ind w:right="1514"/>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474"/>
              <w:spacing w:after="0"/>
              <w:rPr>
                <w:sz w:val="20"/>
                <w:szCs w:val="20"/>
                <w:color w:val="auto"/>
              </w:rPr>
            </w:pPr>
            <w:r>
              <w:rPr>
                <w:rFonts w:ascii="Arial" w:cs="Arial" w:eastAsia="Arial" w:hAnsi="Arial"/>
                <w:sz w:val="18"/>
                <w:szCs w:val="18"/>
                <w:color w:val="auto"/>
              </w:rPr>
              <w:t>]</w:t>
            </w:r>
          </w:p>
        </w:tc>
      </w:tr>
      <w:tr>
        <w:trPr>
          <w:trHeight w:val="212"/>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1c</w:t>
            </w:r>
          </w:p>
        </w:tc>
        <w:tc>
          <w:tcPr>
            <w:tcW w:w="2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Denny Lee</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94"/>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8"/>
              </w:rPr>
              <w:t>[</w:t>
            </w:r>
          </w:p>
        </w:tc>
        <w:tc>
          <w:tcPr>
            <w:tcW w:w="1700" w:type="dxa"/>
            <w:vAlign w:val="bottom"/>
            <w:shd w:val="clear" w:color="auto" w:fill="CCEEFF"/>
          </w:tcPr>
          <w:p>
            <w:pPr>
              <w:jc w:val="right"/>
              <w:ind w:right="1514"/>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1474"/>
              <w:spacing w:after="0"/>
              <w:rPr>
                <w:sz w:val="20"/>
                <w:szCs w:val="20"/>
                <w:color w:val="auto"/>
              </w:rPr>
            </w:pPr>
            <w:r>
              <w:rPr>
                <w:rFonts w:ascii="Arial" w:cs="Arial" w:eastAsia="Arial" w:hAnsi="Arial"/>
                <w:sz w:val="18"/>
                <w:szCs w:val="18"/>
                <w:color w:val="auto"/>
              </w:rPr>
              <w:t>]</w:t>
            </w:r>
          </w:p>
        </w:tc>
      </w:tr>
      <w:tr>
        <w:trPr>
          <w:trHeight w:val="212"/>
        </w:trPr>
        <w:tc>
          <w:tcPr>
            <w:tcW w:w="2860" w:type="dxa"/>
            <w:vAlign w:val="bottom"/>
          </w:tcPr>
          <w:p>
            <w:pPr>
              <w:spacing w:after="0"/>
              <w:rPr>
                <w:sz w:val="20"/>
                <w:szCs w:val="20"/>
                <w:color w:val="auto"/>
              </w:rPr>
            </w:pPr>
            <w:r>
              <w:rPr>
                <w:rFonts w:ascii="Arial" w:cs="Arial" w:eastAsia="Arial" w:hAnsi="Arial"/>
                <w:sz w:val="18"/>
                <w:szCs w:val="18"/>
                <w:color w:val="auto"/>
              </w:rPr>
              <w:t>1d</w:t>
            </w:r>
          </w:p>
        </w:tc>
        <w:tc>
          <w:tcPr>
            <w:tcW w:w="2880" w:type="dxa"/>
            <w:vAlign w:val="bottom"/>
            <w:gridSpan w:val="2"/>
          </w:tcPr>
          <w:p>
            <w:pPr>
              <w:ind w:left="340"/>
              <w:spacing w:after="0"/>
              <w:rPr>
                <w:sz w:val="20"/>
                <w:szCs w:val="20"/>
                <w:color w:val="auto"/>
              </w:rPr>
            </w:pPr>
            <w:r>
              <w:rPr>
                <w:rFonts w:ascii="Arial" w:cs="Arial" w:eastAsia="Arial" w:hAnsi="Arial"/>
                <w:sz w:val="18"/>
                <w:szCs w:val="18"/>
                <w:color w:val="auto"/>
              </w:rPr>
              <w:t>Joseph Tong</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9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700" w:type="dxa"/>
            <w:vAlign w:val="bottom"/>
          </w:tcPr>
          <w:p>
            <w:pPr>
              <w:jc w:val="right"/>
              <w:ind w:right="1514"/>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474"/>
              <w:spacing w:after="0"/>
              <w:rPr>
                <w:sz w:val="20"/>
                <w:szCs w:val="20"/>
                <w:color w:val="auto"/>
              </w:rPr>
            </w:pPr>
            <w:r>
              <w:rPr>
                <w:rFonts w:ascii="Arial" w:cs="Arial" w:eastAsia="Arial" w:hAnsi="Arial"/>
                <w:sz w:val="18"/>
                <w:szCs w:val="18"/>
                <w:color w:val="auto"/>
              </w:rPr>
              <w:t>]</w:t>
            </w:r>
          </w:p>
        </w:tc>
      </w:tr>
      <w:tr>
        <w:trPr>
          <w:trHeight w:val="212"/>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1e</w:t>
            </w:r>
          </w:p>
        </w:tc>
        <w:tc>
          <w:tcPr>
            <w:tcW w:w="2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Lun Feng</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94"/>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8"/>
              </w:rPr>
              <w:t>[</w:t>
            </w:r>
          </w:p>
        </w:tc>
        <w:tc>
          <w:tcPr>
            <w:tcW w:w="1700" w:type="dxa"/>
            <w:vAlign w:val="bottom"/>
            <w:shd w:val="clear" w:color="auto" w:fill="CCEEFF"/>
          </w:tcPr>
          <w:p>
            <w:pPr>
              <w:jc w:val="right"/>
              <w:ind w:right="1514"/>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1474"/>
              <w:spacing w:after="0"/>
              <w:rPr>
                <w:sz w:val="20"/>
                <w:szCs w:val="20"/>
                <w:color w:val="auto"/>
              </w:rPr>
            </w:pPr>
            <w:r>
              <w:rPr>
                <w:rFonts w:ascii="Arial" w:cs="Arial" w:eastAsia="Arial" w:hAnsi="Arial"/>
                <w:sz w:val="18"/>
                <w:szCs w:val="18"/>
                <w:color w:val="auto"/>
              </w:rPr>
              <w:t>]</w:t>
            </w:r>
          </w:p>
        </w:tc>
      </w:tr>
      <w:tr>
        <w:trPr>
          <w:trHeight w:val="212"/>
        </w:trPr>
        <w:tc>
          <w:tcPr>
            <w:tcW w:w="2860" w:type="dxa"/>
            <w:vAlign w:val="bottom"/>
          </w:tcPr>
          <w:p>
            <w:pPr>
              <w:spacing w:after="0"/>
              <w:rPr>
                <w:sz w:val="20"/>
                <w:szCs w:val="20"/>
                <w:color w:val="auto"/>
              </w:rPr>
            </w:pPr>
            <w:r>
              <w:rPr>
                <w:rFonts w:ascii="Arial" w:cs="Arial" w:eastAsia="Arial" w:hAnsi="Arial"/>
                <w:sz w:val="18"/>
                <w:szCs w:val="18"/>
                <w:color w:val="auto"/>
              </w:rPr>
              <w:t>1f</w:t>
            </w:r>
          </w:p>
        </w:tc>
        <w:tc>
          <w:tcPr>
            <w:tcW w:w="2880" w:type="dxa"/>
            <w:vAlign w:val="bottom"/>
            <w:gridSpan w:val="2"/>
          </w:tcPr>
          <w:p>
            <w:pPr>
              <w:ind w:left="340"/>
              <w:spacing w:after="0"/>
              <w:rPr>
                <w:sz w:val="20"/>
                <w:szCs w:val="20"/>
                <w:color w:val="auto"/>
              </w:rPr>
            </w:pPr>
            <w:r>
              <w:rPr>
                <w:rFonts w:ascii="Arial" w:cs="Arial" w:eastAsia="Arial" w:hAnsi="Arial"/>
                <w:sz w:val="18"/>
                <w:szCs w:val="18"/>
                <w:color w:val="auto"/>
              </w:rPr>
              <w:t>Michael Leung</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9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700" w:type="dxa"/>
            <w:vAlign w:val="bottom"/>
          </w:tcPr>
          <w:p>
            <w:pPr>
              <w:jc w:val="right"/>
              <w:ind w:right="1514"/>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474"/>
              <w:spacing w:after="0"/>
              <w:rPr>
                <w:sz w:val="20"/>
                <w:szCs w:val="20"/>
                <w:color w:val="auto"/>
              </w:rPr>
            </w:pPr>
            <w:r>
              <w:rPr>
                <w:rFonts w:ascii="Arial" w:cs="Arial" w:eastAsia="Arial" w:hAnsi="Arial"/>
                <w:sz w:val="18"/>
                <w:szCs w:val="18"/>
                <w:color w:val="auto"/>
              </w:rPr>
              <w:t>]</w:t>
            </w:r>
          </w:p>
        </w:tc>
      </w:tr>
      <w:tr>
        <w:trPr>
          <w:trHeight w:val="212"/>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1g</w:t>
            </w:r>
          </w:p>
        </w:tc>
        <w:tc>
          <w:tcPr>
            <w:tcW w:w="2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Michael Tong</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94"/>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8"/>
              </w:rPr>
              <w:t>[</w:t>
            </w:r>
          </w:p>
        </w:tc>
        <w:tc>
          <w:tcPr>
            <w:tcW w:w="1700" w:type="dxa"/>
            <w:vAlign w:val="bottom"/>
            <w:shd w:val="clear" w:color="auto" w:fill="CCEEFF"/>
          </w:tcPr>
          <w:p>
            <w:pPr>
              <w:jc w:val="right"/>
              <w:ind w:right="1514"/>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1474"/>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FOR ALL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213360</wp:posOffset>
            </wp:positionV>
            <wp:extent cx="18268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1826895" cy="8255"/>
                    </a:xfrm>
                    <a:prstGeom prst="rect">
                      <a:avLst/>
                    </a:prstGeom>
                    <a:noFill/>
                  </pic:spPr>
                </pic:pic>
              </a:graphicData>
            </a:graphic>
          </wp:anchor>
        </w:drawing>
      </w:r>
    </w:p>
    <w:p>
      <w:pPr>
        <w:spacing w:after="0" w:line="382" w:lineRule="exact"/>
        <w:rPr>
          <w:sz w:val="20"/>
          <w:szCs w:val="20"/>
          <w:color w:val="auto"/>
        </w:rPr>
      </w:pPr>
    </w:p>
    <w:p>
      <w:pPr>
        <w:ind w:left="180" w:hanging="174"/>
        <w:spacing w:after="0"/>
        <w:tabs>
          <w:tab w:leader="none" w:pos="180"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Full name(s) and address(es) to be inserted in BLOCK CAPITALS.</w:t>
      </w:r>
    </w:p>
    <w:p>
      <w:pPr>
        <w:ind w:left="180" w:hanging="174"/>
        <w:spacing w:after="0" w:line="210" w:lineRule="auto"/>
        <w:tabs>
          <w:tab w:leader="none" w:pos="180"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Please insert the number of shares registered in your name(s) to which the proxy relates. If no number is inserted, this form of proxy will be deemed to relate</w:t>
      </w:r>
    </w:p>
    <w:p>
      <w:pPr>
        <w:spacing w:after="0" w:line="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all the shares of the Company registered in your name(s).</w:t>
      </w:r>
    </w:p>
    <w:p>
      <w:pPr>
        <w:spacing w:after="0" w:line="2" w:lineRule="exact"/>
        <w:rPr>
          <w:sz w:val="20"/>
          <w:szCs w:val="20"/>
          <w:color w:val="auto"/>
        </w:rPr>
      </w:pPr>
    </w:p>
    <w:p>
      <w:pPr>
        <w:jc w:val="both"/>
        <w:ind w:left="200" w:right="60" w:hanging="194"/>
        <w:spacing w:after="0" w:line="230" w:lineRule="auto"/>
        <w:tabs>
          <w:tab w:leader="none" w:pos="186"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b w:val="1"/>
          <w:bCs w:val="1"/>
          <w:color w:val="auto"/>
        </w:rPr>
        <w:t xml:space="preserve">IMPORTANT: IF YOU WISH TO VOTE FOR ANY RESOLUTIONS, TICK THE APPROPRIATE BOXES MARKED “FOR.” IF YOU WISH TO VOTE AGAINST ANY RESOLUTIONS, TICK THE APPROPRIATE BOXES MARKED “AGAINST.” </w:t>
      </w:r>
      <w:r>
        <w:rPr>
          <w:rFonts w:ascii="Arial" w:cs="Arial" w:eastAsia="Arial" w:hAnsi="Arial"/>
          <w:sz w:val="18"/>
          <w:szCs w:val="18"/>
          <w:color w:val="auto"/>
        </w:rPr>
        <w:t>Failure to complete any or all the boxes will</w:t>
      </w:r>
      <w:r>
        <w:rPr>
          <w:rFonts w:ascii="Arial" w:cs="Arial" w:eastAsia="Arial" w:hAnsi="Arial"/>
          <w:sz w:val="18"/>
          <w:szCs w:val="18"/>
          <w:b w:val="1"/>
          <w:bCs w:val="1"/>
          <w:color w:val="auto"/>
        </w:rPr>
        <w:t xml:space="preserve"> </w:t>
      </w:r>
      <w:r>
        <w:rPr>
          <w:rFonts w:ascii="Arial" w:cs="Arial" w:eastAsia="Arial" w:hAnsi="Arial"/>
          <w:sz w:val="18"/>
          <w:szCs w:val="18"/>
          <w:color w:val="auto"/>
        </w:rPr>
        <w:t>entitle your proxy to cast his/her votes at his/her discretion. Your proxy will also be entitled to vote at his/her discretion on any resolution properly put to the meeting other than those referred to in the Notice of the 2013 Annual General Meeting of Shareholders.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7011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300" w:firstLine="433"/>
        <w:spacing w:after="0" w:line="265" w:lineRule="auto"/>
        <w:rPr>
          <w:sz w:val="20"/>
          <w:szCs w:val="20"/>
          <w:color w:val="auto"/>
        </w:rPr>
      </w:pPr>
      <w:r>
        <w:rPr>
          <w:rFonts w:ascii="Arial" w:cs="Arial" w:eastAsia="Arial" w:hAnsi="Arial"/>
          <w:sz w:val="18"/>
          <w:szCs w:val="18"/>
          <w:color w:val="auto"/>
        </w:rPr>
        <w:t>PROPOSAL NO. 2: Appoint PricewaterhouseCoopers Zhong Tian CPAs Limited Company as independent auditors of NetEase, Inc. for the fiscal year ending December 31, 2013.</w:t>
      </w:r>
    </w:p>
    <w:p>
      <w:pPr>
        <w:spacing w:after="0" w:line="179" w:lineRule="exact"/>
        <w:rPr>
          <w:sz w:val="20"/>
          <w:szCs w:val="20"/>
          <w:color w:val="auto"/>
        </w:rPr>
      </w:pPr>
    </w:p>
    <w:p>
      <w:pPr>
        <w:spacing w:after="0"/>
        <w:tabs>
          <w:tab w:leader="none" w:pos="540" w:val="left"/>
          <w:tab w:leader="none" w:pos="3560" w:val="left"/>
          <w:tab w:leader="none" w:pos="4100" w:val="left"/>
          <w:tab w:leader="none" w:pos="7360" w:val="left"/>
          <w:tab w:leader="none" w:pos="790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FOR</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AGAINST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ABSTAIN</w:t>
      </w:r>
    </w:p>
    <w:p>
      <w:pPr>
        <w:spacing w:after="0" w:line="200" w:lineRule="exact"/>
        <w:rPr>
          <w:sz w:val="20"/>
          <w:szCs w:val="20"/>
          <w:color w:val="auto"/>
        </w:rPr>
      </w:pPr>
    </w:p>
    <w:p>
      <w:pPr>
        <w:spacing w:after="0" w:line="229" w:lineRule="exact"/>
        <w:rPr>
          <w:sz w:val="20"/>
          <w:szCs w:val="20"/>
          <w:color w:val="auto"/>
        </w:rPr>
      </w:pPr>
    </w:p>
    <w:p>
      <w:pPr>
        <w:ind w:left="5720"/>
        <w:spacing w:after="0"/>
        <w:tabs>
          <w:tab w:leader="none" w:pos="73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-13335</wp:posOffset>
            </wp:positionV>
            <wp:extent cx="6451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645160" cy="8255"/>
                    </a:xfrm>
                    <a:prstGeom prst="rect">
                      <a:avLst/>
                    </a:prstGeom>
                    <a:noFill/>
                  </pic:spPr>
                </pic:pic>
              </a:graphicData>
            </a:graphic>
          </wp:anchor>
        </w:drawing>
      </w:r>
    </w:p>
    <w:p>
      <w:pPr>
        <w:spacing w:after="0" w:line="19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SHAREHOLDER NAME: </w:t>
      </w:r>
      <w:r>
        <w:rPr>
          <w:rFonts w:ascii="Arial" w:cs="Arial" w:eastAsia="Arial" w:hAnsi="Arial"/>
          <w:sz w:val="22"/>
          <w:szCs w:val="22"/>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394335</wp:posOffset>
            </wp:positionV>
            <wp:extent cx="36201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3620135" cy="8255"/>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116840</wp:posOffset>
            </wp:positionV>
            <wp:extent cx="36201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36201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280670</wp:posOffset>
            </wp:positionV>
            <wp:extent cx="36201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3620135"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23" w:lineRule="exact"/>
        <w:rPr>
          <w:sz w:val="20"/>
          <w:szCs w:val="20"/>
          <w:color w:val="auto"/>
        </w:rPr>
      </w:pPr>
    </w:p>
    <w:p>
      <w:pPr>
        <w:ind w:right="460"/>
        <w:spacing w:after="0" w:line="276" w:lineRule="auto"/>
        <w:rPr>
          <w:sz w:val="20"/>
          <w:szCs w:val="20"/>
          <w:color w:val="auto"/>
        </w:rPr>
      </w:pPr>
      <w:r>
        <w:rPr>
          <w:rFonts w:ascii="Arial" w:cs="Arial" w:eastAsia="Arial" w:hAnsi="Arial"/>
          <w:sz w:val="18"/>
          <w:szCs w:val="18"/>
          <w:b w:val="1"/>
          <w:bCs w:val="1"/>
          <w:color w:val="auto"/>
        </w:rPr>
        <w:t xml:space="preserve">This proxy should be marked, dated and signed by the shareholder(s) exactly as his or her name appears on their stock certificate, and returned promptly in the enclosed envelope. Persons signing in a fiduciary capacity should so indicate. If shares are held by joint tenants or as community property, both should sign. </w:t>
      </w:r>
      <w:r>
        <w:rPr>
          <w:rFonts w:ascii="Arial" w:cs="Arial" w:eastAsia="Arial" w:hAnsi="Arial"/>
          <w:sz w:val="22"/>
          <w:szCs w:val="22"/>
          <w:color w:val="auto"/>
          <w:vertAlign w:val="superscript"/>
        </w:rPr>
        <w:t>5</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Please date, sign and mail this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card back as soon as possible!</w:t>
      </w:r>
      <w:r>
        <w:rPr>
          <w:rFonts w:ascii="Arial" w:cs="Arial" w:eastAsia="Arial" w:hAnsi="Arial"/>
          <w:sz w:val="22"/>
          <w:szCs w:val="22"/>
          <w:b w:val="1"/>
          <w:bCs w:val="1"/>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176530</wp:posOffset>
            </wp:positionV>
            <wp:extent cx="180149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1801495" cy="8255"/>
                    </a:xfrm>
                    <a:prstGeom prst="rect">
                      <a:avLst/>
                    </a:prstGeom>
                    <a:noFill/>
                  </pic:spPr>
                </pic:pic>
              </a:graphicData>
            </a:graphic>
          </wp:anchor>
        </w:drawing>
      </w:r>
    </w:p>
    <w:p>
      <w:pPr>
        <w:spacing w:after="0" w:line="365" w:lineRule="exact"/>
        <w:rPr>
          <w:sz w:val="20"/>
          <w:szCs w:val="20"/>
          <w:color w:val="auto"/>
        </w:rPr>
      </w:pPr>
    </w:p>
    <w:p>
      <w:pPr>
        <w:ind w:left="160" w:right="180" w:hanging="154"/>
        <w:spacing w:after="0" w:line="221" w:lineRule="auto"/>
        <w:tabs>
          <w:tab w:leader="none" w:pos="151"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This form of proxy must be signed by you or your attorney duly authorized in writing or, in the case of a corporation, must be under the hand of an officer or attorney duly authorized on that behalf.</w:t>
      </w:r>
    </w:p>
    <w:p>
      <w:pPr>
        <w:sectPr>
          <w:pgSz w:w="11900" w:h="16838" w:orient="portrait"/>
          <w:cols w:equalWidth="0" w:num="1">
            <w:col w:w="11420"/>
          </w:cols>
          <w:pgMar w:left="240" w:top="121" w:right="239" w:bottom="0" w:gutter="0" w:footer="0" w:header="0"/>
        </w:sectPr>
      </w:pPr>
    </w:p>
    <w:bookmarkStart w:id="10" w:name="page11"/>
    <w:bookmarkEnd w:id="10"/>
    <w:p>
      <w:pPr>
        <w:ind w:left="154" w:right="40" w:hanging="154"/>
        <w:spacing w:after="0" w:line="245" w:lineRule="auto"/>
        <w:tabs>
          <w:tab w:leader="none" w:pos="145"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In the case of joint holders, the vote of the senior who tenders a vote, whether in person or by proxy, will be accepted to the exclusion of the votes of the other joint holder(s), and for this purpose seniority will be determined by the order in which the names stand in the Register of Members of the Company.</w:t>
      </w:r>
    </w:p>
    <w:p>
      <w:pPr>
        <w:spacing w:after="0" w:line="1" w:lineRule="exact"/>
        <w:rPr>
          <w:sz w:val="20"/>
          <w:szCs w:val="20"/>
          <w:color w:val="auto"/>
        </w:rPr>
      </w:pPr>
    </w:p>
    <w:p>
      <w:pPr>
        <w:ind w:left="154" w:hanging="154"/>
        <w:spacing w:after="0" w:line="215" w:lineRule="auto"/>
        <w:tabs>
          <w:tab w:leader="none" w:pos="145"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Completion and delivery of this form of proxy will not preclude you from attending and voting at the annual general meeting if you so wish and in such event, this form of proxy shall be deemed to be revoked.</w:t>
      </w:r>
    </w:p>
    <w:p>
      <w:pPr>
        <w:spacing w:after="0" w:line="203" w:lineRule="exact"/>
        <w:rPr>
          <w:sz w:val="20"/>
          <w:szCs w:val="20"/>
          <w:color w:val="auto"/>
        </w:rPr>
      </w:pPr>
    </w:p>
    <w:p>
      <w:pPr>
        <w:jc w:val="center"/>
        <w:ind w:right="-53"/>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7011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7270115" cy="29845"/>
                    </a:xfrm>
                    <a:prstGeom prst="rect">
                      <a:avLst/>
                    </a:prstGeom>
                    <a:noFill/>
                  </pic:spPr>
                </pic:pic>
              </a:graphicData>
            </a:graphic>
          </wp:anchor>
        </w:drawing>
      </w:r>
    </w:p>
    <w:p>
      <w:pPr>
        <w:sectPr>
          <w:pgSz w:w="11900" w:h="16838" w:orient="portrait"/>
          <w:cols w:equalWidth="0" w:num="1">
            <w:col w:w="11354"/>
          </w:cols>
          <w:pgMar w:left="246" w:top="127" w:right="299" w:bottom="1440" w:gutter="0" w:footer="0" w:header="0"/>
        </w:sectPr>
      </w:pPr>
    </w:p>
    <w:bookmarkStart w:id="11" w:name="page12"/>
    <w:bookmarkEnd w:id="11"/>
    <w:p>
      <w:pPr>
        <w:ind w:left="9300"/>
        <w:spacing w:after="0"/>
        <w:rPr>
          <w:sz w:val="20"/>
          <w:szCs w:val="20"/>
          <w:color w:val="auto"/>
        </w:rPr>
      </w:pPr>
      <w:r>
        <w:rPr>
          <w:rFonts w:ascii="Arial" w:cs="Arial" w:eastAsia="Arial" w:hAnsi="Arial"/>
          <w:sz w:val="15"/>
          <w:szCs w:val="15"/>
          <w:b w:val="1"/>
          <w:bCs w:val="1"/>
          <w:color w:val="auto"/>
        </w:rPr>
        <w:t>Exhibit 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-690245</wp:posOffset>
            </wp:positionH>
            <wp:positionV relativeFrom="paragraph">
              <wp:posOffset>188595</wp:posOffset>
            </wp:positionV>
            <wp:extent cx="6954520" cy="53460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6954520" cy="534606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223520</wp:posOffset>
            </wp:positionH>
            <wp:positionV relativeFrom="page">
              <wp:posOffset>88900</wp:posOffset>
            </wp:positionV>
            <wp:extent cx="6954520" cy="53460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6954520" cy="534606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bullet"/>
      <w:start w:val="1"/>
    </w:lvl>
  </w:abstractNum>
  <w:abstractNum w:abstractNumId="6">
    <w:nsid w:val="5BD062C2"/>
    <w:multiLevelType w:val="hybridMultilevel"/>
    <w:lvl w:ilvl="0">
      <w:lvlJc w:val="left"/>
      <w:lvlText w:val="2"/>
      <w:numFmt w:val="bullet"/>
      <w:start w:val="1"/>
    </w:lvl>
  </w:abstractNum>
  <w:abstractNum w:abstractNumId="7">
    <w:nsid w:val="12200854"/>
    <w:multiLevelType w:val="hybridMultilevel"/>
    <w:lvl w:ilvl="0">
      <w:lvlJc w:val="left"/>
      <w:lvlText w:val="3"/>
      <w:numFmt w:val="bullet"/>
      <w:start w:val="1"/>
    </w:lvl>
  </w:abstractNum>
  <w:abstractNum w:abstractNumId="8">
    <w:nsid w:val="4DB127F8"/>
    <w:multiLevelType w:val="hybridMultilevel"/>
    <w:lvl w:ilvl="0">
      <w:lvlJc w:val="left"/>
      <w:lvlText w:val="4"/>
      <w:numFmt w:val="bullet"/>
      <w:start w:val="1"/>
    </w:lvl>
  </w:abstractNum>
  <w:abstractNum w:abstractNumId="9">
    <w:nsid w:val="216231B"/>
    <w:multiLevelType w:val="hybridMultilevel"/>
    <w:lvl w:ilvl="0">
      <w:lvlJc w:val="left"/>
      <w:lvlText w:val="5"/>
      <w:numFmt w:val="bullet"/>
      <w:start w:val="1"/>
    </w:lvl>
  </w:abstractNum>
  <w:abstractNum w:abstractNumId="10">
    <w:nsid w:val="1F16E9E8"/>
    <w:multiLevelType w:val="hybridMultilevel"/>
    <w:lvl w:ilvl="0">
      <w:lvlJc w:val="left"/>
      <w:lvlText w:val="6"/>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jpe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jpe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jpeg"/><Relationship Id="rId50" Type="http://schemas.openxmlformats.org/officeDocument/2006/relationships/image" Target="media/image39.jpeg"/><Relationship Id="rId18" Type="http://schemas.openxmlformats.org/officeDocument/2006/relationships/hyperlink" Target="file:///data/convert/a13-17329_1ex99d1.htm#Exhibit99_1_052249" TargetMode="External"/><Relationship Id="rId19" Type="http://schemas.openxmlformats.org/officeDocument/2006/relationships/hyperlink" Target="file:///data/convert/a13-17329_1ex99d2.htm#Exhibit99_2_052303" TargetMode="External"/><Relationship Id="rId20" Type="http://schemas.openxmlformats.org/officeDocument/2006/relationships/hyperlink" Target="file:///data/convert/a13-17329_1ex99d3.htm#Exhibit99_3_052310" TargetMode="External"/><Relationship Id="rId21" Type="http://schemas.openxmlformats.org/officeDocument/2006/relationships/hyperlink" Target="file:///data/convert/a13-17329_1ex99d4.htm#Exhibit99_4_1144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2019-12-07T00:08:01Z</dcterms:created>
  <dcterms:modified xsi:type="dcterms:W3CDTF">2019-12-07T00:08:01Z</dcterms:modified>
</cp:coreProperties>
</file>