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4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(Rule 13d-102)</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RULES 13d-1(b), (c)</w:t>
      </w:r>
    </w:p>
    <w:p>
      <w:pPr>
        <w:jc w:val="center"/>
        <w:ind w:right="-259"/>
        <w:spacing w:after="0" w:line="230" w:lineRule="auto"/>
        <w:rPr>
          <w:sz w:val="20"/>
          <w:szCs w:val="20"/>
          <w:color w:val="auto"/>
        </w:rPr>
      </w:pPr>
      <w:r>
        <w:rPr>
          <w:rFonts w:ascii="Arial" w:cs="Arial" w:eastAsia="Arial" w:hAnsi="Arial"/>
          <w:sz w:val="22"/>
          <w:szCs w:val="22"/>
          <w:b w:val="1"/>
          <w:bCs w:val="1"/>
          <w:color w:val="auto"/>
        </w:rPr>
        <w:t>AND (d) AND AMENDMENTS THERETO FILED PURSUANT TO RULE 13d-2(b)</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3)*</w:t>
      </w:r>
    </w:p>
    <w:p>
      <w:pPr>
        <w:spacing w:after="0" w:line="26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Netease.com, Inc.</w:t>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Issuer)</w:t>
      </w:r>
    </w:p>
    <w:p>
      <w:pPr>
        <w:spacing w:after="0" w:line="249"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Ordinary Shares</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(Title of Class of Securities)</w:t>
      </w:r>
    </w:p>
    <w:p>
      <w:pPr>
        <w:spacing w:after="0" w:line="182"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64110 W102</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December 31, 2005</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9461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9461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99" w:lineRule="exact"/>
        <w:rPr>
          <w:sz w:val="24"/>
          <w:szCs w:val="24"/>
          <w:color w:val="auto"/>
        </w:rPr>
      </w:pPr>
    </w:p>
    <w:p>
      <w:pPr>
        <w:jc w:val="both"/>
        <w:ind w:left="360" w:hanging="352"/>
        <w:spacing w:after="0" w:line="298"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This Amendment No. 3 to Schedule 13G is deemed to amend the Schedule 13G filed with the U.S. Securities and Exchange Commission on January 31, 2001, Amendment No. 1 to Schedule 13G filed on February 17, 2004 and Amendment No. 2 to Schedule 13G filed on February 7, 2005.</w:t>
      </w:r>
    </w:p>
    <w:p>
      <w:pPr>
        <w:spacing w:after="0" w:line="200" w:lineRule="exact"/>
        <w:rPr>
          <w:sz w:val="24"/>
          <w:szCs w:val="24"/>
          <w:color w:val="auto"/>
        </w:rPr>
      </w:pPr>
    </w:p>
    <w:p>
      <w:pPr>
        <w:spacing w:after="0" w:line="210"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CUSIP No. 64110W102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9"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b w:val="1"/>
          <w:bCs w:val="1"/>
          <w:color w:val="auto"/>
        </w:rPr>
      </w:pPr>
    </w:p>
    <w:p>
      <w:pPr>
        <w:ind w:left="500" w:right="528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 Mr. William Lei Ding</w:t>
      </w:r>
    </w:p>
    <w:p>
      <w:pPr>
        <w:spacing w:after="0" w:line="7" w:lineRule="exact"/>
        <w:rPr>
          <w:rFonts w:ascii="Arial" w:cs="Arial" w:eastAsia="Arial" w:hAnsi="Arial"/>
          <w:sz w:val="18"/>
          <w:szCs w:val="18"/>
          <w:b w:val="1"/>
          <w:bCs w:val="1"/>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GROUP (SEE INSTRUCTIONS)</w:t>
      </w:r>
    </w:p>
    <w:p>
      <w:pPr>
        <w:spacing w:after="0" w:line="15" w:lineRule="exact"/>
        <w:rPr>
          <w:rFonts w:ascii="Arial" w:cs="Arial" w:eastAsia="Arial" w:hAnsi="Arial"/>
          <w:sz w:val="18"/>
          <w:szCs w:val="18"/>
          <w:b w:val="1"/>
          <w:bCs w:val="1"/>
          <w:color w:val="auto"/>
        </w:rPr>
      </w:pPr>
    </w:p>
    <w:p>
      <w:pPr>
        <w:ind w:left="740" w:hanging="246"/>
        <w:spacing w:after="0" w:line="190" w:lineRule="auto"/>
        <w:tabs>
          <w:tab w:leader="none" w:pos="740" w:val="left"/>
        </w:tabs>
        <w:numPr>
          <w:ilvl w:val="1"/>
          <w:numId w:val="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94615"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52" w:lineRule="exact"/>
        <w:rPr>
          <w:rFonts w:ascii="Arial" w:cs="Arial" w:eastAsia="Arial" w:hAnsi="Arial"/>
          <w:sz w:val="18"/>
          <w:szCs w:val="18"/>
          <w:color w:val="auto"/>
        </w:rPr>
      </w:pPr>
    </w:p>
    <w:p>
      <w:pPr>
        <w:ind w:left="740" w:hanging="246"/>
        <w:spacing w:after="0" w:line="190" w:lineRule="auto"/>
        <w:tabs>
          <w:tab w:leader="none" w:pos="740" w:val="left"/>
        </w:tabs>
        <w:numPr>
          <w:ilvl w:val="1"/>
          <w:numId w:val="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94615"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75"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b w:val="1"/>
          <w:bCs w:val="1"/>
          <w:color w:val="auto"/>
        </w:rPr>
      </w:pPr>
    </w:p>
    <w:p>
      <w:pPr>
        <w:ind w:left="500" w:right="7080" w:hanging="492"/>
        <w:spacing w:after="0" w:line="568" w:lineRule="auto"/>
        <w:tabs>
          <w:tab w:leader="none" w:pos="5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CITIZENSHIP OR PLACE OF ORGANIZATION The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-1464945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-907415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5.</w:t>
            </w:r>
          </w:p>
        </w:tc>
        <w:tc>
          <w:tcPr>
            <w:tcW w:w="6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340" w:type="dxa"/>
            <w:vAlign w:val="bottom"/>
          </w:tcPr>
          <w:p>
            <w:pPr>
              <w:jc w:val="center"/>
              <w:ind w:right="32"/>
              <w:spacing w:after="0"/>
              <w:rPr>
                <w:sz w:val="20"/>
                <w:szCs w:val="20"/>
                <w:color w:val="auto"/>
              </w:rPr>
            </w:pPr>
            <w:r>
              <w:rPr>
                <w:rFonts w:ascii="Arial" w:cs="Arial" w:eastAsia="Arial" w:hAnsi="Arial"/>
                <w:sz w:val="18"/>
                <w:szCs w:val="18"/>
                <w:color w:val="auto"/>
                <w:w w:val="94"/>
              </w:rPr>
              <w:t>NUMBER OF</w:t>
            </w:r>
          </w:p>
        </w:tc>
        <w:tc>
          <w:tcPr>
            <w:tcW w:w="36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ind w:right="12"/>
              <w:spacing w:after="0"/>
              <w:rPr>
                <w:sz w:val="20"/>
                <w:szCs w:val="20"/>
                <w:color w:val="auto"/>
              </w:rPr>
            </w:pPr>
            <w:r>
              <w:rPr>
                <w:rFonts w:ascii="Arial" w:cs="Arial" w:eastAsia="Arial" w:hAnsi="Arial"/>
                <w:sz w:val="18"/>
                <w:szCs w:val="18"/>
                <w:color w:val="auto"/>
                <w:w w:val="91"/>
              </w:rPr>
              <w:t>SHARES</w:t>
            </w:r>
          </w:p>
        </w:tc>
        <w:tc>
          <w:tcPr>
            <w:tcW w:w="360" w:type="dxa"/>
            <w:vAlign w:val="bottom"/>
            <w:tcBorders>
              <w:bottom w:val="single" w:sz="8" w:color="808080"/>
            </w:tcBorders>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12"/>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6.</w:t>
            </w:r>
          </w:p>
        </w:tc>
        <w:tc>
          <w:tcPr>
            <w:tcW w:w="63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32"/>
              <w:spacing w:after="0"/>
              <w:rPr>
                <w:sz w:val="20"/>
                <w:szCs w:val="20"/>
                <w:color w:val="auto"/>
              </w:rPr>
            </w:pPr>
            <w:r>
              <w:rPr>
                <w:rFonts w:ascii="Arial" w:cs="Arial" w:eastAsia="Arial" w:hAnsi="Arial"/>
                <w:sz w:val="18"/>
                <w:szCs w:val="18"/>
                <w:color w:val="auto"/>
                <w:w w:val="95"/>
              </w:rPr>
              <w:t>OWNED BY</w:t>
            </w:r>
          </w:p>
        </w:tc>
        <w:tc>
          <w:tcPr>
            <w:tcW w:w="3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12"/>
              <w:spacing w:after="0"/>
              <w:rPr>
                <w:sz w:val="20"/>
                <w:szCs w:val="20"/>
                <w:color w:val="auto"/>
              </w:rPr>
            </w:pPr>
            <w:r>
              <w:rPr>
                <w:rFonts w:ascii="Arial" w:cs="Arial" w:eastAsia="Arial" w:hAnsi="Arial"/>
                <w:sz w:val="18"/>
                <w:szCs w:val="18"/>
                <w:color w:val="auto"/>
                <w:w w:val="95"/>
              </w:rPr>
              <w:t>EACH</w:t>
            </w:r>
          </w:p>
        </w:tc>
        <w:tc>
          <w:tcPr>
            <w:tcW w:w="36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1,506,000,000</w:t>
            </w:r>
          </w:p>
        </w:tc>
        <w:tc>
          <w:tcPr>
            <w:tcW w:w="0" w:type="dxa"/>
            <w:vAlign w:val="bottom"/>
          </w:tcPr>
          <w:p>
            <w:pPr>
              <w:spacing w:after="0"/>
              <w:rPr>
                <w:sz w:val="1"/>
                <w:szCs w:val="1"/>
                <w:color w:val="auto"/>
              </w:rPr>
            </w:pPr>
          </w:p>
        </w:tc>
      </w:tr>
      <w:tr>
        <w:trPr>
          <w:trHeight w:val="130"/>
        </w:trPr>
        <w:tc>
          <w:tcPr>
            <w:tcW w:w="134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REPORTING</w:t>
            </w:r>
          </w:p>
        </w:tc>
        <w:tc>
          <w:tcPr>
            <w:tcW w:w="360" w:type="dxa"/>
            <w:vAlign w:val="bottom"/>
            <w:tcBorders>
              <w:bottom w:val="single" w:sz="8" w:color="808080"/>
            </w:tcBorders>
          </w:tcPr>
          <w:p>
            <w:pPr>
              <w:spacing w:after="0"/>
              <w:rPr>
                <w:sz w:val="11"/>
                <w:szCs w:val="11"/>
                <w:color w:val="auto"/>
              </w:rPr>
            </w:pPr>
          </w:p>
        </w:tc>
        <w:tc>
          <w:tcPr>
            <w:tcW w:w="6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340" w:type="dxa"/>
            <w:vAlign w:val="bottom"/>
          </w:tcPr>
          <w:p>
            <w:pPr>
              <w:jc w:val="center"/>
              <w:ind w:right="32"/>
              <w:spacing w:after="0"/>
              <w:rPr>
                <w:sz w:val="20"/>
                <w:szCs w:val="20"/>
                <w:color w:val="auto"/>
              </w:rPr>
            </w:pPr>
            <w:r>
              <w:rPr>
                <w:rFonts w:ascii="Arial" w:cs="Arial" w:eastAsia="Arial" w:hAnsi="Arial"/>
                <w:sz w:val="18"/>
                <w:szCs w:val="18"/>
                <w:color w:val="auto"/>
                <w:w w:val="92"/>
              </w:rPr>
              <w:t>PERSON WITH</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7.</w:t>
            </w:r>
          </w:p>
        </w:tc>
        <w:tc>
          <w:tcPr>
            <w:tcW w:w="630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40" w:type="dxa"/>
            <w:vAlign w:val="bottom"/>
          </w:tcPr>
          <w:p>
            <w:pPr>
              <w:spacing w:after="0"/>
              <w:rPr>
                <w:sz w:val="24"/>
                <w:szCs w:val="24"/>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8.</w:t>
            </w:r>
          </w:p>
        </w:tc>
        <w:tc>
          <w:tcPr>
            <w:tcW w:w="63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ectPr>
          <w:pgSz w:w="11900" w:h="16838" w:orient="portrait"/>
          <w:cols w:equalWidth="0" w:num="1">
            <w:col w:w="11160"/>
          </w:cols>
          <w:pgMar w:left="240" w:top="219" w:right="499" w:bottom="0" w:gutter="0" w:footer="0" w:header="0"/>
        </w:sectPr>
      </w:pPr>
    </w:p>
    <w:bookmarkStart w:id="1" w:name="page2"/>
    <w:bookmarkEnd w:id="1"/>
    <w:p>
      <w:pPr>
        <w:ind w:left="1960"/>
        <w:spacing w:after="0"/>
        <w:rPr>
          <w:sz w:val="20"/>
          <w:szCs w:val="20"/>
          <w:color w:val="auto"/>
        </w:rPr>
      </w:pPr>
      <w:r>
        <w:rPr>
          <w:rFonts w:ascii="Arial" w:cs="Arial" w:eastAsia="Arial" w:hAnsi="Arial"/>
          <w:sz w:val="18"/>
          <w:szCs w:val="18"/>
          <w:color w:val="auto"/>
        </w:rPr>
        <w:t>1,506,000,000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500" w:right="2179"/>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1,506,000,000 ordinary shares (1,406,000,000 ordinary shares and 1,000,000 American Depositary Shares representing 100,000,000 ordinary shares) held in the name of Shining Globe International Limited, a British Virgin Islands company and a reporting person listed on the next page of this statement on Schedule 13G. Mr. William Lei Ding is the sole beneficial owner of Shining Globe International Limited.</w:t>
      </w:r>
    </w:p>
    <w:p>
      <w:pPr>
        <w:spacing w:after="0" w:line="180" w:lineRule="exact"/>
        <w:rPr>
          <w:rFonts w:ascii="Arial" w:cs="Arial" w:eastAsia="Arial" w:hAnsi="Arial"/>
          <w:sz w:val="18"/>
          <w:szCs w:val="18"/>
          <w:b w:val="1"/>
          <w:bCs w:val="1"/>
          <w:color w:val="auto"/>
        </w:rPr>
      </w:pPr>
    </w:p>
    <w:p>
      <w:pPr>
        <w:ind w:left="500" w:right="2839" w:hanging="492"/>
        <w:spacing w:after="0" w:line="268" w:lineRule="auto"/>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500" w:right="4799" w:hanging="492"/>
        <w:spacing w:after="0" w:line="505" w:lineRule="auto"/>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46.1%</w:t>
      </w:r>
    </w:p>
    <w:p>
      <w:pPr>
        <w:spacing w:after="0" w:line="6" w:lineRule="exact"/>
        <w:rPr>
          <w:rFonts w:ascii="Arial" w:cs="Arial" w:eastAsia="Arial" w:hAnsi="Arial"/>
          <w:sz w:val="18"/>
          <w:szCs w:val="18"/>
          <w:b w:val="1"/>
          <w:bCs w:val="1"/>
          <w:color w:val="auto"/>
        </w:rPr>
      </w:pPr>
    </w:p>
    <w:p>
      <w:pPr>
        <w:ind w:left="500" w:right="5499" w:hanging="492"/>
        <w:spacing w:after="0" w:line="519" w:lineRule="auto"/>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-1754505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-1196975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CUSIP No. 64110W102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b w:val="1"/>
          <w:bCs w:val="1"/>
          <w:color w:val="auto"/>
        </w:rPr>
      </w:pPr>
    </w:p>
    <w:p>
      <w:pPr>
        <w:ind w:left="500" w:right="4339"/>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 Shining Globe International Limited</w:t>
      </w:r>
    </w:p>
    <w:p>
      <w:pPr>
        <w:spacing w:after="0" w:line="7"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GROUP (SEE INSTRUCTIONS)</w:t>
      </w:r>
    </w:p>
    <w:p>
      <w:pPr>
        <w:spacing w:after="0" w:line="15" w:lineRule="exact"/>
        <w:rPr>
          <w:rFonts w:ascii="Arial" w:cs="Arial" w:eastAsia="Arial" w:hAnsi="Arial"/>
          <w:sz w:val="18"/>
          <w:szCs w:val="18"/>
          <w:b w:val="1"/>
          <w:bCs w:val="1"/>
          <w:color w:val="auto"/>
        </w:rPr>
      </w:pPr>
    </w:p>
    <w:p>
      <w:pPr>
        <w:ind w:left="740" w:hanging="246"/>
        <w:spacing w:after="0" w:line="190"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94615"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52" w:lineRule="exact"/>
        <w:rPr>
          <w:rFonts w:ascii="Arial" w:cs="Arial" w:eastAsia="Arial" w:hAnsi="Arial"/>
          <w:sz w:val="18"/>
          <w:szCs w:val="18"/>
          <w:color w:val="auto"/>
        </w:rPr>
      </w:pPr>
    </w:p>
    <w:p>
      <w:pPr>
        <w:ind w:left="740" w:hanging="246"/>
        <w:spacing w:after="0" w:line="190"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94615"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7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b w:val="1"/>
          <w:bCs w:val="1"/>
          <w:color w:val="auto"/>
        </w:rPr>
      </w:pPr>
    </w:p>
    <w:p>
      <w:pPr>
        <w:ind w:left="500" w:right="6139" w:hanging="492"/>
        <w:spacing w:after="0" w:line="505"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-1464945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-907415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5.</w:t>
            </w:r>
          </w:p>
        </w:tc>
        <w:tc>
          <w:tcPr>
            <w:tcW w:w="6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340" w:type="dxa"/>
            <w:vAlign w:val="bottom"/>
          </w:tcPr>
          <w:p>
            <w:pPr>
              <w:jc w:val="center"/>
              <w:ind w:right="32"/>
              <w:spacing w:after="0"/>
              <w:rPr>
                <w:sz w:val="20"/>
                <w:szCs w:val="20"/>
                <w:color w:val="auto"/>
              </w:rPr>
            </w:pPr>
            <w:r>
              <w:rPr>
                <w:rFonts w:ascii="Arial" w:cs="Arial" w:eastAsia="Arial" w:hAnsi="Arial"/>
                <w:sz w:val="18"/>
                <w:szCs w:val="18"/>
                <w:color w:val="auto"/>
                <w:w w:val="94"/>
              </w:rPr>
              <w:t>NUMBER OF</w:t>
            </w:r>
          </w:p>
        </w:tc>
        <w:tc>
          <w:tcPr>
            <w:tcW w:w="36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ind w:right="12"/>
              <w:spacing w:after="0"/>
              <w:rPr>
                <w:sz w:val="20"/>
                <w:szCs w:val="20"/>
                <w:color w:val="auto"/>
              </w:rPr>
            </w:pPr>
            <w:r>
              <w:rPr>
                <w:rFonts w:ascii="Arial" w:cs="Arial" w:eastAsia="Arial" w:hAnsi="Arial"/>
                <w:sz w:val="18"/>
                <w:szCs w:val="18"/>
                <w:color w:val="auto"/>
                <w:w w:val="91"/>
              </w:rPr>
              <w:t>SHARES</w:t>
            </w:r>
          </w:p>
        </w:tc>
        <w:tc>
          <w:tcPr>
            <w:tcW w:w="360" w:type="dxa"/>
            <w:vAlign w:val="bottom"/>
            <w:tcBorders>
              <w:bottom w:val="single" w:sz="8" w:color="808080"/>
            </w:tcBorders>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12"/>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6.</w:t>
            </w:r>
          </w:p>
        </w:tc>
        <w:tc>
          <w:tcPr>
            <w:tcW w:w="63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32"/>
              <w:spacing w:after="0"/>
              <w:rPr>
                <w:sz w:val="20"/>
                <w:szCs w:val="20"/>
                <w:color w:val="auto"/>
              </w:rPr>
            </w:pPr>
            <w:r>
              <w:rPr>
                <w:rFonts w:ascii="Arial" w:cs="Arial" w:eastAsia="Arial" w:hAnsi="Arial"/>
                <w:sz w:val="18"/>
                <w:szCs w:val="18"/>
                <w:color w:val="auto"/>
                <w:w w:val="95"/>
              </w:rPr>
              <w:t>OWNED BY</w:t>
            </w:r>
          </w:p>
        </w:tc>
        <w:tc>
          <w:tcPr>
            <w:tcW w:w="3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12"/>
              <w:spacing w:after="0"/>
              <w:rPr>
                <w:sz w:val="20"/>
                <w:szCs w:val="20"/>
                <w:color w:val="auto"/>
              </w:rPr>
            </w:pPr>
            <w:r>
              <w:rPr>
                <w:rFonts w:ascii="Arial" w:cs="Arial" w:eastAsia="Arial" w:hAnsi="Arial"/>
                <w:sz w:val="18"/>
                <w:szCs w:val="18"/>
                <w:color w:val="auto"/>
                <w:w w:val="95"/>
              </w:rPr>
              <w:t>EACH</w:t>
            </w:r>
          </w:p>
        </w:tc>
        <w:tc>
          <w:tcPr>
            <w:tcW w:w="36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1,506,000,000</w:t>
            </w:r>
          </w:p>
        </w:tc>
        <w:tc>
          <w:tcPr>
            <w:tcW w:w="0" w:type="dxa"/>
            <w:vAlign w:val="bottom"/>
          </w:tcPr>
          <w:p>
            <w:pPr>
              <w:spacing w:after="0"/>
              <w:rPr>
                <w:sz w:val="1"/>
                <w:szCs w:val="1"/>
                <w:color w:val="auto"/>
              </w:rPr>
            </w:pPr>
          </w:p>
        </w:tc>
      </w:tr>
      <w:tr>
        <w:trPr>
          <w:trHeight w:val="130"/>
        </w:trPr>
        <w:tc>
          <w:tcPr>
            <w:tcW w:w="134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REPORTING</w:t>
            </w:r>
          </w:p>
        </w:tc>
        <w:tc>
          <w:tcPr>
            <w:tcW w:w="360" w:type="dxa"/>
            <w:vAlign w:val="bottom"/>
            <w:tcBorders>
              <w:bottom w:val="single" w:sz="8" w:color="808080"/>
            </w:tcBorders>
          </w:tcPr>
          <w:p>
            <w:pPr>
              <w:spacing w:after="0"/>
              <w:rPr>
                <w:sz w:val="11"/>
                <w:szCs w:val="11"/>
                <w:color w:val="auto"/>
              </w:rPr>
            </w:pPr>
          </w:p>
        </w:tc>
        <w:tc>
          <w:tcPr>
            <w:tcW w:w="6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340" w:type="dxa"/>
            <w:vAlign w:val="bottom"/>
          </w:tcPr>
          <w:p>
            <w:pPr>
              <w:jc w:val="center"/>
              <w:ind w:right="32"/>
              <w:spacing w:after="0"/>
              <w:rPr>
                <w:sz w:val="20"/>
                <w:szCs w:val="20"/>
                <w:color w:val="auto"/>
              </w:rPr>
            </w:pPr>
            <w:r>
              <w:rPr>
                <w:rFonts w:ascii="Arial" w:cs="Arial" w:eastAsia="Arial" w:hAnsi="Arial"/>
                <w:sz w:val="18"/>
                <w:szCs w:val="18"/>
                <w:color w:val="auto"/>
                <w:w w:val="92"/>
              </w:rPr>
              <w:t>PERSON WITH</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7.</w:t>
            </w:r>
          </w:p>
        </w:tc>
        <w:tc>
          <w:tcPr>
            <w:tcW w:w="630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69850</wp:posOffset>
            </wp:positionV>
            <wp:extent cx="4219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3" w:lineRule="exact"/>
        <w:rPr>
          <w:sz w:val="20"/>
          <w:szCs w:val="20"/>
          <w:color w:val="auto"/>
        </w:rPr>
      </w:pPr>
    </w:p>
    <w:p>
      <w:pPr>
        <w:ind w:left="1960" w:right="5799" w:hanging="406"/>
        <w:spacing w:after="0" w:line="505" w:lineRule="auto"/>
        <w:tabs>
          <w:tab w:leader="none" w:pos="19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SHARED DISPOSITIVE POWER 1,506,000,000</w:t>
      </w:r>
    </w:p>
    <w:p>
      <w:pPr>
        <w:spacing w:after="0" w:line="6" w:lineRule="exact"/>
        <w:rPr>
          <w:rFonts w:ascii="Arial" w:cs="Arial" w:eastAsia="Arial" w:hAnsi="Arial"/>
          <w:sz w:val="18"/>
          <w:szCs w:val="18"/>
          <w:b w:val="1"/>
          <w:bCs w:val="1"/>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500" w:right="2259"/>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1,506,000,000 ordinary shares (1,406,000,000 ordinary shares and 1,000,000 American Depositary Shares representing 100,000,000 ordinary shares) held in the name of Shining Globe International Limited. Mr. William Lei Ding is the sole beneficial owner of Shining Globe International Limited.</w:t>
      </w:r>
    </w:p>
    <w:p>
      <w:pPr>
        <w:spacing w:after="0" w:line="174" w:lineRule="exact"/>
        <w:rPr>
          <w:rFonts w:ascii="Arial" w:cs="Arial" w:eastAsia="Arial" w:hAnsi="Arial"/>
          <w:sz w:val="18"/>
          <w:szCs w:val="18"/>
          <w:b w:val="1"/>
          <w:bCs w:val="1"/>
          <w:color w:val="auto"/>
        </w:rPr>
      </w:pPr>
    </w:p>
    <w:p>
      <w:pPr>
        <w:ind w:left="500" w:right="2839" w:hanging="492"/>
        <w:spacing w:after="0" w:line="268" w:lineRule="auto"/>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-1334135</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PERCENT OF CLASS REPRESENTED BY AMOUNT IN ROW (9)</w:t>
      </w:r>
    </w:p>
    <w:p>
      <w:pPr>
        <w:sectPr>
          <w:pgSz w:w="11900" w:h="16838" w:orient="portrait"/>
          <w:cols w:equalWidth="0" w:num="1">
            <w:col w:w="10219"/>
          </w:cols>
          <w:pgMar w:left="240" w:top="131" w:right="1440" w:bottom="0" w:gutter="0" w:footer="0" w:header="0"/>
          <w:type w:val="continuous"/>
        </w:sectPr>
      </w:pPr>
    </w:p>
    <w:bookmarkStart w:id="2" w:name="page3"/>
    <w:bookmarkEnd w:id="2"/>
    <w:p>
      <w:pPr>
        <w:ind w:left="500"/>
        <w:spacing w:after="0"/>
        <w:rPr>
          <w:sz w:val="20"/>
          <w:szCs w:val="20"/>
          <w:color w:val="auto"/>
        </w:rPr>
      </w:pPr>
      <w:r>
        <w:rPr>
          <w:rFonts w:ascii="Arial" w:cs="Arial" w:eastAsia="Arial" w:hAnsi="Arial"/>
          <w:sz w:val="18"/>
          <w:szCs w:val="18"/>
          <w:color w:val="auto"/>
        </w:rPr>
        <w:t>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9" w:lineRule="exact"/>
        <w:rPr>
          <w:sz w:val="20"/>
          <w:szCs w:val="20"/>
          <w:color w:val="auto"/>
        </w:rPr>
      </w:pPr>
    </w:p>
    <w:p>
      <w:pPr>
        <w:ind w:left="500" w:right="6700" w:hanging="492"/>
        <w:spacing w:after="0" w:line="519" w:lineRule="auto"/>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p>
    <w:p>
      <w:pPr>
        <w:spacing w:after="0" w:line="225" w:lineRule="exact"/>
        <w:rPr>
          <w:sz w:val="20"/>
          <w:szCs w:val="20"/>
          <w:color w:val="auto"/>
        </w:rPr>
      </w:pPr>
    </w:p>
    <w:p>
      <w:pPr>
        <w:ind w:left="1140" w:right="820"/>
        <w:spacing w:after="0" w:line="268" w:lineRule="auto"/>
        <w:rPr>
          <w:sz w:val="20"/>
          <w:szCs w:val="20"/>
          <w:color w:val="auto"/>
        </w:rPr>
      </w:pPr>
      <w:r>
        <w:rPr>
          <w:rFonts w:ascii="Arial" w:cs="Arial" w:eastAsia="Arial" w:hAnsi="Arial"/>
          <w:sz w:val="18"/>
          <w:szCs w:val="18"/>
          <w:color w:val="auto"/>
        </w:rPr>
        <w:t>This statement relates to the Ordinary Shares (the “Ordinary Shares”) of the issuer, Netease.com, Inc., a Cayman Islands company (the “Company”).</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p>
    <w:p>
      <w:pPr>
        <w:spacing w:after="0" w:line="225" w:lineRule="exact"/>
        <w:rPr>
          <w:sz w:val="20"/>
          <w:szCs w:val="20"/>
          <w:color w:val="auto"/>
        </w:rPr>
      </w:pPr>
    </w:p>
    <w:p>
      <w:pPr>
        <w:ind w:left="1140" w:right="100"/>
        <w:spacing w:after="0" w:line="268" w:lineRule="auto"/>
        <w:rPr>
          <w:sz w:val="20"/>
          <w:szCs w:val="20"/>
          <w:color w:val="auto"/>
        </w:rPr>
      </w:pPr>
      <w:r>
        <w:rPr>
          <w:rFonts w:ascii="Arial" w:cs="Arial" w:eastAsia="Arial" w:hAnsi="Arial"/>
          <w:sz w:val="18"/>
          <w:szCs w:val="18"/>
          <w:color w:val="auto"/>
        </w:rPr>
        <w:t>The principal executive offices of the Company are located at 2/F, Tower B, Keeven International Research &amp; Development Centre, No. 43 West Road North Third Ring Road, Haidian District, Beijing, The People’s Republic of China 100086.</w:t>
      </w:r>
    </w:p>
    <w:p>
      <w:pPr>
        <w:spacing w:after="0" w:line="186" w:lineRule="exact"/>
        <w:rPr>
          <w:sz w:val="20"/>
          <w:szCs w:val="20"/>
          <w:color w:val="auto"/>
        </w:rPr>
      </w:pPr>
    </w:p>
    <w:p>
      <w:pPr>
        <w:ind w:left="1140" w:right="80" w:hanging="1133"/>
        <w:spacing w:after="0" w:line="294" w:lineRule="auto"/>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Pursuant to Rule 13d-1(k)(1) under the Securities Exchange Act of 1934, as amended (the “Act”), the undersigned hereby file this statement on Schedule 13G on behalf of Mr. William Lei Ding, a citizen of The People’s Republic of China (“Mr. Ding”) and Shining Globe International Limited, a British Virgin Islands company (“Shining Globe”) (each a “Reporting Person” and collectively, the “Reporting Persons”). Mr. Ding is the sole beneficial owner of Shining Globe International Limited. Consequently, Mr. Ding may be deemed to control Shining Globe International Limited and share with Shining Globe voting and dispositive power over the Ordinary Shares of the Company held by it.</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DING</w:t>
      </w:r>
    </w:p>
    <w:p>
      <w:pPr>
        <w:spacing w:after="0" w:line="225" w:lineRule="exact"/>
        <w:rPr>
          <w:sz w:val="20"/>
          <w:szCs w:val="20"/>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 William Lei Ding</w:t>
      </w:r>
    </w:p>
    <w:p>
      <w:pPr>
        <w:spacing w:after="0" w:line="225" w:lineRule="exact"/>
        <w:rPr>
          <w:rFonts w:ascii="Arial" w:cs="Arial" w:eastAsia="Arial" w:hAnsi="Arial"/>
          <w:sz w:val="18"/>
          <w:szCs w:val="18"/>
          <w:color w:val="auto"/>
        </w:rPr>
      </w:pPr>
    </w:p>
    <w:p>
      <w:pPr>
        <w:ind w:left="1700" w:right="220" w:hanging="558"/>
        <w:spacing w:after="0" w:line="332" w:lineRule="auto"/>
        <w:tabs>
          <w:tab w:leader="none" w:pos="1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 of Principal Business Office: c/o Netease.com, Inc., 2/F, Tower B, Keeven International Research &amp; Development Centre, No. 43 West Road North Third Ring Road, Haidian District, Beijing, The People's Republic of China 100086</w:t>
      </w:r>
    </w:p>
    <w:p>
      <w:pPr>
        <w:spacing w:after="0" w:line="139" w:lineRule="exact"/>
        <w:rPr>
          <w:rFonts w:ascii="Arial" w:cs="Arial" w:eastAsia="Arial" w:hAnsi="Arial"/>
          <w:sz w:val="16"/>
          <w:szCs w:val="16"/>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The People's Republic of China</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 Ordinary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CUSIP Number: 64110 W102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SHINING GLOBE</w:t>
      </w:r>
    </w:p>
    <w:p>
      <w:pPr>
        <w:spacing w:after="0" w:line="225" w:lineRule="exact"/>
        <w:rPr>
          <w:sz w:val="20"/>
          <w:szCs w:val="20"/>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Person Filing: Shining Globe International Limited</w:t>
      </w:r>
    </w:p>
    <w:p>
      <w:pPr>
        <w:spacing w:after="0" w:line="225" w:lineRule="exact"/>
        <w:rPr>
          <w:rFonts w:ascii="Arial" w:cs="Arial" w:eastAsia="Arial" w:hAnsi="Arial"/>
          <w:sz w:val="18"/>
          <w:szCs w:val="18"/>
          <w:color w:val="auto"/>
        </w:rPr>
      </w:pPr>
    </w:p>
    <w:p>
      <w:pPr>
        <w:ind w:left="1700" w:right="220" w:hanging="558"/>
        <w:spacing w:after="0" w:line="332"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Address of Principal Business Office: c/o Netease.com, Inc., 2/F, Tower B, Keeven International Research &amp; Development Centre, No. 43 West Road North Third Ring Road, Haidian District, Beijing, The People's Republic of China 100086</w:t>
      </w:r>
    </w:p>
    <w:p>
      <w:pPr>
        <w:spacing w:after="0" w:line="139" w:lineRule="exact"/>
        <w:rPr>
          <w:rFonts w:ascii="Arial" w:cs="Arial" w:eastAsia="Arial" w:hAnsi="Arial"/>
          <w:sz w:val="16"/>
          <w:szCs w:val="16"/>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of Organization: Shining Globe is organized under the laws of the British Virgin Islands.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 Ordinary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CUSIP Number: 64110 W102</w:t>
      </w:r>
    </w:p>
    <w:p>
      <w:pPr>
        <w:spacing w:after="0" w:line="225" w:lineRule="exact"/>
        <w:rPr>
          <w:sz w:val="20"/>
          <w:szCs w:val="20"/>
          <w:color w:val="auto"/>
        </w:rPr>
      </w:pPr>
    </w:p>
    <w:p>
      <w:pPr>
        <w:ind w:left="1140" w:right="120" w:hanging="1133"/>
        <w:spacing w:after="0" w:line="268" w:lineRule="auto"/>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u w:val="single" w:color="auto"/>
          <w:color w:val="auto"/>
        </w:rPr>
        <w:t>IF THIS STATEMENT IS FILED PURSUANT TO §§240.13d-1(B) 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20" w:type="dxa"/>
            <w:vAlign w:val="bottom"/>
          </w:tcPr>
          <w:p>
            <w:pPr>
              <w:spacing w:after="0"/>
              <w:rPr>
                <w:sz w:val="19"/>
                <w:szCs w:val="19"/>
                <w:color w:val="auto"/>
              </w:rPr>
            </w:pPr>
          </w:p>
        </w:tc>
        <w:tc>
          <w:tcPr>
            <w:tcW w:w="9600" w:type="dxa"/>
            <w:vAlign w:val="bottom"/>
          </w:tcPr>
          <w:p>
            <w:pPr>
              <w:ind w:left="3860"/>
              <w:spacing w:after="0"/>
              <w:rPr>
                <w:sz w:val="20"/>
                <w:szCs w:val="20"/>
                <w:color w:val="auto"/>
              </w:rPr>
            </w:pPr>
            <w:r>
              <w:rPr>
                <w:rFonts w:ascii="Arial" w:cs="Arial" w:eastAsia="Arial" w:hAnsi="Arial"/>
                <w:sz w:val="18"/>
                <w:szCs w:val="18"/>
                <w:color w:val="auto"/>
              </w:rPr>
              <w:t>4</w:t>
            </w:r>
          </w:p>
        </w:tc>
      </w:tr>
      <w:tr>
        <w:trPr>
          <w:trHeight w:val="215"/>
        </w:trPr>
        <w:tc>
          <w:tcPr>
            <w:tcW w:w="1820" w:type="dxa"/>
            <w:vAlign w:val="bottom"/>
          </w:tcPr>
          <w:p>
            <w:pPr>
              <w:spacing w:after="0"/>
              <w:rPr>
                <w:sz w:val="18"/>
                <w:szCs w:val="18"/>
                <w:color w:val="auto"/>
              </w:rPr>
            </w:pPr>
          </w:p>
        </w:tc>
        <w:tc>
          <w:tcPr>
            <w:tcW w:w="9600" w:type="dxa"/>
            <w:vAlign w:val="bottom"/>
          </w:tcPr>
          <w:p>
            <w:pPr>
              <w:spacing w:after="0"/>
              <w:rPr>
                <w:sz w:val="18"/>
                <w:szCs w:val="18"/>
                <w:color w:val="auto"/>
              </w:rPr>
            </w:pPr>
          </w:p>
        </w:tc>
      </w:tr>
      <w:tr>
        <w:trPr>
          <w:trHeight w:val="74"/>
        </w:trPr>
        <w:tc>
          <w:tcPr>
            <w:tcW w:w="1820" w:type="dxa"/>
            <w:vAlign w:val="bottom"/>
            <w:shd w:val="clear" w:color="auto" w:fill="808080"/>
          </w:tcPr>
          <w:p>
            <w:pPr>
              <w:spacing w:after="0"/>
              <w:rPr>
                <w:sz w:val="6"/>
                <w:szCs w:val="6"/>
                <w:color w:val="auto"/>
              </w:rPr>
            </w:pPr>
          </w:p>
        </w:tc>
        <w:tc>
          <w:tcPr>
            <w:tcW w:w="9600" w:type="dxa"/>
            <w:vAlign w:val="bottom"/>
            <w:shd w:val="clear" w:color="auto" w:fill="808080"/>
          </w:tcPr>
          <w:p>
            <w:pPr>
              <w:spacing w:after="0"/>
              <w:rPr>
                <w:sz w:val="6"/>
                <w:szCs w:val="6"/>
                <w:color w:val="auto"/>
              </w:rPr>
            </w:pPr>
          </w:p>
        </w:tc>
      </w:tr>
      <w:tr>
        <w:trPr>
          <w:trHeight w:val="319"/>
        </w:trPr>
        <w:tc>
          <w:tcPr>
            <w:tcW w:w="1820" w:type="dxa"/>
            <w:vAlign w:val="bottom"/>
          </w:tcPr>
          <w:p>
            <w:pPr>
              <w:ind w:left="1140"/>
              <w:spacing w:after="0"/>
              <w:rPr>
                <w:sz w:val="20"/>
                <w:szCs w:val="20"/>
                <w:color w:val="auto"/>
              </w:rPr>
            </w:pPr>
            <w:r>
              <w:rPr>
                <w:rFonts w:ascii="Arial" w:cs="Arial" w:eastAsia="Arial" w:hAnsi="Arial"/>
                <w:sz w:val="18"/>
                <w:szCs w:val="18"/>
                <w:color w:val="auto"/>
              </w:rPr>
              <w:t>(a)</w:t>
            </w:r>
          </w:p>
        </w:tc>
        <w:tc>
          <w:tcPr>
            <w:tcW w:w="9600" w:type="dxa"/>
            <w:vAlign w:val="bottom"/>
          </w:tcPr>
          <w:p>
            <w:pPr>
              <w:ind w:left="46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1820" w:type="dxa"/>
            <w:vAlign w:val="bottom"/>
          </w:tcPr>
          <w:p>
            <w:pPr>
              <w:ind w:left="1140"/>
              <w:spacing w:after="0"/>
              <w:rPr>
                <w:sz w:val="20"/>
                <w:szCs w:val="20"/>
                <w:color w:val="auto"/>
              </w:rPr>
            </w:pPr>
            <w:r>
              <w:rPr>
                <w:rFonts w:ascii="Arial" w:cs="Arial" w:eastAsia="Arial" w:hAnsi="Arial"/>
                <w:sz w:val="18"/>
                <w:szCs w:val="18"/>
                <w:color w:val="auto"/>
              </w:rPr>
              <w:t>(b)</w:t>
            </w:r>
          </w:p>
        </w:tc>
        <w:tc>
          <w:tcPr>
            <w:tcW w:w="9600" w:type="dxa"/>
            <w:vAlign w:val="bottom"/>
          </w:tcPr>
          <w:p>
            <w:pPr>
              <w:ind w:left="460"/>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1820" w:type="dxa"/>
            <w:vAlign w:val="bottom"/>
          </w:tcPr>
          <w:p>
            <w:pPr>
              <w:ind w:left="1140"/>
              <w:spacing w:after="0"/>
              <w:rPr>
                <w:sz w:val="20"/>
                <w:szCs w:val="20"/>
                <w:color w:val="auto"/>
              </w:rPr>
            </w:pPr>
            <w:r>
              <w:rPr>
                <w:rFonts w:ascii="Arial" w:cs="Arial" w:eastAsia="Arial" w:hAnsi="Arial"/>
                <w:sz w:val="18"/>
                <w:szCs w:val="18"/>
                <w:color w:val="auto"/>
              </w:rPr>
              <w:t>(c)</w:t>
            </w:r>
          </w:p>
        </w:tc>
        <w:tc>
          <w:tcPr>
            <w:tcW w:w="9600" w:type="dxa"/>
            <w:vAlign w:val="bottom"/>
          </w:tcPr>
          <w:p>
            <w:pPr>
              <w:ind w:left="46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32"/>
        </w:trPr>
        <w:tc>
          <w:tcPr>
            <w:tcW w:w="1820" w:type="dxa"/>
            <w:vAlign w:val="bottom"/>
          </w:tcPr>
          <w:p>
            <w:pPr>
              <w:ind w:left="1140"/>
              <w:spacing w:after="0"/>
              <w:rPr>
                <w:sz w:val="20"/>
                <w:szCs w:val="20"/>
                <w:color w:val="auto"/>
              </w:rPr>
            </w:pPr>
            <w:r>
              <w:rPr>
                <w:rFonts w:ascii="Arial" w:cs="Arial" w:eastAsia="Arial" w:hAnsi="Arial"/>
                <w:sz w:val="18"/>
                <w:szCs w:val="18"/>
                <w:color w:val="auto"/>
              </w:rPr>
              <w:t>(d)</w:t>
            </w:r>
          </w:p>
        </w:tc>
        <w:tc>
          <w:tcPr>
            <w:tcW w:w="9600" w:type="dxa"/>
            <w:vAlign w:val="bottom"/>
          </w:tcPr>
          <w:p>
            <w:pPr>
              <w:ind w:left="46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1820" w:type="dxa"/>
            <w:vAlign w:val="bottom"/>
          </w:tcPr>
          <w:p>
            <w:pPr>
              <w:ind w:left="1140"/>
              <w:spacing w:after="0"/>
              <w:rPr>
                <w:sz w:val="20"/>
                <w:szCs w:val="20"/>
                <w:color w:val="auto"/>
              </w:rPr>
            </w:pPr>
            <w:r>
              <w:rPr>
                <w:rFonts w:ascii="Arial" w:cs="Arial" w:eastAsia="Arial" w:hAnsi="Arial"/>
                <w:sz w:val="18"/>
                <w:szCs w:val="18"/>
                <w:color w:val="auto"/>
              </w:rPr>
              <w:t>(e)</w:t>
            </w:r>
          </w:p>
        </w:tc>
        <w:tc>
          <w:tcPr>
            <w:tcW w:w="9600" w:type="dxa"/>
            <w:vAlign w:val="bottom"/>
          </w:tcPr>
          <w:p>
            <w:pPr>
              <w:ind w:left="460"/>
              <w:spacing w:after="0"/>
              <w:rPr>
                <w:sz w:val="20"/>
                <w:szCs w:val="20"/>
                <w:color w:val="auto"/>
              </w:rPr>
            </w:pPr>
            <w:r>
              <w:rPr>
                <w:rFonts w:ascii="Arial" w:cs="Arial" w:eastAsia="Arial" w:hAnsi="Arial"/>
                <w:sz w:val="18"/>
                <w:szCs w:val="18"/>
                <w:color w:val="auto"/>
              </w:rPr>
              <w:t>An investment adviser in accordance with ss.240.13d-1(b)(1)(ii)(E)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-1233170</wp:posOffset>
            </wp:positionV>
            <wp:extent cx="9461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-958850</wp:posOffset>
            </wp:positionV>
            <wp:extent cx="94615"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-683895</wp:posOffset>
            </wp:positionV>
            <wp:extent cx="9461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-409575</wp:posOffset>
            </wp:positionV>
            <wp:extent cx="94615"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-135255</wp:posOffset>
            </wp:positionV>
            <wp:extent cx="94615"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3" w:name="page4"/>
    <w:bookmarkEnd w:id="3"/>
    <w:p>
      <w:pPr>
        <w:ind w:left="1140"/>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employee benefit plan or endowment fund in accordance with ss.240.13d-1(b)(1)(ii)(F)</w:t>
      </w:r>
    </w:p>
    <w:p>
      <w:pPr>
        <w:spacing w:after="0" w:line="222" w:lineRule="exact"/>
        <w:rPr>
          <w:sz w:val="20"/>
          <w:szCs w:val="20"/>
          <w:color w:val="auto"/>
        </w:rPr>
      </w:pPr>
    </w:p>
    <w:p>
      <w:pPr>
        <w:sectPr>
          <w:pgSz w:w="11900" w:h="16838" w:orient="portrait"/>
          <w:cols w:equalWidth="0" w:num="2">
            <w:col w:w="1560" w:space="720"/>
            <w:col w:w="9120"/>
          </w:cols>
          <w:pgMar w:left="240" w:top="131" w:right="259" w:bottom="0" w:gutter="0" w:footer="0" w:header="0"/>
        </w:sectPr>
      </w:pPr>
    </w:p>
    <w:p>
      <w:pPr>
        <w:spacing w:after="0" w:line="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parent holding company or control person in accordance with ss.240.13d-1(b)(1)(ii)(G)</w:t>
      </w:r>
    </w:p>
    <w:p>
      <w:pPr>
        <w:spacing w:after="0" w:line="200" w:lineRule="exact"/>
        <w:rPr>
          <w:sz w:val="20"/>
          <w:szCs w:val="20"/>
          <w:color w:val="auto"/>
        </w:rPr>
      </w:pPr>
    </w:p>
    <w:p>
      <w:pPr>
        <w:sectPr>
          <w:pgSz w:w="11900" w:h="16838" w:orient="portrait"/>
          <w:cols w:equalWidth="0" w:num="2">
            <w:col w:w="1560" w:space="720"/>
            <w:col w:w="9120"/>
          </w:cols>
          <w:pgMar w:left="240" w:top="131" w:right="259" w:bottom="0" w:gutter="0" w:footer="0" w:header="0"/>
          <w:type w:val="continuous"/>
        </w:sectPr>
      </w:pPr>
    </w:p>
    <w:p>
      <w:pPr>
        <w:spacing w:after="0" w:line="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savings association as defined in Section 3(b) of the Federal Deposit (Insurance Act (12 U.S.C. 1813)</w:t>
      </w:r>
    </w:p>
    <w:p>
      <w:pPr>
        <w:spacing w:after="0" w:line="211" w:lineRule="exact"/>
        <w:rPr>
          <w:sz w:val="20"/>
          <w:szCs w:val="20"/>
          <w:color w:val="auto"/>
        </w:rPr>
      </w:pPr>
    </w:p>
    <w:p>
      <w:pPr>
        <w:sectPr>
          <w:pgSz w:w="11900" w:h="16838" w:orient="portrait"/>
          <w:cols w:equalWidth="0" w:num="2">
            <w:col w:w="1560" w:space="720"/>
            <w:col w:w="9120"/>
          </w:cols>
          <w:pgMar w:left="240" w:top="131" w:right="259" w:bottom="0" w:gutter="0" w:footer="0" w:header="0"/>
          <w:type w:val="continuous"/>
        </w:sectPr>
      </w:pP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86" w:lineRule="exact"/>
        <w:rPr>
          <w:sz w:val="20"/>
          <w:szCs w:val="20"/>
          <w:color w:val="auto"/>
        </w:rPr>
      </w:pPr>
    </w:p>
    <w:p>
      <w:pPr>
        <w:sectPr>
          <w:pgSz w:w="11900" w:h="16838" w:orient="portrait"/>
          <w:cols w:equalWidth="0" w:num="2">
            <w:col w:w="1560" w:space="720"/>
            <w:col w:w="9120"/>
          </w:cols>
          <w:pgMar w:left="240" w:top="131" w:right="259" w:bottom="0" w:gutter="0" w:footer="0" w:header="0"/>
          <w:type w:val="continuous"/>
        </w:sectPr>
      </w:pPr>
    </w:p>
    <w:p>
      <w:pPr>
        <w:ind w:left="1140"/>
        <w:spacing w:after="0"/>
        <w:rPr>
          <w:sz w:val="20"/>
          <w:szCs w:val="20"/>
          <w:color w:val="auto"/>
        </w:rPr>
      </w:pPr>
      <w:r>
        <w:rPr>
          <w:rFonts w:ascii="Arial" w:cs="Arial" w:eastAsia="Arial" w:hAnsi="Arial"/>
          <w:sz w:val="18"/>
          <w:szCs w:val="18"/>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Group, in accordance with ss.240.13d-1(b)(1)(ii)(J)</w:t>
      </w:r>
    </w:p>
    <w:p>
      <w:pPr>
        <w:spacing w:after="0" w:line="222" w:lineRule="exact"/>
        <w:rPr>
          <w:sz w:val="20"/>
          <w:szCs w:val="20"/>
          <w:color w:val="auto"/>
        </w:rPr>
      </w:pPr>
    </w:p>
    <w:p>
      <w:pPr>
        <w:sectPr>
          <w:pgSz w:w="11900" w:h="16838" w:orient="portrait"/>
          <w:cols w:equalWidth="0" w:num="2">
            <w:col w:w="1560" w:space="720"/>
            <w:col w:w="9120"/>
          </w:cols>
          <w:pgMar w:left="240" w:top="131" w:right="259" w:bottom="0" w:gutter="0" w:footer="0" w:header="0"/>
          <w:type w:val="continuous"/>
        </w:sectPr>
      </w:pP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225" w:lineRule="exact"/>
        <w:rPr>
          <w:sz w:val="20"/>
          <w:szCs w:val="20"/>
          <w:color w:val="auto"/>
        </w:rPr>
      </w:pPr>
    </w:p>
    <w:p>
      <w:pPr>
        <w:jc w:val="both"/>
        <w:ind w:left="1140" w:right="60"/>
        <w:spacing w:after="0" w:line="259" w:lineRule="auto"/>
        <w:rPr>
          <w:sz w:val="20"/>
          <w:szCs w:val="20"/>
          <w:color w:val="auto"/>
        </w:rPr>
      </w:pPr>
      <w:r>
        <w:rPr>
          <w:rFonts w:ascii="Arial" w:cs="Arial" w:eastAsia="Arial" w:hAnsi="Arial"/>
          <w:sz w:val="18"/>
          <w:szCs w:val="18"/>
          <w:color w:val="auto"/>
        </w:rPr>
        <w:t>The following information with respect to the ownership of the Ordinary Shares of the Company by the persons filing this statement is provided as of December 31, 2005. The percentage amounts are based on 3,263,526,525 Ordinary Shares outstanding as of December 31, 2005, as derived from the Company’s corporate records.</w:t>
      </w:r>
    </w:p>
    <w:p>
      <w:pPr>
        <w:spacing w:after="0" w:line="194" w:lineRule="exact"/>
        <w:rPr>
          <w:sz w:val="20"/>
          <w:szCs w:val="20"/>
          <w:color w:val="auto"/>
        </w:rPr>
      </w:pPr>
    </w:p>
    <w:p>
      <w:pPr>
        <w:ind w:left="1140" w:right="540"/>
        <w:spacing w:after="0" w:line="268" w:lineRule="auto"/>
        <w:rPr>
          <w:sz w:val="20"/>
          <w:szCs w:val="20"/>
          <w:color w:val="auto"/>
        </w:rPr>
      </w:pPr>
      <w:r>
        <w:rPr>
          <w:rFonts w:ascii="Arial" w:cs="Arial" w:eastAsia="Arial" w:hAnsi="Arial"/>
          <w:sz w:val="18"/>
          <w:szCs w:val="18"/>
          <w:color w:val="auto"/>
        </w:rPr>
        <w:t>Because MR. Ding is the sole beneficial owner of Shining Globe, Mr. Ding may be deemed to control Shining Globe and share voting and dispositive power with Shining Globe over such Ordinary Shares of the Company held by it.</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DING</w:t>
      </w:r>
    </w:p>
    <w:p>
      <w:pPr>
        <w:spacing w:after="0" w:line="225" w:lineRule="exact"/>
        <w:rPr>
          <w:sz w:val="20"/>
          <w:szCs w:val="20"/>
          <w:color w:val="auto"/>
        </w:rPr>
      </w:pPr>
    </w:p>
    <w:p>
      <w:pPr>
        <w:ind w:left="1700" w:right="7680" w:hanging="558"/>
        <w:spacing w:after="0" w:line="501"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1,506,000,000</w:t>
      </w:r>
    </w:p>
    <w:p>
      <w:pPr>
        <w:ind w:left="1700" w:hanging="558"/>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46.1%</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hanging="570"/>
        <w:spacing w:after="0"/>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570"/>
        <w:spacing w:after="0"/>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1,506,000,000</w:t>
      </w:r>
    </w:p>
    <w:p>
      <w:pPr>
        <w:spacing w:after="0" w:line="225" w:lineRule="exact"/>
        <w:rPr>
          <w:rFonts w:ascii="Arial" w:cs="Arial" w:eastAsia="Arial" w:hAnsi="Arial"/>
          <w:sz w:val="18"/>
          <w:szCs w:val="18"/>
          <w:color w:val="auto"/>
        </w:rPr>
      </w:pPr>
    </w:p>
    <w:p>
      <w:pPr>
        <w:ind w:left="2280" w:hanging="570"/>
        <w:spacing w:after="0"/>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225" w:lineRule="exact"/>
        <w:rPr>
          <w:rFonts w:ascii="Arial" w:cs="Arial" w:eastAsia="Arial" w:hAnsi="Arial"/>
          <w:sz w:val="18"/>
          <w:szCs w:val="18"/>
          <w:color w:val="auto"/>
        </w:rPr>
      </w:pPr>
    </w:p>
    <w:p>
      <w:pPr>
        <w:ind w:left="2280" w:hanging="570"/>
        <w:spacing w:after="0"/>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1,506,000,000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SHINING GLOBE</w:t>
      </w:r>
    </w:p>
    <w:p>
      <w:pPr>
        <w:spacing w:after="0" w:line="225" w:lineRule="exact"/>
        <w:rPr>
          <w:sz w:val="20"/>
          <w:szCs w:val="20"/>
          <w:color w:val="auto"/>
        </w:rPr>
      </w:pPr>
    </w:p>
    <w:p>
      <w:pPr>
        <w:ind w:left="1700" w:right="7680" w:hanging="558"/>
        <w:spacing w:after="0" w:line="501"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1,506,000,000</w:t>
      </w: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46.1%</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hanging="570"/>
        <w:spacing w:after="0"/>
        <w:tabs>
          <w:tab w:leader="none" w:pos="2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right="6180" w:hanging="570"/>
        <w:spacing w:after="0" w:line="501" w:lineRule="auto"/>
        <w:tabs>
          <w:tab w:leader="none" w:pos="2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1,506,000,000</w:t>
      </w:r>
    </w:p>
    <w:p>
      <w:pPr>
        <w:ind w:left="2280" w:hanging="570"/>
        <w:spacing w:after="0"/>
        <w:tabs>
          <w:tab w:leader="none" w:pos="2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225" w:lineRule="exact"/>
        <w:rPr>
          <w:rFonts w:ascii="Arial" w:cs="Arial" w:eastAsia="Arial" w:hAnsi="Arial"/>
          <w:sz w:val="18"/>
          <w:szCs w:val="18"/>
          <w:color w:val="auto"/>
        </w:rPr>
      </w:pPr>
    </w:p>
    <w:p>
      <w:pPr>
        <w:ind w:left="2280" w:right="5500" w:hanging="570"/>
        <w:spacing w:after="0" w:line="501" w:lineRule="auto"/>
        <w:tabs>
          <w:tab w:leader="none" w:pos="2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1,506,000,000</w:t>
      </w: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15" w:lineRule="exact"/>
        <w:rPr>
          <w:sz w:val="20"/>
          <w:szCs w:val="20"/>
          <w:color w:val="auto"/>
        </w:rPr>
      </w:pPr>
    </w:p>
    <w:p>
      <w:pPr>
        <w:ind w:left="1700"/>
        <w:spacing w:after="0" w:line="261"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as ceased to be the beneficial owner of more than five percent of the class of securities, check the following </w:t>
      </w:r>
      <w:r>
        <w:rPr>
          <w:sz w:val="1"/>
          <w:szCs w:val="1"/>
          <w:color w:val="auto"/>
        </w:rPr>
        <w:drawing>
          <wp:inline distT="0" distB="0" distL="0" distR="0">
            <wp:extent cx="94615" cy="102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92" w:lineRule="exact"/>
        <w:rPr>
          <w:sz w:val="20"/>
          <w:szCs w:val="20"/>
          <w:color w:val="auto"/>
        </w:rPr>
      </w:pPr>
    </w:p>
    <w:p>
      <w:pPr>
        <w:ind w:left="1140" w:right="3740" w:hanging="1701"/>
        <w:spacing w:after="0" w:line="268" w:lineRule="auto"/>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u w:val="single" w:color="auto"/>
          <w:color w:val="auto"/>
        </w:rPr>
        <w:t xml:space="preserve">OWNERSHIP OF MORE THAN FIVE PERCENT ON BEHALF OF ANOTHER PERSON </w:t>
      </w:r>
      <w:r>
        <w:rPr>
          <w:rFonts w:ascii="Arial" w:cs="Arial" w:eastAsia="Arial" w:hAnsi="Arial"/>
          <w:sz w:val="18"/>
          <w:szCs w:val="18"/>
          <w:color w:val="auto"/>
        </w:rPr>
        <w:t>Not applicable.</w:t>
      </w:r>
    </w:p>
    <w:p>
      <w:pPr>
        <w:sectPr>
          <w:pgSz w:w="11900" w:h="16838" w:orient="portrait"/>
          <w:cols w:equalWidth="0" w:num="1">
            <w:col w:w="11400"/>
          </w:cols>
          <w:pgMar w:left="240" w:top="131" w:right="259" w:bottom="0" w:gutter="0" w:footer="0" w:header="0"/>
          <w:type w:val="continuous"/>
        </w:sectPr>
      </w:pPr>
    </w:p>
    <w:bookmarkStart w:id="4" w:name="page5"/>
    <w:bookmarkEnd w:id="4"/>
    <w:p>
      <w:pPr>
        <w:ind w:left="1140" w:hanging="1133"/>
        <w:spacing w:after="0" w:line="254"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ind w:left="1700" w:right="400"/>
        <w:spacing w:after="0" w:line="261" w:lineRule="auto"/>
        <w:rPr>
          <w:sz w:val="20"/>
          <w:szCs w:val="20"/>
          <w:color w:val="auto"/>
        </w:rPr>
      </w:pPr>
      <w:r>
        <w:rPr>
          <w:rFonts w:ascii="Arial" w:cs="Arial" w:eastAsia="Arial" w:hAnsi="Arial"/>
          <w:sz w:val="18"/>
          <w:szCs w:val="18"/>
          <w:color w:val="auto"/>
        </w:rPr>
        <w:t>The subsidiary, Shining Globe International Limited, which acquired the security being reported on is a Reporting Person in this statement on Schedule 13G.</w:t>
      </w:r>
    </w:p>
    <w:p>
      <w:pPr>
        <w:spacing w:after="0" w:line="1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members of this group are set forth as Reporting Persons in this statement on Schedule 13G.</w:t>
      </w: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GROUP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Dated: February 10, 2006</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-13970</wp:posOffset>
            </wp:positionV>
            <wp:extent cx="20085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085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Mr. William Lei 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Shining Globe International Limited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-13970</wp:posOffset>
            </wp:positionV>
            <wp:extent cx="1868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William Lei Ding</w:t>
      </w:r>
    </w:p>
    <w:p>
      <w:pPr>
        <w:spacing w:after="0" w:line="9"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Title:</w:t>
        <w:tab/>
        <w:t>Sole Beneficial Owner and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120"/>
          </w:cols>
          <w:pgMar w:left="240" w:top="347"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TO JOINT FILINGOF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30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Pursuant to Rule 13d-1(k)(1)(iii) of the Rules and Regulations of the Securities and Exchange Commission under the Securities Exchange Act of 1934, as amended, the undersigned agree that the attached Schedule 13G is, and any future amendments thereto may be,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Dated: February 10, 2006</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-13970</wp:posOffset>
            </wp:positionV>
            <wp:extent cx="20085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085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Mr. William Lei 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Shining Globe International Limited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-13970</wp:posOffset>
            </wp:positionV>
            <wp:extent cx="1868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  William Lei Ding</w:t>
      </w:r>
    </w:p>
    <w:p>
      <w:pPr>
        <w:spacing w:after="0" w:line="9"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Title:</w:t>
        <w:tab/>
        <w:t>Sole Beneficial Owner and Manager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decimal"/>
      <w:start w:val="1"/>
    </w:lvl>
    <w:lvl w:ilvl="1">
      <w:lvlJc w:val="left"/>
      <w:lvlText w:val="%2."/>
      <w:numFmt w:val="decimal"/>
      <w:start w:val="8"/>
    </w:lvl>
  </w:abstractNum>
  <w:abstractNum w:abstractNumId="5">
    <w:nsid w:val="5BD062C2"/>
    <w:multiLevelType w:val="hybridMultilevel"/>
    <w:lvl w:ilvl="0">
      <w:lvlJc w:val="left"/>
      <w:lvlText w:val="%1."/>
      <w:numFmt w:val="decimal"/>
      <w:start w:val="9"/>
    </w:lvl>
    <w:lvl w:ilvl="1">
      <w:lvlJc w:val="left"/>
      <w:lvlText w:val="%2"/>
      <w:numFmt w:val="decimal"/>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2019-12-15T02:21:34Z</dcterms:created>
  <dcterms:modified xsi:type="dcterms:W3CDTF">2019-12-15T02:21:34Z</dcterms:modified>
</cp:coreProperties>
</file>