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229870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February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229870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140"/>
        <w:spacing w:after="0"/>
        <w:tabs>
          <w:tab w:leader="none" w:pos="5160" w:val="left"/>
          <w:tab w:leader="none" w:pos="5720" w:val="left"/>
          <w:tab w:leader="none" w:pos="674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3"/>
          <w:szCs w:val="13"/>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ind w:left="530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Exhibit 99.1 — Announcement —Date of Board Meeting and Date of Publication of Q4 and Fiscal Year 2020 Earnings Announcement</w:t>
        </w:r>
      </w:hyperlink>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62" w:lineRule="exact"/>
        <w:rPr>
          <w:sz w:val="20"/>
          <w:szCs w:val="20"/>
          <w:color w:val="auto"/>
        </w:rPr>
      </w:pPr>
    </w:p>
    <w:p>
      <w:pPr>
        <w:ind w:left="100" w:right="560"/>
        <w:spacing w:after="0" w:line="289" w:lineRule="auto"/>
        <w:rPr>
          <w:sz w:val="20"/>
          <w:szCs w:val="20"/>
          <w:color w:val="auto"/>
        </w:rPr>
      </w:pPr>
      <w:r>
        <w:rPr>
          <w:rFonts w:ascii="Arial" w:cs="Arial" w:eastAsia="Arial" w:hAnsi="Arial"/>
          <w:sz w:val="17"/>
          <w:szCs w:val="17"/>
          <w:color w:val="auto"/>
        </w:rPr>
        <w:t>Hong Kong Exchanges and Clearing Limited and The Stock Exchange of Hong Kong Limited (the “</w:t>
      </w:r>
      <w:r>
        <w:rPr>
          <w:rFonts w:ascii="Arial" w:cs="Arial" w:eastAsia="Arial" w:hAnsi="Arial"/>
          <w:sz w:val="17"/>
          <w:szCs w:val="17"/>
          <w:b w:val="1"/>
          <w:bCs w:val="1"/>
          <w:color w:val="auto"/>
        </w:rPr>
        <w:t>Hong Kong Stock Exchange</w:t>
      </w:r>
      <w:r>
        <w:rPr>
          <w:rFonts w:ascii="Arial" w:cs="Arial" w:eastAsia="Arial" w:hAnsi="Arial"/>
          <w:sz w:val="17"/>
          <w:szCs w:val="17"/>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120650</wp:posOffset>
            </wp:positionV>
            <wp:extent cx="2057400"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9999)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BOARD MEETING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PUBLICATION OF Q4 AND FISCAL YEAR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ANNOUNCEMENT</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will hold a board meeting on Wednesday, February 24, 2021 (Hong Kong time) for the purposes of, among other matters, approving our unaudited results and announcement for the three months and the fiscal year ended December 31, 2020 and the quarterly dividend for the fourth quarter of 2020 (“</w:t>
      </w:r>
      <w:r>
        <w:rPr>
          <w:rFonts w:ascii="Arial" w:cs="Arial" w:eastAsia="Arial" w:hAnsi="Arial"/>
          <w:sz w:val="18"/>
          <w:szCs w:val="18"/>
          <w:b w:val="1"/>
          <w:bCs w:val="1"/>
          <w:color w:val="auto"/>
        </w:rPr>
        <w:t>Results</w:t>
      </w:r>
      <w:r>
        <w:rPr>
          <w:rFonts w:ascii="Arial" w:cs="Arial" w:eastAsia="Arial" w:hAnsi="Arial"/>
          <w:sz w:val="18"/>
          <w:szCs w:val="18"/>
          <w:color w:val="auto"/>
        </w:rPr>
        <w:t xml:space="preserve">”). We will announce our Results at or around 6:00 p.m. on Thursday, February 25, 2021 (Hong Kong time) on the website of the Hong Kong Stock Exchange at </w:t>
      </w:r>
      <w:r>
        <w:rPr>
          <w:rFonts w:ascii="Arial" w:cs="Arial" w:eastAsia="Arial" w:hAnsi="Arial"/>
          <w:sz w:val="18"/>
          <w:szCs w:val="18"/>
          <w:u w:val="single" w:color="auto"/>
          <w:color w:val="auto"/>
        </w:rPr>
        <w:t>www.hkexnews.hk</w:t>
      </w:r>
      <w:r>
        <w:rPr>
          <w:rFonts w:ascii="Arial" w:cs="Arial" w:eastAsia="Arial" w:hAnsi="Arial"/>
          <w:sz w:val="18"/>
          <w:szCs w:val="18"/>
          <w:color w:val="auto"/>
        </w:rPr>
        <w:t>.</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earnings teleconference call with simultaneous webcast will take place at 8:00 p.m. on Thursday, February 25, 2021 (Hong Kong time). NetEase’s management will be on the call to discuss the Results and answer questions.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Interested parties may participate in the conference call by dialing 1-646-828-8193 and providing conference ID: 1965811, 15 minutes prior to the initiation of the call.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NetEase, Inc.</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William Lei Ding</w:t>
      </w:r>
    </w:p>
    <w:p>
      <w:pPr>
        <w:spacing w:after="0" w:line="9" w:lineRule="exact"/>
        <w:rPr>
          <w:sz w:val="20"/>
          <w:szCs w:val="20"/>
          <w:color w:val="auto"/>
        </w:rPr>
      </w:pPr>
    </w:p>
    <w:p>
      <w:pPr>
        <w:ind w:left="103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Hong Kong, February 4, 2021</w:t>
      </w:r>
    </w:p>
    <w:p>
      <w:pPr>
        <w:spacing w:after="0" w:line="22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i w:val="1"/>
          <w:iCs w:val="1"/>
          <w:color w:val="auto"/>
        </w:rPr>
        <w:t>As at the date of this announcement, the board of directors of the Company comprises Mr. William Lei Ding as the director, and Ms. Alice Cheng, Mr. Denny Lee, Mr. Joseph Tong, Mr. Lun Feng, Mr. Michael Leung and Mr. Michael Tong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2021-02-04T05:15:39Z</dcterms:created>
  <dcterms:modified xsi:type="dcterms:W3CDTF">2021-02-04T05:15:39Z</dcterms:modified>
</cp:coreProperties>
</file>