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Chan Kok Chung Johnny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2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NetEase,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NTES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97"/>
        <w:spacing w:after="0" w:line="275" w:lineRule="auto"/>
        <w:rPr>
          <w:sz w:val="20"/>
          <w:szCs w:val="20"/>
          <w:color w:val="auto"/>
        </w:rPr>
      </w:pPr>
      <w:r>
        <w:rPr>
          <w:rFonts w:ascii="Times New Roman" w:cs="Times New Roman" w:eastAsia="Times New Roman" w:hAnsi="Times New Roman"/>
          <w:sz w:val="20"/>
          <w:szCs w:val="20"/>
          <w:color w:val="0000FF"/>
        </w:rPr>
        <w:t>C/O NETEASE, INC. NETEASE BUILDING</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NO. 599 WANGSHANG</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ROAD,BINJIANG DISTRICT</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HANGZHOU F4</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310052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660"/>
              <w:spacing w:after="0"/>
              <w:rPr>
                <w:sz w:val="20"/>
                <w:szCs w:val="20"/>
                <w:color w:val="auto"/>
              </w:rPr>
            </w:pPr>
            <w:r>
              <w:rPr>
                <w:rFonts w:ascii="Times New Roman" w:cs="Times New Roman" w:eastAsia="Times New Roman" w:hAnsi="Times New Roman"/>
                <w:sz w:val="20"/>
                <w:szCs w:val="20"/>
                <w:color w:val="0000FF"/>
              </w:rPr>
              <w:t>300</w:t>
            </w:r>
          </w:p>
        </w:tc>
        <w:tc>
          <w:tcPr>
            <w:tcW w:w="10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8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20" w:type="dxa"/>
            <w:vAlign w:val="bottom"/>
            <w:gridSpan w:val="3"/>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780" w:type="dxa"/>
            <w:vAlign w:val="bottom"/>
            <w:gridSpan w:val="2"/>
          </w:tcPr>
          <w:p>
            <w:pPr>
              <w:ind w:left="20"/>
              <w:spacing w:after="0"/>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80" w:type="dxa"/>
            <w:vAlign w:val="bottom"/>
            <w:gridSpan w:val="4"/>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88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8000"/>
              </w:rPr>
              <w:t>1. Each American depositary share represents five ordinary shares of NetEase, Inc.</w:t>
            </w: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9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0000FF"/>
                <w:w w:val="96"/>
              </w:rPr>
              <w:t>/s/ Doris Fang, Attorney-</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780" w:type="dxa"/>
            <w:vAlign w:val="bottom"/>
            <w:tcBorders>
              <w:bottom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6"/>
              </w:rPr>
              <w:t>in-Fact for Kok Chung</w:t>
            </w:r>
          </w:p>
        </w:tc>
        <w:tc>
          <w:tcPr>
            <w:tcW w:w="2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0000FF"/>
                <w:w w:val="96"/>
              </w:rPr>
              <w:t>03/17/2026</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20" w:type="dxa"/>
            <w:vAlign w:val="bottom"/>
            <w:tcBorders>
              <w:bottom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5"/>
              </w:rPr>
              <w:t>Johnny Chan</w:t>
            </w:r>
          </w:p>
        </w:tc>
        <w:tc>
          <w:tcPr>
            <w:tcW w:w="960" w:type="dxa"/>
            <w:vAlign w:val="bottom"/>
            <w:gridSpan w:val="3"/>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Executing Forms 3, 4 and 5</w:t>
      </w:r>
    </w:p>
    <w:p>
      <w:pPr>
        <w:spacing w:after="0" w:line="230" w:lineRule="exact"/>
        <w:rPr>
          <w:sz w:val="20"/>
          <w:szCs w:val="20"/>
          <w:color w:val="auto"/>
        </w:rPr>
      </w:pPr>
    </w:p>
    <w:p>
      <w:pPr>
        <w:ind w:right="860"/>
        <w:spacing w:after="0" w:line="309"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Paul W. Boltz, Jr., Yawen Han, Doris Fang, Emily Hu and Sarah Li, or any of them, each acting alone, his or her true and lawful attorney-in-fact to:</w:t>
      </w:r>
    </w:p>
    <w:p>
      <w:pPr>
        <w:spacing w:after="0" w:line="158" w:lineRule="exact"/>
        <w:rPr>
          <w:sz w:val="20"/>
          <w:szCs w:val="20"/>
          <w:color w:val="auto"/>
        </w:rPr>
      </w:pPr>
    </w:p>
    <w:p>
      <w:pPr>
        <w:ind w:left="2520" w:right="240" w:hanging="719"/>
        <w:spacing w:after="0" w:line="256" w:lineRule="auto"/>
        <w:tabs>
          <w:tab w:leader="none" w:pos="25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and/or regenerate codes, passphrases and passwords enabling the undersigned to make electronic filings with the SEC of reports required by Section 16 of the Securities Exchange Act of 1934, as amended, and the rules and regulations promulgated thereunder;</w:t>
      </w:r>
    </w:p>
    <w:p>
      <w:pPr>
        <w:spacing w:after="0" w:line="208" w:lineRule="exact"/>
        <w:rPr>
          <w:rFonts w:ascii="Times New Roman" w:cs="Times New Roman" w:eastAsia="Times New Roman" w:hAnsi="Times New Roman"/>
          <w:sz w:val="20"/>
          <w:szCs w:val="20"/>
          <w:color w:val="auto"/>
        </w:rPr>
      </w:pPr>
    </w:p>
    <w:p>
      <w:pPr>
        <w:jc w:val="both"/>
        <w:ind w:left="2520" w:right="240" w:hanging="719"/>
        <w:spacing w:after="0" w:line="266" w:lineRule="auto"/>
        <w:tabs>
          <w:tab w:leader="none" w:pos="25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a Form 3, Form 4 or Form 5, or any amendment thereto, relating to the securities of NetEase, Inc., in accordance with Section 16(a) of the Securities Exchange Act of 1934 and the rules thereunder;</w:t>
      </w:r>
    </w:p>
    <w:p>
      <w:pPr>
        <w:spacing w:after="0" w:line="195" w:lineRule="exact"/>
        <w:rPr>
          <w:rFonts w:ascii="Times New Roman" w:cs="Times New Roman" w:eastAsia="Times New Roman" w:hAnsi="Times New Roman"/>
          <w:sz w:val="20"/>
          <w:szCs w:val="20"/>
          <w:color w:val="auto"/>
        </w:rPr>
      </w:pPr>
    </w:p>
    <w:p>
      <w:pPr>
        <w:ind w:left="2520" w:right="240" w:hanging="719"/>
        <w:spacing w:after="0" w:line="266" w:lineRule="auto"/>
        <w:tabs>
          <w:tab w:leader="none" w:pos="25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such Form 3, Form 4 or Form 5, or any amendment thereto, and the timely filing of such form with the SEC and any other authority; and</w:t>
      </w:r>
    </w:p>
    <w:p>
      <w:pPr>
        <w:spacing w:after="0" w:line="195" w:lineRule="exact"/>
        <w:rPr>
          <w:rFonts w:ascii="Times New Roman" w:cs="Times New Roman" w:eastAsia="Times New Roman" w:hAnsi="Times New Roman"/>
          <w:sz w:val="20"/>
          <w:szCs w:val="20"/>
          <w:color w:val="auto"/>
        </w:rPr>
      </w:pPr>
    </w:p>
    <w:p>
      <w:pPr>
        <w:ind w:left="2520" w:right="420" w:hanging="719"/>
        <w:spacing w:after="0" w:line="258" w:lineRule="auto"/>
        <w:tabs>
          <w:tab w:leader="none" w:pos="25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and proper to be done in the exercise of any of the rights and powers herein granted, as fully to all intents and purposes as such undersigned might or could do if personally present, hereby ratifying and confirming all that such attorney-in-fact shall lawfully do or cause to be done by virtue of this Power of Attorney and the rights and powers herein granted. The undersigned acknowledges that each of the foregoing attorneys-in-fact, in serving in such capacity at the request of the undersigned, is not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NetEase, Inc. unless earlier revoked by the undersigned in a signed writing delivered to the foregoing attorneys-in-fact.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10th day of February 2026.</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Kok Chung Johnny Chan</w:t>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Name:Kok Chung Johnny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-145415</wp:posOffset>
            </wp:positionV>
            <wp:extent cx="325882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25882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16971" TargetMode="External"/><Relationship Id="rId11" Type="http://schemas.openxmlformats.org/officeDocument/2006/relationships/hyperlink" Target="http://www.sec.gov/cgi-bin/browse-edgar?action=getcompany&amp;CIK=00011106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2026-03-17T05:25:02Z</dcterms:created>
  <dcterms:modified xsi:type="dcterms:W3CDTF">2026-03-17T05:25:02Z</dcterms:modified>
</cp:coreProperties>
</file>