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3"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UNITED STATES</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2713355</wp:posOffset>
            </wp:positionH>
            <wp:positionV relativeFrom="paragraph">
              <wp:posOffset>189230</wp:posOffset>
            </wp:positionV>
            <wp:extent cx="182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FORM 20-F</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94" w:lineRule="exact"/>
        <w:rPr>
          <w:sz w:val="24"/>
          <w:szCs w:val="24"/>
          <w:color w:val="auto"/>
        </w:rPr>
      </w:pPr>
    </w:p>
    <w:p>
      <w:pPr>
        <w:ind w:left="600" w:hanging="359"/>
        <w:spacing w:after="0" w:line="257" w:lineRule="auto"/>
        <w:tabs>
          <w:tab w:leader="none" w:pos="60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REGISTRATION STATEMENT PURSUANT TO SECTION 12(b) OR 12(g) OF THE SECURITIES EXCHANGE ACT OF 1934</w:t>
      </w:r>
    </w:p>
    <w:p>
      <w:pPr>
        <w:spacing w:after="0" w:line="177"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OR</w:t>
      </w:r>
    </w:p>
    <w:p>
      <w:pPr>
        <w:spacing w:after="0" w:line="222" w:lineRule="exact"/>
        <w:rPr>
          <w:sz w:val="24"/>
          <w:szCs w:val="24"/>
          <w:color w:val="auto"/>
        </w:rPr>
      </w:pPr>
    </w:p>
    <w:p>
      <w:pPr>
        <w:ind w:left="600" w:right="560" w:hanging="359"/>
        <w:spacing w:after="0" w:line="257" w:lineRule="auto"/>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13 OR 15(d) OF THE SECURITIES EXCHANGE ACT OF 1934 For the fiscal year ended December 31, 2016</w:t>
      </w:r>
    </w:p>
    <w:p>
      <w:pPr>
        <w:spacing w:after="0" w:line="177"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OR</w:t>
      </w:r>
    </w:p>
    <w:p>
      <w:pPr>
        <w:spacing w:after="0" w:line="222" w:lineRule="exact"/>
        <w:rPr>
          <w:sz w:val="24"/>
          <w:szCs w:val="24"/>
          <w:color w:val="auto"/>
        </w:rPr>
      </w:pPr>
    </w:p>
    <w:p>
      <w:pPr>
        <w:ind w:left="600" w:hanging="359"/>
        <w:spacing w:after="0"/>
        <w:tabs>
          <w:tab w:leader="none" w:pos="6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OR</w:t>
      </w:r>
    </w:p>
    <w:p>
      <w:pPr>
        <w:spacing w:after="0" w:line="222" w:lineRule="exact"/>
        <w:rPr>
          <w:sz w:val="24"/>
          <w:szCs w:val="24"/>
          <w:color w:val="auto"/>
        </w:rPr>
      </w:pPr>
    </w:p>
    <w:p>
      <w:pPr>
        <w:ind w:left="600" w:right="100" w:hanging="359"/>
        <w:spacing w:after="0" w:line="257" w:lineRule="auto"/>
        <w:tabs>
          <w:tab w:leader="none" w:pos="60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SHELL COMPANY REPORT PURSUANT TO SECTION 13 OR 15(d) OF THE SECURITIES EXCHANGE ACT OF 1934</w:t>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Date of event requiring this shell company report . . . . . . . . . . . . . . . . . . .</w:t>
      </w:r>
    </w:p>
    <w:p>
      <w:pPr>
        <w:spacing w:after="0" w:line="201" w:lineRule="exact"/>
        <w:rPr>
          <w:sz w:val="24"/>
          <w:szCs w:val="24"/>
          <w:color w:val="auto"/>
        </w:rPr>
      </w:pPr>
    </w:p>
    <w:p>
      <w:pPr>
        <w:ind w:left="20"/>
        <w:spacing w:after="0"/>
        <w:tabs>
          <w:tab w:leader="none" w:pos="3220" w:val="left"/>
        </w:tabs>
        <w:rPr>
          <w:sz w:val="20"/>
          <w:szCs w:val="20"/>
          <w:color w:val="auto"/>
        </w:rPr>
      </w:pPr>
      <w:r>
        <w:rPr>
          <w:rFonts w:ascii="Arial" w:cs="Arial" w:eastAsia="Arial" w:hAnsi="Arial"/>
          <w:sz w:val="21"/>
          <w:szCs w:val="21"/>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Commission file number: 000-30666</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(Exact name of Registrant as specified in its charter)</w:t>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(Translation of Registrant’s name into English)</w:t>
      </w:r>
    </w:p>
    <w:p>
      <w:pPr>
        <w:spacing w:after="0" w:line="19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(Jurisdiction of incorporation or organization)</w:t>
      </w:r>
    </w:p>
    <w:p>
      <w:pPr>
        <w:spacing w:after="0" w:line="19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Building No. 7, West Zone,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Zhongguancun Software Park (Phase II),</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No. 10 Xibeiwang East Road, Haidian District</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Beijing 100193,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7"/>
          <w:szCs w:val="17"/>
          <w:color w:val="auto"/>
        </w:rPr>
        <w:t>(Address of principal executive offices)</w:t>
      </w:r>
    </w:p>
    <w:p>
      <w:pPr>
        <w:spacing w:after="0" w:line="19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Onward Choi</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Building No. 7 West Zone,</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Zhongguancun Software Park (Phase II),</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No. 10 Xibeiwang East Road, Haidian District</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Beijing 100193, People’s Republic of China</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Phone (86 10) 8255-8163</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Facsimile (86 10) 8261-7823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7"/>
          <w:szCs w:val="17"/>
          <w:color w:val="auto"/>
        </w:rPr>
        <w:t>(Name, Telephone, E-mail and/or Facsimile number and Address of Company Contact Person)</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or to be registered pursuant to Section 12(b) of the Act:</w:t>
      </w:r>
    </w:p>
    <w:p>
      <w:pPr>
        <w:spacing w:after="0" w:line="19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American Depositary Shares, each representing 25 ordinary shares, par value US$0.0001 per share,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7"/>
          <w:szCs w:val="17"/>
          <w:color w:val="auto"/>
        </w:rPr>
        <w:t>(Title of Each Class and Name of Each Exchange on Which Registered)</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or to be registered pursuant to Section 12(g) of the Act:</w:t>
      </w:r>
    </w:p>
    <w:p>
      <w:pPr>
        <w:spacing w:after="0" w:line="19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7179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8255"/>
                    </a:xfrm>
                    <a:prstGeom prst="rect">
                      <a:avLst/>
                    </a:prstGeom>
                    <a:noFill/>
                  </pic:spPr>
                </pic:pic>
              </a:graphicData>
            </a:graphic>
          </wp:anchor>
        </w:drawing>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73925"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200"/>
          </w:cols>
          <w:pgMar w:left="240" w:top="230" w:right="45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Securities for which there is a reporting obligation pursuant to Section 15(d) of the Act:</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(Title of Class)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3,281,479,806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14605</wp:posOffset>
            </wp:positionV>
            <wp:extent cx="3945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525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3"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x Yes  o No</w:t>
      </w:r>
    </w:p>
    <w:p>
      <w:pPr>
        <w:spacing w:after="0" w:line="21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 (d) of the Securities Exchange Act of 1934.</w:t>
      </w:r>
    </w:p>
    <w:p>
      <w:pPr>
        <w:spacing w:after="0" w:line="152"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o Yes  x No</w:t>
      </w:r>
    </w:p>
    <w:p>
      <w:pPr>
        <w:spacing w:after="0" w:line="21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3"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x Yes  o No</w:t>
      </w:r>
    </w:p>
    <w:p>
      <w:pPr>
        <w:spacing w:after="0" w:line="21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63"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x Yes  o No</w:t>
      </w:r>
    </w:p>
    <w:p>
      <w:pPr>
        <w:spacing w:after="0" w:line="215"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65" w:lineRule="exact"/>
        <w:rPr>
          <w:sz w:val="20"/>
          <w:szCs w:val="20"/>
          <w:color w:val="auto"/>
        </w:rPr>
      </w:pPr>
    </w:p>
    <w:p>
      <w:pPr>
        <w:ind w:left="580"/>
        <w:spacing w:after="0"/>
        <w:tabs>
          <w:tab w:leader="none" w:pos="3600" w:val="left"/>
          <w:tab w:leader="none" w:pos="6180" w:val="left"/>
          <w:tab w:leader="none" w:pos="8980" w:val="left"/>
        </w:tabs>
        <w:rPr>
          <w:sz w:val="20"/>
          <w:szCs w:val="20"/>
          <w:color w:val="auto"/>
        </w:rPr>
      </w:pPr>
      <w:r>
        <w:rPr>
          <w:rFonts w:ascii="Arial" w:cs="Arial" w:eastAsia="Arial" w:hAnsi="Arial"/>
          <w:sz w:val="17"/>
          <w:szCs w:val="17"/>
          <w:color w:val="auto"/>
        </w:rPr>
        <w:t>Large accelerated filer x</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Non-accelerated filer o</w:t>
      </w:r>
      <w:r>
        <w:rPr>
          <w:sz w:val="20"/>
          <w:szCs w:val="20"/>
          <w:color w:val="auto"/>
        </w:rPr>
        <w:tab/>
      </w:r>
      <w:r>
        <w:rPr>
          <w:rFonts w:ascii="Arial" w:cs="Arial" w:eastAsia="Arial" w:hAnsi="Arial"/>
          <w:sz w:val="15"/>
          <w:szCs w:val="15"/>
          <w:color w:val="auto"/>
        </w:rPr>
        <w:t>Emerging growth company o</w:t>
      </w:r>
    </w:p>
    <w:p>
      <w:pPr>
        <w:spacing w:after="0" w:line="216"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119" w:lineRule="exact"/>
        <w:rPr>
          <w:sz w:val="20"/>
          <w:szCs w:val="20"/>
          <w:color w:val="auto"/>
        </w:rPr>
      </w:pPr>
    </w:p>
    <w:p>
      <w:pPr>
        <w:ind w:right="460" w:firstLine="3"/>
        <w:spacing w:after="0" w:line="278" w:lineRule="auto"/>
        <w:tabs>
          <w:tab w:leader="none" w:pos="1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term “new or revised financial accounting standard” refers to any update issued by the Financial Accounting Standards Board to its Accounting Standards Codification after April 5, 2012.</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1460"/>
          </w:cols>
          <w:pgMar w:left="240" w:top="127" w:right="199" w:bottom="0" w:gutter="0" w:footer="0" w:header="0"/>
        </w:sectPr>
      </w:pPr>
    </w:p>
    <w:p>
      <w:pPr>
        <w:spacing w:after="0" w:line="20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340"/>
        <w:spacing w:after="0"/>
        <w:rPr>
          <w:sz w:val="20"/>
          <w:szCs w:val="20"/>
          <w:color w:val="auto"/>
        </w:rPr>
      </w:pPr>
      <w:r>
        <w:rPr>
          <w:rFonts w:ascii="Arial" w:cs="Arial" w:eastAsia="Arial" w:hAnsi="Arial"/>
          <w:sz w:val="15"/>
          <w:szCs w:val="15"/>
          <w:color w:val="auto"/>
        </w:rPr>
        <w:t>International Financial Reporting Standards as issued</w:t>
      </w:r>
    </w:p>
    <w:p>
      <w:pPr>
        <w:spacing w:after="0" w:line="44"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Other o</w:t>
      </w:r>
    </w:p>
    <w:p>
      <w:pPr>
        <w:spacing w:after="0" w:line="428" w:lineRule="exact"/>
        <w:rPr>
          <w:sz w:val="20"/>
          <w:szCs w:val="20"/>
          <w:color w:val="auto"/>
        </w:rPr>
      </w:pPr>
    </w:p>
    <w:p>
      <w:pPr>
        <w:sectPr>
          <w:pgSz w:w="11900" w:h="16838" w:orient="portrait"/>
          <w:cols w:equalWidth="0" w:num="3">
            <w:col w:w="3180" w:space="720"/>
            <w:col w:w="5000" w:space="720"/>
            <w:col w:w="1840"/>
          </w:cols>
          <w:pgMar w:left="240" w:top="127" w:right="199"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o Item 17  o Item 18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203" w:lineRule="exact"/>
        <w:rPr>
          <w:sz w:val="20"/>
          <w:szCs w:val="20"/>
          <w:color w:val="auto"/>
        </w:rPr>
      </w:pPr>
    </w:p>
    <w:p>
      <w:pPr>
        <w:ind w:left="10620"/>
        <w:spacing w:after="0"/>
        <w:rPr>
          <w:sz w:val="20"/>
          <w:szCs w:val="20"/>
          <w:color w:val="auto"/>
        </w:rPr>
      </w:pPr>
      <w:r>
        <w:rPr>
          <w:rFonts w:ascii="Arial" w:cs="Arial" w:eastAsia="Arial" w:hAnsi="Arial"/>
          <w:sz w:val="17"/>
          <w:szCs w:val="17"/>
          <w:color w:val="auto"/>
        </w:rPr>
        <w:t>oYes  x No</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(APPLICABLE ONLY TO ISSUERS INVOLVED IN BANKRUPTCY PROCEEDINGS DURING THE PAST FIVE YEARS)</w:t>
      </w:r>
    </w:p>
    <w:p>
      <w:pPr>
        <w:spacing w:after="0" w:line="20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20" w:type="dxa"/>
            <w:vAlign w:val="bottom"/>
          </w:tcPr>
          <w:p>
            <w:pPr>
              <w:ind w:left="4980"/>
              <w:spacing w:after="0"/>
              <w:rPr>
                <w:sz w:val="20"/>
                <w:szCs w:val="20"/>
                <w:color w:val="auto"/>
              </w:rPr>
            </w:pPr>
            <w:r>
              <w:rPr>
                <w:rFonts w:ascii="Arial" w:cs="Arial" w:eastAsia="Arial" w:hAnsi="Arial"/>
                <w:sz w:val="17"/>
                <w:szCs w:val="17"/>
                <w:color w:val="auto"/>
                <w:w w:val="96"/>
              </w:rPr>
              <w:t>o Yes</w:t>
            </w:r>
          </w:p>
        </w:tc>
        <w:tc>
          <w:tcPr>
            <w:tcW w:w="440" w:type="dxa"/>
            <w:vAlign w:val="bottom"/>
          </w:tcPr>
          <w:p>
            <w:pPr>
              <w:jc w:val="right"/>
              <w:spacing w:after="0"/>
              <w:rPr>
                <w:sz w:val="20"/>
                <w:szCs w:val="20"/>
                <w:color w:val="auto"/>
              </w:rPr>
            </w:pPr>
            <w:r>
              <w:rPr>
                <w:rFonts w:ascii="Arial" w:cs="Arial" w:eastAsia="Arial" w:hAnsi="Arial"/>
                <w:sz w:val="17"/>
                <w:szCs w:val="17"/>
                <w:color w:val="auto"/>
              </w:rPr>
              <w:t>o No</w:t>
            </w:r>
          </w:p>
        </w:tc>
      </w:tr>
      <w:tr>
        <w:trPr>
          <w:trHeight w:val="319"/>
        </w:trPr>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r>
        <w:trPr>
          <w:trHeight w:val="498"/>
        </w:trPr>
        <w:tc>
          <w:tcPr>
            <w:tcW w:w="1300" w:type="dxa"/>
            <w:vAlign w:val="bottom"/>
            <w:gridSpan w:val="6"/>
          </w:tcPr>
          <w:p>
            <w:pPr>
              <w:spacing w:after="0"/>
              <w:rPr>
                <w:rFonts w:ascii="Arial" w:cs="Arial" w:eastAsia="Arial" w:hAnsi="Arial"/>
                <w:sz w:val="17"/>
                <w:szCs w:val="17"/>
                <w:color w:val="0000EE"/>
                <w:w w:val="95"/>
              </w:rPr>
            </w:pPr>
            <w:hyperlink w:anchor="page2">
              <w:r>
                <w:rPr>
                  <w:rFonts w:ascii="Arial" w:cs="Arial" w:eastAsia="Arial" w:hAnsi="Arial"/>
                  <w:sz w:val="17"/>
                  <w:szCs w:val="17"/>
                  <w:color w:val="0000EE"/>
                  <w:w w:val="95"/>
                </w:rPr>
                <w:t>Table of Contents</w:t>
              </w:r>
            </w:hyperlink>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9"/>
        </w:trPr>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gridSpan w:val="4"/>
          </w:tcPr>
          <w:p>
            <w:pPr>
              <w:ind w:left="160"/>
              <w:spacing w:after="0"/>
              <w:rPr>
                <w:sz w:val="20"/>
                <w:szCs w:val="20"/>
                <w:color w:val="auto"/>
              </w:rPr>
            </w:pPr>
            <w:r>
              <w:rPr>
                <w:rFonts w:ascii="Arial" w:cs="Arial" w:eastAsia="Arial" w:hAnsi="Arial"/>
                <w:sz w:val="17"/>
                <w:szCs w:val="17"/>
                <w:b w:val="1"/>
                <w:bCs w:val="1"/>
                <w:color w:val="auto"/>
              </w:rPr>
              <w:t>TABLE OF CONTENTS</w:t>
            </w:r>
          </w:p>
        </w:tc>
        <w:tc>
          <w:tcPr>
            <w:tcW w:w="440" w:type="dxa"/>
            <w:vAlign w:val="bottom"/>
          </w:tcPr>
          <w:p>
            <w:pPr>
              <w:spacing w:after="0"/>
              <w:rPr>
                <w:sz w:val="24"/>
                <w:szCs w:val="24"/>
                <w:color w:val="auto"/>
              </w:rPr>
            </w:pPr>
          </w:p>
        </w:tc>
      </w:tr>
      <w:tr>
        <w:trPr>
          <w:trHeight w:val="374"/>
        </w:trPr>
        <w:tc>
          <w:tcPr>
            <w:tcW w:w="1300" w:type="dxa"/>
            <w:vAlign w:val="bottom"/>
            <w:tcBorders>
              <w:bottom w:val="single" w:sz="8" w:color="0000EE"/>
            </w:tcBorders>
            <w:gridSpan w:val="6"/>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INTRODUCTION</w:t>
              </w:r>
            </w:hyperlink>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6"/>
        </w:trPr>
        <w:tc>
          <w:tcPr>
            <w:tcW w:w="560" w:type="dxa"/>
            <w:vAlign w:val="bottom"/>
            <w:tcBorders>
              <w:bottom w:val="single" w:sz="8" w:color="0000EE"/>
            </w:tcBorders>
            <w:gridSpan w:val="2"/>
          </w:tcPr>
          <w:p>
            <w:pPr>
              <w:spacing w:after="0" w:line="186" w:lineRule="exact"/>
              <w:rPr>
                <w:rFonts w:ascii="Arial" w:cs="Arial" w:eastAsia="Arial" w:hAnsi="Arial"/>
                <w:sz w:val="17"/>
                <w:szCs w:val="17"/>
                <w:b w:val="1"/>
                <w:bCs w:val="1"/>
                <w:color w:val="0000EE"/>
                <w:w w:val="96"/>
              </w:rPr>
            </w:pPr>
            <w:hyperlink w:anchor="page3">
              <w:r>
                <w:rPr>
                  <w:rFonts w:ascii="Arial" w:cs="Arial" w:eastAsia="Arial" w:hAnsi="Arial"/>
                  <w:sz w:val="17"/>
                  <w:szCs w:val="17"/>
                  <w:b w:val="1"/>
                  <w:bCs w:val="1"/>
                  <w:color w:val="0000EE"/>
                  <w:w w:val="96"/>
                </w:rPr>
                <w:t>PART I</w:t>
              </w:r>
            </w:hyperlink>
          </w:p>
        </w:tc>
        <w:tc>
          <w:tcPr>
            <w:tcW w:w="74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Identity of Directors, Senior Management and Advisors</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Item 2.</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Offer Statistics and Expected Timetable</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Item 3.</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3">
              <w:r>
                <w:rPr>
                  <w:rFonts w:ascii="Arial" w:cs="Arial" w:eastAsia="Arial" w:hAnsi="Arial"/>
                  <w:sz w:val="17"/>
                  <w:szCs w:val="17"/>
                  <w:color w:val="0000EE"/>
                </w:rPr>
                <w:t>Key Information</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2</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22">
              <w:r>
                <w:rPr>
                  <w:rFonts w:ascii="Arial" w:cs="Arial" w:eastAsia="Arial" w:hAnsi="Arial"/>
                  <w:sz w:val="17"/>
                  <w:szCs w:val="17"/>
                  <w:color w:val="0000EE"/>
                </w:rPr>
                <w:t>Item 4.</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22">
              <w:r>
                <w:rPr>
                  <w:rFonts w:ascii="Arial" w:cs="Arial" w:eastAsia="Arial" w:hAnsi="Arial"/>
                  <w:sz w:val="17"/>
                  <w:szCs w:val="17"/>
                  <w:color w:val="0000EE"/>
                </w:rPr>
                <w:t>Information on the Company</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27</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Item 4A.</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Unresolved Staff Comments</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50</w:t>
            </w:r>
          </w:p>
        </w:tc>
      </w:tr>
      <w:tr>
        <w:trPr>
          <w:trHeight w:val="20"/>
        </w:trPr>
        <w:tc>
          <w:tcPr>
            <w:tcW w:w="30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560" w:type="dxa"/>
            <w:vAlign w:val="bottom"/>
            <w:gridSpan w:val="3"/>
          </w:tcPr>
          <w:p>
            <w:pPr>
              <w:spacing w:after="0" w:line="186" w:lineRule="exact"/>
              <w:rPr>
                <w:rFonts w:ascii="Arial" w:cs="Arial" w:eastAsia="Arial" w:hAnsi="Arial"/>
                <w:sz w:val="17"/>
                <w:szCs w:val="17"/>
                <w:color w:val="0000EE"/>
                <w:w w:val="99"/>
              </w:rPr>
            </w:pPr>
            <w:hyperlink w:anchor="page38">
              <w:r>
                <w:rPr>
                  <w:rFonts w:ascii="Arial" w:cs="Arial" w:eastAsia="Arial" w:hAnsi="Arial"/>
                  <w:sz w:val="17"/>
                  <w:szCs w:val="17"/>
                  <w:color w:val="0000EE"/>
                  <w:w w:val="99"/>
                </w:rPr>
                <w:t>Item 5.</w:t>
              </w:r>
            </w:hyperlink>
          </w:p>
        </w:tc>
        <w:tc>
          <w:tcPr>
            <w:tcW w:w="4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Operating and Financial Review and Prospects</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50</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57">
              <w:r>
                <w:rPr>
                  <w:rFonts w:ascii="Arial" w:cs="Arial" w:eastAsia="Arial" w:hAnsi="Arial"/>
                  <w:sz w:val="17"/>
                  <w:szCs w:val="17"/>
                  <w:color w:val="0000EE"/>
                </w:rPr>
                <w:t>Item 6.</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57">
              <w:r>
                <w:rPr>
                  <w:rFonts w:ascii="Arial" w:cs="Arial" w:eastAsia="Arial" w:hAnsi="Arial"/>
                  <w:sz w:val="17"/>
                  <w:szCs w:val="17"/>
                  <w:color w:val="0000EE"/>
                </w:rPr>
                <w:t>Directors, Senior Management and Employees</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75</w:t>
            </w:r>
          </w:p>
        </w:tc>
      </w:t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61">
              <w:r>
                <w:rPr>
                  <w:rFonts w:ascii="Arial" w:cs="Arial" w:eastAsia="Arial" w:hAnsi="Arial"/>
                  <w:sz w:val="17"/>
                  <w:szCs w:val="17"/>
                  <w:color w:val="0000EE"/>
                </w:rPr>
                <w:t>Item 7.</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61">
              <w:r>
                <w:rPr>
                  <w:rFonts w:ascii="Arial" w:cs="Arial" w:eastAsia="Arial" w:hAnsi="Arial"/>
                  <w:sz w:val="17"/>
                  <w:szCs w:val="17"/>
                  <w:color w:val="0000EE"/>
                </w:rPr>
                <w:t>Major Shareholders and Related Party Transactions</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80</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65">
              <w:r>
                <w:rPr>
                  <w:rFonts w:ascii="Arial" w:cs="Arial" w:eastAsia="Arial" w:hAnsi="Arial"/>
                  <w:sz w:val="17"/>
                  <w:szCs w:val="17"/>
                  <w:color w:val="0000EE"/>
                </w:rPr>
                <w:t>Item 8.</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65">
              <w:r>
                <w:rPr>
                  <w:rFonts w:ascii="Arial" w:cs="Arial" w:eastAsia="Arial" w:hAnsi="Arial"/>
                  <w:sz w:val="17"/>
                  <w:szCs w:val="17"/>
                  <w:color w:val="0000EE"/>
                </w:rPr>
                <w:t>Financial Information</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85</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Item 9.</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The Offer and Listing</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86</w:t>
            </w:r>
          </w:p>
        </w:tc>
      </w:tr>
      <w:tr>
        <w:trPr>
          <w:trHeight w:val="20"/>
        </w:trPr>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Item 10.</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Additional Information</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87</w:t>
            </w:r>
          </w:p>
        </w:tc>
      </w:tr>
      <w:tr>
        <w:trPr>
          <w:trHeight w:val="20"/>
        </w:trPr>
        <w:tc>
          <w:tcPr>
            <w:tcW w:w="30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000" w:type="dxa"/>
            <w:vAlign w:val="bottom"/>
            <w:gridSpan w:val="5"/>
          </w:tcPr>
          <w:p>
            <w:pPr>
              <w:spacing w:after="0" w:line="186" w:lineRule="exact"/>
              <w:rPr>
                <w:rFonts w:ascii="Arial" w:cs="Arial" w:eastAsia="Arial" w:hAnsi="Arial"/>
                <w:sz w:val="17"/>
                <w:szCs w:val="17"/>
                <w:color w:val="0000EE"/>
              </w:rPr>
            </w:pPr>
            <w:hyperlink w:anchor="page73">
              <w:r>
                <w:rPr>
                  <w:rFonts w:ascii="Arial" w:cs="Arial" w:eastAsia="Arial" w:hAnsi="Arial"/>
                  <w:sz w:val="17"/>
                  <w:szCs w:val="17"/>
                  <w:color w:val="0000EE"/>
                </w:rPr>
                <w:t>Item 11.</w:t>
              </w:r>
            </w:hyperlink>
          </w:p>
        </w:tc>
        <w:tc>
          <w:tcPr>
            <w:tcW w:w="140" w:type="dxa"/>
            <w:vAlign w:val="bottom"/>
          </w:tcPr>
          <w:p>
            <w:pPr>
              <w:spacing w:after="0"/>
              <w:rPr>
                <w:sz w:val="16"/>
                <w:szCs w:val="16"/>
                <w:color w:val="auto"/>
              </w:rPr>
            </w:pPr>
          </w:p>
        </w:tc>
        <w:tc>
          <w:tcPr>
            <w:tcW w:w="9580" w:type="dxa"/>
            <w:vAlign w:val="bottom"/>
            <w:gridSpan w:val="10"/>
          </w:tcPr>
          <w:p>
            <w:pPr>
              <w:spacing w:after="0" w:line="186" w:lineRule="exact"/>
              <w:rPr>
                <w:rFonts w:ascii="Arial" w:cs="Arial" w:eastAsia="Arial" w:hAnsi="Arial"/>
                <w:sz w:val="17"/>
                <w:szCs w:val="17"/>
                <w:color w:val="0000EE"/>
              </w:rPr>
            </w:pPr>
            <w:hyperlink w:anchor="page73">
              <w:r>
                <w:rPr>
                  <w:rFonts w:ascii="Arial" w:cs="Arial" w:eastAsia="Arial" w:hAnsi="Arial"/>
                  <w:sz w:val="17"/>
                  <w:szCs w:val="17"/>
                  <w:color w:val="0000EE"/>
                </w:rPr>
                <w:t>Quantitative and Qualitative Disclosures About Market Risk</w:t>
              </w:r>
            </w:hyperlink>
          </w:p>
        </w:tc>
        <w:tc>
          <w:tcPr>
            <w:tcW w:w="440" w:type="dxa"/>
            <w:vAlign w:val="bottom"/>
          </w:tcPr>
          <w:p>
            <w:pPr>
              <w:jc w:val="right"/>
              <w:spacing w:after="0" w:line="186" w:lineRule="exact"/>
              <w:rPr>
                <w:sz w:val="20"/>
                <w:szCs w:val="20"/>
                <w:color w:val="auto"/>
              </w:rPr>
            </w:pPr>
            <w:r>
              <w:rPr>
                <w:rFonts w:ascii="Arial" w:cs="Arial" w:eastAsia="Arial" w:hAnsi="Arial"/>
                <w:sz w:val="17"/>
                <w:szCs w:val="17"/>
                <w:color w:val="auto"/>
              </w:rPr>
              <w:t>96</w:t>
            </w:r>
          </w:p>
        </w:tc>
      </w:t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-2574290</wp:posOffset>
            </wp:positionV>
            <wp:extent cx="1270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-2574290</wp:posOffset>
            </wp:positionV>
            <wp:extent cx="12700" cy="2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1140" w:type="dxa"/>
            <w:vAlign w:val="bottom"/>
            <w:gridSpan w:val="6"/>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Item 12.</w:t>
              </w:r>
            </w:hyperlink>
          </w:p>
        </w:tc>
        <w:tc>
          <w:tcPr>
            <w:tcW w:w="5340" w:type="dxa"/>
            <w:vAlign w:val="bottom"/>
            <w:gridSpan w:val="12"/>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Description of Securities Other than Equity Securities</w:t>
              </w:r>
            </w:hyperlink>
          </w:p>
        </w:tc>
        <w:tc>
          <w:tcPr>
            <w:tcW w:w="468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1440" w:type="dxa"/>
            <w:vAlign w:val="bottom"/>
            <w:gridSpan w:val="7"/>
          </w:tcPr>
          <w:p>
            <w:pPr>
              <w:spacing w:after="0" w:line="186" w:lineRule="exact"/>
              <w:rPr>
                <w:rFonts w:ascii="Arial" w:cs="Arial" w:eastAsia="Arial" w:hAnsi="Arial"/>
                <w:sz w:val="17"/>
                <w:szCs w:val="17"/>
                <w:b w:val="1"/>
                <w:bCs w:val="1"/>
                <w:color w:val="0000EE"/>
              </w:rPr>
            </w:pPr>
            <w:hyperlink w:anchor="page74">
              <w:r>
                <w:rPr>
                  <w:rFonts w:ascii="Arial" w:cs="Arial" w:eastAsia="Arial" w:hAnsi="Arial"/>
                  <w:sz w:val="17"/>
                  <w:szCs w:val="17"/>
                  <w:b w:val="1"/>
                  <w:bCs w:val="1"/>
                  <w:color w:val="0000EE"/>
                </w:rPr>
                <w:t>PART II</w:t>
              </w:r>
            </w:hyperlink>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97</w:t>
            </w:r>
          </w:p>
        </w:tc>
      </w:tr>
      <w:tr>
        <w:trPr>
          <w:trHeight w:val="20"/>
        </w:trPr>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w:anchor="page74">
              <w:r>
                <w:rPr>
                  <w:rFonts w:ascii="Arial" w:cs="Arial" w:eastAsia="Arial" w:hAnsi="Arial"/>
                  <w:sz w:val="17"/>
                  <w:szCs w:val="17"/>
                  <w:color w:val="0000EE"/>
                  <w:w w:val="91"/>
                </w:rPr>
                <w:t>Item 13.</w:t>
              </w:r>
            </w:hyperlink>
          </w:p>
        </w:tc>
        <w:tc>
          <w:tcPr>
            <w:tcW w:w="560" w:type="dxa"/>
            <w:vAlign w:val="bottom"/>
            <w:gridSpan w:val="2"/>
          </w:tcPr>
          <w:p>
            <w:pPr>
              <w:spacing w:after="0"/>
              <w:rPr>
                <w:sz w:val="16"/>
                <w:szCs w:val="16"/>
                <w:color w:val="auto"/>
              </w:rPr>
            </w:pPr>
          </w:p>
        </w:tc>
        <w:tc>
          <w:tcPr>
            <w:tcW w:w="3420" w:type="dxa"/>
            <w:vAlign w:val="bottom"/>
            <w:tcBorders>
              <w:bottom w:val="single" w:sz="8" w:color="0000EE"/>
            </w:tcBorders>
            <w:gridSpan w:val="8"/>
          </w:tcPr>
          <w:p>
            <w:pPr>
              <w:spacing w:after="0" w:line="186" w:lineRule="exact"/>
              <w:rPr>
                <w:rFonts w:ascii="Arial" w:cs="Arial" w:eastAsia="Arial" w:hAnsi="Arial"/>
                <w:sz w:val="17"/>
                <w:szCs w:val="17"/>
                <w:color w:val="0000EE"/>
                <w:w w:val="91"/>
              </w:rPr>
            </w:pPr>
            <w:hyperlink w:anchor="page74">
              <w:r>
                <w:rPr>
                  <w:rFonts w:ascii="Arial" w:cs="Arial" w:eastAsia="Arial" w:hAnsi="Arial"/>
                  <w:sz w:val="17"/>
                  <w:szCs w:val="17"/>
                  <w:color w:val="0000EE"/>
                  <w:w w:val="91"/>
                </w:rPr>
                <w:t>Defaults, Dividend Arrearages and Delinquencies</w:t>
              </w:r>
            </w:hyperlink>
          </w:p>
        </w:tc>
        <w:tc>
          <w:tcPr>
            <w:tcW w:w="1920" w:type="dxa"/>
            <w:vAlign w:val="bottom"/>
            <w:gridSpan w:val="4"/>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97</w:t>
            </w:r>
          </w:p>
        </w:tc>
      </w:tr>
      <w:tr>
        <w:trPr>
          <w:trHeight w:val="186"/>
        </w:trPr>
        <w:tc>
          <w:tcPr>
            <w:tcW w:w="30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w:anchor="page74">
              <w:r>
                <w:rPr>
                  <w:rFonts w:ascii="Arial" w:cs="Arial" w:eastAsia="Arial" w:hAnsi="Arial"/>
                  <w:sz w:val="17"/>
                  <w:szCs w:val="17"/>
                  <w:color w:val="0000EE"/>
                  <w:w w:val="91"/>
                </w:rPr>
                <w:t>Item 14.</w:t>
              </w:r>
            </w:hyperlink>
          </w:p>
        </w:tc>
        <w:tc>
          <w:tcPr>
            <w:tcW w:w="560" w:type="dxa"/>
            <w:vAlign w:val="bottom"/>
            <w:gridSpan w:val="2"/>
          </w:tcPr>
          <w:p>
            <w:pPr>
              <w:spacing w:after="0"/>
              <w:rPr>
                <w:sz w:val="16"/>
                <w:szCs w:val="16"/>
                <w:color w:val="auto"/>
              </w:rPr>
            </w:pPr>
          </w:p>
        </w:tc>
        <w:tc>
          <w:tcPr>
            <w:tcW w:w="5340" w:type="dxa"/>
            <w:vAlign w:val="bottom"/>
            <w:tcBorders>
              <w:bottom w:val="single" w:sz="8" w:color="0000EE"/>
            </w:tcBorders>
            <w:gridSpan w:val="12"/>
          </w:tcPr>
          <w:p>
            <w:pPr>
              <w:spacing w:after="0" w:line="186" w:lineRule="exact"/>
              <w:rPr>
                <w:rFonts w:ascii="Arial" w:cs="Arial" w:eastAsia="Arial" w:hAnsi="Arial"/>
                <w:sz w:val="17"/>
                <w:szCs w:val="17"/>
                <w:color w:val="0000EE"/>
                <w:w w:val="92"/>
              </w:rPr>
            </w:pPr>
            <w:hyperlink w:anchor="page74">
              <w:r>
                <w:rPr>
                  <w:rFonts w:ascii="Arial" w:cs="Arial" w:eastAsia="Arial" w:hAnsi="Arial"/>
                  <w:sz w:val="17"/>
                  <w:szCs w:val="17"/>
                  <w:color w:val="0000EE"/>
                  <w:w w:val="92"/>
                </w:rPr>
                <w:t>Material Modifications to the Rights of Security Holders and Use of Proceeds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97</w:t>
            </w:r>
          </w:p>
        </w:tc>
      </w:tr>
      <w:tr>
        <w:trPr>
          <w:trHeight w:val="186"/>
        </w:trPr>
        <w:tc>
          <w:tcPr>
            <w:tcW w:w="300" w:type="dxa"/>
            <w:vAlign w:val="bottom"/>
          </w:tcPr>
          <w:p>
            <w:pPr>
              <w:spacing w:after="0"/>
              <w:rPr>
                <w:sz w:val="16"/>
                <w:szCs w:val="16"/>
                <w:color w:val="auto"/>
              </w:rPr>
            </w:pPr>
          </w:p>
        </w:tc>
        <w:tc>
          <w:tcPr>
            <w:tcW w:w="580" w:type="dxa"/>
            <w:vAlign w:val="bottom"/>
            <w:gridSpan w:val="4"/>
          </w:tcPr>
          <w:p>
            <w:pPr>
              <w:spacing w:after="0" w:line="186" w:lineRule="exact"/>
              <w:rPr>
                <w:rFonts w:ascii="Arial" w:cs="Arial" w:eastAsia="Arial" w:hAnsi="Arial"/>
                <w:sz w:val="17"/>
                <w:szCs w:val="17"/>
                <w:color w:val="0000EE"/>
                <w:w w:val="91"/>
              </w:rPr>
            </w:pPr>
            <w:hyperlink w:anchor="page74">
              <w:r>
                <w:rPr>
                  <w:rFonts w:ascii="Arial" w:cs="Arial" w:eastAsia="Arial" w:hAnsi="Arial"/>
                  <w:sz w:val="17"/>
                  <w:szCs w:val="17"/>
                  <w:color w:val="0000EE"/>
                  <w:w w:val="91"/>
                </w:rPr>
                <w:t>Item 15.</w:t>
              </w:r>
            </w:hyperlink>
          </w:p>
        </w:tc>
        <w:tc>
          <w:tcPr>
            <w:tcW w:w="560" w:type="dxa"/>
            <w:vAlign w:val="bottom"/>
            <w:gridSpan w:val="2"/>
          </w:tcPr>
          <w:p>
            <w:pPr>
              <w:spacing w:after="0"/>
              <w:rPr>
                <w:sz w:val="16"/>
                <w:szCs w:val="16"/>
                <w:color w:val="auto"/>
              </w:rPr>
            </w:pPr>
          </w:p>
        </w:tc>
        <w:tc>
          <w:tcPr>
            <w:tcW w:w="5340" w:type="dxa"/>
            <w:vAlign w:val="bottom"/>
            <w:gridSpan w:val="12"/>
          </w:tcPr>
          <w:p>
            <w:pPr>
              <w:spacing w:after="0" w:line="186" w:lineRule="exact"/>
              <w:rPr>
                <w:rFonts w:ascii="Arial" w:cs="Arial" w:eastAsia="Arial" w:hAnsi="Arial"/>
                <w:sz w:val="17"/>
                <w:szCs w:val="17"/>
                <w:color w:val="0000EE"/>
              </w:rPr>
            </w:pPr>
            <w:hyperlink w:anchor="page74">
              <w:r>
                <w:rPr>
                  <w:rFonts w:ascii="Arial" w:cs="Arial" w:eastAsia="Arial" w:hAnsi="Arial"/>
                  <w:sz w:val="17"/>
                  <w:szCs w:val="17"/>
                  <w:color w:val="0000EE"/>
                </w:rPr>
                <w:t>Controls and Procedures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97</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6" w:lineRule="exact"/>
              <w:rPr>
                <w:rFonts w:ascii="Arial" w:cs="Arial" w:eastAsia="Arial" w:hAnsi="Arial"/>
                <w:sz w:val="17"/>
                <w:szCs w:val="17"/>
                <w:color w:val="0000EE"/>
                <w:w w:val="87"/>
              </w:rPr>
            </w:pPr>
            <w:hyperlink w:anchor="page75">
              <w:r>
                <w:rPr>
                  <w:rFonts w:ascii="Arial" w:cs="Arial" w:eastAsia="Arial" w:hAnsi="Arial"/>
                  <w:sz w:val="17"/>
                  <w:szCs w:val="17"/>
                  <w:color w:val="0000EE"/>
                  <w:w w:val="87"/>
                </w:rPr>
                <w:t>Item 16A.</w:t>
              </w:r>
            </w:hyperlink>
          </w:p>
        </w:tc>
        <w:tc>
          <w:tcPr>
            <w:tcW w:w="460" w:type="dxa"/>
            <w:vAlign w:val="bottom"/>
          </w:tcPr>
          <w:p>
            <w:pPr>
              <w:spacing w:after="0"/>
              <w:rPr>
                <w:sz w:val="16"/>
                <w:szCs w:val="16"/>
                <w:color w:val="auto"/>
              </w:rPr>
            </w:pPr>
          </w:p>
        </w:tc>
        <w:tc>
          <w:tcPr>
            <w:tcW w:w="2380" w:type="dxa"/>
            <w:vAlign w:val="bottom"/>
            <w:tcBorders>
              <w:bottom w:val="single" w:sz="8" w:color="0000EE"/>
            </w:tcBorders>
            <w:gridSpan w:val="5"/>
          </w:tcPr>
          <w:p>
            <w:pPr>
              <w:spacing w:after="0" w:line="186" w:lineRule="exact"/>
              <w:rPr>
                <w:rFonts w:ascii="Arial" w:cs="Arial" w:eastAsia="Arial" w:hAnsi="Arial"/>
                <w:sz w:val="17"/>
                <w:szCs w:val="17"/>
                <w:color w:val="0000EE"/>
                <w:w w:val="93"/>
              </w:rPr>
            </w:pPr>
            <w:hyperlink w:anchor="page75">
              <w:r>
                <w:rPr>
                  <w:rFonts w:ascii="Arial" w:cs="Arial" w:eastAsia="Arial" w:hAnsi="Arial"/>
                  <w:sz w:val="17"/>
                  <w:szCs w:val="17"/>
                  <w:color w:val="0000EE"/>
                  <w:w w:val="93"/>
                </w:rPr>
                <w:t>Audit Committee Financial Expert</w:t>
              </w:r>
            </w:hyperlink>
          </w:p>
        </w:tc>
        <w:tc>
          <w:tcPr>
            <w:tcW w:w="2960" w:type="dxa"/>
            <w:vAlign w:val="bottom"/>
            <w:gridSpan w:val="7"/>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98</w:t>
            </w:r>
          </w:p>
        </w:tc>
      </w:tr>
      <w:tr>
        <w:trPr>
          <w:trHeight w:val="186"/>
        </w:trPr>
        <w:tc>
          <w:tcPr>
            <w:tcW w:w="300" w:type="dxa"/>
            <w:vAlign w:val="bottom"/>
          </w:tcPr>
          <w:p>
            <w:pPr>
              <w:spacing w:after="0"/>
              <w:rPr>
                <w:sz w:val="16"/>
                <w:szCs w:val="16"/>
                <w:color w:val="auto"/>
              </w:rPr>
            </w:pPr>
          </w:p>
        </w:tc>
        <w:tc>
          <w:tcPr>
            <w:tcW w:w="1140" w:type="dxa"/>
            <w:vAlign w:val="bottom"/>
            <w:gridSpan w:val="6"/>
          </w:tcPr>
          <w:p>
            <w:pPr>
              <w:spacing w:after="0" w:line="186" w:lineRule="exact"/>
              <w:rPr>
                <w:rFonts w:ascii="Arial" w:cs="Arial" w:eastAsia="Arial" w:hAnsi="Arial"/>
                <w:sz w:val="17"/>
                <w:szCs w:val="17"/>
                <w:color w:val="0000EE"/>
              </w:rPr>
            </w:pPr>
            <w:hyperlink w:anchor="page75">
              <w:r>
                <w:rPr>
                  <w:rFonts w:ascii="Arial" w:cs="Arial" w:eastAsia="Arial" w:hAnsi="Arial"/>
                  <w:sz w:val="17"/>
                  <w:szCs w:val="17"/>
                  <w:color w:val="0000EE"/>
                </w:rPr>
                <w:t>Item 16B.</w:t>
              </w:r>
            </w:hyperlink>
          </w:p>
        </w:tc>
        <w:tc>
          <w:tcPr>
            <w:tcW w:w="5340" w:type="dxa"/>
            <w:vAlign w:val="bottom"/>
            <w:gridSpan w:val="12"/>
          </w:tcPr>
          <w:p>
            <w:pPr>
              <w:spacing w:after="0" w:line="186" w:lineRule="exact"/>
              <w:rPr>
                <w:rFonts w:ascii="Arial" w:cs="Arial" w:eastAsia="Arial" w:hAnsi="Arial"/>
                <w:sz w:val="17"/>
                <w:szCs w:val="17"/>
                <w:color w:val="0000EE"/>
              </w:rPr>
            </w:pPr>
            <w:hyperlink w:anchor="page75">
              <w:r>
                <w:rPr>
                  <w:rFonts w:ascii="Arial" w:cs="Arial" w:eastAsia="Arial" w:hAnsi="Arial"/>
                  <w:sz w:val="17"/>
                  <w:szCs w:val="17"/>
                  <w:color w:val="0000EE"/>
                </w:rPr>
                <w:t>Code of Ethics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98</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1140" w:type="dxa"/>
            <w:vAlign w:val="bottom"/>
            <w:gridSpan w:val="6"/>
          </w:tcPr>
          <w:p>
            <w:pPr>
              <w:spacing w:after="0" w:line="186" w:lineRule="exact"/>
              <w:rPr>
                <w:rFonts w:ascii="Arial" w:cs="Arial" w:eastAsia="Arial" w:hAnsi="Arial"/>
                <w:sz w:val="17"/>
                <w:szCs w:val="17"/>
                <w:color w:val="0000EE"/>
              </w:rPr>
            </w:pPr>
            <w:hyperlink w:anchor="page75">
              <w:r>
                <w:rPr>
                  <w:rFonts w:ascii="Arial" w:cs="Arial" w:eastAsia="Arial" w:hAnsi="Arial"/>
                  <w:sz w:val="17"/>
                  <w:szCs w:val="17"/>
                  <w:color w:val="0000EE"/>
                </w:rPr>
                <w:t>Item 16C.</w:t>
              </w:r>
            </w:hyperlink>
          </w:p>
        </w:tc>
        <w:tc>
          <w:tcPr>
            <w:tcW w:w="5340" w:type="dxa"/>
            <w:vAlign w:val="bottom"/>
            <w:gridSpan w:val="12"/>
          </w:tcPr>
          <w:p>
            <w:pPr>
              <w:spacing w:after="0" w:line="186" w:lineRule="exact"/>
              <w:rPr>
                <w:rFonts w:ascii="Arial" w:cs="Arial" w:eastAsia="Arial" w:hAnsi="Arial"/>
                <w:sz w:val="17"/>
                <w:szCs w:val="17"/>
                <w:color w:val="0000EE"/>
              </w:rPr>
            </w:pPr>
            <w:hyperlink w:anchor="page75">
              <w:r>
                <w:rPr>
                  <w:rFonts w:ascii="Arial" w:cs="Arial" w:eastAsia="Arial" w:hAnsi="Arial"/>
                  <w:sz w:val="17"/>
                  <w:szCs w:val="17"/>
                  <w:color w:val="0000EE"/>
                </w:rPr>
                <w:t>Principal Accountant Fees and Services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98</w:t>
            </w:r>
          </w:p>
        </w:tc>
      </w:tr>
      <w:tr>
        <w:trPr>
          <w:trHeight w:val="20"/>
        </w:trPr>
        <w:tc>
          <w:tcPr>
            <w:tcW w:w="3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680" w:type="dxa"/>
            <w:vAlign w:val="bottom"/>
            <w:gridSpan w:val="5"/>
          </w:tcPr>
          <w:p>
            <w:pPr>
              <w:spacing w:after="0" w:line="186" w:lineRule="exact"/>
              <w:rPr>
                <w:rFonts w:ascii="Arial" w:cs="Arial" w:eastAsia="Arial" w:hAnsi="Arial"/>
                <w:sz w:val="17"/>
                <w:szCs w:val="17"/>
                <w:color w:val="0000EE"/>
                <w:w w:val="86"/>
              </w:rPr>
            </w:pPr>
            <w:hyperlink w:anchor="page75">
              <w:r>
                <w:rPr>
                  <w:rFonts w:ascii="Arial" w:cs="Arial" w:eastAsia="Arial" w:hAnsi="Arial"/>
                  <w:sz w:val="17"/>
                  <w:szCs w:val="17"/>
                  <w:color w:val="0000EE"/>
                  <w:w w:val="86"/>
                </w:rPr>
                <w:t>Item 16D.</w:t>
              </w:r>
            </w:hyperlink>
          </w:p>
        </w:tc>
        <w:tc>
          <w:tcPr>
            <w:tcW w:w="460" w:type="dxa"/>
            <w:vAlign w:val="bottom"/>
          </w:tcPr>
          <w:p>
            <w:pPr>
              <w:spacing w:after="0"/>
              <w:rPr>
                <w:sz w:val="16"/>
                <w:szCs w:val="16"/>
                <w:color w:val="auto"/>
              </w:rPr>
            </w:pPr>
          </w:p>
        </w:tc>
        <w:tc>
          <w:tcPr>
            <w:tcW w:w="5340" w:type="dxa"/>
            <w:vAlign w:val="bottom"/>
            <w:gridSpan w:val="12"/>
          </w:tcPr>
          <w:p>
            <w:pPr>
              <w:spacing w:after="0" w:line="186" w:lineRule="exact"/>
              <w:rPr>
                <w:rFonts w:ascii="Arial" w:cs="Arial" w:eastAsia="Arial" w:hAnsi="Arial"/>
                <w:sz w:val="17"/>
                <w:szCs w:val="17"/>
                <w:color w:val="0000EE"/>
              </w:rPr>
            </w:pPr>
            <w:hyperlink w:anchor="page75">
              <w:r>
                <w:rPr>
                  <w:rFonts w:ascii="Arial" w:cs="Arial" w:eastAsia="Arial" w:hAnsi="Arial"/>
                  <w:sz w:val="17"/>
                  <w:szCs w:val="17"/>
                  <w:color w:val="0000EE"/>
                </w:rPr>
                <w:t>Exemptions from the Listing Standards for Audit Committees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3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6" w:lineRule="exact"/>
              <w:rPr>
                <w:rFonts w:ascii="Arial" w:cs="Arial" w:eastAsia="Arial" w:hAnsi="Arial"/>
                <w:sz w:val="17"/>
                <w:szCs w:val="17"/>
                <w:color w:val="0000EE"/>
                <w:w w:val="87"/>
              </w:rPr>
            </w:pPr>
            <w:hyperlink w:anchor="page75">
              <w:r>
                <w:rPr>
                  <w:rFonts w:ascii="Arial" w:cs="Arial" w:eastAsia="Arial" w:hAnsi="Arial"/>
                  <w:sz w:val="17"/>
                  <w:szCs w:val="17"/>
                  <w:color w:val="0000EE"/>
                  <w:w w:val="87"/>
                </w:rPr>
                <w:t>Item 16E.</w:t>
              </w:r>
            </w:hyperlink>
          </w:p>
        </w:tc>
        <w:tc>
          <w:tcPr>
            <w:tcW w:w="460" w:type="dxa"/>
            <w:vAlign w:val="bottom"/>
          </w:tcPr>
          <w:p>
            <w:pPr>
              <w:spacing w:after="0"/>
              <w:rPr>
                <w:sz w:val="16"/>
                <w:szCs w:val="16"/>
                <w:color w:val="auto"/>
              </w:rPr>
            </w:pPr>
          </w:p>
        </w:tc>
        <w:tc>
          <w:tcPr>
            <w:tcW w:w="4800" w:type="dxa"/>
            <w:vAlign w:val="bottom"/>
            <w:tcBorders>
              <w:bottom w:val="single" w:sz="8" w:color="0000EE"/>
            </w:tcBorders>
            <w:gridSpan w:val="11"/>
          </w:tcPr>
          <w:p>
            <w:pPr>
              <w:spacing w:after="0" w:line="186" w:lineRule="exact"/>
              <w:rPr>
                <w:rFonts w:ascii="Arial" w:cs="Arial" w:eastAsia="Arial" w:hAnsi="Arial"/>
                <w:sz w:val="17"/>
                <w:szCs w:val="17"/>
                <w:color w:val="0000EE"/>
                <w:w w:val="90"/>
              </w:rPr>
            </w:pPr>
            <w:hyperlink w:anchor="page75">
              <w:r>
                <w:rPr>
                  <w:rFonts w:ascii="Arial" w:cs="Arial" w:eastAsia="Arial" w:hAnsi="Arial"/>
                  <w:sz w:val="17"/>
                  <w:szCs w:val="17"/>
                  <w:color w:val="0000EE"/>
                  <w:w w:val="90"/>
                </w:rPr>
                <w:t>Purchases of Equity Securities by the Issuer and Affiliated Purchasers</w:t>
              </w:r>
            </w:hyperlink>
          </w:p>
        </w:tc>
        <w:tc>
          <w:tcPr>
            <w:tcW w:w="540" w:type="dxa"/>
            <w:vAlign w:val="bottom"/>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6" w:lineRule="exact"/>
              <w:rPr>
                <w:rFonts w:ascii="Arial" w:cs="Arial" w:eastAsia="Arial" w:hAnsi="Arial"/>
                <w:sz w:val="17"/>
                <w:szCs w:val="17"/>
                <w:color w:val="0000EE"/>
                <w:w w:val="89"/>
              </w:rPr>
            </w:pPr>
            <w:hyperlink w:anchor="page76">
              <w:r>
                <w:rPr>
                  <w:rFonts w:ascii="Arial" w:cs="Arial" w:eastAsia="Arial" w:hAnsi="Arial"/>
                  <w:sz w:val="17"/>
                  <w:szCs w:val="17"/>
                  <w:color w:val="0000EE"/>
                  <w:w w:val="89"/>
                </w:rPr>
                <w:t>Item 16F.</w:t>
              </w:r>
            </w:hyperlink>
          </w:p>
        </w:tc>
        <w:tc>
          <w:tcPr>
            <w:tcW w:w="460" w:type="dxa"/>
            <w:vAlign w:val="bottom"/>
          </w:tcPr>
          <w:p>
            <w:pPr>
              <w:spacing w:after="0"/>
              <w:rPr>
                <w:sz w:val="16"/>
                <w:szCs w:val="16"/>
                <w:color w:val="auto"/>
              </w:rPr>
            </w:pPr>
          </w:p>
        </w:tc>
        <w:tc>
          <w:tcPr>
            <w:tcW w:w="3220" w:type="dxa"/>
            <w:vAlign w:val="bottom"/>
            <w:tcBorders>
              <w:bottom w:val="single" w:sz="8" w:color="0000EE"/>
            </w:tcBorders>
            <w:gridSpan w:val="7"/>
          </w:tcPr>
          <w:p>
            <w:pPr>
              <w:spacing w:after="0" w:line="186" w:lineRule="exact"/>
              <w:rPr>
                <w:rFonts w:ascii="Arial" w:cs="Arial" w:eastAsia="Arial" w:hAnsi="Arial"/>
                <w:sz w:val="17"/>
                <w:szCs w:val="17"/>
                <w:color w:val="0000EE"/>
                <w:w w:val="92"/>
              </w:rPr>
            </w:pPr>
            <w:hyperlink w:anchor="page76">
              <w:r>
                <w:rPr>
                  <w:rFonts w:ascii="Arial" w:cs="Arial" w:eastAsia="Arial" w:hAnsi="Arial"/>
                  <w:sz w:val="17"/>
                  <w:szCs w:val="17"/>
                  <w:color w:val="0000EE"/>
                  <w:w w:val="92"/>
                </w:rPr>
                <w:t>Change in Registrant’s Certifying Accountants</w:t>
              </w:r>
            </w:hyperlink>
          </w:p>
        </w:tc>
        <w:tc>
          <w:tcPr>
            <w:tcW w:w="2120" w:type="dxa"/>
            <w:vAlign w:val="bottom"/>
            <w:gridSpan w:val="5"/>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680" w:type="dxa"/>
            <w:vAlign w:val="bottom"/>
            <w:tcBorders>
              <w:bottom w:val="single" w:sz="8" w:color="0000EE"/>
            </w:tcBorders>
            <w:gridSpan w:val="5"/>
          </w:tcPr>
          <w:p>
            <w:pPr>
              <w:spacing w:after="0" w:line="186" w:lineRule="exact"/>
              <w:rPr>
                <w:rFonts w:ascii="Arial" w:cs="Arial" w:eastAsia="Arial" w:hAnsi="Arial"/>
                <w:sz w:val="17"/>
                <w:szCs w:val="17"/>
                <w:color w:val="0000EE"/>
                <w:w w:val="85"/>
              </w:rPr>
            </w:pPr>
            <w:hyperlink w:anchor="page76">
              <w:r>
                <w:rPr>
                  <w:rFonts w:ascii="Arial" w:cs="Arial" w:eastAsia="Arial" w:hAnsi="Arial"/>
                  <w:sz w:val="17"/>
                  <w:szCs w:val="17"/>
                  <w:color w:val="0000EE"/>
                  <w:w w:val="85"/>
                </w:rPr>
                <w:t>Item 16G.</w:t>
              </w:r>
            </w:hyperlink>
          </w:p>
        </w:tc>
        <w:tc>
          <w:tcPr>
            <w:tcW w:w="460" w:type="dxa"/>
            <w:vAlign w:val="bottom"/>
          </w:tcPr>
          <w:p>
            <w:pPr>
              <w:spacing w:after="0"/>
              <w:rPr>
                <w:sz w:val="16"/>
                <w:szCs w:val="16"/>
                <w:color w:val="auto"/>
              </w:rPr>
            </w:pPr>
          </w:p>
        </w:tc>
        <w:tc>
          <w:tcPr>
            <w:tcW w:w="162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w:anchor="page76">
              <w:r>
                <w:rPr>
                  <w:rFonts w:ascii="Arial" w:cs="Arial" w:eastAsia="Arial" w:hAnsi="Arial"/>
                  <w:sz w:val="17"/>
                  <w:szCs w:val="17"/>
                  <w:color w:val="0000EE"/>
                  <w:w w:val="91"/>
                </w:rPr>
                <w:t>Corporate Governance</w:t>
              </w:r>
            </w:hyperlink>
          </w:p>
        </w:tc>
        <w:tc>
          <w:tcPr>
            <w:tcW w:w="3720" w:type="dxa"/>
            <w:vAlign w:val="bottom"/>
            <w:gridSpan w:val="8"/>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680" w:type="dxa"/>
            <w:vAlign w:val="bottom"/>
            <w:gridSpan w:val="5"/>
          </w:tcPr>
          <w:p>
            <w:pPr>
              <w:spacing w:after="0" w:line="186" w:lineRule="exact"/>
              <w:rPr>
                <w:rFonts w:ascii="Arial" w:cs="Arial" w:eastAsia="Arial" w:hAnsi="Arial"/>
                <w:sz w:val="17"/>
                <w:szCs w:val="17"/>
                <w:color w:val="0000EE"/>
                <w:w w:val="86"/>
              </w:rPr>
            </w:pPr>
            <w:hyperlink w:anchor="page76">
              <w:r>
                <w:rPr>
                  <w:rFonts w:ascii="Arial" w:cs="Arial" w:eastAsia="Arial" w:hAnsi="Arial"/>
                  <w:sz w:val="17"/>
                  <w:szCs w:val="17"/>
                  <w:color w:val="0000EE"/>
                  <w:w w:val="86"/>
                </w:rPr>
                <w:t>Item 16H.</w:t>
              </w:r>
            </w:hyperlink>
          </w:p>
        </w:tc>
        <w:tc>
          <w:tcPr>
            <w:tcW w:w="460" w:type="dxa"/>
            <w:vAlign w:val="bottom"/>
          </w:tcPr>
          <w:p>
            <w:pPr>
              <w:spacing w:after="0"/>
              <w:rPr>
                <w:sz w:val="16"/>
                <w:szCs w:val="16"/>
                <w:color w:val="auto"/>
              </w:rPr>
            </w:pPr>
          </w:p>
        </w:tc>
        <w:tc>
          <w:tcPr>
            <w:tcW w:w="5340" w:type="dxa"/>
            <w:vAlign w:val="bottom"/>
            <w:gridSpan w:val="12"/>
          </w:tcPr>
          <w:p>
            <w:pPr>
              <w:spacing w:after="0" w:line="186" w:lineRule="exact"/>
              <w:rPr>
                <w:rFonts w:ascii="Arial" w:cs="Arial" w:eastAsia="Arial" w:hAnsi="Arial"/>
                <w:sz w:val="17"/>
                <w:szCs w:val="17"/>
                <w:color w:val="0000EE"/>
              </w:rPr>
            </w:pPr>
            <w:hyperlink w:anchor="page76">
              <w:r>
                <w:rPr>
                  <w:rFonts w:ascii="Arial" w:cs="Arial" w:eastAsia="Arial" w:hAnsi="Arial"/>
                  <w:sz w:val="17"/>
                  <w:szCs w:val="17"/>
                  <w:color w:val="0000EE"/>
                </w:rPr>
                <w:t>Mine Safety Disclosure</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20"/>
        </w:trPr>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86"/>
        </w:trPr>
        <w:tc>
          <w:tcPr>
            <w:tcW w:w="700" w:type="dxa"/>
            <w:vAlign w:val="bottom"/>
            <w:tcBorders>
              <w:bottom w:val="single" w:sz="8" w:color="0000EE"/>
            </w:tcBorders>
            <w:gridSpan w:val="3"/>
          </w:tcPr>
          <w:p>
            <w:pPr>
              <w:spacing w:after="0" w:line="186" w:lineRule="exact"/>
              <w:rPr>
                <w:rFonts w:ascii="Arial" w:cs="Arial" w:eastAsia="Arial" w:hAnsi="Arial"/>
                <w:sz w:val="17"/>
                <w:szCs w:val="17"/>
                <w:b w:val="1"/>
                <w:bCs w:val="1"/>
                <w:color w:val="0000EE"/>
              </w:rPr>
            </w:pPr>
            <w:hyperlink w:anchor="page76">
              <w:r>
                <w:rPr>
                  <w:rFonts w:ascii="Arial" w:cs="Arial" w:eastAsia="Arial" w:hAnsi="Arial"/>
                  <w:sz w:val="17"/>
                  <w:szCs w:val="17"/>
                  <w:b w:val="1"/>
                  <w:bCs w:val="1"/>
                  <w:color w:val="0000EE"/>
                </w:rPr>
                <w:t>PART III</w:t>
              </w:r>
            </w:hyperlink>
          </w:p>
        </w:tc>
        <w:tc>
          <w:tcPr>
            <w:tcW w:w="74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w:anchor="page76">
              <w:r>
                <w:rPr>
                  <w:rFonts w:ascii="Arial" w:cs="Arial" w:eastAsia="Arial" w:hAnsi="Arial"/>
                  <w:sz w:val="17"/>
                  <w:szCs w:val="17"/>
                  <w:color w:val="0000EE"/>
                  <w:w w:val="91"/>
                </w:rPr>
                <w:t>Item 17.</w:t>
              </w:r>
            </w:hyperlink>
          </w:p>
        </w:tc>
        <w:tc>
          <w:tcPr>
            <w:tcW w:w="560" w:type="dxa"/>
            <w:vAlign w:val="bottom"/>
            <w:gridSpan w:val="2"/>
          </w:tcPr>
          <w:p>
            <w:pPr>
              <w:spacing w:after="0"/>
              <w:rPr>
                <w:sz w:val="16"/>
                <w:szCs w:val="16"/>
                <w:color w:val="auto"/>
              </w:rPr>
            </w:pPr>
          </w:p>
        </w:tc>
        <w:tc>
          <w:tcPr>
            <w:tcW w:w="1440" w:type="dxa"/>
            <w:vAlign w:val="bottom"/>
            <w:tcBorders>
              <w:bottom w:val="single" w:sz="8" w:color="0000EE"/>
            </w:tcBorders>
            <w:gridSpan w:val="3"/>
          </w:tcPr>
          <w:p>
            <w:pPr>
              <w:spacing w:after="0" w:line="186" w:lineRule="exact"/>
              <w:rPr>
                <w:rFonts w:ascii="Arial" w:cs="Arial" w:eastAsia="Arial" w:hAnsi="Arial"/>
                <w:sz w:val="17"/>
                <w:szCs w:val="17"/>
                <w:color w:val="0000EE"/>
                <w:w w:val="89"/>
              </w:rPr>
            </w:pPr>
            <w:hyperlink w:anchor="page76">
              <w:r>
                <w:rPr>
                  <w:rFonts w:ascii="Arial" w:cs="Arial" w:eastAsia="Arial" w:hAnsi="Arial"/>
                  <w:sz w:val="17"/>
                  <w:szCs w:val="17"/>
                  <w:color w:val="0000EE"/>
                  <w:w w:val="89"/>
                </w:rPr>
                <w:t>Financial Statements</w:t>
              </w:r>
            </w:hyperlink>
          </w:p>
        </w:tc>
        <w:tc>
          <w:tcPr>
            <w:tcW w:w="3900" w:type="dxa"/>
            <w:vAlign w:val="bottom"/>
            <w:gridSpan w:val="9"/>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580" w:type="dxa"/>
            <w:vAlign w:val="bottom"/>
            <w:tcBorders>
              <w:bottom w:val="single" w:sz="8" w:color="0000EE"/>
            </w:tcBorders>
            <w:gridSpan w:val="4"/>
          </w:tcPr>
          <w:p>
            <w:pPr>
              <w:spacing w:after="0" w:line="186" w:lineRule="exact"/>
              <w:rPr>
                <w:rFonts w:ascii="Arial" w:cs="Arial" w:eastAsia="Arial" w:hAnsi="Arial"/>
                <w:sz w:val="17"/>
                <w:szCs w:val="17"/>
                <w:color w:val="0000EE"/>
                <w:w w:val="91"/>
              </w:rPr>
            </w:pPr>
            <w:hyperlink w:anchor="page76">
              <w:r>
                <w:rPr>
                  <w:rFonts w:ascii="Arial" w:cs="Arial" w:eastAsia="Arial" w:hAnsi="Arial"/>
                  <w:sz w:val="17"/>
                  <w:szCs w:val="17"/>
                  <w:color w:val="0000EE"/>
                  <w:w w:val="91"/>
                </w:rPr>
                <w:t>Item 18.</w:t>
              </w:r>
            </w:hyperlink>
          </w:p>
        </w:tc>
        <w:tc>
          <w:tcPr>
            <w:tcW w:w="560" w:type="dxa"/>
            <w:vAlign w:val="bottom"/>
            <w:gridSpan w:val="2"/>
          </w:tcPr>
          <w:p>
            <w:pPr>
              <w:spacing w:after="0"/>
              <w:rPr>
                <w:sz w:val="16"/>
                <w:szCs w:val="16"/>
                <w:color w:val="auto"/>
              </w:rPr>
            </w:pPr>
          </w:p>
        </w:tc>
        <w:tc>
          <w:tcPr>
            <w:tcW w:w="1440" w:type="dxa"/>
            <w:vAlign w:val="bottom"/>
            <w:tcBorders>
              <w:bottom w:val="single" w:sz="8" w:color="0000EE"/>
            </w:tcBorders>
            <w:gridSpan w:val="3"/>
          </w:tcPr>
          <w:p>
            <w:pPr>
              <w:spacing w:after="0" w:line="186" w:lineRule="exact"/>
              <w:rPr>
                <w:rFonts w:ascii="Arial" w:cs="Arial" w:eastAsia="Arial" w:hAnsi="Arial"/>
                <w:sz w:val="17"/>
                <w:szCs w:val="17"/>
                <w:color w:val="0000EE"/>
                <w:w w:val="89"/>
              </w:rPr>
            </w:pPr>
            <w:hyperlink w:anchor="page76">
              <w:r>
                <w:rPr>
                  <w:rFonts w:ascii="Arial" w:cs="Arial" w:eastAsia="Arial" w:hAnsi="Arial"/>
                  <w:sz w:val="17"/>
                  <w:szCs w:val="17"/>
                  <w:color w:val="0000EE"/>
                  <w:w w:val="89"/>
                </w:rPr>
                <w:t>Financial Statements</w:t>
              </w:r>
            </w:hyperlink>
          </w:p>
        </w:tc>
        <w:tc>
          <w:tcPr>
            <w:tcW w:w="3900" w:type="dxa"/>
            <w:vAlign w:val="bottom"/>
            <w:gridSpan w:val="9"/>
          </w:tcPr>
          <w:p>
            <w:pPr>
              <w:spacing w:after="0"/>
              <w:rPr>
                <w:sz w:val="16"/>
                <w:szCs w:val="16"/>
                <w:color w:val="auto"/>
              </w:rPr>
            </w:pPr>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99</w:t>
            </w:r>
          </w:p>
        </w:tc>
      </w:tr>
      <w:tr>
        <w:trPr>
          <w:trHeight w:val="186"/>
        </w:trPr>
        <w:tc>
          <w:tcPr>
            <w:tcW w:w="300" w:type="dxa"/>
            <w:vAlign w:val="bottom"/>
          </w:tcPr>
          <w:p>
            <w:pPr>
              <w:spacing w:after="0"/>
              <w:rPr>
                <w:sz w:val="16"/>
                <w:szCs w:val="16"/>
                <w:color w:val="auto"/>
              </w:rPr>
            </w:pPr>
          </w:p>
        </w:tc>
        <w:tc>
          <w:tcPr>
            <w:tcW w:w="1140" w:type="dxa"/>
            <w:vAlign w:val="bottom"/>
            <w:gridSpan w:val="6"/>
          </w:tcPr>
          <w:p>
            <w:pPr>
              <w:spacing w:after="0" w:line="186" w:lineRule="exact"/>
              <w:rPr>
                <w:rFonts w:ascii="Arial" w:cs="Arial" w:eastAsia="Arial" w:hAnsi="Arial"/>
                <w:sz w:val="17"/>
                <w:szCs w:val="17"/>
                <w:color w:val="0000EE"/>
              </w:rPr>
            </w:pPr>
            <w:hyperlink w:anchor="page76">
              <w:r>
                <w:rPr>
                  <w:rFonts w:ascii="Arial" w:cs="Arial" w:eastAsia="Arial" w:hAnsi="Arial"/>
                  <w:sz w:val="17"/>
                  <w:szCs w:val="17"/>
                  <w:color w:val="0000EE"/>
                </w:rPr>
                <w:t>Item 19.</w:t>
              </w:r>
            </w:hyperlink>
          </w:p>
        </w:tc>
        <w:tc>
          <w:tcPr>
            <w:tcW w:w="5340" w:type="dxa"/>
            <w:vAlign w:val="bottom"/>
            <w:gridSpan w:val="12"/>
          </w:tcPr>
          <w:p>
            <w:pPr>
              <w:spacing w:after="0" w:line="186" w:lineRule="exact"/>
              <w:rPr>
                <w:rFonts w:ascii="Arial" w:cs="Arial" w:eastAsia="Arial" w:hAnsi="Arial"/>
                <w:sz w:val="17"/>
                <w:szCs w:val="17"/>
                <w:color w:val="0000EE"/>
              </w:rPr>
            </w:pPr>
            <w:hyperlink w:anchor="page76">
              <w:r>
                <w:rPr>
                  <w:rFonts w:ascii="Arial" w:cs="Arial" w:eastAsia="Arial" w:hAnsi="Arial"/>
                  <w:sz w:val="17"/>
                  <w:szCs w:val="17"/>
                  <w:color w:val="0000EE"/>
                </w:rPr>
                <w:t>Exhibits</w:t>
              </w:r>
            </w:hyperlink>
          </w:p>
        </w:tc>
        <w:tc>
          <w:tcPr>
            <w:tcW w:w="4680" w:type="dxa"/>
            <w:vAlign w:val="bottom"/>
          </w:tcPr>
          <w:p>
            <w:pPr>
              <w:jc w:val="right"/>
              <w:spacing w:after="0" w:line="186" w:lineRule="exact"/>
              <w:rPr>
                <w:sz w:val="20"/>
                <w:szCs w:val="20"/>
                <w:color w:val="auto"/>
              </w:rPr>
            </w:pPr>
            <w:r>
              <w:rPr>
                <w:rFonts w:ascii="Arial" w:cs="Arial" w:eastAsia="Arial" w:hAnsi="Arial"/>
                <w:sz w:val="17"/>
                <w:szCs w:val="17"/>
                <w:color w:val="auto"/>
              </w:rPr>
              <w:t>100</w:t>
            </w:r>
          </w:p>
        </w:tc>
      </w:tr>
      <w:tr>
        <w:trPr>
          <w:trHeight w:val="349"/>
        </w:trPr>
        <w:tc>
          <w:tcPr>
            <w:tcW w:w="300" w:type="dxa"/>
            <w:vAlign w:val="bottom"/>
            <w:tcBorders>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2" w:lineRule="exact"/>
        <w:rPr>
          <w:sz w:val="20"/>
          <w:szCs w:val="20"/>
          <w:color w:val="auto"/>
        </w:rPr>
      </w:pPr>
    </w:p>
    <w:p>
      <w:pPr>
        <w:ind w:right="760" w:firstLine="617"/>
        <w:spacing w:after="0" w:line="278" w:lineRule="auto"/>
        <w:rPr>
          <w:sz w:val="20"/>
          <w:szCs w:val="20"/>
          <w:color w:val="auto"/>
        </w:rPr>
      </w:pPr>
      <w:r>
        <w:rPr>
          <w:rFonts w:ascii="Arial" w:cs="Arial" w:eastAsia="Arial" w:hAnsi="Arial"/>
          <w:sz w:val="17"/>
          <w:szCs w:val="17"/>
          <w:color w:val="auto"/>
        </w:rPr>
        <w:t>This annual report on Form 20-F includes our audited consolidated financial statements as of December 31, 2015 and 2016 and for the years ended December 31, 2014, 2015 and 2016.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22" w:lineRule="exact"/>
        <w:rPr>
          <w:sz w:val="20"/>
          <w:szCs w:val="20"/>
          <w:color w:val="auto"/>
        </w:rPr>
      </w:pPr>
    </w:p>
    <w:p>
      <w:pPr>
        <w:ind w:right="40" w:firstLine="617"/>
        <w:spacing w:after="0" w:line="282"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64" w:lineRule="exact"/>
        <w:rPr>
          <w:sz w:val="20"/>
          <w:szCs w:val="20"/>
          <w:color w:val="auto"/>
        </w:rPr>
      </w:pPr>
    </w:p>
    <w:p>
      <w:pPr>
        <w:ind w:left="620" w:right="220" w:hanging="308"/>
        <w:spacing w:after="0" w:line="265" w:lineRule="auto"/>
        <w:tabs>
          <w:tab w:leader="none" w:pos="5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the online game market will not continue to grow or that we will not be able to maintain our leading position in that market, which could occur if, for example, our new online games or expansion packs and other improvements to our existing games do not become as popular as management anticipates;</w:t>
      </w:r>
    </w:p>
    <w:p>
      <w:pPr>
        <w:spacing w:after="0" w:line="175" w:lineRule="exact"/>
        <w:rPr>
          <w:rFonts w:ascii="Arial" w:cs="Arial" w:eastAsia="Arial" w:hAnsi="Arial"/>
          <w:sz w:val="17"/>
          <w:szCs w:val="17"/>
          <w:color w:val="auto"/>
        </w:rPr>
      </w:pPr>
    </w:p>
    <w:p>
      <w:pPr>
        <w:ind w:left="620" w:right="220" w:hanging="308"/>
        <w:spacing w:after="0" w:line="278" w:lineRule="auto"/>
        <w:tabs>
          <w:tab w:leader="none" w:pos="5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we will not be successful in our product diversification efforts, including our focus on item- and fee-based games and mobile games, entry into strategic licensing arrangements, and expansion of our mobile Internet and e-commerce offerings;</w:t>
      </w:r>
    </w:p>
    <w:p>
      <w:pPr>
        <w:spacing w:after="0" w:line="164" w:lineRule="exact"/>
        <w:rPr>
          <w:rFonts w:ascii="Arial" w:cs="Arial" w:eastAsia="Arial" w:hAnsi="Arial"/>
          <w:sz w:val="17"/>
          <w:szCs w:val="17"/>
          <w:color w:val="auto"/>
        </w:rPr>
      </w:pPr>
    </w:p>
    <w:p>
      <w:pPr>
        <w:ind w:left="620" w:right="140" w:hanging="308"/>
        <w:spacing w:after="0" w:line="278" w:lineRule="auto"/>
        <w:tabs>
          <w:tab w:leader="none" w:pos="5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changes in Chinese government regulation of the online game or e-commerce markets that limit future growth of our revenues or causes revenues to decline;</w:t>
      </w:r>
    </w:p>
    <w:p>
      <w:pPr>
        <w:spacing w:after="0" w:line="164" w:lineRule="exact"/>
        <w:rPr>
          <w:rFonts w:ascii="Arial" w:cs="Arial" w:eastAsia="Arial" w:hAnsi="Arial"/>
          <w:sz w:val="17"/>
          <w:szCs w:val="17"/>
          <w:color w:val="auto"/>
        </w:rPr>
      </w:pPr>
    </w:p>
    <w:p>
      <w:pPr>
        <w:ind w:left="620" w:right="400" w:hanging="308"/>
        <w:spacing w:after="0" w:line="278" w:lineRule="auto"/>
        <w:tabs>
          <w:tab w:leader="none" w:pos="58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we may not be able to continuously develop new and creative online services or that we will not be able to set, or follow in a timely manner, trends in the market;</w:t>
      </w:r>
    </w:p>
    <w:p>
      <w:pPr>
        <w:spacing w:after="0" w:line="164" w:lineRule="exact"/>
        <w:rPr>
          <w:rFonts w:ascii="Arial" w:cs="Arial" w:eastAsia="Arial" w:hAnsi="Arial"/>
          <w:sz w:val="17"/>
          <w:szCs w:val="17"/>
          <w:color w:val="auto"/>
        </w:rPr>
      </w:pPr>
    </w:p>
    <w:p>
      <w:pPr>
        <w:ind w:left="620" w:right="80" w:hanging="308"/>
        <w:spacing w:after="0" w:line="311" w:lineRule="auto"/>
        <w:tabs>
          <w:tab w:leader="none" w:pos="58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that the Internet advertising market in China will not continue to grow and will remain subject to intense competition and the risk that investments by us in our content and services may not increase the appeal of our websites among Internet users or result in increased advertising revenues;</w:t>
      </w:r>
    </w:p>
    <w:p>
      <w:pPr>
        <w:spacing w:after="0" w:line="140" w:lineRule="exact"/>
        <w:rPr>
          <w:rFonts w:ascii="Arial" w:cs="Arial" w:eastAsia="Arial" w:hAnsi="Arial"/>
          <w:sz w:val="16"/>
          <w:szCs w:val="16"/>
          <w:color w:val="auto"/>
        </w:rPr>
      </w:pPr>
    </w:p>
    <w:p>
      <w:pPr>
        <w:ind w:left="580" w:hanging="268"/>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we will not be able to control our expenses in future periods;</w:t>
      </w:r>
    </w:p>
    <w:p>
      <w:pPr>
        <w:spacing w:after="0" w:line="216" w:lineRule="exact"/>
        <w:rPr>
          <w:rFonts w:ascii="Arial" w:cs="Arial" w:eastAsia="Arial" w:hAnsi="Arial"/>
          <w:sz w:val="17"/>
          <w:szCs w:val="17"/>
          <w:color w:val="auto"/>
        </w:rPr>
      </w:pPr>
    </w:p>
    <w:p>
      <w:pPr>
        <w:ind w:left="620" w:right="160" w:hanging="308"/>
        <w:spacing w:after="0" w:line="278" w:lineRule="auto"/>
        <w:tabs>
          <w:tab w:leader="none" w:pos="586"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64" w:lineRule="exact"/>
        <w:rPr>
          <w:rFonts w:ascii="Arial" w:cs="Arial" w:eastAsia="Arial" w:hAnsi="Arial"/>
          <w:sz w:val="17"/>
          <w:szCs w:val="17"/>
          <w:color w:val="auto"/>
        </w:rPr>
      </w:pPr>
    </w:p>
    <w:p>
      <w:pPr>
        <w:ind w:left="580" w:hanging="268"/>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 that fluctuations in the value of the Renminbi with respect to other currencies could adversely affect our business and financial results; and</w:t>
      </w:r>
    </w:p>
    <w:p>
      <w:pPr>
        <w:spacing w:after="0" w:line="227" w:lineRule="exact"/>
        <w:rPr>
          <w:rFonts w:ascii="Arial" w:cs="Arial" w:eastAsia="Arial" w:hAnsi="Arial"/>
          <w:sz w:val="16"/>
          <w:szCs w:val="16"/>
          <w:color w:val="auto"/>
        </w:rPr>
      </w:pPr>
    </w:p>
    <w:p>
      <w:pPr>
        <w:ind w:left="580" w:hanging="268"/>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outlined in our filings with the Securities and Exchange Commission, or the SEC.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do not undertake any obligation to update this forward-looking information, except as required under applicable law.</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16"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216" w:lineRule="exact"/>
        <w:rPr>
          <w:sz w:val="20"/>
          <w:szCs w:val="20"/>
          <w:color w:val="auto"/>
        </w:rPr>
      </w:pPr>
    </w:p>
    <w:p>
      <w:pPr>
        <w:ind w:left="640" w:hanging="637"/>
        <w:spacing w:after="0"/>
        <w:tabs>
          <w:tab w:leader="none" w:pos="6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Selected Financial Data</w:t>
      </w:r>
    </w:p>
    <w:p>
      <w:pPr>
        <w:sectPr>
          <w:pgSz w:w="11900" w:h="16838" w:orient="portrait"/>
          <w:cols w:equalWidth="0" w:num="1">
            <w:col w:w="11460"/>
          </w:cols>
          <w:pgMar w:left="240" w:top="111" w:right="199" w:bottom="0" w:gutter="0" w:footer="0" w:header="0"/>
        </w:sectPr>
      </w:pPr>
    </w:p>
    <w:bookmarkStart w:id="3" w:name="page4"/>
    <w:bookmarkEnd w:id="3"/>
    <w:p>
      <w:pPr>
        <w:ind w:right="40" w:firstLine="617"/>
        <w:spacing w:after="0" w:line="298" w:lineRule="auto"/>
        <w:rPr>
          <w:sz w:val="20"/>
          <w:szCs w:val="20"/>
          <w:color w:val="auto"/>
        </w:rPr>
      </w:pPr>
      <w:r>
        <w:rPr>
          <w:rFonts w:ascii="Arial" w:cs="Arial" w:eastAsia="Arial" w:hAnsi="Arial"/>
          <w:sz w:val="15"/>
          <w:szCs w:val="15"/>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2014, 2015 and 2016 and as of December 31, 2015 and 2016 have been derived from our audited consolidated financial statements for those years, which were prepared in accordance with accounting principles generally accepted in the United States, or U.S. GAAP, and should be read in conjunction with those statements, which are included in this annual report beginning on page F-1. The following data for the years ended December 31, 2012 and 2013 and as of December 31, 2012, 2013 and 2014 have been derived from our audited consolidated financial statements for those years, which were prepared in accordance with U.S. GAAP and are not included in this annual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3"/>
              </w:rPr>
              <w:t>For the year ended December 31,</w:t>
            </w: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1040" w:type="dxa"/>
            <w:vAlign w:val="bottom"/>
          </w:tcPr>
          <w:p>
            <w:pPr>
              <w:ind w:left="380"/>
              <w:spacing w:after="0" w:line="135"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1"/>
                <w:szCs w:val="11"/>
                <w:color w:val="auto"/>
              </w:rPr>
            </w:pPr>
          </w:p>
        </w:tc>
        <w:tc>
          <w:tcPr>
            <w:tcW w:w="120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12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1"/>
                <w:szCs w:val="11"/>
                <w:color w:val="auto"/>
              </w:rPr>
            </w:pPr>
          </w:p>
        </w:tc>
        <w:tc>
          <w:tcPr>
            <w:tcW w:w="1020" w:type="dxa"/>
            <w:vAlign w:val="bottom"/>
          </w:tcPr>
          <w:p>
            <w:pPr>
              <w:jc w:val="right"/>
              <w:ind w:right="276"/>
              <w:spacing w:after="0" w:line="13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100" w:type="dxa"/>
            <w:vAlign w:val="bottom"/>
          </w:tcPr>
          <w:p>
            <w:pPr>
              <w:jc w:val="right"/>
              <w:ind w:right="316"/>
              <w:spacing w:after="0" w:line="13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1120" w:type="dxa"/>
            <w:vAlign w:val="bottom"/>
          </w:tcPr>
          <w:p>
            <w:pPr>
              <w:jc w:val="right"/>
              <w:ind w:right="336"/>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740" w:type="dxa"/>
            <w:vAlign w:val="bottom"/>
          </w:tcPr>
          <w:p>
            <w:pPr>
              <w:spacing w:after="0"/>
              <w:rPr>
                <w:sz w:val="9"/>
                <w:szCs w:val="9"/>
                <w:color w:val="auto"/>
              </w:rPr>
            </w:pPr>
          </w:p>
        </w:tc>
        <w:tc>
          <w:tcPr>
            <w:tcW w:w="1040" w:type="dxa"/>
            <w:vAlign w:val="bottom"/>
            <w:tcBorders>
              <w:top w:val="single" w:sz="8" w:color="auto"/>
            </w:tcBorders>
          </w:tcPr>
          <w:p>
            <w:pPr>
              <w:ind w:left="360"/>
              <w:spacing w:after="0" w:line="112" w:lineRule="exact"/>
              <w:rPr>
                <w:sz w:val="20"/>
                <w:szCs w:val="20"/>
                <w:color w:val="auto"/>
              </w:rPr>
            </w:pPr>
            <w:r>
              <w:rPr>
                <w:rFonts w:ascii="Arial" w:cs="Arial" w:eastAsia="Arial" w:hAnsi="Arial"/>
                <w:sz w:val="11"/>
                <w:szCs w:val="11"/>
                <w:b w:val="1"/>
                <w:bCs w:val="1"/>
                <w:color w:val="auto"/>
              </w:rPr>
              <w:t>RMB</w:t>
            </w:r>
          </w:p>
        </w:tc>
        <w:tc>
          <w:tcPr>
            <w:tcW w:w="240" w:type="dxa"/>
            <w:vAlign w:val="bottom"/>
          </w:tcPr>
          <w:p>
            <w:pPr>
              <w:spacing w:after="0"/>
              <w:rPr>
                <w:sz w:val="9"/>
                <w:szCs w:val="9"/>
                <w:color w:val="auto"/>
              </w:rPr>
            </w:pPr>
          </w:p>
        </w:tc>
        <w:tc>
          <w:tcPr>
            <w:tcW w:w="1200" w:type="dxa"/>
            <w:vAlign w:val="bottom"/>
            <w:tcBorders>
              <w:top w:val="single" w:sz="8" w:color="auto"/>
            </w:tcBorders>
          </w:tcPr>
          <w:p>
            <w:pPr>
              <w:jc w:val="right"/>
              <w:ind w:right="356"/>
              <w:spacing w:after="0" w:line="112" w:lineRule="exact"/>
              <w:rPr>
                <w:sz w:val="20"/>
                <w:szCs w:val="20"/>
                <w:color w:val="auto"/>
              </w:rPr>
            </w:pPr>
            <w:r>
              <w:rPr>
                <w:rFonts w:ascii="Arial" w:cs="Arial" w:eastAsia="Arial" w:hAnsi="Arial"/>
                <w:sz w:val="11"/>
                <w:szCs w:val="11"/>
                <w:b w:val="1"/>
                <w:bCs w:val="1"/>
                <w:color w:val="auto"/>
              </w:rPr>
              <w:t>RMB</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Borders>
              <w:top w:val="single" w:sz="8" w:color="auto"/>
            </w:tcBorders>
          </w:tcPr>
          <w:p>
            <w:pPr>
              <w:jc w:val="right"/>
              <w:ind w:right="340"/>
              <w:spacing w:after="0" w:line="112" w:lineRule="exact"/>
              <w:rPr>
                <w:sz w:val="20"/>
                <w:szCs w:val="20"/>
                <w:color w:val="auto"/>
              </w:rPr>
            </w:pPr>
            <w:r>
              <w:rPr>
                <w:rFonts w:ascii="Arial" w:cs="Arial" w:eastAsia="Arial" w:hAnsi="Arial"/>
                <w:sz w:val="11"/>
                <w:szCs w:val="11"/>
                <w:b w:val="1"/>
                <w:bCs w:val="1"/>
                <w:color w:val="auto"/>
              </w:rPr>
              <w:t>RMB</w:t>
            </w:r>
          </w:p>
        </w:tc>
        <w:tc>
          <w:tcPr>
            <w:tcW w:w="140" w:type="dxa"/>
            <w:vAlign w:val="bottom"/>
          </w:tcPr>
          <w:p>
            <w:pPr>
              <w:spacing w:after="0"/>
              <w:rPr>
                <w:sz w:val="9"/>
                <w:szCs w:val="9"/>
                <w:color w:val="auto"/>
              </w:rPr>
            </w:pPr>
          </w:p>
        </w:tc>
        <w:tc>
          <w:tcPr>
            <w:tcW w:w="1020" w:type="dxa"/>
            <w:vAlign w:val="bottom"/>
            <w:tcBorders>
              <w:top w:val="single" w:sz="8" w:color="auto"/>
            </w:tcBorders>
          </w:tcPr>
          <w:p>
            <w:pPr>
              <w:jc w:val="right"/>
              <w:ind w:right="256"/>
              <w:spacing w:after="0" w:line="112" w:lineRule="exact"/>
              <w:rPr>
                <w:sz w:val="20"/>
                <w:szCs w:val="20"/>
                <w:color w:val="auto"/>
              </w:rPr>
            </w:pPr>
            <w:r>
              <w:rPr>
                <w:rFonts w:ascii="Arial" w:cs="Arial" w:eastAsia="Arial" w:hAnsi="Arial"/>
                <w:sz w:val="11"/>
                <w:szCs w:val="11"/>
                <w:b w:val="1"/>
                <w:bCs w:val="1"/>
                <w:color w:val="auto"/>
              </w:rPr>
              <w:t>RMB</w:t>
            </w:r>
          </w:p>
        </w:tc>
        <w:tc>
          <w:tcPr>
            <w:tcW w:w="160" w:type="dxa"/>
            <w:vAlign w:val="bottom"/>
          </w:tcPr>
          <w:p>
            <w:pPr>
              <w:spacing w:after="0"/>
              <w:rPr>
                <w:sz w:val="9"/>
                <w:szCs w:val="9"/>
                <w:color w:val="auto"/>
              </w:rPr>
            </w:pPr>
          </w:p>
        </w:tc>
        <w:tc>
          <w:tcPr>
            <w:tcW w:w="1100" w:type="dxa"/>
            <w:vAlign w:val="bottom"/>
            <w:tcBorders>
              <w:top w:val="single" w:sz="8" w:color="auto"/>
            </w:tcBorders>
          </w:tcPr>
          <w:p>
            <w:pPr>
              <w:jc w:val="right"/>
              <w:ind w:right="296"/>
              <w:spacing w:after="0" w:line="11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9"/>
                <w:szCs w:val="9"/>
                <w:color w:val="auto"/>
              </w:rPr>
            </w:pPr>
          </w:p>
        </w:tc>
        <w:tc>
          <w:tcPr>
            <w:tcW w:w="1120" w:type="dxa"/>
            <w:vAlign w:val="bottom"/>
            <w:tcBorders>
              <w:top w:val="single" w:sz="8" w:color="auto"/>
            </w:tcBorders>
          </w:tcPr>
          <w:p>
            <w:pPr>
              <w:jc w:val="right"/>
              <w:ind w:right="116"/>
              <w:spacing w:after="0" w:line="112" w:lineRule="exact"/>
              <w:rPr>
                <w:sz w:val="20"/>
                <w:szCs w:val="20"/>
                <w:color w:val="auto"/>
              </w:rPr>
            </w:pPr>
            <w:r>
              <w:rPr>
                <w:rFonts w:ascii="Arial" w:cs="Arial" w:eastAsia="Arial" w:hAnsi="Arial"/>
                <w:sz w:val="11"/>
                <w:szCs w:val="11"/>
                <w:b w:val="1"/>
                <w:bCs w:val="1"/>
                <w:color w:val="auto"/>
              </w:rPr>
              <w:t>US$ (Note 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8"/>
              </w:rPr>
              <w:t>(in thousands, except per share/ADS data)</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4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Statement of Operations and Comprehensive</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Income Data:</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Total net revenues</w:t>
            </w:r>
          </w:p>
        </w:tc>
        <w:tc>
          <w:tcPr>
            <w:tcW w:w="1040" w:type="dxa"/>
            <w:vAlign w:val="bottom"/>
          </w:tcPr>
          <w:p>
            <w:pPr>
              <w:ind w:left="360"/>
              <w:spacing w:after="0"/>
              <w:rPr>
                <w:sz w:val="20"/>
                <w:szCs w:val="20"/>
                <w:color w:val="auto"/>
              </w:rPr>
            </w:pPr>
            <w:r>
              <w:rPr>
                <w:rFonts w:ascii="Arial" w:cs="Arial" w:eastAsia="Arial" w:hAnsi="Arial"/>
                <w:sz w:val="17"/>
                <w:szCs w:val="17"/>
                <w:color w:val="auto"/>
                <w:w w:val="87"/>
              </w:rPr>
              <w:t>8,200,956</w:t>
            </w:r>
          </w:p>
        </w:tc>
        <w:tc>
          <w:tcPr>
            <w:tcW w:w="2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9,196,175</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11,712,834</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22,802,895</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38,178,844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5,498,898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(2,578,067)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(2,478,516)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(3,261,544)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(9,399,260)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(16,515,032)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(2,378,660)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Gross profit</w:t>
            </w:r>
          </w:p>
        </w:tc>
        <w:tc>
          <w:tcPr>
            <w:tcW w:w="10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w w:val="87"/>
              </w:rPr>
              <w:t>5,622,889</w:t>
            </w:r>
          </w:p>
        </w:tc>
        <w:tc>
          <w:tcPr>
            <w:tcW w:w="2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6,717,659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8,451,290</w:t>
            </w:r>
          </w:p>
        </w:tc>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13,403,635</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21,663,812</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3,120,238</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Operating expenses: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 expenses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(906,707)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(1,093,612)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(1,894,998)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(2,958,229)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(4,481,815)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(645,516)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Arial" w:cs="Arial" w:eastAsia="Arial" w:hAnsi="Arial"/>
                <w:sz w:val="17"/>
                <w:szCs w:val="17"/>
                <w:color w:val="auto"/>
              </w:rPr>
              <w:t>General and administrative expenses</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(286,223)</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(349,832)</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(467,669)</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(1,014,395)</w:t>
            </w: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(1,506,154)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(216,931)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(718,315)</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(921,618)</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(1,323,498)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(2,158,888)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(3,046,979)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(438,856)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operating expenses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(1,911,245)</w:t>
            </w:r>
          </w:p>
        </w:tc>
        <w:tc>
          <w:tcPr>
            <w:tcW w:w="2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(2,365,062)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(3,686,165)</w:t>
            </w:r>
          </w:p>
        </w:tc>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(6,131,512)</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(9,034,948)</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(1,301,303)</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Operating profit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3,711,644</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4,352,597</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4,765,125</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7,272,123</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12,628,864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1,818,935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Investment income</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43,770</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37,255</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27,373</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62,341</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200,333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28,854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423,634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506,181</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601,502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596,930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541,969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Exchange (losses)/gains</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(554)</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(15,348)</w:t>
            </w:r>
          </w:p>
        </w:tc>
        <w:tc>
          <w:tcPr>
            <w:tcW w:w="1420" w:type="dxa"/>
            <w:vAlign w:val="bottom"/>
            <w:gridSpan w:val="3"/>
          </w:tcPr>
          <w:p>
            <w:pPr>
              <w:jc w:val="right"/>
              <w:ind w:right="100"/>
              <w:spacing w:after="0"/>
              <w:rPr>
                <w:sz w:val="20"/>
                <w:szCs w:val="20"/>
                <w:color w:val="auto"/>
              </w:rPr>
            </w:pPr>
            <w:r>
              <w:rPr>
                <w:rFonts w:ascii="Arial" w:cs="Arial" w:eastAsia="Arial" w:hAnsi="Arial"/>
                <w:sz w:val="17"/>
                <w:szCs w:val="17"/>
                <w:color w:val="auto"/>
              </w:rPr>
              <w:t>(17,998)</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133,776</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146,510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21,102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99,718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95,136</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82,438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45,138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377,685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tcPr>
          <w:p>
            <w:pPr>
              <w:spacing w:after="0"/>
              <w:rPr>
                <w:sz w:val="20"/>
                <w:szCs w:val="20"/>
                <w:color w:val="auto"/>
              </w:rPr>
            </w:pPr>
            <w:r>
              <w:rPr>
                <w:rFonts w:ascii="Arial" w:cs="Arial" w:eastAsia="Arial" w:hAnsi="Arial"/>
                <w:sz w:val="17"/>
                <w:szCs w:val="17"/>
                <w:color w:val="auto"/>
              </w:rPr>
              <w:t>Income before tax</w:t>
            </w:r>
          </w:p>
        </w:tc>
        <w:tc>
          <w:tcPr>
            <w:tcW w:w="104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w w:val="87"/>
              </w:rPr>
              <w:t>4,278,212</w:t>
            </w:r>
          </w:p>
        </w:tc>
        <w:tc>
          <w:tcPr>
            <w:tcW w:w="24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4,975,821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5,458,440</w:t>
            </w:r>
          </w:p>
        </w:tc>
        <w:tc>
          <w:tcPr>
            <w:tcW w:w="1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8,110,308</w:t>
            </w:r>
          </w:p>
        </w:tc>
        <w:tc>
          <w:tcPr>
            <w:tcW w:w="16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13,895,361</w:t>
            </w:r>
          </w:p>
        </w:tc>
        <w:tc>
          <w:tcPr>
            <w:tcW w:w="1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2,001,349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(691,642)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(530,603)</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(662,735)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(1,273,408)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(2,102,498)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(302,823)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7"/>
              </w:rPr>
              <w:t>3,586,570</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4,445,218</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4,795,705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6,836,900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11,792,863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1,698,526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Add: Net loss (income) attributable to</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noncontrolling interests and mezzanine classified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50,882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(1,308)</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(39,082)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(101,792)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(188,343)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line="194" w:lineRule="exact"/>
              <w:rPr>
                <w:sz w:val="20"/>
                <w:szCs w:val="20"/>
                <w:color w:val="auto"/>
              </w:rPr>
            </w:pPr>
            <w:r>
              <w:rPr>
                <w:rFonts w:ascii="Arial" w:cs="Arial" w:eastAsia="Arial" w:hAnsi="Arial"/>
                <w:sz w:val="17"/>
                <w:szCs w:val="17"/>
                <w:color w:val="auto"/>
              </w:rPr>
              <w:t>Net income attributable to NetEase, Inc.’s</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040" w:type="dxa"/>
            <w:vAlign w:val="bottom"/>
            <w:vMerge w:val="restart"/>
          </w:tcPr>
          <w:p>
            <w:pPr>
              <w:ind w:left="360"/>
              <w:spacing w:after="0"/>
              <w:rPr>
                <w:sz w:val="20"/>
                <w:szCs w:val="20"/>
                <w:color w:val="auto"/>
              </w:rPr>
            </w:pPr>
            <w:r>
              <w:rPr>
                <w:rFonts w:ascii="Arial" w:cs="Arial" w:eastAsia="Arial" w:hAnsi="Arial"/>
                <w:sz w:val="17"/>
                <w:szCs w:val="17"/>
                <w:color w:val="auto"/>
                <w:w w:val="87"/>
              </w:rPr>
              <w:t>3,637,452</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4,443,910</w:t>
            </w: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7"/>
                <w:szCs w:val="17"/>
                <w:color w:val="auto"/>
              </w:rPr>
              <w:t>4,756,623</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6,735,108</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11,604,520</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1,671,399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740" w:type="dxa"/>
            <w:vAlign w:val="bottom"/>
          </w:tcPr>
          <w:p>
            <w:pPr>
              <w:ind w:left="180"/>
              <w:spacing w:after="0"/>
              <w:rPr>
                <w:sz w:val="20"/>
                <w:szCs w:val="20"/>
                <w:color w:val="auto"/>
              </w:rPr>
            </w:pPr>
            <w:r>
              <w:rPr>
                <w:rFonts w:ascii="Arial" w:cs="Arial" w:eastAsia="Arial" w:hAnsi="Arial"/>
                <w:sz w:val="17"/>
                <w:szCs w:val="17"/>
                <w:color w:val="auto"/>
              </w:rPr>
              <w:t>shareholders</w:t>
            </w:r>
          </w:p>
        </w:tc>
        <w:tc>
          <w:tcPr>
            <w:tcW w:w="10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7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Net income</w:t>
            </w:r>
          </w:p>
        </w:tc>
        <w:tc>
          <w:tcPr>
            <w:tcW w:w="1040" w:type="dxa"/>
            <w:vAlign w:val="bottom"/>
          </w:tcPr>
          <w:p>
            <w:pPr>
              <w:ind w:left="360"/>
              <w:spacing w:after="0"/>
              <w:rPr>
                <w:sz w:val="20"/>
                <w:szCs w:val="20"/>
                <w:color w:val="auto"/>
              </w:rPr>
            </w:pPr>
            <w:r>
              <w:rPr>
                <w:rFonts w:ascii="Arial" w:cs="Arial" w:eastAsia="Arial" w:hAnsi="Arial"/>
                <w:sz w:val="17"/>
                <w:szCs w:val="17"/>
                <w:color w:val="auto"/>
                <w:w w:val="87"/>
              </w:rPr>
              <w:t>3,586,570</w:t>
            </w:r>
          </w:p>
        </w:tc>
        <w:tc>
          <w:tcPr>
            <w:tcW w:w="24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4,445,218</w:t>
            </w:r>
          </w:p>
        </w:tc>
        <w:tc>
          <w:tcPr>
            <w:tcW w:w="1420" w:type="dxa"/>
            <w:vAlign w:val="bottom"/>
            <w:gridSpan w:val="3"/>
          </w:tcPr>
          <w:p>
            <w:pPr>
              <w:jc w:val="right"/>
              <w:ind w:right="140"/>
              <w:spacing w:after="0"/>
              <w:rPr>
                <w:sz w:val="20"/>
                <w:szCs w:val="20"/>
                <w:color w:val="auto"/>
              </w:rPr>
            </w:pPr>
            <w:r>
              <w:rPr>
                <w:rFonts w:ascii="Arial" w:cs="Arial" w:eastAsia="Arial" w:hAnsi="Arial"/>
                <w:sz w:val="17"/>
                <w:szCs w:val="17"/>
                <w:color w:val="auto"/>
              </w:rPr>
              <w:t>4,795,705</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6,836,900</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11,792,863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1,698,526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comprehensive income: Net changes on</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 net of tax</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27,452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34,027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comprehensive income</w:t>
            </w:r>
          </w:p>
        </w:tc>
        <w:tc>
          <w:tcPr>
            <w:tcW w:w="10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w w:val="87"/>
              </w:rPr>
              <w:t>3,586,570</w:t>
            </w:r>
          </w:p>
        </w:tc>
        <w:tc>
          <w:tcPr>
            <w:tcW w:w="2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4,445,218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4,795,705</w:t>
            </w:r>
          </w:p>
        </w:tc>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6,864,352</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11,826,890</w:t>
            </w:r>
          </w:p>
        </w:tc>
        <w:tc>
          <w:tcPr>
            <w:tcW w:w="1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1,703,427</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4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w w:val="99"/>
              </w:rPr>
              <w:t>Add: Comprehensive loss (income) attributable to</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noncontrolling interests and mezzanine classified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50,882</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(1,308)</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(39,082)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(101,792)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(188,343)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line="194" w:lineRule="exact"/>
              <w:rPr>
                <w:sz w:val="20"/>
                <w:szCs w:val="20"/>
                <w:color w:val="auto"/>
              </w:rPr>
            </w:pPr>
            <w:r>
              <w:rPr>
                <w:rFonts w:ascii="Arial" w:cs="Arial" w:eastAsia="Arial" w:hAnsi="Arial"/>
                <w:sz w:val="17"/>
                <w:szCs w:val="17"/>
                <w:color w:val="auto"/>
              </w:rPr>
              <w:t>Comprehensive income attributable to</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040" w:type="dxa"/>
            <w:vAlign w:val="bottom"/>
            <w:vMerge w:val="restart"/>
          </w:tcPr>
          <w:p>
            <w:pPr>
              <w:ind w:left="360"/>
              <w:spacing w:after="0"/>
              <w:rPr>
                <w:sz w:val="20"/>
                <w:szCs w:val="20"/>
                <w:color w:val="auto"/>
              </w:rPr>
            </w:pPr>
            <w:r>
              <w:rPr>
                <w:rFonts w:ascii="Arial" w:cs="Arial" w:eastAsia="Arial" w:hAnsi="Arial"/>
                <w:sz w:val="17"/>
                <w:szCs w:val="17"/>
                <w:color w:val="auto"/>
                <w:w w:val="87"/>
              </w:rPr>
              <w:t>3,637,452</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4,443,910</w:t>
            </w:r>
          </w:p>
        </w:tc>
        <w:tc>
          <w:tcPr>
            <w:tcW w:w="1420" w:type="dxa"/>
            <w:vAlign w:val="bottom"/>
            <w:gridSpan w:val="3"/>
            <w:vMerge w:val="restart"/>
          </w:tcPr>
          <w:p>
            <w:pPr>
              <w:jc w:val="right"/>
              <w:ind w:right="140"/>
              <w:spacing w:after="0"/>
              <w:rPr>
                <w:sz w:val="20"/>
                <w:szCs w:val="20"/>
                <w:color w:val="auto"/>
              </w:rPr>
            </w:pPr>
            <w:r>
              <w:rPr>
                <w:rFonts w:ascii="Arial" w:cs="Arial" w:eastAsia="Arial" w:hAnsi="Arial"/>
                <w:sz w:val="17"/>
                <w:szCs w:val="17"/>
                <w:color w:val="auto"/>
              </w:rPr>
              <w:t>4,756,623</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6,762,560</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11,638,547</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1,676,300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740" w:type="dxa"/>
            <w:vAlign w:val="bottom"/>
          </w:tcPr>
          <w:p>
            <w:pPr>
              <w:ind w:left="180"/>
              <w:spacing w:after="0"/>
              <w:rPr>
                <w:sz w:val="20"/>
                <w:szCs w:val="20"/>
                <w:color w:val="auto"/>
              </w:rPr>
            </w:pPr>
            <w:r>
              <w:rPr>
                <w:rFonts w:ascii="Arial" w:cs="Arial" w:eastAsia="Arial" w:hAnsi="Arial"/>
                <w:sz w:val="17"/>
                <w:szCs w:val="17"/>
                <w:color w:val="auto"/>
              </w:rPr>
              <w:t>NetEase, Inc.’s shareholders</w:t>
            </w:r>
          </w:p>
        </w:tc>
        <w:tc>
          <w:tcPr>
            <w:tcW w:w="10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7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Cash dividend per share</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0.25</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37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60"/>
          </w:cols>
          <w:pgMar w:left="240" w:top="333" w:right="199" w:bottom="0" w:gutter="0" w:footer="0" w:header="0"/>
        </w:sectPr>
      </w:pPr>
    </w:p>
    <w:p>
      <w:pPr>
        <w:spacing w:after="0" w:line="216" w:lineRule="exact"/>
        <w:rPr>
          <w:sz w:val="20"/>
          <w:szCs w:val="20"/>
          <w:color w:val="auto"/>
        </w:rPr>
      </w:pPr>
    </w:p>
    <w:p>
      <w:pPr>
        <w:ind w:left="180" w:right="380" w:hanging="172"/>
        <w:spacing w:after="0" w:line="259" w:lineRule="auto"/>
        <w:rPr>
          <w:sz w:val="20"/>
          <w:szCs w:val="20"/>
          <w:color w:val="auto"/>
        </w:rPr>
      </w:pPr>
      <w:r>
        <w:rPr>
          <w:rFonts w:ascii="Arial" w:cs="Arial" w:eastAsia="Arial" w:hAnsi="Arial"/>
          <w:sz w:val="17"/>
          <w:szCs w:val="17"/>
          <w:color w:val="auto"/>
        </w:rPr>
        <w:t>Net income attributable to NetEase, Inc.’s shareholders per share, basic</w:t>
      </w:r>
    </w:p>
    <w:p>
      <w:pPr>
        <w:spacing w:after="0" w:line="1" w:lineRule="exact"/>
        <w:rPr>
          <w:sz w:val="20"/>
          <w:szCs w:val="20"/>
          <w:color w:val="auto"/>
        </w:rPr>
      </w:pPr>
    </w:p>
    <w:p>
      <w:pPr>
        <w:ind w:left="180" w:right="380" w:hanging="172"/>
        <w:spacing w:after="0" w:line="268" w:lineRule="auto"/>
        <w:rPr>
          <w:sz w:val="20"/>
          <w:szCs w:val="20"/>
          <w:color w:val="auto"/>
        </w:rPr>
      </w:pPr>
      <w:r>
        <w:rPr>
          <w:rFonts w:ascii="Arial" w:cs="Arial" w:eastAsia="Arial" w:hAnsi="Arial"/>
          <w:sz w:val="16"/>
          <w:szCs w:val="16"/>
          <w:color w:val="auto"/>
        </w:rPr>
        <w:t>Net income attributable to NetEase, Inc.’s shareholders per share, diluted</w:t>
      </w:r>
    </w:p>
    <w:p>
      <w:pPr>
        <w:spacing w:after="0" w:line="1" w:lineRule="exact"/>
        <w:rPr>
          <w:sz w:val="20"/>
          <w:szCs w:val="20"/>
          <w:color w:val="auto"/>
        </w:rPr>
      </w:pPr>
    </w:p>
    <w:p>
      <w:pPr>
        <w:ind w:left="180" w:right="380" w:hanging="172"/>
        <w:spacing w:after="0" w:line="252" w:lineRule="auto"/>
        <w:rPr>
          <w:sz w:val="20"/>
          <w:szCs w:val="20"/>
          <w:color w:val="auto"/>
        </w:rPr>
      </w:pPr>
      <w:r>
        <w:rPr>
          <w:rFonts w:ascii="Arial" w:cs="Arial" w:eastAsia="Arial" w:hAnsi="Arial"/>
          <w:sz w:val="17"/>
          <w:szCs w:val="17"/>
          <w:color w:val="auto"/>
        </w:rPr>
        <w:t>Net income attributable to NetEase, Inc.’s shareholders per ADS, basic</w:t>
      </w:r>
    </w:p>
    <w:p>
      <w:pPr>
        <w:spacing w:after="0" w:line="1" w:lineRule="exact"/>
        <w:rPr>
          <w:sz w:val="20"/>
          <w:szCs w:val="20"/>
          <w:color w:val="auto"/>
        </w:rPr>
      </w:pPr>
    </w:p>
    <w:p>
      <w:pPr>
        <w:ind w:left="180" w:right="380" w:hanging="172"/>
        <w:spacing w:after="0" w:line="268" w:lineRule="auto"/>
        <w:rPr>
          <w:sz w:val="20"/>
          <w:szCs w:val="20"/>
          <w:color w:val="auto"/>
        </w:rPr>
      </w:pPr>
      <w:r>
        <w:rPr>
          <w:rFonts w:ascii="Arial" w:cs="Arial" w:eastAsia="Arial" w:hAnsi="Arial"/>
          <w:sz w:val="16"/>
          <w:szCs w:val="16"/>
          <w:color w:val="auto"/>
        </w:rPr>
        <w:t>Net income attributable to NetEase, Inc.’s shareholders per ADS, diluted</w:t>
      </w:r>
    </w:p>
    <w:p>
      <w:pPr>
        <w:spacing w:after="0" w:line="1" w:lineRule="exact"/>
        <w:rPr>
          <w:sz w:val="20"/>
          <w:szCs w:val="20"/>
          <w:color w:val="auto"/>
        </w:rPr>
      </w:pPr>
    </w:p>
    <w:p>
      <w:pPr>
        <w:ind w:left="180" w:right="180" w:hanging="172"/>
        <w:spacing w:after="0" w:line="252" w:lineRule="auto"/>
        <w:rPr>
          <w:sz w:val="20"/>
          <w:szCs w:val="20"/>
          <w:color w:val="auto"/>
        </w:rPr>
      </w:pPr>
      <w:r>
        <w:rPr>
          <w:rFonts w:ascii="Arial" w:cs="Arial" w:eastAsia="Arial" w:hAnsi="Arial"/>
          <w:sz w:val="17"/>
          <w:szCs w:val="17"/>
          <w:color w:val="auto"/>
        </w:rPr>
        <w:t>Weighted average number of ordinary shares outstanding, basic</w:t>
      </w:r>
    </w:p>
    <w:p>
      <w:pPr>
        <w:spacing w:after="0" w:line="1" w:lineRule="exact"/>
        <w:rPr>
          <w:sz w:val="20"/>
          <w:szCs w:val="20"/>
          <w:color w:val="auto"/>
        </w:rPr>
      </w:pPr>
    </w:p>
    <w:p>
      <w:pPr>
        <w:ind w:left="180" w:hanging="172"/>
        <w:spacing w:after="0" w:line="252" w:lineRule="auto"/>
        <w:rPr>
          <w:sz w:val="20"/>
          <w:szCs w:val="20"/>
          <w:color w:val="auto"/>
        </w:rPr>
      </w:pPr>
      <w:r>
        <w:rPr>
          <w:rFonts w:ascii="Arial" w:cs="Arial" w:eastAsia="Arial" w:hAnsi="Arial"/>
          <w:sz w:val="17"/>
          <w:szCs w:val="17"/>
          <w:color w:val="auto"/>
        </w:rPr>
        <w:t>Weighted average number of ADS outstanding, basic</w:t>
      </w:r>
    </w:p>
    <w:p>
      <w:pPr>
        <w:spacing w:after="0" w:line="1" w:lineRule="exact"/>
        <w:rPr>
          <w:sz w:val="20"/>
          <w:szCs w:val="20"/>
          <w:color w:val="auto"/>
        </w:rPr>
      </w:pPr>
    </w:p>
    <w:p>
      <w:pPr>
        <w:ind w:left="180" w:right="180" w:hanging="172"/>
        <w:spacing w:after="0" w:line="252" w:lineRule="auto"/>
        <w:rPr>
          <w:sz w:val="20"/>
          <w:szCs w:val="20"/>
          <w:color w:val="auto"/>
        </w:rPr>
      </w:pPr>
      <w:r>
        <w:rPr>
          <w:rFonts w:ascii="Arial" w:cs="Arial" w:eastAsia="Arial" w:hAnsi="Arial"/>
          <w:sz w:val="17"/>
          <w:szCs w:val="17"/>
          <w:color w:val="auto"/>
        </w:rPr>
        <w:t>Weighted average number of ordinary shares outstanding, diluted</w:t>
      </w:r>
    </w:p>
    <w:p>
      <w:pPr>
        <w:spacing w:after="0" w:line="1" w:lineRule="exact"/>
        <w:rPr>
          <w:sz w:val="20"/>
          <w:szCs w:val="20"/>
          <w:color w:val="auto"/>
        </w:rPr>
      </w:pPr>
    </w:p>
    <w:p>
      <w:pPr>
        <w:ind w:left="180" w:hanging="172"/>
        <w:spacing w:after="0" w:line="265" w:lineRule="auto"/>
        <w:rPr>
          <w:sz w:val="20"/>
          <w:szCs w:val="20"/>
          <w:color w:val="auto"/>
        </w:rPr>
      </w:pPr>
      <w:r>
        <w:rPr>
          <w:rFonts w:ascii="Arial" w:cs="Arial" w:eastAsia="Arial" w:hAnsi="Arial"/>
          <w:sz w:val="17"/>
          <w:szCs w:val="17"/>
          <w:color w:val="auto"/>
        </w:rPr>
        <w:t>Weighted average number of ADS outstanding, diluted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cost included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Selling and marketing expenses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1.11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1.46</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3.54</w:t>
            </w:r>
          </w:p>
        </w:tc>
        <w:tc>
          <w:tcPr>
            <w:tcW w:w="1120" w:type="dxa"/>
            <w:vAlign w:val="bottom"/>
          </w:tcPr>
          <w:p>
            <w:pPr>
              <w:jc w:val="right"/>
              <w:spacing w:after="0"/>
              <w:rPr>
                <w:sz w:val="20"/>
                <w:szCs w:val="20"/>
                <w:color w:val="auto"/>
              </w:rPr>
            </w:pPr>
            <w:r>
              <w:rPr>
                <w:rFonts w:ascii="Arial" w:cs="Arial" w:eastAsia="Arial" w:hAnsi="Arial"/>
                <w:sz w:val="17"/>
                <w:szCs w:val="17"/>
                <w:color w:val="auto"/>
              </w:rPr>
              <w:t>0.51</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1.11</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1.36</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1.45</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2.04</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3.51</w:t>
            </w:r>
          </w:p>
        </w:tc>
        <w:tc>
          <w:tcPr>
            <w:tcW w:w="1120" w:type="dxa"/>
            <w:vAlign w:val="bottom"/>
          </w:tcPr>
          <w:p>
            <w:pPr>
              <w:jc w:val="right"/>
              <w:spacing w:after="0"/>
              <w:rPr>
                <w:sz w:val="20"/>
                <w:szCs w:val="20"/>
                <w:color w:val="auto"/>
              </w:rPr>
            </w:pPr>
            <w:r>
              <w:rPr>
                <w:rFonts w:ascii="Arial" w:cs="Arial" w:eastAsia="Arial" w:hAnsi="Arial"/>
                <w:sz w:val="17"/>
                <w:szCs w:val="17"/>
                <w:color w:val="auto"/>
              </w:rPr>
              <w:t>0.51</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27.70</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34.21</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36.43</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51.27</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88.40</w:t>
            </w:r>
          </w:p>
        </w:tc>
        <w:tc>
          <w:tcPr>
            <w:tcW w:w="1120" w:type="dxa"/>
            <w:vAlign w:val="bottom"/>
          </w:tcPr>
          <w:p>
            <w:pPr>
              <w:jc w:val="right"/>
              <w:spacing w:after="0"/>
              <w:rPr>
                <w:sz w:val="20"/>
                <w:szCs w:val="20"/>
                <w:color w:val="auto"/>
              </w:rPr>
            </w:pPr>
            <w:r>
              <w:rPr>
                <w:rFonts w:ascii="Arial" w:cs="Arial" w:eastAsia="Arial" w:hAnsi="Arial"/>
                <w:sz w:val="17"/>
                <w:szCs w:val="17"/>
                <w:color w:val="auto"/>
              </w:rPr>
              <w:t>12.73</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27.65</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34.12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36.29</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50.94</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87.72</w:t>
            </w:r>
          </w:p>
        </w:tc>
        <w:tc>
          <w:tcPr>
            <w:tcW w:w="1120" w:type="dxa"/>
            <w:vAlign w:val="bottom"/>
          </w:tcPr>
          <w:p>
            <w:pPr>
              <w:jc w:val="right"/>
              <w:spacing w:after="0"/>
              <w:rPr>
                <w:sz w:val="20"/>
                <w:szCs w:val="20"/>
                <w:color w:val="auto"/>
              </w:rPr>
            </w:pPr>
            <w:r>
              <w:rPr>
                <w:rFonts w:ascii="Arial" w:cs="Arial" w:eastAsia="Arial" w:hAnsi="Arial"/>
                <w:sz w:val="17"/>
                <w:szCs w:val="17"/>
                <w:color w:val="auto"/>
              </w:rPr>
              <w:t>12.63</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040" w:type="dxa"/>
            <w:vAlign w:val="bottom"/>
          </w:tcPr>
          <w:p>
            <w:pPr>
              <w:jc w:val="right"/>
              <w:spacing w:after="0"/>
              <w:rPr>
                <w:sz w:val="20"/>
                <w:szCs w:val="20"/>
                <w:color w:val="auto"/>
              </w:rPr>
            </w:pPr>
            <w:r>
              <w:rPr>
                <w:rFonts w:ascii="Arial" w:cs="Arial" w:eastAsia="Arial" w:hAnsi="Arial"/>
                <w:sz w:val="17"/>
                <w:szCs w:val="17"/>
                <w:color w:val="auto"/>
              </w:rPr>
              <w:t>3,282,663</w:t>
            </w:r>
          </w:p>
        </w:tc>
        <w:tc>
          <w:tcPr>
            <w:tcW w:w="2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3,247,874</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3,264,450</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3,284,382</w:t>
            </w:r>
          </w:p>
        </w:tc>
        <w:tc>
          <w:tcPr>
            <w:tcW w:w="1100" w:type="dxa"/>
            <w:vAlign w:val="bottom"/>
          </w:tcPr>
          <w:p>
            <w:pPr>
              <w:jc w:val="right"/>
              <w:spacing w:after="0"/>
              <w:rPr>
                <w:sz w:val="20"/>
                <w:szCs w:val="20"/>
                <w:color w:val="auto"/>
              </w:rPr>
            </w:pPr>
            <w:r>
              <w:rPr>
                <w:rFonts w:ascii="Arial" w:cs="Arial" w:eastAsia="Arial" w:hAnsi="Arial"/>
                <w:sz w:val="17"/>
                <w:szCs w:val="17"/>
                <w:color w:val="auto"/>
              </w:rPr>
              <w:t>3,281,729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3,281,729</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131,307</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129,915</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130,578</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131,375</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131,269</w:t>
            </w:r>
          </w:p>
        </w:tc>
        <w:tc>
          <w:tcPr>
            <w:tcW w:w="1120" w:type="dxa"/>
            <w:vAlign w:val="bottom"/>
          </w:tcPr>
          <w:p>
            <w:pPr>
              <w:jc w:val="right"/>
              <w:spacing w:after="0"/>
              <w:rPr>
                <w:sz w:val="20"/>
                <w:szCs w:val="20"/>
                <w:color w:val="auto"/>
              </w:rPr>
            </w:pPr>
            <w:r>
              <w:rPr>
                <w:rFonts w:ascii="Arial" w:cs="Arial" w:eastAsia="Arial" w:hAnsi="Arial"/>
                <w:sz w:val="17"/>
                <w:szCs w:val="17"/>
                <w:color w:val="auto"/>
              </w:rPr>
              <w:t>131,269</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040" w:type="dxa"/>
            <w:vAlign w:val="bottom"/>
          </w:tcPr>
          <w:p>
            <w:pPr>
              <w:jc w:val="right"/>
              <w:spacing w:after="0"/>
              <w:rPr>
                <w:sz w:val="20"/>
                <w:szCs w:val="20"/>
                <w:color w:val="auto"/>
              </w:rPr>
            </w:pPr>
            <w:r>
              <w:rPr>
                <w:rFonts w:ascii="Arial" w:cs="Arial" w:eastAsia="Arial" w:hAnsi="Arial"/>
                <w:sz w:val="17"/>
                <w:szCs w:val="17"/>
                <w:color w:val="auto"/>
              </w:rPr>
              <w:t>3,288,330</w:t>
            </w:r>
          </w:p>
        </w:tc>
        <w:tc>
          <w:tcPr>
            <w:tcW w:w="2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3,256,297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3,277,049</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3,305,213</w:t>
            </w:r>
          </w:p>
        </w:tc>
        <w:tc>
          <w:tcPr>
            <w:tcW w:w="1100" w:type="dxa"/>
            <w:vAlign w:val="bottom"/>
          </w:tcPr>
          <w:p>
            <w:pPr>
              <w:jc w:val="right"/>
              <w:spacing w:after="0"/>
              <w:rPr>
                <w:sz w:val="20"/>
                <w:szCs w:val="20"/>
                <w:color w:val="auto"/>
              </w:rPr>
            </w:pPr>
            <w:r>
              <w:rPr>
                <w:rFonts w:ascii="Arial" w:cs="Arial" w:eastAsia="Arial" w:hAnsi="Arial"/>
                <w:sz w:val="17"/>
                <w:szCs w:val="17"/>
                <w:color w:val="auto"/>
              </w:rPr>
              <w:t>3,307,109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3,307,109</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131,533</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130,252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131,082</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132,209</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132,284</w:t>
            </w:r>
          </w:p>
        </w:tc>
        <w:tc>
          <w:tcPr>
            <w:tcW w:w="1120" w:type="dxa"/>
            <w:vAlign w:val="bottom"/>
          </w:tcPr>
          <w:p>
            <w:pPr>
              <w:jc w:val="right"/>
              <w:spacing w:after="0"/>
              <w:rPr>
                <w:sz w:val="20"/>
                <w:szCs w:val="20"/>
                <w:color w:val="auto"/>
              </w:rPr>
            </w:pPr>
            <w:r>
              <w:rPr>
                <w:rFonts w:ascii="Arial" w:cs="Arial" w:eastAsia="Arial" w:hAnsi="Arial"/>
                <w:sz w:val="17"/>
                <w:szCs w:val="17"/>
                <w:color w:val="auto"/>
              </w:rPr>
              <w:t>132,284</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84"/>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100,540</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165,708</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169,621</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328,480</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444,187</w:t>
            </w:r>
          </w:p>
        </w:tc>
        <w:tc>
          <w:tcPr>
            <w:tcW w:w="1120" w:type="dxa"/>
            <w:vAlign w:val="bottom"/>
          </w:tcPr>
          <w:p>
            <w:pPr>
              <w:jc w:val="right"/>
              <w:spacing w:after="0"/>
              <w:rPr>
                <w:sz w:val="20"/>
                <w:szCs w:val="20"/>
                <w:color w:val="auto"/>
              </w:rPr>
            </w:pPr>
            <w:r>
              <w:rPr>
                <w:rFonts w:ascii="Arial" w:cs="Arial" w:eastAsia="Arial" w:hAnsi="Arial"/>
                <w:sz w:val="17"/>
                <w:szCs w:val="17"/>
                <w:color w:val="auto"/>
              </w:rPr>
              <w:t>63,976</w:t>
            </w:r>
          </w:p>
        </w:tc>
      </w:tr>
      <w:tr>
        <w:trPr>
          <w:trHeight w:val="206"/>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13,368</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17,967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23,253</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36,023</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52,689</w:t>
            </w:r>
          </w:p>
        </w:tc>
        <w:tc>
          <w:tcPr>
            <w:tcW w:w="1120" w:type="dxa"/>
            <w:vAlign w:val="bottom"/>
          </w:tcPr>
          <w:p>
            <w:pPr>
              <w:jc w:val="right"/>
              <w:spacing w:after="0"/>
              <w:rPr>
                <w:sz w:val="20"/>
                <w:szCs w:val="20"/>
                <w:color w:val="auto"/>
              </w:rPr>
            </w:pPr>
            <w:r>
              <w:rPr>
                <w:rFonts w:ascii="Arial" w:cs="Arial" w:eastAsia="Arial" w:hAnsi="Arial"/>
                <w:sz w:val="17"/>
                <w:szCs w:val="17"/>
                <w:color w:val="auto"/>
              </w:rPr>
              <w:t>7,589</w:t>
            </w:r>
          </w:p>
        </w:tc>
      </w:tr>
      <w:tr>
        <w:trPr>
          <w:trHeight w:val="206"/>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33,374</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48,350</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51,475</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120,925</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238,750</w:t>
            </w:r>
          </w:p>
        </w:tc>
        <w:tc>
          <w:tcPr>
            <w:tcW w:w="1120" w:type="dxa"/>
            <w:vAlign w:val="bottom"/>
          </w:tcPr>
          <w:p>
            <w:pPr>
              <w:jc w:val="right"/>
              <w:spacing w:after="0"/>
              <w:rPr>
                <w:sz w:val="20"/>
                <w:szCs w:val="20"/>
                <w:color w:val="auto"/>
              </w:rPr>
            </w:pPr>
            <w:r>
              <w:rPr>
                <w:rFonts w:ascii="Arial" w:cs="Arial" w:eastAsia="Arial" w:hAnsi="Arial"/>
                <w:sz w:val="17"/>
                <w:szCs w:val="17"/>
                <w:color w:val="auto"/>
              </w:rPr>
              <w:t>34,387</w:t>
            </w:r>
          </w:p>
        </w:tc>
      </w:tr>
      <w:tr>
        <w:trPr>
          <w:trHeight w:val="217"/>
        </w:trPr>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55,736</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74,283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104,928</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199,039</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254,505</w:t>
            </w:r>
          </w:p>
        </w:tc>
        <w:tc>
          <w:tcPr>
            <w:tcW w:w="1120" w:type="dxa"/>
            <w:vAlign w:val="bottom"/>
          </w:tcPr>
          <w:p>
            <w:pPr>
              <w:jc w:val="right"/>
              <w:spacing w:after="0"/>
              <w:rPr>
                <w:sz w:val="20"/>
                <w:szCs w:val="20"/>
                <w:color w:val="auto"/>
              </w:rPr>
            </w:pPr>
            <w:r>
              <w:rPr>
                <w:rFonts w:ascii="Arial" w:cs="Arial" w:eastAsia="Arial" w:hAnsi="Arial"/>
                <w:sz w:val="17"/>
                <w:szCs w:val="17"/>
                <w:color w:val="auto"/>
              </w:rPr>
              <w:t>36,657</w:t>
            </w:r>
          </w:p>
        </w:tc>
      </w:t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-2898775</wp:posOffset>
            </wp:positionV>
            <wp:extent cx="7252970" cy="261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61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-2376170</wp:posOffset>
            </wp:positionV>
            <wp:extent cx="7252970" cy="261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61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-1853565</wp:posOffset>
            </wp:positionV>
            <wp:extent cx="7252970" cy="261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61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-1330960</wp:posOffset>
            </wp:positionV>
            <wp:extent cx="7252970" cy="261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616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-807720</wp:posOffset>
            </wp:positionV>
            <wp:extent cx="7252970" cy="147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14732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-530225</wp:posOffset>
            </wp:positionV>
            <wp:extent cx="72529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-268605</wp:posOffset>
            </wp:positionV>
            <wp:extent cx="7252970" cy="130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-7620</wp:posOffset>
            </wp:positionV>
            <wp:extent cx="7252970" cy="52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52705"/>
                    </a:xfrm>
                    <a:prstGeom prst="rect">
                      <a:avLst/>
                    </a:prstGeom>
                    <a:noFill/>
                  </pic:spPr>
                </pic:pic>
              </a:graphicData>
            </a:graphic>
          </wp:anchor>
        </w:drawing>
      </w:r>
    </w:p>
    <w:p>
      <w:pPr>
        <w:sectPr>
          <w:pgSz w:w="11900" w:h="16838" w:orient="portrait"/>
          <w:cols w:equalWidth="0" w:num="2">
            <w:col w:w="3260" w:space="480"/>
            <w:col w:w="7720"/>
          </w:cols>
          <w:pgMar w:left="240" w:top="333" w:right="1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6"/>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203,018</w:t>
            </w:r>
          </w:p>
        </w:tc>
        <w:tc>
          <w:tcPr>
            <w:tcW w:w="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306,308</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349,277</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684,467</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990,131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142,609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59"/>
        </w:trPr>
        <w:tc>
          <w:tcPr>
            <w:tcW w:w="3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Data:</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740" w:type="dxa"/>
            <w:vAlign w:val="bottom"/>
            <w:gridSpan w:val="2"/>
          </w:tcPr>
          <w:p>
            <w:pPr>
              <w:ind w:left="180"/>
              <w:spacing w:after="0"/>
              <w:rPr>
                <w:sz w:val="20"/>
                <w:szCs w:val="20"/>
                <w:color w:val="auto"/>
              </w:rPr>
            </w:pPr>
            <w:r>
              <w:rPr>
                <w:rFonts w:ascii="Arial" w:cs="Arial" w:eastAsia="Arial" w:hAnsi="Arial"/>
                <w:sz w:val="17"/>
                <w:szCs w:val="17"/>
                <w:color w:val="auto"/>
              </w:rPr>
              <w:t>Capital expenditures</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178,654</w:t>
            </w:r>
          </w:p>
        </w:tc>
        <w:tc>
          <w:tcPr>
            <w:tcW w:w="4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7"/>
                <w:szCs w:val="17"/>
                <w:color w:val="auto"/>
              </w:rPr>
              <w:t>218,936</w:t>
            </w:r>
          </w:p>
        </w:tc>
        <w:tc>
          <w:tcPr>
            <w:tcW w:w="1280" w:type="dxa"/>
            <w:vAlign w:val="bottom"/>
            <w:gridSpan w:val="4"/>
          </w:tcPr>
          <w:p>
            <w:pPr>
              <w:jc w:val="right"/>
              <w:ind w:right="140"/>
              <w:spacing w:after="0"/>
              <w:rPr>
                <w:sz w:val="20"/>
                <w:szCs w:val="20"/>
                <w:color w:val="auto"/>
              </w:rPr>
            </w:pPr>
            <w:r>
              <w:rPr>
                <w:rFonts w:ascii="Arial" w:cs="Arial" w:eastAsia="Arial" w:hAnsi="Arial"/>
                <w:sz w:val="17"/>
                <w:szCs w:val="17"/>
                <w:color w:val="auto"/>
              </w:rPr>
              <w:t>537,376</w:t>
            </w:r>
          </w:p>
        </w:tc>
        <w:tc>
          <w:tcPr>
            <w:tcW w:w="1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7"/>
                <w:szCs w:val="17"/>
                <w:color w:val="auto"/>
              </w:rPr>
              <w:t>866,314</w:t>
            </w: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1,135,533</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163,551</w:t>
            </w:r>
          </w:p>
        </w:tc>
      </w:tr>
      <w:tr>
        <w:trPr>
          <w:trHeight w:val="20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cash provided by/(used in):</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740" w:type="dxa"/>
            <w:vAlign w:val="bottom"/>
            <w:gridSpan w:val="2"/>
          </w:tcPr>
          <w:p>
            <w:pPr>
              <w:ind w:left="180"/>
              <w:spacing w:after="0"/>
              <w:rPr>
                <w:sz w:val="20"/>
                <w:szCs w:val="20"/>
                <w:color w:val="auto"/>
              </w:rPr>
            </w:pPr>
            <w:r>
              <w:rPr>
                <w:rFonts w:ascii="Arial" w:cs="Arial" w:eastAsia="Arial" w:hAnsi="Arial"/>
                <w:sz w:val="17"/>
                <w:szCs w:val="17"/>
                <w:color w:val="auto"/>
              </w:rPr>
              <w:t>Operating activities</w:t>
            </w:r>
          </w:p>
        </w:tc>
        <w:tc>
          <w:tcPr>
            <w:tcW w:w="1040" w:type="dxa"/>
            <w:vAlign w:val="bottom"/>
          </w:tcPr>
          <w:p>
            <w:pPr>
              <w:jc w:val="right"/>
              <w:spacing w:after="0"/>
              <w:rPr>
                <w:sz w:val="20"/>
                <w:szCs w:val="20"/>
                <w:color w:val="auto"/>
              </w:rPr>
            </w:pPr>
            <w:r>
              <w:rPr>
                <w:rFonts w:ascii="Arial" w:cs="Arial" w:eastAsia="Arial" w:hAnsi="Arial"/>
                <w:sz w:val="17"/>
                <w:szCs w:val="17"/>
                <w:color w:val="auto"/>
              </w:rPr>
              <w:t>4,224,290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7"/>
                <w:szCs w:val="17"/>
                <w:color w:val="auto"/>
              </w:rPr>
              <w:t>5,235,890</w:t>
            </w:r>
          </w:p>
        </w:tc>
        <w:tc>
          <w:tcPr>
            <w:tcW w:w="1280" w:type="dxa"/>
            <w:vAlign w:val="bottom"/>
            <w:gridSpan w:val="4"/>
          </w:tcPr>
          <w:p>
            <w:pPr>
              <w:jc w:val="right"/>
              <w:ind w:right="140"/>
              <w:spacing w:after="0"/>
              <w:rPr>
                <w:sz w:val="20"/>
                <w:szCs w:val="20"/>
                <w:color w:val="auto"/>
              </w:rPr>
            </w:pPr>
            <w:r>
              <w:rPr>
                <w:rFonts w:ascii="Arial" w:cs="Arial" w:eastAsia="Arial" w:hAnsi="Arial"/>
                <w:sz w:val="17"/>
                <w:szCs w:val="17"/>
                <w:color w:val="auto"/>
              </w:rPr>
              <w:t>5,873,023</w:t>
            </w:r>
          </w:p>
        </w:tc>
        <w:tc>
          <w:tcPr>
            <w:tcW w:w="1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7"/>
                <w:szCs w:val="17"/>
                <w:color w:val="auto"/>
              </w:rPr>
              <w:t>8,076,920</w:t>
            </w:r>
          </w:p>
        </w:tc>
        <w:tc>
          <w:tcPr>
            <w:tcW w:w="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15,488,266</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2,230,776</w:t>
            </w:r>
          </w:p>
        </w:tc>
      </w:tr>
      <w:tr>
        <w:trPr>
          <w:trHeight w:val="20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Investing activities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(4,454,038)</w:t>
            </w:r>
          </w:p>
        </w:tc>
        <w:tc>
          <w:tcPr>
            <w:tcW w:w="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(5,453,279)</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(4,520,166)</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(2,536,524)</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(14,001,814)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(2,016,682)</w:t>
            </w:r>
          </w:p>
        </w:tc>
      </w:tr>
      <w:tr>
        <w:trPr>
          <w:trHeight w:val="217"/>
        </w:trPr>
        <w:tc>
          <w:tcPr>
            <w:tcW w:w="3740" w:type="dxa"/>
            <w:vAlign w:val="bottom"/>
            <w:gridSpan w:val="2"/>
          </w:tcPr>
          <w:p>
            <w:pPr>
              <w:ind w:left="180"/>
              <w:spacing w:after="0"/>
              <w:rPr>
                <w:sz w:val="20"/>
                <w:szCs w:val="20"/>
                <w:color w:val="auto"/>
              </w:rPr>
            </w:pPr>
            <w:r>
              <w:rPr>
                <w:rFonts w:ascii="Arial" w:cs="Arial" w:eastAsia="Arial" w:hAnsi="Arial"/>
                <w:sz w:val="17"/>
                <w:szCs w:val="17"/>
                <w:color w:val="auto"/>
              </w:rPr>
              <w:t>Financing activities</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(390,230)</w:t>
            </w:r>
          </w:p>
        </w:tc>
        <w:tc>
          <w:tcPr>
            <w:tcW w:w="4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7"/>
                <w:szCs w:val="17"/>
                <w:color w:val="auto"/>
              </w:rPr>
              <w:t>86,848</w:t>
            </w:r>
          </w:p>
        </w:tc>
        <w:tc>
          <w:tcPr>
            <w:tcW w:w="1280" w:type="dxa"/>
            <w:vAlign w:val="bottom"/>
            <w:gridSpan w:val="4"/>
          </w:tcPr>
          <w:p>
            <w:pPr>
              <w:jc w:val="right"/>
              <w:ind w:right="100"/>
              <w:spacing w:after="0"/>
              <w:rPr>
                <w:sz w:val="20"/>
                <w:szCs w:val="20"/>
                <w:color w:val="auto"/>
              </w:rPr>
            </w:pPr>
            <w:r>
              <w:rPr>
                <w:rFonts w:ascii="Arial" w:cs="Arial" w:eastAsia="Arial" w:hAnsi="Arial"/>
                <w:sz w:val="17"/>
                <w:szCs w:val="17"/>
                <w:color w:val="auto"/>
              </w:rPr>
              <w:t>(778,442)</w:t>
            </w:r>
          </w:p>
        </w:tc>
        <w:tc>
          <w:tcPr>
            <w:tcW w:w="18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(1,632,736)</w:t>
            </w:r>
          </w:p>
        </w:tc>
        <w:tc>
          <w:tcPr>
            <w:tcW w:w="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(2,250,507)</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(324,140)</w:t>
            </w:r>
          </w:p>
        </w:tc>
      </w:tr>
      <w:tr>
        <w:trPr>
          <w:trHeight w:val="336"/>
        </w:trPr>
        <w:tc>
          <w:tcPr>
            <w:tcW w:w="3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86"/>
              </w:rPr>
              <w:t>As of December 31,</w:t>
            </w: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34"/>
        </w:trPr>
        <w:tc>
          <w:tcPr>
            <w:tcW w:w="3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97"/>
              <w:spacing w:after="0" w:line="135"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9"/>
              <w:spacing w:after="0" w:line="13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7"/>
              <w:spacing w:after="0" w:line="135"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37"/>
              <w:spacing w:after="0" w:line="13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1120" w:type="dxa"/>
            <w:vAlign w:val="bottom"/>
            <w:tcBorders>
              <w:bottom w:val="single" w:sz="8" w:color="auto"/>
            </w:tcBorders>
          </w:tcPr>
          <w:p>
            <w:pPr>
              <w:jc w:val="right"/>
              <w:ind w:right="337"/>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12"/>
        </w:trPr>
        <w:tc>
          <w:tcPr>
            <w:tcW w:w="3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right"/>
              <w:ind w:right="377"/>
              <w:spacing w:after="0" w:line="11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jc w:val="right"/>
              <w:ind w:right="297"/>
              <w:spacing w:after="0" w:line="11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ind w:right="339"/>
              <w:spacing w:after="0" w:line="11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800" w:type="dxa"/>
            <w:vAlign w:val="bottom"/>
          </w:tcPr>
          <w:p>
            <w:pPr>
              <w:jc w:val="right"/>
              <w:ind w:right="337"/>
              <w:spacing w:after="0" w:line="112" w:lineRule="exact"/>
              <w:rPr>
                <w:sz w:val="20"/>
                <w:szCs w:val="20"/>
                <w:color w:val="auto"/>
              </w:rPr>
            </w:pPr>
            <w:r>
              <w:rPr>
                <w:rFonts w:ascii="Arial" w:cs="Arial" w:eastAsia="Arial" w:hAnsi="Arial"/>
                <w:sz w:val="11"/>
                <w:szCs w:val="11"/>
                <w:b w:val="1"/>
                <w:bCs w:val="1"/>
                <w:color w:val="auto"/>
              </w:rPr>
              <w:t>RMB</w:t>
            </w:r>
          </w:p>
        </w:tc>
        <w:tc>
          <w:tcPr>
            <w:tcW w:w="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Pr>
          <w:p>
            <w:pPr>
              <w:jc w:val="right"/>
              <w:ind w:right="317"/>
              <w:spacing w:after="0" w:line="11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9"/>
                <w:szCs w:val="9"/>
                <w:color w:val="auto"/>
              </w:rPr>
            </w:pPr>
          </w:p>
        </w:tc>
        <w:tc>
          <w:tcPr>
            <w:tcW w:w="11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US$ (Note 1)</w:t>
            </w:r>
          </w:p>
        </w:tc>
        <w:tc>
          <w:tcPr>
            <w:tcW w:w="100" w:type="dxa"/>
            <w:vAlign w:val="bottom"/>
          </w:tcPr>
          <w:p>
            <w:pPr>
              <w:spacing w:after="0"/>
              <w:rPr>
                <w:sz w:val="9"/>
                <w:szCs w:val="9"/>
                <w:color w:val="auto"/>
              </w:rPr>
            </w:pPr>
          </w:p>
        </w:tc>
      </w:tr>
      <w:tr>
        <w:trPr>
          <w:trHeight w:val="164"/>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5"/>
          </w:tcPr>
          <w:p>
            <w:pPr>
              <w:jc w:val="center"/>
              <w:ind w:left="499"/>
              <w:spacing w:after="0"/>
              <w:rPr>
                <w:sz w:val="20"/>
                <w:szCs w:val="20"/>
                <w:color w:val="auto"/>
              </w:rPr>
            </w:pPr>
            <w:r>
              <w:rPr>
                <w:rFonts w:ascii="Arial" w:cs="Arial" w:eastAsia="Arial" w:hAnsi="Arial"/>
                <w:sz w:val="14"/>
                <w:szCs w:val="14"/>
                <w:b w:val="1"/>
                <w:bCs w:val="1"/>
                <w:color w:val="auto"/>
                <w:w w:val="87"/>
              </w:rPr>
              <w:t>(in thousands)</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7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40" w:type="dxa"/>
            <w:vAlign w:val="bottom"/>
          </w:tcPr>
          <w:p>
            <w:pPr>
              <w:jc w:val="right"/>
              <w:spacing w:after="0"/>
              <w:rPr>
                <w:sz w:val="20"/>
                <w:szCs w:val="20"/>
                <w:color w:val="auto"/>
              </w:rPr>
            </w:pPr>
            <w:r>
              <w:rPr>
                <w:rFonts w:ascii="Arial" w:cs="Arial" w:eastAsia="Arial" w:hAnsi="Arial"/>
                <w:sz w:val="17"/>
                <w:szCs w:val="17"/>
                <w:color w:val="auto"/>
              </w:rPr>
              <w:t>1,590,769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1,458,298</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2,021,453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6,071,487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5,439,499</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783,451</w:t>
            </w: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Time deposits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13,098,661</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16,625,468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18,496,574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14,593,291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19,361,098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2,788,578</w:t>
            </w:r>
          </w:p>
        </w:tc>
      </w:tr>
      <w:tr>
        <w:trPr>
          <w:trHeight w:val="206"/>
        </w:trPr>
        <w:tc>
          <w:tcPr>
            <w:tcW w:w="3740" w:type="dxa"/>
            <w:vAlign w:val="bottom"/>
            <w:gridSpan w:val="2"/>
          </w:tcPr>
          <w:p>
            <w:pPr>
              <w:spacing w:after="0"/>
              <w:rPr>
                <w:sz w:val="20"/>
                <w:szCs w:val="20"/>
                <w:color w:val="auto"/>
              </w:rPr>
            </w:pPr>
            <w:r>
              <w:rPr>
                <w:rFonts w:ascii="Arial" w:cs="Arial" w:eastAsia="Arial" w:hAnsi="Arial"/>
                <w:sz w:val="17"/>
                <w:szCs w:val="17"/>
                <w:color w:val="auto"/>
              </w:rPr>
              <w:t>Property, equipment and software, net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815,026</w:t>
            </w:r>
          </w:p>
        </w:tc>
        <w:tc>
          <w:tcPr>
            <w:tcW w:w="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872,113</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1,281,225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2,092,046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2,419,510</w:t>
            </w:r>
          </w:p>
        </w:tc>
        <w:tc>
          <w:tcPr>
            <w:tcW w:w="1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348,482</w:t>
            </w: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19,277,956</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24,546,330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30,354,671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41,157,430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58,031,860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8,358,328</w:t>
            </w:r>
          </w:p>
        </w:tc>
      </w:tr>
      <w:tr>
        <w:trPr>
          <w:trHeight w:val="206"/>
        </w:trPr>
        <w:tc>
          <w:tcPr>
            <w:tcW w:w="374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1040" w:type="dxa"/>
            <w:vAlign w:val="bottom"/>
          </w:tcPr>
          <w:p>
            <w:pPr>
              <w:jc w:val="right"/>
              <w:spacing w:after="0"/>
              <w:rPr>
                <w:sz w:val="20"/>
                <w:szCs w:val="20"/>
                <w:color w:val="auto"/>
              </w:rPr>
            </w:pPr>
            <w:r>
              <w:rPr>
                <w:rFonts w:ascii="Arial" w:cs="Arial" w:eastAsia="Arial" w:hAnsi="Arial"/>
                <w:sz w:val="17"/>
                <w:szCs w:val="17"/>
                <w:color w:val="auto"/>
              </w:rPr>
              <w:t>3,576,502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4,233,184</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6,756,447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11,667,423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19,534,998</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2,813,626</w:t>
            </w: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long-term liabilities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99,968</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144,883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106,430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166,408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33,921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4,886</w:t>
            </w:r>
          </w:p>
        </w:tc>
      </w:tr>
      <w:tr>
        <w:trPr>
          <w:trHeight w:val="206"/>
        </w:trPr>
        <w:tc>
          <w:tcPr>
            <w:tcW w:w="3740" w:type="dxa"/>
            <w:vAlign w:val="bottom"/>
            <w:gridSpan w:val="2"/>
          </w:tcPr>
          <w:p>
            <w:pPr>
              <w:spacing w:after="0"/>
              <w:rPr>
                <w:sz w:val="20"/>
                <w:szCs w:val="20"/>
                <w:color w:val="auto"/>
              </w:rPr>
            </w:pPr>
            <w:r>
              <w:rPr>
                <w:rFonts w:ascii="Arial" w:cs="Arial" w:eastAsia="Arial" w:hAnsi="Arial"/>
                <w:sz w:val="17"/>
                <w:szCs w:val="17"/>
                <w:color w:val="auto"/>
              </w:rPr>
              <w:t>Working capital (Note 2)</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14,292,171</w:t>
            </w:r>
          </w:p>
        </w:tc>
        <w:tc>
          <w:tcPr>
            <w:tcW w:w="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18,564,579</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20,976,075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22,741,501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30,384,706</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4,376,307</w:t>
            </w:r>
          </w:p>
        </w:tc>
      </w:tr>
      <w:tr>
        <w:trPr>
          <w:trHeight w:val="206"/>
        </w:trPr>
        <w:tc>
          <w:tcPr>
            <w:tcW w:w="3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Mezzanine classified noncontrolling interests</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133,634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7"/>
        </w:trPr>
        <w:tc>
          <w:tcPr>
            <w:tcW w:w="374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15,601,486</w:t>
            </w:r>
          </w:p>
        </w:tc>
        <w:tc>
          <w:tcPr>
            <w:tcW w:w="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20,168,263</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23,358,160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29,323,599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38,462,941</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5,539,816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1829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8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Note 1:</w:t>
      </w:r>
      <w:r>
        <w:rPr>
          <w:sz w:val="20"/>
          <w:szCs w:val="20"/>
          <w:color w:val="auto"/>
        </w:rPr>
        <w:tab/>
      </w:r>
      <w:r>
        <w:rPr>
          <w:rFonts w:ascii="Arial" w:cs="Arial" w:eastAsia="Arial" w:hAnsi="Arial"/>
          <w:sz w:val="15"/>
          <w:szCs w:val="15"/>
          <w:color w:val="auto"/>
        </w:rPr>
        <w:t>See the section titled “Exchange Rate Information” below.</w:t>
      </w:r>
    </w:p>
    <w:p>
      <w:pPr>
        <w:spacing w:after="0" w:line="2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Note 2:</w:t>
      </w:r>
      <w:r>
        <w:rPr>
          <w:sz w:val="20"/>
          <w:szCs w:val="20"/>
          <w:color w:val="auto"/>
        </w:rPr>
        <w:tab/>
      </w:r>
      <w:r>
        <w:rPr>
          <w:rFonts w:ascii="Arial" w:cs="Arial" w:eastAsia="Arial" w:hAnsi="Arial"/>
          <w:sz w:val="15"/>
          <w:szCs w:val="15"/>
          <w:color w:val="auto"/>
        </w:rPr>
        <w:t>Working capital represents total current assets less total current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Information</w:t>
      </w:r>
    </w:p>
    <w:p>
      <w:pPr>
        <w:spacing w:after="0" w:line="222" w:lineRule="exact"/>
        <w:rPr>
          <w:sz w:val="20"/>
          <w:szCs w:val="20"/>
          <w:color w:val="auto"/>
        </w:rPr>
      </w:pPr>
    </w:p>
    <w:p>
      <w:pPr>
        <w:ind w:right="20" w:firstLine="617"/>
        <w:spacing w:after="0" w:line="256" w:lineRule="auto"/>
        <w:rPr>
          <w:sz w:val="20"/>
          <w:szCs w:val="20"/>
          <w:color w:val="auto"/>
        </w:rPr>
      </w:pPr>
      <w:r>
        <w:rPr>
          <w:rFonts w:ascii="Arial" w:cs="Arial" w:eastAsia="Arial" w:hAnsi="Arial"/>
          <w:sz w:val="17"/>
          <w:szCs w:val="17"/>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 currency of the United States. Translations in this annual report of amounts from RMB into U.S. dollars for the convenience of the reader were calculated at the noon buying rate of US$1.00: RMB6.9430 on the last trading day of 2016 (December 30, 2016) as set forth in the H.10 statistical release of the U.S. Federal Reserve Board. The prevailing rate on April 14, 2017 was US$1.00: RMB6.8835. We make no representation that any Renminbi or U.S. dollar amounts could have been, or could be, converted into U.S. dollars or Renminbi, as the case may be, at any particular rate, the rates stated above, or at all, on December 30, 2016 or on any other date. The Chinese government imposes control over its foreign currency reserves in part through direct regulation of the conversion of Renminbi into foreign exchange and through restrictions on foreign trade.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the average buying rate for Renminbi expressed as per one U.S. dollar for the years 2012, 2013, 2014, 2015 and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75"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Renminbi Average</w:t>
            </w:r>
            <w:r>
              <w:rPr>
                <w:rFonts w:ascii="Arial" w:cs="Arial" w:eastAsia="Arial" w:hAnsi="Arial"/>
                <w:sz w:val="17"/>
                <w:szCs w:val="17"/>
                <w:b w:val="1"/>
                <w:bCs w:val="1"/>
                <w:color w:val="auto"/>
                <w:vertAlign w:val="superscript"/>
              </w:rPr>
              <w:t>(1)</w:t>
            </w:r>
          </w:p>
        </w:tc>
      </w:tr>
      <w:tr>
        <w:trPr>
          <w:trHeight w:val="199"/>
        </w:trPr>
        <w:tc>
          <w:tcPr>
            <w:tcW w:w="6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3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6320" w:type="dxa"/>
            <w:vAlign w:val="bottom"/>
          </w:tcPr>
          <w:p>
            <w:pPr>
              <w:ind w:left="20"/>
              <w:spacing w:after="0"/>
              <w:rPr>
                <w:sz w:val="20"/>
                <w:szCs w:val="20"/>
                <w:color w:val="auto"/>
              </w:rPr>
            </w:pPr>
            <w:r>
              <w:rPr>
                <w:rFonts w:ascii="Arial" w:cs="Arial" w:eastAsia="Arial" w:hAnsi="Arial"/>
                <w:sz w:val="17"/>
                <w:szCs w:val="17"/>
                <w:color w:val="auto"/>
              </w:rPr>
              <w:t>2013</w:t>
            </w:r>
          </w:p>
        </w:tc>
        <w:tc>
          <w:tcPr>
            <w:tcW w:w="380" w:type="dxa"/>
            <w:vAlign w:val="bottom"/>
          </w:tcPr>
          <w:p>
            <w:pPr>
              <w:spacing w:after="0"/>
              <w:rPr>
                <w:sz w:val="17"/>
                <w:szCs w:val="17"/>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7"/>
                <w:szCs w:val="17"/>
                <w:color w:val="auto"/>
              </w:rPr>
              <w:t>6.1412</w:t>
            </w:r>
          </w:p>
        </w:tc>
      </w:tr>
      <w:tr>
        <w:trPr>
          <w:trHeight w:val="20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3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6.1704</w:t>
            </w:r>
          </w:p>
        </w:tc>
      </w:tr>
      <w:tr>
        <w:trPr>
          <w:trHeight w:val="206"/>
        </w:trPr>
        <w:tc>
          <w:tcPr>
            <w:tcW w:w="6320" w:type="dxa"/>
            <w:vAlign w:val="bottom"/>
          </w:tcPr>
          <w:p>
            <w:pPr>
              <w:ind w:left="20"/>
              <w:spacing w:after="0"/>
              <w:rPr>
                <w:sz w:val="20"/>
                <w:szCs w:val="20"/>
                <w:color w:val="auto"/>
              </w:rPr>
            </w:pPr>
            <w:r>
              <w:rPr>
                <w:rFonts w:ascii="Arial" w:cs="Arial" w:eastAsia="Arial" w:hAnsi="Arial"/>
                <w:sz w:val="17"/>
                <w:szCs w:val="17"/>
                <w:color w:val="auto"/>
              </w:rPr>
              <w:t>2015</w:t>
            </w:r>
          </w:p>
        </w:tc>
        <w:tc>
          <w:tcPr>
            <w:tcW w:w="380" w:type="dxa"/>
            <w:vAlign w:val="bottom"/>
          </w:tcPr>
          <w:p>
            <w:pPr>
              <w:spacing w:after="0"/>
              <w:rPr>
                <w:sz w:val="17"/>
                <w:szCs w:val="17"/>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7"/>
                <w:szCs w:val="17"/>
                <w:color w:val="auto"/>
              </w:rPr>
              <w:t>6.2869</w:t>
            </w:r>
          </w:p>
        </w:tc>
      </w:tr>
      <w:tr>
        <w:trPr>
          <w:trHeight w:val="20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3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829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(1) Determined by averaging the rates on the last business day of each month during the relevant period.</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high and low exchange rates for Renminbi expressed as per one U.S. dollar during the past six months.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4"/>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Month Ended</w:t>
            </w: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High</w:t>
            </w:r>
          </w:p>
        </w:tc>
        <w:tc>
          <w:tcPr>
            <w:tcW w:w="1480" w:type="dxa"/>
            <w:vAlign w:val="bottom"/>
            <w:gridSpan w:val="2"/>
          </w:tcPr>
          <w:p>
            <w:pPr>
              <w:ind w:left="560"/>
              <w:spacing w:after="0"/>
              <w:rPr>
                <w:sz w:val="20"/>
                <w:szCs w:val="20"/>
                <w:color w:val="auto"/>
              </w:rPr>
            </w:pPr>
            <w:r>
              <w:rPr>
                <w:rFonts w:ascii="Arial" w:cs="Arial" w:eastAsia="Arial" w:hAnsi="Arial"/>
                <w:sz w:val="14"/>
                <w:szCs w:val="14"/>
                <w:b w:val="1"/>
                <w:bCs w:val="1"/>
                <w:color w:val="auto"/>
              </w:rPr>
              <w:t>Low</w:t>
            </w:r>
          </w:p>
        </w:tc>
      </w:tr>
      <w:tr>
        <w:trPr>
          <w:trHeight w:val="199"/>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October 31, 2016</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6.6685</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6140" w:type="dxa"/>
            <w:vAlign w:val="bottom"/>
            <w:gridSpan w:val="2"/>
          </w:tcPr>
          <w:p>
            <w:pPr>
              <w:spacing w:after="0"/>
              <w:rPr>
                <w:sz w:val="20"/>
                <w:szCs w:val="20"/>
                <w:color w:val="auto"/>
              </w:rPr>
            </w:pPr>
            <w:r>
              <w:rPr>
                <w:rFonts w:ascii="Arial" w:cs="Arial" w:eastAsia="Arial" w:hAnsi="Arial"/>
                <w:sz w:val="17"/>
                <w:szCs w:val="17"/>
                <w:color w:val="auto"/>
              </w:rPr>
              <w:t>November 30, 2016</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6.7534</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6.9195</w:t>
            </w:r>
          </w:p>
        </w:tc>
      </w:tr>
      <w:tr>
        <w:trPr>
          <w:trHeight w:val="206"/>
        </w:trPr>
        <w:tc>
          <w:tcPr>
            <w:tcW w:w="6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6.8771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6.9580</w:t>
            </w:r>
          </w:p>
        </w:tc>
      </w:tr>
      <w:tr>
        <w:trPr>
          <w:trHeight w:val="206"/>
        </w:trPr>
        <w:tc>
          <w:tcPr>
            <w:tcW w:w="6140" w:type="dxa"/>
            <w:vAlign w:val="bottom"/>
            <w:gridSpan w:val="2"/>
          </w:tcPr>
          <w:p>
            <w:pPr>
              <w:spacing w:after="0"/>
              <w:rPr>
                <w:sz w:val="20"/>
                <w:szCs w:val="20"/>
                <w:color w:val="auto"/>
              </w:rPr>
            </w:pPr>
            <w:r>
              <w:rPr>
                <w:rFonts w:ascii="Arial" w:cs="Arial" w:eastAsia="Arial" w:hAnsi="Arial"/>
                <w:sz w:val="17"/>
                <w:szCs w:val="17"/>
                <w:color w:val="auto"/>
              </w:rPr>
              <w:t>January 31, 2017</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6.8360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6.9575</w:t>
            </w:r>
          </w:p>
        </w:tc>
      </w:tr>
      <w:tr>
        <w:trPr>
          <w:trHeight w:val="206"/>
        </w:trPr>
        <w:tc>
          <w:tcPr>
            <w:tcW w:w="6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28, 2017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6.8517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6.8821</w:t>
            </w:r>
          </w:p>
        </w:tc>
      </w:tr>
      <w:tr>
        <w:trPr>
          <w:trHeight w:val="217"/>
        </w:trPr>
        <w:tc>
          <w:tcPr>
            <w:tcW w:w="6140" w:type="dxa"/>
            <w:vAlign w:val="bottom"/>
            <w:gridSpan w:val="2"/>
          </w:tcPr>
          <w:p>
            <w:pPr>
              <w:spacing w:after="0"/>
              <w:rPr>
                <w:sz w:val="20"/>
                <w:szCs w:val="20"/>
                <w:color w:val="auto"/>
              </w:rPr>
            </w:pPr>
            <w:r>
              <w:rPr>
                <w:rFonts w:ascii="Arial" w:cs="Arial" w:eastAsia="Arial" w:hAnsi="Arial"/>
                <w:sz w:val="17"/>
                <w:szCs w:val="17"/>
                <w:color w:val="auto"/>
              </w:rPr>
              <w:t>March 31, 2017</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6.8687</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6.9132</w:t>
            </w:r>
          </w:p>
        </w:tc>
      </w:tr>
    </w:tbl>
    <w:p>
      <w:pPr>
        <w:spacing w:after="0" w:line="176" w:lineRule="exact"/>
        <w:rPr>
          <w:sz w:val="20"/>
          <w:szCs w:val="20"/>
          <w:color w:val="auto"/>
        </w:rPr>
      </w:pPr>
    </w:p>
    <w:p>
      <w:pPr>
        <w:ind w:left="620" w:right="8440" w:hanging="617"/>
        <w:spacing w:after="0" w:line="505" w:lineRule="auto"/>
        <w:tabs>
          <w:tab w:leader="none" w:pos="623"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ind w:left="620" w:right="7700" w:hanging="617"/>
        <w:spacing w:after="0" w:line="505" w:lineRule="auto"/>
        <w:tabs>
          <w:tab w:leader="none" w:pos="63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Reasons for the Offer and Use of Proceeds </w:t>
      </w:r>
      <w:r>
        <w:rPr>
          <w:rFonts w:ascii="Arial" w:cs="Arial" w:eastAsia="Arial" w:hAnsi="Arial"/>
          <w:sz w:val="17"/>
          <w:szCs w:val="17"/>
          <w:color w:val="auto"/>
        </w:rPr>
        <w:t>Not applicable.</w:t>
      </w:r>
    </w:p>
    <w:p>
      <w:pPr>
        <w:ind w:left="640" w:hanging="637"/>
        <w:spacing w:after="0"/>
        <w:tabs>
          <w:tab w:leader="none" w:pos="6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COMPANY</w:t>
      </w:r>
    </w:p>
    <w:p>
      <w:pPr>
        <w:spacing w:after="0" w:line="21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color w:val="auto"/>
        </w:rPr>
        <w:t>Our business depends to a significant extent on certain online games, which accounted for 72.3%, 67.4% and 67.6% of our total net revenues in 2014, 2015 and 2016, respectively. We may not be able to maintain the popularity of these games for a variety of reasons.</w:t>
      </w:r>
    </w:p>
    <w:p>
      <w:pPr>
        <w:sectPr>
          <w:pgSz w:w="11900" w:h="16838" w:orient="portrait"/>
          <w:cols w:equalWidth="0" w:num="1">
            <w:col w:w="11420"/>
          </w:cols>
          <w:pgMar w:left="240" w:top="140" w:right="239" w:bottom="0" w:gutter="0" w:footer="0" w:header="0"/>
        </w:sectPr>
      </w:pPr>
    </w:p>
    <w:bookmarkStart w:id="5" w:name="page6"/>
    <w:bookmarkEnd w:id="5"/>
    <w:p>
      <w:pPr>
        <w:spacing w:after="0" w:line="71" w:lineRule="exact"/>
        <w:rPr>
          <w:sz w:val="20"/>
          <w:szCs w:val="20"/>
          <w:color w:val="auto"/>
        </w:rPr>
      </w:pPr>
    </w:p>
    <w:p>
      <w:pPr>
        <w:ind w:firstLine="617"/>
        <w:spacing w:after="0" w:line="285" w:lineRule="auto"/>
        <w:rPr>
          <w:sz w:val="20"/>
          <w:szCs w:val="20"/>
          <w:color w:val="auto"/>
        </w:rPr>
      </w:pPr>
      <w:r>
        <w:rPr>
          <w:rFonts w:ascii="Arial" w:cs="Arial" w:eastAsia="Arial" w:hAnsi="Arial"/>
          <w:sz w:val="15"/>
          <w:szCs w:val="15"/>
          <w:color w:val="auto"/>
        </w:rPr>
        <w:t>Certain of our mobile games, including the Fantasy Westward Journey, Westward Journey Online mobile games, Onmyoji, the mobile version of New Ghost, Invincible and Battle to the West, and certain of our internally developed massively multi-player online role-playing PC-client games, known as PC-client MMORPGs, including New Westward Journey Online II, Fantasy Westward Journey Online (</w:t>
      </w:r>
      <w:r>
        <w:rPr>
          <w:rFonts w:ascii="Arial" w:cs="Arial" w:eastAsia="Arial" w:hAnsi="Arial"/>
          <w:sz w:val="14"/>
          <w:szCs w:val="14"/>
          <w:color w:val="auto"/>
        </w:rPr>
        <w:t>previously</w:t>
      </w:r>
      <w:r>
        <w:rPr>
          <w:rFonts w:ascii="Arial" w:cs="Arial" w:eastAsia="Arial" w:hAnsi="Arial"/>
          <w:sz w:val="15"/>
          <w:szCs w:val="15"/>
          <w:color w:val="auto"/>
        </w:rPr>
        <w:t xml:space="preserve"> known as Fantasy Westward Journey II), New Ghost (a new version of Ghost II), Revelation, Tianxia III and Heroes of Tang Dynasty Zero as well as games such as World of Warcraft</w:t>
      </w:r>
      <w:r>
        <w:rPr>
          <w:rFonts w:ascii="Arial" w:cs="Arial" w:eastAsia="Arial" w:hAnsi="Arial"/>
          <w:sz w:val="19"/>
          <w:szCs w:val="19"/>
          <w:color w:val="auto"/>
          <w:vertAlign w:val="superscript"/>
        </w:rPr>
        <w:t>®</w:t>
      </w:r>
      <w:r>
        <w:rPr>
          <w:rFonts w:ascii="Arial" w:cs="Arial" w:eastAsia="Arial" w:hAnsi="Arial"/>
          <w:sz w:val="15"/>
          <w:szCs w:val="15"/>
          <w:color w:val="auto"/>
        </w:rPr>
        <w:t>, Hearthstone</w:t>
      </w:r>
      <w:r>
        <w:rPr>
          <w:rFonts w:ascii="Arial" w:cs="Arial" w:eastAsia="Arial" w:hAnsi="Arial"/>
          <w:sz w:val="19"/>
          <w:szCs w:val="19"/>
          <w:color w:val="auto"/>
          <w:vertAlign w:val="superscript"/>
        </w:rPr>
        <w:t>®</w:t>
      </w:r>
      <w:r>
        <w:rPr>
          <w:rFonts w:ascii="Arial" w:cs="Arial" w:eastAsia="Arial" w:hAnsi="Arial"/>
          <w:sz w:val="15"/>
          <w:szCs w:val="15"/>
          <w:color w:val="auto"/>
        </w:rPr>
        <w:t>, Diablo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III and Overwatch</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licensed from Blizzard Entertainment, Inc. (together with its affiliated companies, referred to as Blizzard in this annual report), contributed 72.3%, 67.4% and 67.6% of our total net revenues in 2014, 2015 and 2016, respectively.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we cannot at this time estimate the total life cycle of any of our games, particularly our more recently launched PC or mobile games. If we are unable to maintain the popularity of our existing online games or are unable to introduce new online games which are popular with online game users in China (as discussed in the next risk factor), our business and results of operations could be materially and adversely affected. In particular, we have devoted, and expect to continue to devote, significant resources to maintain and raise the popularity of our online games through the release of new versions and/or expansion packs on a periodic basis and various promotional activities such as media advertising and game tournaments. For example, in 2016, we released several new games, including the mobile version of New Ghost, Onmyoji and Tianxia III mobile, and introduced new expansion packs for Fantasy Westward Journey Online, New Westward Journey Online II, New Westward Journey Online III, Heroes of Tang Dynasty Zero, Revelation and New Ghost.</w:t>
      </w:r>
    </w:p>
    <w:p>
      <w:pPr>
        <w:spacing w:after="0" w:line="16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color w:val="auto"/>
        </w:rPr>
        <w:t>If we fail to develop and introduce new online games timely and successfully, we will not be able to compete effectively and our ability to generate revenues will suffer.</w:t>
      </w:r>
    </w:p>
    <w:p>
      <w:pPr>
        <w:spacing w:after="0" w:line="158" w:lineRule="exact"/>
        <w:rPr>
          <w:sz w:val="20"/>
          <w:szCs w:val="20"/>
          <w:color w:val="auto"/>
        </w:rPr>
      </w:pPr>
    </w:p>
    <w:p>
      <w:pPr>
        <w:ind w:right="180" w:firstLine="617"/>
        <w:spacing w:after="0" w:line="259" w:lineRule="auto"/>
        <w:rPr>
          <w:sz w:val="20"/>
          <w:szCs w:val="20"/>
          <w:color w:val="auto"/>
        </w:rPr>
      </w:pPr>
      <w:r>
        <w:rPr>
          <w:rFonts w:ascii="Arial" w:cs="Arial" w:eastAsia="Arial" w:hAnsi="Arial"/>
          <w:sz w:val="17"/>
          <w:szCs w:val="17"/>
          <w:color w:val="auto"/>
        </w:rPr>
        <w:t>We operate in a highly competitive, quickly changing environment, and our future success depends not only on the popularity of our existing online games but also on our ability to develop and introduce new games that our customers and users choose to buy.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 The development of new games can be very difficult and requires high levels of innovation.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55" w:lineRule="auto"/>
        <w:rPr>
          <w:sz w:val="20"/>
          <w:szCs w:val="20"/>
          <w:color w:val="auto"/>
        </w:rPr>
      </w:pPr>
      <w:r>
        <w:rPr>
          <w:rFonts w:ascii="Arial" w:cs="Arial" w:eastAsia="Arial" w:hAnsi="Arial"/>
          <w:sz w:val="17"/>
          <w:szCs w:val="17"/>
          <w:color w:val="auto"/>
        </w:rPr>
        <w:t>New technologies in online game programming or operations could render our current online titles or other online games that we develop in the future obsolete or unattractive to our subscribers, thereby limiting our ability to recover development costs and potentially adversely affecting our future revenues and profitability. For example, the online game industry in China is transitioning to mobile games, which have become increasingly popular as Internet users in China rely more and more on mobile devices, such as smart phones and tablets, to access the Internet. In response to this trend, we have started to develop games that can be operated on mobile devices. We have commercially launched over 100 self-developed and licensed mobile games as of December 31, 2016, including the Fantasy Westward Journey and Westward Journey Online mobile games, Onmyoji and the mobile version of New Ghost. Each of our new games has required long periods of time for research and development and testing and also typically experience long ramp-up periods as players become familiar with the games. In particular, we are relatively new to the development of mobile games, and we cannot guarantee that we will be able to develop successful mobile games that appeal to players. We are not able to predict if or when we will commercially launch additional new games and whether any of our new games will gain popularity in the Chinese online game market.</w:t>
      </w:r>
    </w:p>
    <w:p>
      <w:pPr>
        <w:spacing w:after="0" w:line="187" w:lineRule="exact"/>
        <w:rPr>
          <w:sz w:val="20"/>
          <w:szCs w:val="20"/>
          <w:color w:val="auto"/>
        </w:rPr>
      </w:pPr>
    </w:p>
    <w:p>
      <w:pPr>
        <w:ind w:right="80" w:firstLine="617"/>
        <w:spacing w:after="0" w:line="261" w:lineRule="auto"/>
        <w:rPr>
          <w:sz w:val="20"/>
          <w:szCs w:val="20"/>
          <w:color w:val="auto"/>
        </w:rPr>
      </w:pPr>
      <w:r>
        <w:rPr>
          <w:rFonts w:ascii="Arial" w:cs="Arial" w:eastAsia="Arial" w:hAnsi="Arial"/>
          <w:sz w:val="17"/>
          <w:szCs w:val="17"/>
          <w:color w:val="auto"/>
        </w:rPr>
        <w:t>In addition, we are required to devote significant resources to the ongoing operations of our online games, such as staff costs related to our “Game Masters” which supervise the activities within our games and development costs for expansion packs of existing online games.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79" w:lineRule="exact"/>
        <w:rPr>
          <w:sz w:val="20"/>
          <w:szCs w:val="20"/>
          <w:color w:val="auto"/>
        </w:rPr>
      </w:pPr>
    </w:p>
    <w:p>
      <w:pPr>
        <w:jc w:val="both"/>
        <w:ind w:right="60" w:firstLine="617"/>
        <w:spacing w:after="0" w:line="289" w:lineRule="auto"/>
        <w:rPr>
          <w:sz w:val="20"/>
          <w:szCs w:val="20"/>
          <w:color w:val="auto"/>
        </w:rPr>
      </w:pPr>
      <w:r>
        <w:rPr>
          <w:rFonts w:ascii="Arial" w:cs="Arial" w:eastAsia="Arial" w:hAnsi="Arial"/>
          <w:sz w:val="16"/>
          <w:szCs w:val="16"/>
          <w:color w:val="auto"/>
        </w:rPr>
        <w:t>The demand for new games is difficult to forecast, in part due to the relative immaturity of the market and relatively short life cycles of online games. As we introduce and support additional games and as competition in the market for our games intensify, we expect that it will become more difficult to forecast demand. In particular, competition in the online game market is growing as more and more online games are introduced by existing and new market participants.</w:t>
      </w:r>
    </w:p>
    <w:p>
      <w:pPr>
        <w:spacing w:after="0" w:line="153"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b w:val="1"/>
          <w:bCs w:val="1"/>
          <w:color w:val="auto"/>
        </w:rPr>
        <w:t>We may not be successful in making our mobile games profitable and our profits from mobile games may be relatively lower than the profits we have enjoyed historically for PC-client games.</w:t>
      </w:r>
    </w:p>
    <w:p>
      <w:pPr>
        <w:spacing w:after="0" w:line="158" w:lineRule="exact"/>
        <w:rPr>
          <w:sz w:val="20"/>
          <w:szCs w:val="20"/>
          <w:color w:val="auto"/>
        </w:rPr>
      </w:pPr>
    </w:p>
    <w:p>
      <w:pPr>
        <w:jc w:val="both"/>
        <w:ind w:right="20" w:firstLine="617"/>
        <w:spacing w:after="0" w:line="265" w:lineRule="auto"/>
        <w:rPr>
          <w:sz w:val="20"/>
          <w:szCs w:val="20"/>
          <w:color w:val="auto"/>
        </w:rPr>
      </w:pPr>
      <w:r>
        <w:rPr>
          <w:rFonts w:ascii="Arial" w:cs="Arial" w:eastAsia="Arial" w:hAnsi="Arial"/>
          <w:sz w:val="17"/>
          <w:szCs w:val="17"/>
          <w:color w:val="auto"/>
        </w:rPr>
        <w:t>Our profits from our mobile games, even if the games are successful, are generally lower than our profits generated from PC-client games, because, in order to gain access for our games on mobile app stores, which are the primary distribution channel for our mobile games, we must enter into revenue-sharing arrangements that result in lower profit margins compared with those of our PC-client games.</w:t>
      </w:r>
    </w:p>
    <w:p>
      <w:pPr>
        <w:spacing w:after="0" w:line="176" w:lineRule="exact"/>
        <w:rPr>
          <w:sz w:val="20"/>
          <w:szCs w:val="20"/>
          <w:color w:val="auto"/>
        </w:rPr>
      </w:pPr>
    </w:p>
    <w:p>
      <w:pPr>
        <w:ind w:right="120" w:firstLine="617"/>
        <w:spacing w:after="0" w:line="265" w:lineRule="auto"/>
        <w:rPr>
          <w:sz w:val="20"/>
          <w:szCs w:val="20"/>
          <w:color w:val="auto"/>
        </w:rPr>
      </w:pPr>
      <w:r>
        <w:rPr>
          <w:rFonts w:ascii="Arial" w:cs="Arial" w:eastAsia="Arial" w:hAnsi="Arial"/>
          <w:sz w:val="17"/>
          <w:szCs w:val="17"/>
          <w:color w:val="auto"/>
        </w:rPr>
        <w:t>We have devoted and expect to continue to devote a significant amount of resources to the development of our mobile games, but these and other uncertainties make it difficult to know whether we will succeed in making our mobile game operations profitable. If we do not succeed in doing so, our business and results of operations will be adversely affected.</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We rely on third-party platforms to distribute our mobile games and collect payments. If we fail to maintain our relationships with these platforms, or if the platforms lose popularity among users, our mobile games business may be adversely affected.</w:t>
      </w:r>
    </w:p>
    <w:p>
      <w:pPr>
        <w:spacing w:after="0" w:line="158" w:lineRule="exact"/>
        <w:rPr>
          <w:sz w:val="20"/>
          <w:szCs w:val="20"/>
          <w:color w:val="auto"/>
        </w:rPr>
      </w:pPr>
    </w:p>
    <w:p>
      <w:pPr>
        <w:ind w:right="120" w:firstLine="617"/>
        <w:spacing w:after="0" w:line="289" w:lineRule="auto"/>
        <w:rPr>
          <w:sz w:val="20"/>
          <w:szCs w:val="20"/>
          <w:color w:val="auto"/>
        </w:rPr>
      </w:pPr>
      <w:r>
        <w:rPr>
          <w:rFonts w:ascii="Arial" w:cs="Arial" w:eastAsia="Arial" w:hAnsi="Arial"/>
          <w:sz w:val="16"/>
          <w:szCs w:val="16"/>
          <w:color w:val="auto"/>
        </w:rPr>
        <w:t>In addition to our proprietary distribution channels, we publish our mobile games through the Apple iOS app store and other mobile app stores or platforms owned and operated by third parties. We rely on these third parties to promote and publish our mobile games, record gross billings, maintain the security of their platforms to prevent fraudulent activities, provide certain user services and, in some instances, process payments from users.</w:t>
      </w:r>
    </w:p>
    <w:p>
      <w:pPr>
        <w:spacing w:after="0" w:line="159"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85" w:lineRule="exact"/>
        <w:rPr>
          <w:sz w:val="20"/>
          <w:szCs w:val="20"/>
          <w:color w:val="auto"/>
        </w:rPr>
      </w:pPr>
    </w:p>
    <w:p>
      <w:pPr>
        <w:ind w:right="40" w:firstLine="617"/>
        <w:spacing w:after="0" w:line="301" w:lineRule="auto"/>
        <w:rPr>
          <w:sz w:val="20"/>
          <w:szCs w:val="20"/>
          <w:color w:val="auto"/>
        </w:rPr>
      </w:pPr>
      <w:r>
        <w:rPr>
          <w:rFonts w:ascii="Arial" w:cs="Arial" w:eastAsia="Arial" w:hAnsi="Arial"/>
          <w:sz w:val="15"/>
          <w:szCs w:val="15"/>
          <w:color w:val="auto"/>
        </w:rPr>
        <w:t>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ectPr>
          <w:pgSz w:w="11900" w:h="16909" w:orient="portrait"/>
          <w:cols w:equalWidth="0" w:num="1">
            <w:col w:w="11420"/>
          </w:cols>
          <w:pgMar w:left="240" w:top="127" w:right="239" w:bottom="0" w:gutter="0" w:footer="0" w:header="0"/>
        </w:sectPr>
      </w:pPr>
    </w:p>
    <w:bookmarkStart w:id="6" w:name="page7"/>
    <w:bookmarkEnd w:id="6"/>
    <w:p>
      <w:pPr>
        <w:ind w:right="20" w:firstLine="617"/>
        <w:spacing w:after="0" w:line="282" w:lineRule="auto"/>
        <w:rPr>
          <w:sz w:val="20"/>
          <w:szCs w:val="20"/>
          <w:color w:val="auto"/>
        </w:rPr>
      </w:pPr>
      <w:r>
        <w:rPr>
          <w:rFonts w:ascii="Arial" w:cs="Arial" w:eastAsia="Arial" w:hAnsi="Arial"/>
          <w:sz w:val="16"/>
          <w:szCs w:val="16"/>
          <w:color w:val="auto"/>
        </w:rPr>
        <w:t>We rely on the continued operation of third-party platforms. We distribute our games through China’s major mobile platforms, including major app stores and social networking platforms. Our games benefit from the strong brand recognition, large user base and the stickiness of these mobile platforms. If any of these mobile platforms lose their market positions or are no longer popular with users, our ability to reach more users will be limited. In addition, we would need to identify alternative channels for marketing, promoting and distributing our games, which would consume substantial resources and may not be effective.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color w:val="auto"/>
        </w:rPr>
        <w:t>We may not be able to maintain a stable relationship with Blizzard, and we may experience difficulties in the operation of the online games licensed from it or its affiliates.</w:t>
      </w:r>
    </w:p>
    <w:p>
      <w:pPr>
        <w:spacing w:after="0" w:line="158" w:lineRule="exact"/>
        <w:rPr>
          <w:sz w:val="20"/>
          <w:szCs w:val="20"/>
          <w:color w:val="auto"/>
        </w:rPr>
      </w:pPr>
    </w:p>
    <w:p>
      <w:pPr>
        <w:ind w:right="20" w:firstLine="617"/>
        <w:spacing w:after="0" w:line="275" w:lineRule="auto"/>
        <w:rPr>
          <w:sz w:val="20"/>
          <w:szCs w:val="20"/>
          <w:color w:val="auto"/>
        </w:rPr>
      </w:pPr>
      <w:r>
        <w:rPr>
          <w:rFonts w:ascii="Arial" w:cs="Arial" w:eastAsia="Arial" w:hAnsi="Arial"/>
          <w:sz w:val="15"/>
          <w:szCs w:val="15"/>
          <w:color w:val="auto"/>
        </w:rPr>
        <w:t>In August 2008 and April 2009, Blizzard agreed to license certain online games developed by it to Shanghai EaseNet Network Technology Co., Ltd., or Shanghai EaseNet, for operation in the PRC, including StarCraft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II: Wings of Liberty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World of Warcraft. Shanghai EaseNet is a PRC company owned by William Lei Ding, our Chief Executive Officer, director and major shareholder, and has contractual arrangements with us and with the joint venture established between Blizzard and us. Since the establishment of this joint venture, Blizzard has agreed to license StarCraft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II: Heart of the Swarm</w:t>
      </w:r>
      <w:r>
        <w:rPr>
          <w:rFonts w:ascii="Arial" w:cs="Arial" w:eastAsia="Arial" w:hAnsi="Arial"/>
          <w:sz w:val="19"/>
          <w:szCs w:val="19"/>
          <w:color w:val="auto"/>
          <w:vertAlign w:val="superscript"/>
        </w:rPr>
        <w:t>®</w:t>
      </w:r>
      <w:r>
        <w:rPr>
          <w:rFonts w:ascii="Arial" w:cs="Arial" w:eastAsia="Arial" w:hAnsi="Arial"/>
          <w:sz w:val="15"/>
          <w:szCs w:val="15"/>
          <w:color w:val="auto"/>
        </w:rPr>
        <w:t>, Heroes of the Storm</w:t>
      </w:r>
      <w:r>
        <w:rPr>
          <w:rFonts w:ascii="Arial" w:cs="Arial" w:eastAsia="Arial" w:hAnsi="Arial"/>
          <w:sz w:val="19"/>
          <w:szCs w:val="19"/>
          <w:color w:val="auto"/>
          <w:vertAlign w:val="superscript"/>
        </w:rPr>
        <w:t>®</w:t>
      </w:r>
      <w:r>
        <w:rPr>
          <w:rFonts w:ascii="Arial" w:cs="Arial" w:eastAsia="Arial" w:hAnsi="Arial"/>
          <w:sz w:val="15"/>
          <w:szCs w:val="15"/>
          <w:color w:val="auto"/>
        </w:rPr>
        <w:t>, Hearthstone, Diablo III, StarCraft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II: Legacy of the Void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Overwatch to Shanghai EaseNet for operation in the PRC, all of which have been commercially launched . In September 2016, Shanghai EaseNet and Blizzard extended the term of their joint venture as well as all existing game licenses by Blizzard to Shanghai EaseNet to January 2020. For further details, see Item 4.B. “Business Overview — Our Services — Game Licensing and Joint Venture with Blizzard.” If we are unable to maintain a stable relationship with Blizzard, or if Blizzard establishes similar or more favorable relationships with our competitors in violation of its contractual arrangements with us or otherwise, we may not be able to ensure the smooth operation of these licensed online games, and Blizzard could terminate or fail to renew the license and joint venture agreements with us, which in either case could harm our operating results and business. Moreover, the success of our arrangements with Blizzard depends on the popularity of the games licensed to us by it in the Chinese market, which is affected by, among other things, the frequency and success of updates and expansion packs to those games developed by Blizzard over which we have no control. In addition, certain events may limit Blizzard’s ability to develop or license online games, such as claims by third parties that Blizzard’s online games infringe such third parties’ intellectual property rights or Blizzard’s inability to acquire or maintain licenses to use another party’s intellectual property in its online games. In the case of such events, Blizzard may be unable to continue licensing online games to us or to continue participating in any joint venture with us, regardless of the stability of our relationship with Blizzard.</w:t>
      </w:r>
    </w:p>
    <w:p>
      <w:pPr>
        <w:spacing w:after="0" w:line="170"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The licenses between Shanghai EaseNet and Blizzard require Shanghai EaseNet, as licensee of the games, to pay to Blizzard royalties for the games over the terms of the licenses, make minimum marketing expenditure commitments and provide funds for hardware to operate the games. We have guaranteed the payment of the foregoing amounts if and to the extent Shanghai EaseNet has insufficient funds to make such payments. We will be entitled to reimbursement of any amounts paid under the guarantee for marketing the licensed games and for hardware support to operate the games from any net profits subsequently generated by Shanghai EaseNet, after the deduction of, among others, various fees and expenses payable to Blizzard, us and our joint venture with Blizzard which will provide technical services to Shanghai EaseNet. See Item 4.B. “Business Overview — Our Services — Game Licensing and Joint Venture with Blizzard.” for details about these arrangements.</w:t>
      </w:r>
    </w:p>
    <w:p>
      <w:pPr>
        <w:spacing w:after="0" w:line="181" w:lineRule="exact"/>
        <w:rPr>
          <w:sz w:val="20"/>
          <w:szCs w:val="20"/>
          <w:color w:val="auto"/>
        </w:rPr>
      </w:pPr>
    </w:p>
    <w:p>
      <w:pPr>
        <w:ind w:right="40" w:firstLine="617"/>
        <w:spacing w:after="0" w:line="301" w:lineRule="auto"/>
        <w:rPr>
          <w:sz w:val="20"/>
          <w:szCs w:val="20"/>
          <w:color w:val="auto"/>
        </w:rPr>
      </w:pPr>
      <w:r>
        <w:rPr>
          <w:rFonts w:ascii="Arial" w:cs="Arial" w:eastAsia="Arial" w:hAnsi="Arial"/>
          <w:sz w:val="15"/>
          <w:szCs w:val="15"/>
          <w:color w:val="auto"/>
        </w:rPr>
        <w:t>We believe that our current cash and cash equivalents and cash flow from operations will be sufficient to meet our foregoing obligations. To the extent our obligations exceed our cash resources, we may seek to sell additional equity or debt securities or to obtain a credit facility. The sale of additional equity or convertible debt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 unable to meet our foregoing obligations, our licensed games operation and financial condition could be adversely affected and our licenses with Blizzard could be terminated.</w:t>
      </w:r>
    </w:p>
    <w:p>
      <w:pPr>
        <w:spacing w:after="0" w:line="153"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In addition, we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pacing w:after="0" w:line="173" w:lineRule="exact"/>
        <w:rPr>
          <w:sz w:val="20"/>
          <w:szCs w:val="20"/>
          <w:color w:val="auto"/>
        </w:rPr>
      </w:pPr>
    </w:p>
    <w:p>
      <w:pPr>
        <w:ind w:right="540"/>
        <w:spacing w:after="0" w:line="356" w:lineRule="auto"/>
        <w:rPr>
          <w:sz w:val="20"/>
          <w:szCs w:val="20"/>
          <w:color w:val="auto"/>
        </w:rPr>
      </w:pPr>
      <w:r>
        <w:rPr>
          <w:rFonts w:ascii="Arial" w:cs="Arial" w:eastAsia="Arial" w:hAnsi="Arial"/>
          <w:sz w:val="15"/>
          <w:szCs w:val="15"/>
          <w:b w:val="1"/>
          <w:bCs w:val="1"/>
          <w:color w:val="auto"/>
        </w:rPr>
        <w:t>Any difficulties or delays in receiving approval from the relevant government authorities for the operation of games we license from game developers outside of China or any expansion packs for or material changes to such games could adversely affect such games’ popularity and profitability.</w:t>
      </w:r>
    </w:p>
    <w:p>
      <w:pPr>
        <w:spacing w:after="0" w:line="112" w:lineRule="exact"/>
        <w:rPr>
          <w:sz w:val="20"/>
          <w:szCs w:val="20"/>
          <w:color w:val="auto"/>
        </w:rPr>
      </w:pPr>
    </w:p>
    <w:p>
      <w:pPr>
        <w:ind w:right="60" w:firstLine="617"/>
        <w:spacing w:after="0" w:line="261" w:lineRule="auto"/>
        <w:rPr>
          <w:sz w:val="20"/>
          <w:szCs w:val="20"/>
          <w:color w:val="auto"/>
        </w:rPr>
      </w:pPr>
      <w:r>
        <w:rPr>
          <w:rFonts w:ascii="Arial" w:cs="Arial" w:eastAsia="Arial" w:hAnsi="Arial"/>
          <w:sz w:val="17"/>
          <w:szCs w:val="17"/>
          <w:color w:val="auto"/>
        </w:rPr>
        <w:t>Games we license from game developers outside of China require government approvals before operation of such games within China. Moreover, even after licensed games have received government approvals, any expansion packs for or material changes of content to those games may require further government approvals. We cannot be certain of the duration of any necessary approval processes, and any delay in receiving such government approvals may adversely affect the profitability and popularity of such licensed games.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alliances may have an adverse effect on our business.</w:t>
      </w:r>
    </w:p>
    <w:p>
      <w:pPr>
        <w:spacing w:after="0" w:line="222" w:lineRule="exact"/>
        <w:rPr>
          <w:sz w:val="20"/>
          <w:szCs w:val="20"/>
          <w:color w:val="auto"/>
        </w:rPr>
      </w:pPr>
    </w:p>
    <w:p>
      <w:pPr>
        <w:ind w:right="40" w:firstLine="617"/>
        <w:spacing w:after="0" w:line="277" w:lineRule="auto"/>
        <w:rPr>
          <w:sz w:val="20"/>
          <w:szCs w:val="20"/>
          <w:color w:val="auto"/>
        </w:rPr>
      </w:pPr>
      <w:r>
        <w:rPr>
          <w:rFonts w:ascii="Arial" w:cs="Arial" w:eastAsia="Arial" w:hAnsi="Arial"/>
          <w:sz w:val="16"/>
          <w:szCs w:val="16"/>
          <w:color w:val="auto"/>
        </w:rPr>
        <w:t>Strategic alliances with key players in the online game industry and other related industry sectors form part of our strategy to expand our portfolio of online games. For example, starting in August 2008, Blizzard agreed to license certain online games developed by it to Shanghai EaseNet for operation in the PRC. We have also formed a joint venture with Blizzard to provide technical services to Shanghai EaseNet. However, our ability to grow through future alliances, including through joint ventures, will depend on the availability of suitable partners at reasonable terms, our ability to compete effectively to attract 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limited experience in identifying, financing or completing strategic alliances.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ectPr>
          <w:pgSz w:w="11900" w:h="16838" w:orient="portrait"/>
          <w:cols w:equalWidth="0" w:num="1">
            <w:col w:w="11420"/>
          </w:cols>
          <w:pgMar w:left="240" w:top="333" w:right="239" w:bottom="0" w:gutter="0" w:footer="0" w:header="0"/>
        </w:sectPr>
      </w:pPr>
    </w:p>
    <w:bookmarkStart w:id="7" w:name="page8"/>
    <w:bookmarkEnd w:id="7"/>
    <w:p>
      <w:pPr>
        <w:ind w:right="80"/>
        <w:spacing w:after="0" w:line="286" w:lineRule="auto"/>
        <w:rPr>
          <w:sz w:val="20"/>
          <w:szCs w:val="20"/>
          <w:color w:val="auto"/>
        </w:rPr>
      </w:pPr>
      <w:r>
        <w:rPr>
          <w:rFonts w:ascii="Arial" w:cs="Arial" w:eastAsia="Arial" w:hAnsi="Arial"/>
          <w:sz w:val="17"/>
          <w:szCs w:val="17"/>
          <w:b w:val="1"/>
          <w:bCs w:val="1"/>
          <w:color w:val="auto"/>
        </w:rPr>
        <w:t>Our new games may attract game players away from our existing games, which may have a material adverse effect on our business, financial condition and results of operations.</w:t>
      </w:r>
    </w:p>
    <w:p>
      <w:pPr>
        <w:spacing w:after="0" w:line="158" w:lineRule="exact"/>
        <w:rPr>
          <w:sz w:val="20"/>
          <w:szCs w:val="20"/>
          <w:color w:val="auto"/>
        </w:rPr>
      </w:pPr>
    </w:p>
    <w:p>
      <w:pPr>
        <w:ind w:right="20" w:firstLine="617"/>
        <w:spacing w:after="0" w:line="301" w:lineRule="auto"/>
        <w:rPr>
          <w:sz w:val="20"/>
          <w:szCs w:val="20"/>
          <w:color w:val="auto"/>
        </w:rPr>
      </w:pPr>
      <w:r>
        <w:rPr>
          <w:rFonts w:ascii="Arial" w:cs="Arial" w:eastAsia="Arial" w:hAnsi="Arial"/>
          <w:sz w:val="15"/>
          <w:szCs w:val="15"/>
          <w:color w:val="auto"/>
        </w:rPr>
        <w:t>Our new online games, including mobile games and PC-client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or changed game features in our online games may not be well received by our game players.</w:t>
      </w:r>
    </w:p>
    <w:p>
      <w:pPr>
        <w:spacing w:after="0" w:line="222" w:lineRule="exact"/>
        <w:rPr>
          <w:sz w:val="20"/>
          <w:szCs w:val="20"/>
          <w:color w:val="auto"/>
        </w:rPr>
      </w:pPr>
    </w:p>
    <w:p>
      <w:pPr>
        <w:ind w:firstLine="617"/>
        <w:spacing w:after="0" w:line="282" w:lineRule="auto"/>
        <w:rPr>
          <w:sz w:val="20"/>
          <w:szCs w:val="20"/>
          <w:color w:val="auto"/>
        </w:rPr>
      </w:pPr>
      <w:r>
        <w:rPr>
          <w:rFonts w:ascii="Arial" w:cs="Arial" w:eastAsia="Arial" w:hAnsi="Arial"/>
          <w:sz w:val="16"/>
          <w:szCs w:val="16"/>
          <w:color w:val="auto"/>
        </w:rPr>
        <w:t>In the course of launching and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58"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b w:val="1"/>
          <w:bCs w:val="1"/>
          <w:color w:val="auto"/>
        </w:rPr>
        <w:t>A prolonged slowdown in the PRC economy may materially and adversely affect our results of operations, financial condition, prospects and future expansion plans.</w:t>
      </w:r>
    </w:p>
    <w:p>
      <w:pPr>
        <w:spacing w:after="0" w:line="158" w:lineRule="exact"/>
        <w:rPr>
          <w:sz w:val="20"/>
          <w:szCs w:val="20"/>
          <w:color w:val="auto"/>
        </w:rPr>
      </w:pPr>
    </w:p>
    <w:p>
      <w:pPr>
        <w:jc w:val="both"/>
        <w:ind w:firstLine="617"/>
        <w:spacing w:after="0" w:line="282" w:lineRule="auto"/>
        <w:rPr>
          <w:sz w:val="20"/>
          <w:szCs w:val="20"/>
          <w:color w:val="auto"/>
        </w:rPr>
      </w:pPr>
      <w:r>
        <w:rPr>
          <w:rFonts w:ascii="Arial" w:cs="Arial" w:eastAsia="Arial" w:hAnsi="Arial"/>
          <w:sz w:val="16"/>
          <w:szCs w:val="16"/>
          <w:color w:val="auto"/>
        </w:rPr>
        <w:t>We derive substantially all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64" w:lineRule="exact"/>
        <w:rPr>
          <w:sz w:val="20"/>
          <w:szCs w:val="20"/>
          <w:color w:val="auto"/>
        </w:rPr>
      </w:pPr>
    </w:p>
    <w:p>
      <w:pPr>
        <w:ind w:right="60" w:firstLine="617"/>
        <w:spacing w:after="0" w:line="259" w:lineRule="auto"/>
        <w:rPr>
          <w:sz w:val="20"/>
          <w:szCs w:val="20"/>
          <w:color w:val="auto"/>
        </w:rPr>
      </w:pPr>
      <w:r>
        <w:rPr>
          <w:rFonts w:ascii="Arial" w:cs="Arial" w:eastAsia="Arial" w:hAnsi="Arial"/>
          <w:sz w:val="17"/>
          <w:szCs w:val="17"/>
          <w:color w:val="auto"/>
        </w:rPr>
        <w:t>The rate of economic growth in the PRC has been experiencing a significant slowdown. Although the PRC government has implemented a number of measures to address the slowdown, these measures may not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7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color w:val="auto"/>
        </w:rPr>
        <w:t>Reports of violence and theft related to online games may result in negative publicity or a governmental response that could have a material and adverse impact on our business.</w:t>
      </w:r>
    </w:p>
    <w:p>
      <w:pPr>
        <w:spacing w:after="0" w:line="158" w:lineRule="exact"/>
        <w:rPr>
          <w:sz w:val="20"/>
          <w:szCs w:val="20"/>
          <w:color w:val="auto"/>
        </w:rPr>
      </w:pPr>
    </w:p>
    <w:p>
      <w:pPr>
        <w:ind w:firstLine="617"/>
        <w:spacing w:after="0" w:line="255"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additional restrictions on the online game industry, which could in turn have a material and adverse effect on our business and results of operations. Acts of cheating by users of online games could lessen the popularity of our online games and adversely affect our reputation and our results of operations.</w:t>
      </w:r>
    </w:p>
    <w:p>
      <w:pPr>
        <w:spacing w:after="0" w:line="187"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ind w:right="340" w:firstLine="617"/>
        <w:spacing w:after="0" w:line="306" w:lineRule="auto"/>
        <w:rPr>
          <w:sz w:val="20"/>
          <w:szCs w:val="20"/>
          <w:color w:val="auto"/>
        </w:rPr>
      </w:pPr>
      <w:r>
        <w:rPr>
          <w:rFonts w:ascii="Arial" w:cs="Arial" w:eastAsia="Arial" w:hAnsi="Arial"/>
          <w:sz w:val="15"/>
          <w:szCs w:val="15"/>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Illegal game servers could harm our business and reputation and materially and adversely affect our results of operations.</w:t>
      </w:r>
    </w:p>
    <w:p>
      <w:pPr>
        <w:spacing w:after="0" w:line="222" w:lineRule="exact"/>
        <w:rPr>
          <w:sz w:val="20"/>
          <w:szCs w:val="20"/>
          <w:color w:val="auto"/>
        </w:rPr>
      </w:pPr>
    </w:p>
    <w:p>
      <w:pPr>
        <w:ind w:right="140" w:firstLine="617"/>
        <w:spacing w:after="0" w:line="279" w:lineRule="auto"/>
        <w:rPr>
          <w:sz w:val="20"/>
          <w:szCs w:val="20"/>
          <w:color w:val="auto"/>
        </w:rPr>
      </w:pPr>
      <w:r>
        <w:rPr>
          <w:rFonts w:ascii="Arial" w:cs="Arial" w:eastAsia="Arial" w:hAnsi="Arial"/>
          <w:sz w:val="16"/>
          <w:szCs w:val="16"/>
          <w:color w:val="auto"/>
        </w:rPr>
        <w:t>Several of our competitors have reported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5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We expect that a portion of our future revenues will continue to come from our advertising services, which represented approximately 5.6% of our total net revenues for 2016, but we may not be able to compete effectively in this market because it is relatively new and intensely competitive, in which case our ability to generate and maintain advertising revenue in the future could be adversely affected.</w:t>
      </w:r>
    </w:p>
    <w:p>
      <w:pPr>
        <w:spacing w:after="0" w:line="172" w:lineRule="exact"/>
        <w:rPr>
          <w:sz w:val="20"/>
          <w:szCs w:val="20"/>
          <w:color w:val="auto"/>
        </w:rPr>
      </w:pPr>
    </w:p>
    <w:p>
      <w:pPr>
        <w:ind w:right="40" w:firstLine="617"/>
        <w:spacing w:after="0" w:line="277" w:lineRule="auto"/>
        <w:rPr>
          <w:sz w:val="20"/>
          <w:szCs w:val="20"/>
          <w:color w:val="auto"/>
        </w:rPr>
      </w:pPr>
      <w:r>
        <w:rPr>
          <w:rFonts w:ascii="Arial" w:cs="Arial" w:eastAsia="Arial" w:hAnsi="Arial"/>
          <w:sz w:val="16"/>
          <w:szCs w:val="16"/>
          <w:color w:val="auto"/>
        </w:rPr>
        <w:t>Although we anticipate that the revenues generated by our online games will continue to constitute the major portion of our future revenues, we believe that we will continue to rely on advertising revenues as one of our primary revenue sources for the foreseeable future. The popularity of online advertising in China has been growing quickly in recent years and many of our current and potential advertisers have gained in experience with using the Internet as an advertising medium. Many advertisers, however, still do not devote a significant portion of their advertising expenditures to Internet-based advertising. Some advertisers may also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ectPr>
          <w:pgSz w:w="11900" w:h="16838" w:orient="portrait"/>
          <w:cols w:equalWidth="0" w:num="1">
            <w:col w:w="11420"/>
          </w:cols>
          <w:pgMar w:left="240" w:top="121" w:right="239" w:bottom="0" w:gutter="0" w:footer="0" w:header="0"/>
        </w:sectPr>
      </w:pPr>
    </w:p>
    <w:bookmarkStart w:id="8" w:name="page9"/>
    <w:bookmarkEnd w:id="8"/>
    <w:p>
      <w:pPr>
        <w:ind w:left="580" w:hanging="26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development of a large base of users possessing demographic characteristics attractive to advertisers;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development of software that blocks Internet advertisements before they appear on a user’s screen;</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downward pressure on online advertising prices;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effectiveness of our advertising delivery and tracking system.</w:t>
      </w:r>
    </w:p>
    <w:p>
      <w:pPr>
        <w:spacing w:after="0" w:line="216" w:lineRule="exact"/>
        <w:rPr>
          <w:sz w:val="20"/>
          <w:szCs w:val="20"/>
          <w:color w:val="auto"/>
        </w:rPr>
      </w:pPr>
    </w:p>
    <w:p>
      <w:pPr>
        <w:ind w:right="420" w:firstLine="617"/>
        <w:spacing w:after="0" w:line="261" w:lineRule="auto"/>
        <w:rPr>
          <w:sz w:val="20"/>
          <w:szCs w:val="20"/>
          <w:color w:val="auto"/>
        </w:rPr>
      </w:pPr>
      <w:r>
        <w:rPr>
          <w:rFonts w:ascii="Arial" w:cs="Arial" w:eastAsia="Arial" w:hAnsi="Arial"/>
          <w:sz w:val="17"/>
          <w:szCs w:val="17"/>
          <w:color w:val="auto"/>
        </w:rPr>
        <w:t>Changes in government policy could also restrict or curtail our online advertising services. Moreover, the acceptance of the Internet as a medium for advertising depends on the development of a measurement standard. No standards have been widely accepted for the measurement of the effectiveness of online advertising. Industry-wide standards may not develop sufficiently to support the Internet as an effective advertising medium. If these standards do not develop, advertisers may choose not to advertise on the Internet in general or through our media platforms.</w:t>
      </w:r>
    </w:p>
    <w:p>
      <w:pPr>
        <w:spacing w:after="0" w:line="179" w:lineRule="exact"/>
        <w:rPr>
          <w:sz w:val="20"/>
          <w:szCs w:val="20"/>
          <w:color w:val="auto"/>
        </w:rPr>
      </w:pPr>
    </w:p>
    <w:p>
      <w:pPr>
        <w:ind w:right="80" w:firstLine="617"/>
        <w:spacing w:after="0" w:line="259" w:lineRule="auto"/>
        <w:rPr>
          <w:sz w:val="20"/>
          <w:szCs w:val="20"/>
          <w:color w:val="auto"/>
        </w:rPr>
      </w:pPr>
      <w:r>
        <w:rPr>
          <w:rFonts w:ascii="Arial" w:cs="Arial" w:eastAsia="Arial" w:hAnsi="Arial"/>
          <w:sz w:val="17"/>
          <w:szCs w:val="17"/>
          <w:color w:val="auto"/>
        </w:rPr>
        <w:t>In addition, competition in the online advertising industry in China is intense with numerous competitors such as Baidu, Inc., or Baidu, Sina Corporation, or Sina, Sohu.com Inc., or Sohu, Tencent Holdings Limited, or Tencent, Alibaba Group Holding Limited, or Alibaba, Youku Tudou Inc., or Youku, and other new entrants such as Qihoo 360 Technology Co. Ltd., or Qihoo, Phoenix New Media Limited, or iFeng.com, TouTiao.com, as well as virtual media such as SouFun Holdings Ltd. and Autohome Inc. The entry of additional, highly competitive Internet companies, whether domestic or international, into the Chinese market has and may continue to further heighten competition for advertising spending in China.</w:t>
      </w:r>
    </w:p>
    <w:p>
      <w:pPr>
        <w:spacing w:after="0" w:line="180" w:lineRule="exact"/>
        <w:rPr>
          <w:sz w:val="20"/>
          <w:szCs w:val="20"/>
          <w:color w:val="auto"/>
        </w:rPr>
      </w:pPr>
    </w:p>
    <w:p>
      <w:pPr>
        <w:ind w:right="60" w:firstLine="617"/>
        <w:spacing w:after="0" w:line="298" w:lineRule="auto"/>
        <w:rPr>
          <w:sz w:val="20"/>
          <w:szCs w:val="20"/>
          <w:color w:val="auto"/>
        </w:rPr>
      </w:pPr>
      <w:r>
        <w:rPr>
          <w:rFonts w:ascii="Arial" w:cs="Arial" w:eastAsia="Arial" w:hAnsi="Arial"/>
          <w:sz w:val="15"/>
          <w:szCs w:val="15"/>
          <w:color w:val="auto"/>
        </w:rPr>
        <w:t>As competition intensified for advertising services, we launched new marketing strategies to grow our advertising business and to cater to changes in the needs of our advertising services customers. In particular, we increased our sales staff to support more direct contacts with advertisers. In addition, to increase traffic on the NetEase websites and our mobile news application, NetEase News App, and enhance their appeal to advertisers, we have been focusing on high profile events, such as the NetEase Annual Economist Conference and the NetEase Attitude Award</w:t>
      </w:r>
      <w:r>
        <w:rPr>
          <w:rFonts w:ascii="Arial" w:cs="Arial" w:eastAsia="Arial" w:hAnsi="Arial"/>
          <w:sz w:val="14"/>
          <w:szCs w:val="14"/>
          <w:color w:val="auto"/>
        </w:rPr>
        <w:t>s, an awards ceremony for individuals excelling in music, film and sports hosted by</w:t>
      </w:r>
      <w:r>
        <w:rPr>
          <w:rFonts w:ascii="Arial" w:cs="Arial" w:eastAsia="Arial" w:hAnsi="Arial"/>
          <w:sz w:val="15"/>
          <w:szCs w:val="15"/>
          <w:color w:val="auto"/>
        </w:rPr>
        <w:t xml:space="preserve"> </w:t>
      </w:r>
      <w:r>
        <w:rPr>
          <w:rFonts w:ascii="Arial" w:cs="Arial" w:eastAsia="Arial" w:hAnsi="Arial"/>
          <w:sz w:val="14"/>
          <w:szCs w:val="14"/>
          <w:color w:val="auto"/>
        </w:rPr>
        <w:t>us to promote our brand name</w:t>
      </w:r>
      <w:r>
        <w:rPr>
          <w:rFonts w:ascii="Arial" w:cs="Arial" w:eastAsia="Arial" w:hAnsi="Arial"/>
          <w:sz w:val="15"/>
          <w:szCs w:val="15"/>
          <w:color w:val="auto"/>
        </w:rPr>
        <w:t>. We believe that these efforts, together with other factors, contributed to the growth of our net revenues from advertising services in</w:t>
      </w:r>
      <w:r>
        <w:rPr>
          <w:rFonts w:ascii="Arial" w:cs="Arial" w:eastAsia="Arial" w:hAnsi="Arial"/>
          <w:sz w:val="14"/>
          <w:szCs w:val="14"/>
          <w:color w:val="auto"/>
        </w:rPr>
        <w:t xml:space="preserve"> </w:t>
      </w:r>
      <w:r>
        <w:rPr>
          <w:rFonts w:ascii="Arial" w:cs="Arial" w:eastAsia="Arial" w:hAnsi="Arial"/>
          <w:sz w:val="15"/>
          <w:szCs w:val="15"/>
          <w:color w:val="auto"/>
        </w:rPr>
        <w:t>recent years. We cannot assure you, however, that any of these efforts will continue to be successful in improving the financial results of our advertising business.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keep up with rapid changes in technologies and user behavior, our future success may be adversely affected.</w:t>
      </w:r>
    </w:p>
    <w:p>
      <w:pPr>
        <w:spacing w:after="0" w:line="222" w:lineRule="exact"/>
        <w:rPr>
          <w:sz w:val="20"/>
          <w:szCs w:val="20"/>
          <w:color w:val="auto"/>
        </w:rPr>
      </w:pPr>
    </w:p>
    <w:p>
      <w:pPr>
        <w:ind w:right="20" w:firstLine="617"/>
        <w:spacing w:after="0" w:line="255"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3G, 4G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joint venture to operate a social instant messaging application may not succeed.</w:t>
      </w:r>
    </w:p>
    <w:p>
      <w:pPr>
        <w:spacing w:after="0" w:line="222" w:lineRule="exact"/>
        <w:rPr>
          <w:sz w:val="20"/>
          <w:szCs w:val="20"/>
          <w:color w:val="auto"/>
        </w:rPr>
      </w:pPr>
    </w:p>
    <w:p>
      <w:pPr>
        <w:ind w:firstLine="617"/>
        <w:spacing w:after="0" w:line="275" w:lineRule="auto"/>
        <w:rPr>
          <w:sz w:val="20"/>
          <w:szCs w:val="20"/>
          <w:color w:val="auto"/>
        </w:rPr>
      </w:pPr>
      <w:r>
        <w:rPr>
          <w:rFonts w:ascii="Arial" w:cs="Arial" w:eastAsia="Arial" w:hAnsi="Arial"/>
          <w:sz w:val="16"/>
          <w:szCs w:val="16"/>
          <w:color w:val="auto"/>
        </w:rPr>
        <w:t>We established a new joint venture in 2013 with China Telecom Corporation Limited, or China Telecom, to develop and operate YiChat, a new proprietary social instant messaging application for smartphones. As our social instant messaging application business has a limited operating history, there is limited information upon which you can evaluate its prospects and we may not be able to successfully develop it into one of our primary businesses or to successfully compete against more established social instant messaging applications in China such as Tencent’s WeChat. Furthermore, as part of this new business venture, we need to incur costs to continue to develop and improve our technology, human resources, financial and management controls and our reporting systems and procedures. We cannot assure you that we will be able to efficiently or effectively manage or grow this new business, and any failure to do so may materially and adversely affect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e-commerce business may expose us to new challenges and risks and may lower our profit margin.</w:t>
      </w:r>
    </w:p>
    <w:p>
      <w:pPr>
        <w:spacing w:after="0" w:line="222" w:lineRule="exact"/>
        <w:rPr>
          <w:sz w:val="20"/>
          <w:szCs w:val="20"/>
          <w:color w:val="auto"/>
        </w:rPr>
      </w:pPr>
    </w:p>
    <w:p>
      <w:pPr>
        <w:ind w:right="20" w:firstLine="617"/>
        <w:spacing w:after="0" w:line="291" w:lineRule="auto"/>
        <w:rPr>
          <w:sz w:val="20"/>
          <w:szCs w:val="20"/>
          <w:color w:val="auto"/>
        </w:rPr>
      </w:pPr>
      <w:r>
        <w:rPr>
          <w:rFonts w:ascii="Arial" w:cs="Arial" w:eastAsia="Arial" w:hAnsi="Arial"/>
          <w:sz w:val="15"/>
          <w:szCs w:val="15"/>
          <w:color w:val="auto"/>
        </w:rPr>
        <w:t>We established our two e-commerce platforms, Kaola.com, or Kaola and You.163.com, or Yanxuan, in January 2015 and April 2016, respectively. Kaola sells mainly imported goods that we source from overseas suppliers, including maternity and baby products, skincare and cosmetics and other general merchandise. Yanxuan sells our private label products, including apparel, homeware, kitchenware and other general merchandise which we source directly from original design manufacturers in China. We generate revenue from both these platforms through merchandise sales and recognize revenue on a gross basis as we carry our own inventory and have discretion in setting prices. Our e-commerce business exposes us to new challenges and risks associated with, for example, managing a global logistical network, operating directly in foreign jurisdictions and handling more complex supply and product return issues. Furthermore, our e-commerce business has required us to make significant investments in building a global supply and logistics infrastructure. The PRC regulatory framework, as well as the implementation policies of local authorities, in respect of overseas direct purchase and sale of merchandise, including beauty products, are still evolving. New laws and regulations and new interpretations of existing laws and regulations may be adopted from time to time to regulate our e-commerce business, and additional licenses and permits may be required. For example, in March 2016, relevant PRC regulatory authorities introduced new rules, which took effect on April 8, 2016, governing taxation of cross-border e-commerce retail imports that caps the value of goods that may be imported at a reduced tax rate, which may adversely impact transaction volumes of certain high-end commodities on cross-border e-commerce platforms like Kaola. For more information on this and other regulations affecting our e-commerce business, see “Government Regulations — E-commerce.” As a result, substantial uncertainties exist regarding the evolution of the regulatory system and the interpretation and implementation of current and future PRC laws and regulations applicable to our e-commerce business.</w:t>
      </w:r>
    </w:p>
    <w:p>
      <w:pPr>
        <w:spacing w:after="0" w:line="159" w:lineRule="exact"/>
        <w:rPr>
          <w:sz w:val="20"/>
          <w:szCs w:val="20"/>
          <w:color w:val="auto"/>
        </w:rPr>
      </w:pPr>
    </w:p>
    <w:p>
      <w:pPr>
        <w:ind w:right="20" w:firstLine="617"/>
        <w:spacing w:after="0" w:line="259" w:lineRule="auto"/>
        <w:rPr>
          <w:sz w:val="20"/>
          <w:szCs w:val="20"/>
          <w:color w:val="auto"/>
        </w:rPr>
      </w:pPr>
      <w:r>
        <w:rPr>
          <w:rFonts w:ascii="Arial" w:cs="Arial" w:eastAsia="Arial" w:hAnsi="Arial"/>
          <w:sz w:val="17"/>
          <w:szCs w:val="17"/>
          <w:color w:val="auto"/>
        </w:rPr>
        <w:t>We have limited experience and operating history in the e-commerce business, which makes predicting our future results of operations difficult. Therefore, our past results of operations should not be taken as indicative of our future performance. In addition, our profit margin from the e-commerce business, even if the business is successful, is likely to be relatively lower than our profit margin from our online game business and advertising business. If we cannot successfully address new challenges and compete effectively, we may not be able to recover the costs of our investments, and our future results of operations and growth prospects may be materially and adversely affected.</w:t>
      </w:r>
    </w:p>
    <w:p>
      <w:pPr>
        <w:spacing w:after="0" w:line="17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color w:val="auto"/>
        </w:rPr>
        <w:t>If we are unable to offer products that attract new customers and new purchases from existing customers, our e-commerce business may be materially and adversely affected.</w:t>
      </w:r>
    </w:p>
    <w:p>
      <w:pPr>
        <w:sectPr>
          <w:pgSz w:w="11900" w:h="16838" w:orient="portrait"/>
          <w:cols w:equalWidth="0" w:num="1">
            <w:col w:w="11420"/>
          </w:cols>
          <w:pgMar w:left="240" w:top="127" w:right="239" w:bottom="0" w:gutter="0" w:footer="0" w:header="0"/>
        </w:sectPr>
      </w:pPr>
    </w:p>
    <w:bookmarkStart w:id="9" w:name="page10"/>
    <w:bookmarkEnd w:id="9"/>
    <w:p>
      <w:pPr>
        <w:ind w:firstLine="617"/>
        <w:spacing w:after="0" w:line="273" w:lineRule="auto"/>
        <w:rPr>
          <w:sz w:val="20"/>
          <w:szCs w:val="20"/>
          <w:color w:val="auto"/>
        </w:rPr>
      </w:pPr>
      <w:r>
        <w:rPr>
          <w:rFonts w:ascii="Arial" w:cs="Arial" w:eastAsia="Arial" w:hAnsi="Arial"/>
          <w:sz w:val="16"/>
          <w:szCs w:val="16"/>
          <w:color w:val="auto"/>
        </w:rPr>
        <w:t>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We are relatively new to this business and our lack of relevant customer data may make it more difficult for us to keep pace with evolving customer demands and preferences. Our e-commerce website makes recommendations to customers based on their past purchases or on products that they viewed but did not purchase, and we also send e-mails to our customers with product recommendations tailored to their purchase profile. Our ability to make individually tailored recommendations is dependent on our business intelligence system, which tracks, collects and analyzes our users’ browsing and purchasing behavior. Our customers choose to purchase products on our website due in part to our ability to offer attractive prices, and they may choose to shop elsewhere if we cannot match the prices offered by other websites or by physical stores. If our customers cannot find their desired products on our website at attractive prices, they may lose interest in us and visit our website less frequently or even stop visiting our website altogether, which in turn may materially and adversely affect our e-commerce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manage our inventory effectively, our e-commerce business may be materially and adversely affected.</w:t>
      </w:r>
    </w:p>
    <w:p>
      <w:pPr>
        <w:spacing w:after="0" w:line="222" w:lineRule="exact"/>
        <w:rPr>
          <w:sz w:val="20"/>
          <w:szCs w:val="20"/>
          <w:color w:val="auto"/>
        </w:rPr>
      </w:pPr>
    </w:p>
    <w:p>
      <w:pPr>
        <w:ind w:firstLine="617"/>
        <w:spacing w:after="0" w:line="274" w:lineRule="auto"/>
        <w:rPr>
          <w:sz w:val="20"/>
          <w:szCs w:val="20"/>
          <w:color w:val="auto"/>
        </w:rPr>
      </w:pPr>
      <w:r>
        <w:rPr>
          <w:rFonts w:ascii="Arial" w:cs="Arial" w:eastAsia="Arial" w:hAnsi="Arial"/>
          <w:sz w:val="16"/>
          <w:szCs w:val="16"/>
          <w:color w:val="auto"/>
        </w:rPr>
        <w:t>Our e-commerce business requires us to manage a large volume of inventory effectively. We depend on our demand forecasts for various kinds of products to make purchase decisions and to manage our inventory. Demand for products, however, can change significantly between the time inventory is ordered and the date by which we hope to sell it, especially for direct sales for cross-border goods.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it may be difficult to establish relationships with suppliers and original design manufacturers, determine appropriate product selection, and accurately forecast demand. The acquisition of certain types of inventory may require significant lead time and prepayment and they may not be returnable. For those products we sell directly, we normally do not have the right to return unsold items to our suppliers.</w:t>
      </w:r>
    </w:p>
    <w:p>
      <w:pPr>
        <w:spacing w:after="0" w:line="172"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 xml:space="preserve">Our net inventories have increased significantly in 2016, from RMB817.8 million as of December 31, 2015 to </w:t>
      </w:r>
      <w:r>
        <w:rPr>
          <w:rFonts w:ascii="Arial" w:cs="Arial" w:eastAsia="Arial" w:hAnsi="Arial"/>
          <w:sz w:val="16"/>
          <w:szCs w:val="16"/>
          <w:color w:val="auto"/>
        </w:rPr>
        <w:t>RMB1,578.1 million (US$227.3 million) as of</w:t>
      </w:r>
      <w:r>
        <w:rPr>
          <w:rFonts w:ascii="Arial" w:cs="Arial" w:eastAsia="Arial" w:hAnsi="Arial"/>
          <w:sz w:val="17"/>
          <w:szCs w:val="17"/>
          <w:color w:val="auto"/>
        </w:rPr>
        <w:t xml:space="preserve"> </w:t>
      </w:r>
      <w:r>
        <w:rPr>
          <w:rFonts w:ascii="Arial" w:cs="Arial" w:eastAsia="Arial" w:hAnsi="Arial"/>
          <w:sz w:val="16"/>
          <w:szCs w:val="16"/>
          <w:color w:val="auto"/>
        </w:rPr>
        <w:t>Dec</w:t>
      </w:r>
      <w:r>
        <w:rPr>
          <w:rFonts w:ascii="Arial" w:cs="Arial" w:eastAsia="Arial" w:hAnsi="Arial"/>
          <w:sz w:val="17"/>
          <w:szCs w:val="17"/>
          <w:color w:val="auto"/>
        </w:rPr>
        <w:t>ember 31, 2016. As we plan to continue expanding our product offerings, we expect to include more products in our inventory, which will make it more</w:t>
      </w:r>
      <w:r>
        <w:rPr>
          <w:rFonts w:ascii="Arial" w:cs="Arial" w:eastAsia="Arial" w:hAnsi="Arial"/>
          <w:sz w:val="16"/>
          <w:szCs w:val="16"/>
          <w:color w:val="auto"/>
        </w:rPr>
        <w:t xml:space="preserve"> </w:t>
      </w:r>
      <w:r>
        <w:rPr>
          <w:rFonts w:ascii="Arial" w:cs="Arial" w:eastAsia="Arial" w:hAnsi="Arial"/>
          <w:sz w:val="17"/>
          <w:szCs w:val="17"/>
          <w:color w:val="auto"/>
        </w:rPr>
        <w:t>challenging for us to manage our inventory effectively and will put more pressure on our warehousing system.</w:t>
      </w:r>
    </w:p>
    <w:p>
      <w:pPr>
        <w:spacing w:after="0" w:line="176"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If we fail to manage our inventory effectively, we may be subject to a heightened risk of inventory obsolescence, a decline in inventory values, and significant inventory write-downs or write-offs. In addition, we may be required to lower sale prices in order to reduce inventory level,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79" w:lineRule="exact"/>
        <w:rPr>
          <w:sz w:val="20"/>
          <w:szCs w:val="20"/>
          <w:color w:val="auto"/>
        </w:rPr>
      </w:pPr>
    </w:p>
    <w:p>
      <w:pPr>
        <w:ind w:right="260" w:firstLine="617"/>
        <w:spacing w:after="0" w:line="265" w:lineRule="auto"/>
        <w:rPr>
          <w:sz w:val="20"/>
          <w:szCs w:val="20"/>
          <w:color w:val="auto"/>
        </w:rPr>
      </w:pPr>
      <w:r>
        <w:rPr>
          <w:rFonts w:ascii="Arial" w:cs="Arial" w:eastAsia="Arial" w:hAnsi="Arial"/>
          <w:sz w:val="17"/>
          <w:szCs w:val="17"/>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e-commerce business and reputation.</w:t>
      </w:r>
    </w:p>
    <w:p>
      <w:pPr>
        <w:spacing w:after="0" w:line="170" w:lineRule="exact"/>
        <w:rPr>
          <w:sz w:val="20"/>
          <w:szCs w:val="20"/>
          <w:color w:val="auto"/>
        </w:rPr>
      </w:pPr>
    </w:p>
    <w:p>
      <w:pPr>
        <w:ind w:right="300"/>
        <w:spacing w:after="0" w:line="356" w:lineRule="auto"/>
        <w:rPr>
          <w:sz w:val="20"/>
          <w:szCs w:val="20"/>
          <w:color w:val="auto"/>
        </w:rPr>
      </w:pPr>
      <w:r>
        <w:rPr>
          <w:rFonts w:ascii="Arial" w:cs="Arial" w:eastAsia="Arial" w:hAnsi="Arial"/>
          <w:sz w:val="15"/>
          <w:szCs w:val="15"/>
          <w:b w:val="1"/>
          <w:bCs w:val="1"/>
          <w:color w:val="auto"/>
        </w:rPr>
        <w:t>We experienced a decline in the rate of growth of our online games which appears to be a result of the outbreak of severe acute respiratory syndrome, or SARS, in 2003. Any recurrence of SARS or another widespread public health problem could adversely affect our business and results of operations.</w:t>
      </w:r>
    </w:p>
    <w:p>
      <w:pPr>
        <w:spacing w:after="0" w:line="112" w:lineRule="exact"/>
        <w:rPr>
          <w:sz w:val="20"/>
          <w:szCs w:val="20"/>
          <w:color w:val="auto"/>
        </w:rPr>
      </w:pPr>
    </w:p>
    <w:p>
      <w:pPr>
        <w:ind w:right="60" w:firstLine="617"/>
        <w:spacing w:after="0" w:line="258" w:lineRule="auto"/>
        <w:rPr>
          <w:sz w:val="20"/>
          <w:szCs w:val="20"/>
          <w:color w:val="auto"/>
        </w:rPr>
      </w:pPr>
      <w:r>
        <w:rPr>
          <w:rFonts w:ascii="Arial" w:cs="Arial" w:eastAsia="Arial" w:hAnsi="Arial"/>
          <w:sz w:val="17"/>
          <w:szCs w:val="17"/>
          <w:color w:val="auto"/>
        </w:rPr>
        <w:t xml:space="preserve">During April and May 2003, we experienced a decline in the rate of growth of our online games services which we believe resulted from the closure of Internet cafés in Beijing and elsewhere to prevent the spread of SARS. Subsequently, there have been confirmed human cases of the H5N1 strain of influenza virus, commonly referred to as “bird flu” or “avian influenza,” in the PRC, Vietnam, Iraq, Thailand, Indonesia, Turkey, Cambodia and other countries, which have proven fatal in some instances. In addition, in April 2009, H1N1, a new strain of the influenza virus commonly referred to as “swine flu,” was first discovered in North America and quickly spread to other parts of the world, including China. There have also been recent reports of outbreaks of an avian flu caused by the H7N9 virus, or H7N9, including confirmed human cases, in China. </w:t>
      </w:r>
      <w:r>
        <w:rPr>
          <w:rFonts w:ascii="Arial" w:cs="Arial" w:eastAsia="Arial" w:hAnsi="Arial"/>
          <w:sz w:val="16"/>
          <w:szCs w:val="16"/>
          <w:color w:val="auto"/>
        </w:rPr>
        <w:t>A renewed outbreak of SARS, the spread of H5N1, H1N1 or H7N9, or another widespread public health problem</w:t>
      </w:r>
      <w:r>
        <w:rPr>
          <w:rFonts w:ascii="Arial" w:cs="Arial" w:eastAsia="Arial" w:hAnsi="Arial"/>
          <w:sz w:val="17"/>
          <w:szCs w:val="17"/>
          <w:color w:val="auto"/>
        </w:rPr>
        <w:t xml:space="preserve"> </w:t>
      </w:r>
      <w:r>
        <w:rPr>
          <w:rFonts w:ascii="Arial" w:cs="Arial" w:eastAsia="Arial" w:hAnsi="Arial"/>
          <w:sz w:val="16"/>
          <w:szCs w:val="16"/>
          <w:color w:val="auto"/>
        </w:rPr>
        <w:t>in China, where virtually all of our revenue is derived, or in Beijing, Shanghai, Guangzhou or Hangzhou, where most of our employees are located, could have a negative effect on our business and operations.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operations may be impacted by a number of health-related factors, including, among other things:</w:t>
      </w:r>
    </w:p>
    <w:p>
      <w:pPr>
        <w:spacing w:after="0" w:line="216" w:lineRule="exact"/>
        <w:rPr>
          <w:sz w:val="20"/>
          <w:szCs w:val="20"/>
          <w:color w:val="auto"/>
        </w:rPr>
      </w:pPr>
    </w:p>
    <w:p>
      <w:pPr>
        <w:ind w:left="580" w:hanging="26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quarantines or closures of some of our offices which would severely disrupt our operations;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sickness or death of our key officers and employees;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closure of Internet cafés and other public areas where people access the Internet;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general slowdown in the Chinese economy.</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Any of the foregoing events or other unforeseen consequences of public health problems could adversely affect our business and results of operations.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 of our business is dependent on our ability to retain our existing key employees and to add and retain senior officers to our management.</w:t>
      </w:r>
    </w:p>
    <w:p>
      <w:pPr>
        <w:spacing w:after="0" w:line="129" w:lineRule="exact"/>
        <w:rPr>
          <w:sz w:val="20"/>
          <w:szCs w:val="20"/>
          <w:color w:val="auto"/>
        </w:rPr>
      </w:pPr>
    </w:p>
    <w:p>
      <w:pPr>
        <w:ind w:right="80" w:firstLine="617"/>
        <w:spacing w:after="0" w:line="255" w:lineRule="auto"/>
        <w:rPr>
          <w:sz w:val="20"/>
          <w:szCs w:val="20"/>
          <w:color w:val="auto"/>
        </w:rPr>
      </w:pPr>
      <w:r>
        <w:rPr>
          <w:rFonts w:ascii="Arial" w:cs="Arial" w:eastAsia="Arial" w:hAnsi="Arial"/>
          <w:sz w:val="17"/>
          <w:szCs w:val="17"/>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ectPr>
          <w:pgSz w:w="11900" w:h="16838" w:orient="portrait"/>
          <w:cols w:equalWidth="0" w:num="1">
            <w:col w:w="11420"/>
          </w:cols>
          <w:pgMar w:left="240" w:top="127" w:right="239" w:bottom="0" w:gutter="0" w:footer="0" w:header="0"/>
        </w:sectPr>
      </w:pPr>
    </w:p>
    <w:bookmarkStart w:id="10" w:name="page11"/>
    <w:bookmarkEnd w:id="10"/>
    <w:p>
      <w:pPr>
        <w:ind w:right="40"/>
        <w:spacing w:after="0" w:line="286" w:lineRule="auto"/>
        <w:rPr>
          <w:sz w:val="20"/>
          <w:szCs w:val="20"/>
          <w:color w:val="auto"/>
        </w:rPr>
      </w:pPr>
      <w:r>
        <w:rPr>
          <w:rFonts w:ascii="Arial" w:cs="Arial" w:eastAsia="Arial" w:hAnsi="Arial"/>
          <w:sz w:val="17"/>
          <w:szCs w:val="17"/>
          <w:b w:val="1"/>
          <w:bCs w:val="1"/>
          <w:color w:val="auto"/>
        </w:rPr>
        <w:t>Our revenues fluctuate significantly and may adversely impact the trading price of our American Depositary Shares, or ADSs, or any other securities which become publicly traded.</w:t>
      </w:r>
    </w:p>
    <w:p>
      <w:pPr>
        <w:spacing w:after="0" w:line="42"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49" w:lineRule="exact"/>
        <w:rPr>
          <w:sz w:val="20"/>
          <w:szCs w:val="20"/>
          <w:color w:val="auto"/>
        </w:rPr>
      </w:pPr>
    </w:p>
    <w:p>
      <w:pPr>
        <w:ind w:left="580" w:hanging="268"/>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and retain users to our websites and online games in the increasingly competitive Internet market in China;</w:t>
      </w:r>
    </w:p>
    <w:p>
      <w:pPr>
        <w:spacing w:after="0" w:line="100" w:lineRule="exact"/>
        <w:rPr>
          <w:rFonts w:ascii="Arial" w:cs="Arial" w:eastAsia="Arial" w:hAnsi="Arial"/>
          <w:sz w:val="17"/>
          <w:szCs w:val="17"/>
          <w:color w:val="auto"/>
        </w:rPr>
      </w:pPr>
    </w:p>
    <w:p>
      <w:pPr>
        <w:ind w:left="580" w:hanging="268"/>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successfully implement our business strategies as planned; and</w:t>
      </w:r>
    </w:p>
    <w:p>
      <w:pPr>
        <w:spacing w:after="0" w:line="100" w:lineRule="exact"/>
        <w:rPr>
          <w:rFonts w:ascii="Arial" w:cs="Arial" w:eastAsia="Arial" w:hAnsi="Arial"/>
          <w:sz w:val="17"/>
          <w:szCs w:val="17"/>
          <w:color w:val="auto"/>
        </w:rPr>
      </w:pPr>
    </w:p>
    <w:p>
      <w:pPr>
        <w:ind w:left="580" w:hanging="268"/>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update and develop our Internet applications, services, technologies and infrastructure.</w:t>
      </w:r>
    </w:p>
    <w:p>
      <w:pPr>
        <w:spacing w:after="0" w:line="100" w:lineRule="exact"/>
        <w:rPr>
          <w:sz w:val="20"/>
          <w:szCs w:val="20"/>
          <w:color w:val="auto"/>
        </w:rPr>
      </w:pPr>
    </w:p>
    <w:p>
      <w:pPr>
        <w:ind w:firstLine="617"/>
        <w:spacing w:after="0" w:line="256" w:lineRule="auto"/>
        <w:rPr>
          <w:sz w:val="20"/>
          <w:szCs w:val="20"/>
          <w:color w:val="auto"/>
        </w:rPr>
      </w:pPr>
      <w:r>
        <w:rPr>
          <w:rFonts w:ascii="Arial" w:cs="Arial" w:eastAsia="Arial" w:hAnsi="Arial"/>
          <w:sz w:val="17"/>
          <w:szCs w:val="17"/>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being the strongest. Usage of our e-commerce services and online games has generally increased around the Chinese New Year holiday and other Chinese holidays, in particular winter and summer school holidays during which school-aged users have more time to use such services and play games.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 If we fail to establish and maintain relationships with content providers, we may not be able to attract traffic to the NetEase websites and mobile apps.</w:t>
      </w:r>
    </w:p>
    <w:p>
      <w:pPr>
        <w:spacing w:after="0" w:line="68" w:lineRule="exact"/>
        <w:rPr>
          <w:sz w:val="20"/>
          <w:szCs w:val="20"/>
          <w:color w:val="auto"/>
        </w:rPr>
      </w:pPr>
    </w:p>
    <w:p>
      <w:pPr>
        <w:ind w:right="60" w:firstLine="617"/>
        <w:spacing w:after="0" w:line="256" w:lineRule="auto"/>
        <w:rPr>
          <w:sz w:val="20"/>
          <w:szCs w:val="20"/>
          <w:color w:val="auto"/>
        </w:rPr>
      </w:pPr>
      <w:r>
        <w:rPr>
          <w:rFonts w:ascii="Arial" w:cs="Arial" w:eastAsia="Arial" w:hAnsi="Arial"/>
          <w:sz w:val="17"/>
          <w:szCs w:val="17"/>
          <w:color w:val="auto"/>
        </w:rPr>
        <w:t>We rely on a number of third-party relationships to attract traffic and provide content in order to make the NetEase websites and mobile apps more attractive to users and advertisers. Most of our arrangements with content providers are short-term and may be terminated at the convenience of the other party. Some content providers have increased the fees they charge us for their content. This trend could increase our costs and operating expenses and could adversely affect our ability to obtain content at an economically acceptable cost. Moreover, our agreements with content providers are usually non-exclusive, although some of our competitors have been entering into exclusive arrangements for certain content, particularly online video content. If we are not able to renew our agreements with content providers or our competitors obtain exclusive rights to content which we wish to offer on the NetEase websites and mobile apps, the attractiveness of our portal and other media to users will be severely impaired. Also, if other Internet companies present the same or similar content in a superior manner, it would adversely affect our visitor traffic.</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We do not own Guangzhou NetEase Computer System Co., Ltd., or Guangzhou NetEase, and certain other affiliated entities,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56" w:lineRule="exact"/>
        <w:rPr>
          <w:sz w:val="20"/>
          <w:szCs w:val="20"/>
          <w:color w:val="auto"/>
        </w:rPr>
      </w:pPr>
    </w:p>
    <w:p>
      <w:pPr>
        <w:ind w:right="60" w:firstLine="617"/>
        <w:spacing w:after="0" w:line="270" w:lineRule="auto"/>
        <w:rPr>
          <w:sz w:val="20"/>
          <w:szCs w:val="20"/>
          <w:color w:val="auto"/>
        </w:rPr>
      </w:pPr>
      <w:r>
        <w:rPr>
          <w:rFonts w:ascii="Arial" w:cs="Arial" w:eastAsia="Arial" w:hAnsi="Arial"/>
          <w:sz w:val="16"/>
          <w:szCs w:val="16"/>
          <w:color w:val="auto"/>
        </w:rPr>
        <w:t>Certain of our affiliated companies are owned by shareholders whose interests may differ from ours and those of our shareholders because they own a larger percentage of such companies than of our company. In particular, the business and operations of Guangzhou NetEase, the operator of the NetEase websites and a provider of online games, e-mail, e-commerce and other fee-based premium services, Wangyibao Co., Ltd., or Wangyibao, the operator of our Wangyibao online payment platform and a wholly-owned subsidiary of Guangzhou NetEase, Beijing NetEase Youdao Computer System Co., Ltd., or Youdao Computer, the operator of our online dictionary, online education and other cloud application services, Beijing NetEase Media Co., Ltd. (previously named Beijing Guangyitong Advertising Co., Ltd.), or NetEase Advertising, an advertising firm, and Hangzhou NetEase Leihuo Network Co., Ltd., or Hangzhou Leihuo, a provider of mobile games, and certain other affiliated companies, are subject to Chinese laws and regulations that differ from the laws and regulations that govern the business and operations of NetEase. For example, Chinese laws and regulations require us to verify the content of third-party advertising we place on the NetEase websites, and we are partly dependent upon the conduct of NetEase Advertising, which is not directly subject to those laws and regulations, in order to ensure that we remain compliant with those laws and regulations. These affiliated companies or their ultimate shareholders could violate our arrangements with them by, among other things, failing to operate and maintain the NetEase websites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The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suffer significant delay or other obstacles in the process of enforcing these agreements and may materially and adversely affect our results of operations and financial position.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color w:val="auto"/>
        </w:rPr>
        <w:t>Because our contractual arrangements with Guangzhou NetEase and certain other affiliated entities and their ultimate shareholders do not detail the parties’ rights and obligations, our remedies for a breach of these arrangements are limited.</w:t>
      </w:r>
    </w:p>
    <w:p>
      <w:pPr>
        <w:spacing w:after="0" w:line="158" w:lineRule="exact"/>
        <w:rPr>
          <w:sz w:val="20"/>
          <w:szCs w:val="20"/>
          <w:color w:val="auto"/>
        </w:rPr>
      </w:pPr>
    </w:p>
    <w:p>
      <w:pPr>
        <w:ind w:right="20" w:firstLine="617"/>
        <w:spacing w:after="0" w:line="274" w:lineRule="auto"/>
        <w:rPr>
          <w:sz w:val="20"/>
          <w:szCs w:val="20"/>
          <w:color w:val="auto"/>
        </w:rPr>
      </w:pPr>
      <w:r>
        <w:rPr>
          <w:rFonts w:ascii="Arial" w:cs="Arial" w:eastAsia="Arial" w:hAnsi="Arial"/>
          <w:sz w:val="16"/>
          <w:szCs w:val="16"/>
          <w:color w:val="auto"/>
        </w:rPr>
        <w:t>Our current relationship with Guangzhou NetEase and certain other affiliated entities and their ultimate shareholders is based on a number of contracts, and these affiliated companies are considered our “variable interest entities,” or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and certain other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w:t>
      </w:r>
    </w:p>
    <w:p>
      <w:pPr>
        <w:spacing w:after="0" w:line="166"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b w:val="1"/>
          <w:bCs w:val="1"/>
          <w:color w:val="auto"/>
        </w:rPr>
        <w:t>A majority of the share capital of Guangzhou NetEase, NetEase Advertising, Wangyibao and Youdao Computer and the entire share capital of Shanghai EaseNet is held by our major shareholder, who may cause these agreements to be amended in a manner that is adverse to us.</w:t>
      </w:r>
    </w:p>
    <w:p>
      <w:pPr>
        <w:spacing w:after="0" w:line="134" w:lineRule="exact"/>
        <w:rPr>
          <w:sz w:val="20"/>
          <w:szCs w:val="20"/>
          <w:color w:val="auto"/>
        </w:rPr>
      </w:pPr>
    </w:p>
    <w:p>
      <w:pPr>
        <w:ind w:right="20" w:firstLine="617"/>
        <w:spacing w:after="0" w:line="274" w:lineRule="auto"/>
        <w:rPr>
          <w:sz w:val="20"/>
          <w:szCs w:val="20"/>
          <w:color w:val="auto"/>
        </w:rPr>
      </w:pPr>
      <w:r>
        <w:rPr>
          <w:rFonts w:ascii="Arial" w:cs="Arial" w:eastAsia="Arial" w:hAnsi="Arial"/>
          <w:sz w:val="16"/>
          <w:szCs w:val="16"/>
          <w:color w:val="auto"/>
        </w:rPr>
        <w:t>Our major shareholder, William Lei Ding, directly or indirectly holds the majority interest in Guangzhou NetEase, NetEase Advertising, Wangyibao and Youdao Computer.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ectPr>
          <w:pgSz w:w="11900" w:h="16838" w:orient="portrait"/>
          <w:cols w:equalWidth="0" w:num="1">
            <w:col w:w="11420"/>
          </w:cols>
          <w:pgMar w:left="240" w:top="121" w:right="239" w:bottom="8" w:gutter="0" w:footer="0" w:header="0"/>
        </w:sectPr>
      </w:pPr>
    </w:p>
    <w:bookmarkStart w:id="11" w:name="page12"/>
    <w:bookmarkEnd w:id="11"/>
    <w:p>
      <w:pPr>
        <w:ind w:right="360"/>
        <w:spacing w:after="0" w:line="286" w:lineRule="auto"/>
        <w:rPr>
          <w:sz w:val="20"/>
          <w:szCs w:val="20"/>
          <w:color w:val="auto"/>
        </w:rPr>
      </w:pPr>
      <w:r>
        <w:rPr>
          <w:rFonts w:ascii="Arial" w:cs="Arial" w:eastAsia="Arial" w:hAnsi="Arial"/>
          <w:sz w:val="17"/>
          <w:szCs w:val="17"/>
          <w:b w:val="1"/>
          <w:bCs w:val="1"/>
          <w:color w:val="auto"/>
        </w:rPr>
        <w:t>We may not be able to conduct our operations without the services provided by Guangzhou NetEase, NetEase Advertising, Hangzhou Leihuo, Shanghai EaseNet, Youdao Computer and certain other affiliated entities.</w:t>
      </w:r>
    </w:p>
    <w:p>
      <w:pPr>
        <w:spacing w:after="0" w:line="158" w:lineRule="exact"/>
        <w:rPr>
          <w:sz w:val="20"/>
          <w:szCs w:val="20"/>
          <w:color w:val="auto"/>
        </w:rPr>
      </w:pPr>
    </w:p>
    <w:p>
      <w:pPr>
        <w:ind w:right="20" w:firstLine="617"/>
        <w:spacing w:after="0" w:line="275" w:lineRule="auto"/>
        <w:rPr>
          <w:sz w:val="20"/>
          <w:szCs w:val="20"/>
          <w:color w:val="auto"/>
        </w:rPr>
      </w:pPr>
      <w:r>
        <w:rPr>
          <w:rFonts w:ascii="Arial" w:cs="Arial" w:eastAsia="Arial" w:hAnsi="Arial"/>
          <w:sz w:val="16"/>
          <w:szCs w:val="16"/>
          <w:color w:val="auto"/>
        </w:rPr>
        <w:t>Our operations are currently dependent upon our commercial relationships with Guangzhou NetEase, NetEase Advertising, Hangzhou Leihuo, Shanghai EaseNet, Youdao Computer and certain other affiliated entities, and we derive most of our revenues from these companies. If these companies are unwilling or unable to perform the agreements which we have entered into with them, we may not be able to conduct our operations in the manner in which we currently do. In addition, Guangzhou NetEase, NetEase Advertising, Hangzhou Leihuo, Shanghai EaseNet, Youdao Computer and certain other affiliated entities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One of our shareholders has significant influence over our company.</w:t>
      </w:r>
    </w:p>
    <w:p>
      <w:pPr>
        <w:spacing w:after="0" w:line="222" w:lineRule="exact"/>
        <w:rPr>
          <w:sz w:val="20"/>
          <w:szCs w:val="20"/>
          <w:color w:val="auto"/>
        </w:rPr>
      </w:pPr>
    </w:p>
    <w:p>
      <w:pPr>
        <w:ind w:firstLine="617"/>
        <w:spacing w:after="0" w:line="301" w:lineRule="auto"/>
        <w:rPr>
          <w:sz w:val="20"/>
          <w:szCs w:val="20"/>
          <w:color w:val="auto"/>
        </w:rPr>
      </w:pPr>
      <w:r>
        <w:rPr>
          <w:rFonts w:ascii="Arial" w:cs="Arial" w:eastAsia="Arial" w:hAnsi="Arial"/>
          <w:sz w:val="15"/>
          <w:szCs w:val="15"/>
          <w:color w:val="auto"/>
        </w:rPr>
        <w:t>Our founder, Chief Executive Officer and director, William Lei Ding, beneficially owned, as of December 31, 2016, approximately 44.4%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color w:val="auto"/>
        </w:rPr>
        <w:t>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58" w:lineRule="exact"/>
        <w:rPr>
          <w:sz w:val="20"/>
          <w:szCs w:val="20"/>
          <w:color w:val="auto"/>
        </w:rPr>
      </w:pPr>
    </w:p>
    <w:p>
      <w:pPr>
        <w:ind w:firstLine="617"/>
        <w:spacing w:after="0" w:line="271"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Guangzhou NetEase, NetEase Advertising, Hangzhou Leihuo, Shanghai EaseNet, Youdao Computer and certain other affiliated entities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variable interest entities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below for further details. Any limitation on the ability of our PRC subsidiaries and variable interest entities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75" w:lineRule="exact"/>
        <w:rPr>
          <w:sz w:val="20"/>
          <w:szCs w:val="20"/>
          <w:color w:val="auto"/>
        </w:rPr>
      </w:pPr>
    </w:p>
    <w:p>
      <w:pPr>
        <w:ind w:right="100" w:firstLine="617"/>
        <w:spacing w:after="0" w:line="261" w:lineRule="auto"/>
        <w:rPr>
          <w:sz w:val="20"/>
          <w:szCs w:val="20"/>
          <w:color w:val="auto"/>
        </w:rPr>
      </w:pPr>
      <w:r>
        <w:rPr>
          <w:rFonts w:ascii="Arial" w:cs="Arial" w:eastAsia="Arial" w:hAnsi="Arial"/>
          <w:sz w:val="17"/>
          <w:szCs w:val="17"/>
          <w:color w:val="auto"/>
        </w:rPr>
        <w:t>In addition,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w:t>
      </w:r>
    </w:p>
    <w:p>
      <w:pPr>
        <w:spacing w:after="0" w:line="179"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70"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b w:val="1"/>
          <w:bCs w:val="1"/>
          <w:color w:val="auto"/>
        </w:rPr>
        <w:t>Our arrangements with Guangzhou NetEase, NetEase Advertising, Hangzhou Leihuo, Shanghai EaseNet, Youdao Computer and certain other affiliated entities and their respective shareholders may cause a transfer pricing adjustment and may be subject to scrutiny by the PRC tax authorities.</w:t>
      </w:r>
    </w:p>
    <w:p>
      <w:pPr>
        <w:spacing w:after="0" w:line="112"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We could face material and adverse tax consequences if the PRC tax authorities determine that our contracts with Guangzhou NetEase, NetEase Advertising, Hangzhou Leihuo, Shanghai EaseNet, Youdao Computer and certain other affiliated entities and their respective shareholders were not entered into based on arm’s length negotiations. Although our contractual arrangements are similar to those of other companies conducting similar operations in China, if the PRC tax authorities determine that these contracts were not entered into on an arm’s length basis, they may adjust our income and expenses for PRC tax purposes in the form of a transfer pricing adjustment which may result in an increase in our taxes.</w:t>
      </w:r>
    </w:p>
    <w:p>
      <w:pPr>
        <w:spacing w:after="0" w:line="174"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color w:val="auto"/>
        </w:rPr>
        <w:t>A transfer of shares of Guangzhou NetEase, NetEase Advertising, Hangzhou Leihuo, Shanghai EaseNet, Youdao Computer or certain other affiliated entities may trigger tax liability.</w:t>
      </w:r>
    </w:p>
    <w:p>
      <w:pPr>
        <w:spacing w:after="0" w:line="158"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If we need to cause the transfer of shareholdings of Guangzhou NetEase, NetEase Advertising, Hangzhou Leihuo, Shanghai EaseNet, Youdao Computer or certain other affiliated entities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7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color w:val="auto"/>
        </w:rPr>
        <w:t>Our business benefits from certain PRC government incentives. Expiration of, or changes to, these incentives and PRC tax laws could have a material adverse effect on our operating results.</w:t>
      </w:r>
    </w:p>
    <w:p>
      <w:pPr>
        <w:spacing w:after="0" w:line="158" w:lineRule="exact"/>
        <w:rPr>
          <w:sz w:val="20"/>
          <w:szCs w:val="20"/>
          <w:color w:val="auto"/>
        </w:rPr>
      </w:pPr>
    </w:p>
    <w:p>
      <w:pPr>
        <w:ind w:right="40" w:firstLine="617"/>
        <w:spacing w:after="0" w:line="282" w:lineRule="auto"/>
        <w:rPr>
          <w:sz w:val="20"/>
          <w:szCs w:val="20"/>
          <w:color w:val="auto"/>
        </w:rPr>
      </w:pPr>
      <w:r>
        <w:rPr>
          <w:rFonts w:ascii="Arial" w:cs="Arial" w:eastAsia="Arial" w:hAnsi="Arial"/>
          <w:sz w:val="16"/>
          <w:szCs w:val="16"/>
          <w:color w:val="auto"/>
        </w:rPr>
        <w:t>Effective as of January 1, 2008, the Chinese government adopted the Enterprise Income Tax Law, as further clarified by subsequent tax regulations implementing the new income tax law, which unified the enterprise income tax rates payable by domestic and foreign-invested enterprises at 25.0%. Preferential tax treatments continue to be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ectPr>
          <w:pgSz w:w="11900" w:h="16838" w:orient="portrait"/>
          <w:cols w:equalWidth="0" w:num="1">
            <w:col w:w="11420"/>
          </w:cols>
          <w:pgMar w:left="240" w:top="121"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firstLine="617"/>
        <w:spacing w:after="0" w:line="275" w:lineRule="auto"/>
        <w:rPr>
          <w:sz w:val="20"/>
          <w:szCs w:val="20"/>
          <w:color w:val="auto"/>
        </w:rPr>
      </w:pPr>
      <w:r>
        <w:rPr>
          <w:rFonts w:ascii="Arial" w:cs="Arial" w:eastAsia="Arial" w:hAnsi="Arial"/>
          <w:sz w:val="16"/>
          <w:szCs w:val="16"/>
          <w:color w:val="auto"/>
        </w:rPr>
        <w:t>A number of our subsidiaries enjoy preferential tax rates by being recognized as a HNTE and/or a “Key Software Enterprise.” For example, in 2013, NetEase Beijing, Boguan and NetEase (Hangzhou) Network Co., Ltd., or NetEase Hangzhou, were approved as “Key Software Enterprises” and enjoyed preferential tax rates of 10.0% from 2011 to 2014. These three entities were also qualified as HNTEs in 2014 and enjoyed a preferential tax rate of 15% from 2015 to 2016. NetEase Media Technology (Beijing) Co., Ltd., or Media Beijing, was qualified as a HNTE in 2014 and enjoyed a preferential tax rate of 15% from 2014 to 2016. In addition, Boguan, NetEase Hangzhou and Media Beijing each qualified as a Key Software Enterprise in 2016 and enjoyed a further reduced preferential tax rate of 10% for 2015. StormNet Information Technology Co., Ltd., or StormNet IT SH, a wholly owned subsidiary of StormNet HK, also qualified as an HNTE in 2016 and enjoys a preferential tax rate of 15% from 2016 to 2018. See Item 5.A. “Operating Results — Income Taxes.”</w:t>
      </w:r>
    </w:p>
    <w:p>
      <w:pPr>
        <w:spacing w:after="0" w:line="171"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status are subject to an annual assessment by the relevant government authorities in China. Without any preferential tax status, the standard EIT rate is 25.0%. Moreover, if there are further changes to the relevant income tax laws and their implementation, our subsidiaries and variable interest entities may need to pay additional taxes, which could have a material adverse effect on our results of operations.</w:t>
      </w:r>
    </w:p>
    <w:p>
      <w:pPr>
        <w:spacing w:after="0" w:line="179"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72"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Under the Enterprise Income Tax Law, enterprises established outside of the PRC whose “de facto management bodies” are located in the PRC are considered “resident enterprises,” and will generally be subject to the uniform 25.0% enterprise income tax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81"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76" w:lineRule="exact"/>
        <w:rPr>
          <w:sz w:val="20"/>
          <w:szCs w:val="20"/>
          <w:color w:val="auto"/>
        </w:rPr>
      </w:pPr>
    </w:p>
    <w:p>
      <w:pPr>
        <w:ind w:right="20" w:firstLine="617"/>
        <w:spacing w:after="0" w:line="272"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enterprise income tax if such gains are regarded as income derived from sources within the PRC. A lower withholding income tax rate of 5.0% is applied if the “non-resident enterprises” are registered in Hong Kong or other jurisdictions that have a favorable tax treaty arrangement with China. Nevertheless, the PRC State Administration of Taxation promulgated a tax notice on October 27, 2009, or Circular 601, which provides that tax treaty benefits will be denied to “conduit” or shell companies without business substance, and a beneficial ownership analysis will be used based on a “substance-over-form” principle to determine whether or not to grant tax treaty benefits. It is unclear at this stage whether Circular 601 applies to dividends from our PRC subsidiaries paid to us through our Hong Kong subsidiaries. It is possible that under Circular 601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76"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pacing w:after="0" w:line="17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58" w:lineRule="exact"/>
        <w:rPr>
          <w:sz w:val="20"/>
          <w:szCs w:val="20"/>
          <w:color w:val="auto"/>
        </w:rPr>
      </w:pPr>
    </w:p>
    <w:p>
      <w:pPr>
        <w:ind w:right="20" w:firstLine="617"/>
        <w:spacing w:after="0" w:line="317" w:lineRule="auto"/>
        <w:rPr>
          <w:sz w:val="20"/>
          <w:szCs w:val="20"/>
          <w:color w:val="auto"/>
        </w:rPr>
      </w:pPr>
      <w:r>
        <w:rPr>
          <w:rFonts w:ascii="Arial" w:cs="Arial" w:eastAsia="Arial" w:hAnsi="Arial"/>
          <w:sz w:val="15"/>
          <w:szCs w:val="15"/>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73"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and concluded that our internal control over financial reporting was effective as of December 31, 2016. Our independent registered public accounting firm has also, in its audit report, concluded that our internal control over financial reporting was effective in all material aspects as of December 31, 2016.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Unexpected network interruption caused by system failures may reduce visitor traffic and harm our reputation.</w:t>
      </w:r>
    </w:p>
    <w:p>
      <w:pPr>
        <w:spacing w:after="0" w:line="222" w:lineRule="exact"/>
        <w:rPr>
          <w:sz w:val="20"/>
          <w:szCs w:val="20"/>
          <w:color w:val="auto"/>
        </w:rPr>
      </w:pPr>
    </w:p>
    <w:p>
      <w:pPr>
        <w:ind w:right="180" w:firstLine="617"/>
        <w:spacing w:after="0" w:line="347" w:lineRule="auto"/>
        <w:rPr>
          <w:sz w:val="20"/>
          <w:szCs w:val="20"/>
          <w:color w:val="auto"/>
        </w:rPr>
      </w:pPr>
      <w:r>
        <w:rPr>
          <w:rFonts w:ascii="Arial" w:cs="Arial" w:eastAsia="Arial" w:hAnsi="Arial"/>
          <w:sz w:val="15"/>
          <w:szCs w:val="15"/>
          <w:color w:val="auto"/>
        </w:rPr>
        <w:t>Both the continual accessibility of the NetEase websites and the performance and reliability of our technical infrastructure are critical to our reputation and the ability of the NetEase websites to attract and retain users and advertisers. Any system failure or performance inadequacy that causes interruptions in the</w:t>
      </w:r>
    </w:p>
    <w:p>
      <w:pPr>
        <w:sectPr>
          <w:pgSz w:w="11900" w:h="16838" w:orient="portrait"/>
          <w:cols w:equalWidth="0" w:num="1">
            <w:col w:w="11420"/>
          </w:cols>
          <w:pgMar w:left="240" w:top="127" w:right="239" w:bottom="0" w:gutter="0" w:footer="0" w:header="0"/>
        </w:sectPr>
      </w:pPr>
    </w:p>
    <w:bookmarkStart w:id="13" w:name="page14"/>
    <w:bookmarkEnd w:id="13"/>
    <w:p>
      <w:pPr>
        <w:spacing w:after="0" w:line="8"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auto"/>
        </w:rPr>
        <w:t>availability of our services or increases the response time of our services could reduce user satisfaction and traffic, which would reduce the NetEase websites’ appeal to users and advertisers. As the number of NetEase Web pages and traffic increase, we cannot assure you that we will be able to scale our systems proportionately. In addition, any system failures and electrical outages could materially and adversely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are vulnerable to natural disasters and other events.</w:t>
      </w:r>
    </w:p>
    <w:p>
      <w:pPr>
        <w:spacing w:after="0" w:line="222" w:lineRule="exact"/>
        <w:rPr>
          <w:sz w:val="20"/>
          <w:szCs w:val="20"/>
          <w:color w:val="auto"/>
        </w:rPr>
      </w:pPr>
    </w:p>
    <w:p>
      <w:pPr>
        <w:ind w:right="120" w:firstLine="617"/>
        <w:spacing w:after="0" w:line="259" w:lineRule="auto"/>
        <w:rPr>
          <w:sz w:val="20"/>
          <w:szCs w:val="20"/>
          <w:color w:val="auto"/>
        </w:rPr>
      </w:pPr>
      <w:r>
        <w:rPr>
          <w:rFonts w:ascii="Arial" w:cs="Arial" w:eastAsia="Arial" w:hAnsi="Arial"/>
          <w:sz w:val="17"/>
          <w:szCs w:val="17"/>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w:t>
      </w:r>
    </w:p>
    <w:p>
      <w:pPr>
        <w:spacing w:after="0" w:line="180" w:lineRule="exact"/>
        <w:rPr>
          <w:sz w:val="20"/>
          <w:szCs w:val="20"/>
          <w:color w:val="auto"/>
        </w:rPr>
      </w:pPr>
    </w:p>
    <w:p>
      <w:pPr>
        <w:ind w:right="180" w:firstLine="617"/>
        <w:spacing w:after="0" w:line="278" w:lineRule="auto"/>
        <w:rPr>
          <w:sz w:val="20"/>
          <w:szCs w:val="20"/>
          <w:color w:val="auto"/>
        </w:rPr>
      </w:pPr>
      <w:r>
        <w:rPr>
          <w:rFonts w:ascii="Arial" w:cs="Arial" w:eastAsia="Arial" w:hAnsi="Arial"/>
          <w:sz w:val="17"/>
          <w:szCs w:val="17"/>
          <w:color w:val="auto"/>
        </w:rPr>
        <w:t>We carry property insurance with low coverage limits that may not be adequate to compensate us for all losses, particularly with respect to loss of business and reputation, that may occur.</w:t>
      </w:r>
    </w:p>
    <w:p>
      <w:pPr>
        <w:spacing w:after="0" w:line="165"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color w:val="auto"/>
        </w:rPr>
        <w:t>In addition, fire, floods, droughts, typhoons, earthquakes and other natural disasters could result in material disruptions of our operations and adversely affect our revenues and profit. For example, the PRC government declared April 21, 2010 as a national mourning day for the April 14, 2010 earthquake centered in Qinghai Province. As required by the PRC government, we and the other major online game operators in China suspended our game operations during this national mourning day.</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color w:val="auto"/>
        </w:rPr>
        <w:t>We may be subject to breaches of our information technology systems, which could materially adversely affect our reputation and our results of operations and financial position and expose us to liability claims.</w:t>
      </w:r>
    </w:p>
    <w:p>
      <w:pPr>
        <w:spacing w:after="0" w:line="158"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Any compromise of the security of our information technology systems could materially adversely affect the operations of NetEase’s websites, online games and other services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w:t>
      </w:r>
    </w:p>
    <w:p>
      <w:pPr>
        <w:spacing w:after="0" w:line="180" w:lineRule="exact"/>
        <w:rPr>
          <w:sz w:val="20"/>
          <w:szCs w:val="20"/>
          <w:color w:val="auto"/>
        </w:rPr>
      </w:pPr>
    </w:p>
    <w:p>
      <w:pPr>
        <w:ind w:right="20" w:firstLine="617"/>
        <w:spacing w:after="0" w:line="296" w:lineRule="auto"/>
        <w:rPr>
          <w:sz w:val="20"/>
          <w:szCs w:val="20"/>
          <w:color w:val="auto"/>
        </w:rPr>
      </w:pPr>
      <w:r>
        <w:rPr>
          <w:rFonts w:ascii="Arial" w:cs="Arial" w:eastAsia="Arial" w:hAnsi="Arial"/>
          <w:sz w:val="15"/>
          <w:szCs w:val="15"/>
          <w:color w:val="auto"/>
        </w:rPr>
        <w:t>Hackers develop and deploy viruses, worms, and other malicious software programs to attack websites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Although we believe that we have not experienced any hacking activity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57" w:lineRule="exact"/>
        <w:rPr>
          <w:sz w:val="20"/>
          <w:szCs w:val="20"/>
          <w:color w:val="auto"/>
        </w:rPr>
      </w:pPr>
    </w:p>
    <w:p>
      <w:pPr>
        <w:ind w:right="20" w:firstLine="617"/>
        <w:spacing w:after="0" w:line="292" w:lineRule="auto"/>
        <w:rPr>
          <w:sz w:val="20"/>
          <w:szCs w:val="20"/>
          <w:color w:val="auto"/>
        </w:rPr>
      </w:pPr>
      <w:r>
        <w:rPr>
          <w:rFonts w:ascii="Arial" w:cs="Arial" w:eastAsia="Arial" w:hAnsi="Arial"/>
          <w:sz w:val="15"/>
          <w:szCs w:val="15"/>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 We may experience a breach of our systems and may be unable to protect sensitive data. For example, if our data on the purchase and consumption of virtual items by our game players is compromised, our ability to accurately recognize revenues from certain of our online games and the playing experience of our game players could be materially and adversely affected. Moreover, if a computer security breach affects our systems or results in the unauthorized release of personal information and other data of our users, our reputation and brand could be materially damaged and use of the NetEase websites and our services could decrease. We could also be exposed to a risk of loss or litigation and possible liability, which could result in a material adverse effect on our business, results of operations and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a variety of laws and other obligations regarding data protection in China.</w:t>
      </w:r>
    </w:p>
    <w:p>
      <w:pPr>
        <w:spacing w:after="0" w:line="222" w:lineRule="exact"/>
        <w:rPr>
          <w:sz w:val="20"/>
          <w:szCs w:val="20"/>
          <w:color w:val="auto"/>
        </w:rPr>
      </w:pPr>
    </w:p>
    <w:p>
      <w:pPr>
        <w:ind w:right="240" w:firstLine="617"/>
        <w:spacing w:after="0" w:line="277"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Complying with emerging and changing requirements may cause us to incur substantial costs or require us to change our business practices. Noncompliance could result in penalties or significant legal liability, including fines and public announcements of misconduct by the relevant telecommunication regulatory authorities.</w:t>
      </w:r>
    </w:p>
    <w:p>
      <w:pPr>
        <w:spacing w:after="0" w:line="167" w:lineRule="exact"/>
        <w:rPr>
          <w:sz w:val="20"/>
          <w:szCs w:val="20"/>
          <w:color w:val="auto"/>
        </w:rPr>
      </w:pPr>
    </w:p>
    <w:p>
      <w:pPr>
        <w:ind w:right="140" w:firstLine="617"/>
        <w:spacing w:after="0" w:line="279"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results of operations and financial condition. In addition, any negative publicity on our website’s safety or privacy protection mechanism and policy could have a material and adverse effect on our business, results of operations and financial condition, public image and reputation.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acquisitions and investments could result in operating difficulties, dilution and other harmful consequences.</w:t>
      </w:r>
    </w:p>
    <w:p>
      <w:pPr>
        <w:spacing w:after="0" w:line="222" w:lineRule="exact"/>
        <w:rPr>
          <w:sz w:val="20"/>
          <w:szCs w:val="20"/>
          <w:color w:val="auto"/>
        </w:rPr>
      </w:pPr>
    </w:p>
    <w:p>
      <w:pPr>
        <w:jc w:val="both"/>
        <w:ind w:right="120" w:firstLine="617"/>
        <w:spacing w:after="0" w:line="317" w:lineRule="auto"/>
        <w:rPr>
          <w:sz w:val="20"/>
          <w:szCs w:val="20"/>
          <w:color w:val="auto"/>
        </w:rPr>
      </w:pPr>
      <w:r>
        <w:rPr>
          <w:rFonts w:ascii="Arial" w:cs="Arial" w:eastAsia="Arial" w:hAnsi="Arial"/>
          <w:sz w:val="15"/>
          <w:szCs w:val="15"/>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40" w:lineRule="exact"/>
        <w:rPr>
          <w:sz w:val="20"/>
          <w:szCs w:val="20"/>
          <w:color w:val="auto"/>
        </w:rPr>
      </w:pPr>
    </w:p>
    <w:p>
      <w:pPr>
        <w:ind w:left="580" w:hanging="26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significant costs of identifying and consummating acquisitions;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acquisition integration challenges;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integrating the management, technologies and employees of the acquired businesses;</w:t>
      </w:r>
    </w:p>
    <w:p>
      <w:pPr>
        <w:sectPr>
          <w:pgSz w:w="11900" w:h="16846" w:orient="portrait"/>
          <w:cols w:equalWidth="0" w:num="1">
            <w:col w:w="11420"/>
          </w:cols>
          <w:pgMar w:left="240" w:top="127" w:right="239" w:bottom="0" w:gutter="0" w:footer="0" w:header="0"/>
        </w:sectPr>
      </w:pPr>
    </w:p>
    <w:bookmarkStart w:id="14" w:name="page15"/>
    <w:bookmarkEnd w:id="14"/>
    <w:p>
      <w:pPr>
        <w:spacing w:after="0" w:line="105" w:lineRule="exact"/>
        <w:rPr>
          <w:sz w:val="20"/>
          <w:szCs w:val="20"/>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implementation or remediation of controls, procedures and policies at the acquired company;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coordination of products and services, engineering and sales and marketing functions;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retention of employees from the businesses we acquire;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significant impairment losses related to goodwill and other intangible assets acquired or investments in other businesses;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expenses in obtaining approvals for the transaction from shareholders and relevant government authorities in China;</w:t>
      </w:r>
    </w:p>
    <w:p>
      <w:pPr>
        <w:spacing w:after="0" w:line="216" w:lineRule="exact"/>
        <w:rPr>
          <w:rFonts w:ascii="Arial" w:cs="Arial" w:eastAsia="Arial" w:hAnsi="Arial"/>
          <w:sz w:val="17"/>
          <w:szCs w:val="17"/>
          <w:color w:val="auto"/>
        </w:rPr>
      </w:pPr>
    </w:p>
    <w:p>
      <w:pPr>
        <w:ind w:left="620" w:right="60" w:hanging="308"/>
        <w:spacing w:after="0" w:line="278" w:lineRule="auto"/>
        <w:tabs>
          <w:tab w:leader="none" w:pos="5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164" w:lineRule="exact"/>
        <w:rPr>
          <w:rFonts w:ascii="Arial" w:cs="Arial" w:eastAsia="Arial" w:hAnsi="Arial"/>
          <w:sz w:val="17"/>
          <w:szCs w:val="17"/>
          <w:color w:val="auto"/>
        </w:rPr>
      </w:pPr>
    </w:p>
    <w:p>
      <w:pPr>
        <w:ind w:left="580" w:hanging="268"/>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achieve the intended objectives, benefits or revenue-enhancing opportunities.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59" w:lineRule="auto"/>
        <w:rPr>
          <w:sz w:val="20"/>
          <w:szCs w:val="20"/>
          <w:color w:val="auto"/>
        </w:rPr>
      </w:pPr>
      <w:r>
        <w:rPr>
          <w:rFonts w:ascii="Arial" w:cs="Arial" w:eastAsia="Arial" w:hAnsi="Arial"/>
          <w:sz w:val="17"/>
          <w:szCs w:val="17"/>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7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color w:val="auto"/>
        </w:rPr>
        <w:t>Some of our players make sales and purchases of our game accounts and virtual items through third-party auction websites, which may have a negative effect on our net revenues.</w:t>
      </w:r>
    </w:p>
    <w:p>
      <w:pPr>
        <w:spacing w:after="0" w:line="158" w:lineRule="exact"/>
        <w:rPr>
          <w:sz w:val="20"/>
          <w:szCs w:val="20"/>
          <w:color w:val="auto"/>
        </w:rPr>
      </w:pPr>
    </w:p>
    <w:p>
      <w:pPr>
        <w:ind w:firstLine="617"/>
        <w:spacing w:after="0" w:line="301" w:lineRule="auto"/>
        <w:rPr>
          <w:sz w:val="20"/>
          <w:szCs w:val="20"/>
          <w:color w:val="auto"/>
        </w:rPr>
      </w:pPr>
      <w:r>
        <w:rPr>
          <w:rFonts w:ascii="Arial" w:cs="Arial" w:eastAsia="Arial" w:hAnsi="Arial"/>
          <w:sz w:val="15"/>
          <w:szCs w:val="15"/>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providers of bandwidth and server custody service fail to provide these services, our business could be materially curtailed.</w:t>
      </w:r>
    </w:p>
    <w:p>
      <w:pPr>
        <w:spacing w:after="0" w:line="222" w:lineRule="exact"/>
        <w:rPr>
          <w:sz w:val="20"/>
          <w:szCs w:val="20"/>
          <w:color w:val="auto"/>
        </w:rPr>
      </w:pPr>
    </w:p>
    <w:p>
      <w:pPr>
        <w:ind w:firstLine="617"/>
        <w:spacing w:after="0" w:line="317" w:lineRule="auto"/>
        <w:rPr>
          <w:sz w:val="20"/>
          <w:szCs w:val="20"/>
          <w:color w:val="auto"/>
        </w:rPr>
      </w:pPr>
      <w:r>
        <w:rPr>
          <w:rFonts w:ascii="Arial" w:cs="Arial" w:eastAsia="Arial" w:hAnsi="Arial"/>
          <w:sz w:val="15"/>
          <w:szCs w:val="15"/>
          <w:color w:val="auto"/>
        </w:rPr>
        <w:t>We rely on affiliates of China Unicom, China Telecom and CERNET to provide us with bandwidth and server custody service for Internet users to access the NetEase websites and online games. If China Unicom, China Telecom, CERNET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held liable for information displayed on, retrieved from or linked to the NetEase websites.</w:t>
      </w:r>
    </w:p>
    <w:p>
      <w:pPr>
        <w:spacing w:after="0" w:line="222" w:lineRule="exact"/>
        <w:rPr>
          <w:sz w:val="20"/>
          <w:szCs w:val="20"/>
          <w:color w:val="auto"/>
        </w:rPr>
      </w:pPr>
    </w:p>
    <w:p>
      <w:pPr>
        <w:ind w:right="20" w:firstLine="617"/>
        <w:spacing w:after="0" w:line="273"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content that is accessible on the NetEase websites such as content and materials posted by users on message boards, online communities, voting systems, e-mail or chat rooms that are offered on the NetEase websites. By providing technology for hypertext links to third-party websites,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75" w:lineRule="exact"/>
        <w:rPr>
          <w:sz w:val="20"/>
          <w:szCs w:val="20"/>
          <w:color w:val="auto"/>
        </w:rPr>
      </w:pPr>
    </w:p>
    <w:p>
      <w:pPr>
        <w:ind w:left="580" w:hanging="26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unsolicited e-mails;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lost or misplaced messages;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illegal or fraudulent use of e-mail; or</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interruptions or delays in e-mail service.</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may incur significant costs in investigating and defending these claims, even if they do not result in liability.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displayed on, retrieved from or linked to the NetEase websites may subject us to claims of violating Chinese laws.</w:t>
      </w:r>
    </w:p>
    <w:p>
      <w:pPr>
        <w:spacing w:after="0" w:line="222" w:lineRule="exact"/>
        <w:rPr>
          <w:sz w:val="20"/>
          <w:szCs w:val="20"/>
          <w:color w:val="auto"/>
        </w:rPr>
      </w:pPr>
    </w:p>
    <w:p>
      <w:pPr>
        <w:ind w:right="40" w:firstLine="617"/>
        <w:spacing w:after="0" w:line="275" w:lineRule="auto"/>
        <w:rPr>
          <w:sz w:val="20"/>
          <w:szCs w:val="20"/>
          <w:color w:val="auto"/>
        </w:rPr>
      </w:pPr>
      <w:r>
        <w:rPr>
          <w:rFonts w:ascii="Arial" w:cs="Arial" w:eastAsia="Arial" w:hAnsi="Arial"/>
          <w:sz w:val="16"/>
          <w:szCs w:val="16"/>
          <w:color w:val="auto"/>
        </w:rPr>
        <w:t>Violations or perceived violations of Chinese laws arising from information displayed on, retrieved from or linked to the NetEase websites could result in significant penalties, including a temporary or complete cessation of our business. China has enacted regulations governing Internet access and the distribution of news and other information. Furthermore, the Propaganda Department of the Chinese Communist Party has been given the responsibility to censor news published in China to ensure, supervise and control a particular political ideology. In addition, the PRC Ministry of Industries and Information Technology, or MII (prior to the PRC government restructuring in March 2008, its predecessor, the Ministry of Information Industry),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w:t>
      </w:r>
    </w:p>
    <w:p>
      <w:pPr>
        <w:spacing w:after="0" w:line="171" w:lineRule="exact"/>
        <w:rPr>
          <w:sz w:val="20"/>
          <w:szCs w:val="20"/>
          <w:color w:val="auto"/>
        </w:rPr>
      </w:pPr>
    </w:p>
    <w:p>
      <w:pPr>
        <w:ind w:right="20" w:firstLine="617"/>
        <w:spacing w:after="0" w:line="347" w:lineRule="auto"/>
        <w:rPr>
          <w:sz w:val="20"/>
          <w:szCs w:val="20"/>
          <w:color w:val="auto"/>
        </w:rPr>
      </w:pPr>
      <w:r>
        <w:rPr>
          <w:rFonts w:ascii="Arial" w:cs="Arial" w:eastAsia="Arial" w:hAnsi="Arial"/>
          <w:sz w:val="15"/>
          <w:szCs w:val="15"/>
          <w:color w:val="auto"/>
        </w:rPr>
        <w:t>In addition, the Ministry of Public Security has from time to time prohibited the distribution over the Internet of information which it believes to be socially destabilizing. The Ministry of Public Security also has the authority to require any local Internet service provider to block any website maintained outside China at its</w:t>
      </w:r>
    </w:p>
    <w:p>
      <w:pPr>
        <w:sectPr>
          <w:pgSz w:w="11900" w:h="16943" w:orient="portrait"/>
          <w:cols w:equalWidth="0" w:num="1">
            <w:col w:w="11400"/>
          </w:cols>
          <w:pgMar w:left="240" w:top="333" w:right="259" w:bottom="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sole discretion.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273" w:lineRule="auto"/>
        <w:rPr>
          <w:sz w:val="20"/>
          <w:szCs w:val="20"/>
          <w:color w:val="auto"/>
        </w:rPr>
      </w:pPr>
      <w:r>
        <w:rPr>
          <w:rFonts w:ascii="Arial" w:cs="Arial" w:eastAsia="Arial" w:hAnsi="Arial"/>
          <w:sz w:val="16"/>
          <w:szCs w:val="16"/>
          <w:color w:val="auto"/>
        </w:rPr>
        <w:t>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these pronouncements for content and materials posted or transmitted by users on message boards, virtual communities, chat rooms or e-mails. Furthermore, where the transmitted content clearly violates the laws of the PRC, we will be required to delete it. Moreover, if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pacing w:after="0" w:line="175" w:lineRule="exact"/>
        <w:rPr>
          <w:sz w:val="20"/>
          <w:szCs w:val="20"/>
          <w:color w:val="auto"/>
        </w:rPr>
      </w:pPr>
    </w:p>
    <w:p>
      <w:pPr>
        <w:ind w:right="380" w:firstLine="617"/>
        <w:spacing w:after="0" w:line="311" w:lineRule="auto"/>
        <w:rPr>
          <w:sz w:val="20"/>
          <w:szCs w:val="20"/>
          <w:color w:val="auto"/>
        </w:rPr>
      </w:pPr>
      <w:r>
        <w:rPr>
          <w:rFonts w:ascii="Arial" w:cs="Arial" w:eastAsia="Arial" w:hAnsi="Arial"/>
          <w:sz w:val="16"/>
          <w:szCs w:val="16"/>
          <w:color w:val="auto"/>
        </w:rPr>
        <w:t>If the Chinese government takes any action to limit or eliminate the distribution of information through the NetEase websites, or to limit or regulate any current or future community functions available to users or otherwise block the NetEase websites, our business would be significantly harmed.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adequately protect our intellectual property, and we may be exposed to infringement claims by third parties.</w:t>
      </w:r>
    </w:p>
    <w:p>
      <w:pPr>
        <w:spacing w:after="0" w:line="222"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Monitoring unauthorized use of our services is difficult and costly, and we cannot be certain that the steps we take will effectively prevent misappropriation of our technology.</w:t>
      </w:r>
    </w:p>
    <w:p>
      <w:pPr>
        <w:spacing w:after="0" w:line="179" w:lineRule="exact"/>
        <w:rPr>
          <w:sz w:val="20"/>
          <w:szCs w:val="20"/>
          <w:color w:val="auto"/>
        </w:rPr>
      </w:pPr>
    </w:p>
    <w:p>
      <w:pPr>
        <w:ind w:firstLine="617"/>
        <w:spacing w:after="0" w:line="279" w:lineRule="auto"/>
        <w:rPr>
          <w:sz w:val="20"/>
          <w:szCs w:val="20"/>
          <w:color w:val="auto"/>
        </w:rPr>
      </w:pPr>
      <w:r>
        <w:rPr>
          <w:rFonts w:ascii="Arial" w:cs="Arial" w:eastAsia="Arial" w:hAnsi="Arial"/>
          <w:sz w:val="16"/>
          <w:szCs w:val="16"/>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which could result in adverse U.S. federal income tax consequences to U.S. investors.</w:t>
      </w:r>
    </w:p>
    <w:p>
      <w:pPr>
        <w:spacing w:after="0" w:line="234" w:lineRule="exact"/>
        <w:rPr>
          <w:sz w:val="20"/>
          <w:szCs w:val="20"/>
          <w:color w:val="auto"/>
        </w:rPr>
      </w:pPr>
    </w:p>
    <w:p>
      <w:pPr>
        <w:ind w:right="80" w:firstLine="617"/>
        <w:spacing w:after="0" w:line="259" w:lineRule="auto"/>
        <w:rPr>
          <w:sz w:val="20"/>
          <w:szCs w:val="20"/>
          <w:color w:val="auto"/>
        </w:rPr>
      </w:pPr>
      <w:r>
        <w:rPr>
          <w:rFonts w:ascii="Arial" w:cs="Arial" w:eastAsia="Arial" w:hAnsi="Arial"/>
          <w:sz w:val="17"/>
          <w:szCs w:val="17"/>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80" w:lineRule="exact"/>
        <w:rPr>
          <w:sz w:val="20"/>
          <w:szCs w:val="20"/>
          <w:color w:val="auto"/>
        </w:rPr>
      </w:pPr>
    </w:p>
    <w:p>
      <w:pPr>
        <w:ind w:firstLine="617"/>
        <w:spacing w:after="0" w:line="301" w:lineRule="auto"/>
        <w:rPr>
          <w:sz w:val="20"/>
          <w:szCs w:val="20"/>
          <w:color w:val="auto"/>
        </w:rPr>
      </w:pPr>
      <w:r>
        <w:rPr>
          <w:rFonts w:ascii="Arial" w:cs="Arial" w:eastAsia="Arial" w:hAnsi="Arial"/>
          <w:sz w:val="15"/>
          <w:szCs w:val="15"/>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53" w:lineRule="exact"/>
        <w:rPr>
          <w:sz w:val="20"/>
          <w:szCs w:val="20"/>
          <w:color w:val="auto"/>
        </w:rPr>
      </w:pPr>
    </w:p>
    <w:p>
      <w:pPr>
        <w:ind w:right="120" w:firstLine="617"/>
        <w:spacing w:after="0" w:line="265" w:lineRule="auto"/>
        <w:rPr>
          <w:sz w:val="20"/>
          <w:szCs w:val="20"/>
          <w:color w:val="auto"/>
        </w:rPr>
      </w:pPr>
      <w:r>
        <w:rPr>
          <w:rFonts w:ascii="Arial" w:cs="Arial" w:eastAsia="Arial" w:hAnsi="Arial"/>
          <w:sz w:val="17"/>
          <w:szCs w:val="17"/>
          <w:color w:val="auto"/>
        </w:rPr>
        <w:t>We do not believe that we are currently a PFIC. However, because the PFIC determination is highly fact intensive and made at the end of each taxable year, there can be no assurance that we will not be a PFIC for the current or any future taxable year or that the U.S. Internal Revenue Service will not challenge our determination concerning our PFIC status.</w:t>
      </w:r>
    </w:p>
    <w:p>
      <w:pPr>
        <w:spacing w:after="0" w:line="176" w:lineRule="exact"/>
        <w:rPr>
          <w:sz w:val="20"/>
          <w:szCs w:val="20"/>
          <w:color w:val="auto"/>
        </w:rPr>
      </w:pPr>
    </w:p>
    <w:p>
      <w:pPr>
        <w:ind w:right="220" w:firstLine="617"/>
        <w:spacing w:after="0" w:line="261" w:lineRule="auto"/>
        <w:rPr>
          <w:sz w:val="20"/>
          <w:szCs w:val="20"/>
          <w:color w:val="auto"/>
        </w:rPr>
      </w:pPr>
      <w:r>
        <w:rPr>
          <w:rFonts w:ascii="Arial" w:cs="Arial" w:eastAsia="Arial" w:hAnsi="Arial"/>
          <w:sz w:val="17"/>
          <w:szCs w:val="17"/>
          <w:color w:val="auto"/>
        </w:rPr>
        <w:t>If we are a PFIC in any year with respect to a U.S. Holder (as defined below), the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 U.S. Holders should consult their tax advisors regarding the potential application of the PFIC regime and related reporting requirements.</w:t>
      </w:r>
    </w:p>
    <w:p>
      <w:pPr>
        <w:spacing w:after="0" w:line="179" w:lineRule="exact"/>
        <w:rPr>
          <w:sz w:val="20"/>
          <w:szCs w:val="20"/>
          <w:color w:val="auto"/>
        </w:rPr>
      </w:pPr>
    </w:p>
    <w:p>
      <w:pPr>
        <w:ind w:right="180" w:firstLine="617"/>
        <w:spacing w:after="0" w:line="278" w:lineRule="auto"/>
        <w:rPr>
          <w:sz w:val="20"/>
          <w:szCs w:val="20"/>
          <w:color w:val="auto"/>
        </w:rPr>
      </w:pPr>
      <w:r>
        <w:rPr>
          <w:rFonts w:ascii="Arial" w:cs="Arial" w:eastAsia="Arial" w:hAnsi="Arial"/>
          <w:sz w:val="17"/>
          <w:szCs w:val="17"/>
          <w:color w:val="auto"/>
        </w:rPr>
        <w:t>For further discussion of the adverse U.S. federal income tax consequences of our possible classification as a PFIC, see Item 10.E “Additional Information — Taxation — United States Federal Income Taxation.”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uncertain legal environment in China could limit the legal protections available to you.</w:t>
      </w:r>
    </w:p>
    <w:p>
      <w:pPr>
        <w:spacing w:after="0" w:line="222"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30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color w:val="auto"/>
        </w:rPr>
        <w:t>Substantial uncertainties exist with respect to the enactment timetable, interpretation and implementation of a draft PRC Foreign Investment Law and how it may impact the viability of our current corporate structure, corporate governance and business operations.</w:t>
      </w:r>
    </w:p>
    <w:p>
      <w:pPr>
        <w:spacing w:after="0" w:line="158" w:lineRule="exact"/>
        <w:rPr>
          <w:sz w:val="20"/>
          <w:szCs w:val="20"/>
          <w:color w:val="auto"/>
        </w:rPr>
      </w:pPr>
    </w:p>
    <w:p>
      <w:pPr>
        <w:ind w:right="100" w:firstLine="617"/>
        <w:spacing w:after="0" w:line="347" w:lineRule="auto"/>
        <w:rPr>
          <w:sz w:val="20"/>
          <w:szCs w:val="20"/>
          <w:color w:val="auto"/>
        </w:rPr>
      </w:pPr>
      <w:r>
        <w:rPr>
          <w:rFonts w:ascii="Arial" w:cs="Arial" w:eastAsia="Arial" w:hAnsi="Arial"/>
          <w:sz w:val="15"/>
          <w:szCs w:val="15"/>
          <w:color w:val="auto"/>
        </w:rPr>
        <w:t>The PRC Ministry of Commerce published a discussion draft of a proposed Foreign Investment Law in January 2015 aiming to, upon its enactment, replace the trio of existing laws regulating foreign investment in China, namely, the Sino-Foreign Equity Joint Venture Enterprise Law, the Sino-Foreign Cooperative Joint</w:t>
      </w:r>
    </w:p>
    <w:p>
      <w:pPr>
        <w:sectPr>
          <w:pgSz w:w="11900" w:h="16838" w:orient="portrait"/>
          <w:cols w:equalWidth="0" w:num="1">
            <w:col w:w="11420"/>
          </w:cols>
          <w:pgMar w:left="240" w:top="127" w:right="239" w:bottom="0" w:gutter="0" w:footer="0" w:header="0"/>
        </w:sectPr>
      </w:pPr>
    </w:p>
    <w:bookmarkStart w:id="16" w:name="page17"/>
    <w:bookmarkEnd w:id="16"/>
    <w:p>
      <w:pPr>
        <w:ind w:right="660"/>
        <w:spacing w:after="0" w:line="347" w:lineRule="auto"/>
        <w:rPr>
          <w:sz w:val="20"/>
          <w:szCs w:val="20"/>
          <w:color w:val="auto"/>
        </w:rPr>
      </w:pPr>
      <w:r>
        <w:rPr>
          <w:rFonts w:ascii="Arial" w:cs="Arial" w:eastAsia="Arial" w:hAnsi="Arial"/>
          <w:sz w:val="15"/>
          <w:szCs w:val="15"/>
          <w:color w:val="auto"/>
        </w:rPr>
        <w:t>Venture Enterprise Law and the Wholly Foreign-Owned Enterprise Law, together with their implementation rules and ancillary regulations. The Ministry of Commerce has solicited comments on this draft and substantial uncertainties exist with respect to its enactment timetable, interpretation and implementation.</w:t>
      </w:r>
    </w:p>
    <w:p>
      <w:pPr>
        <w:spacing w:after="0" w:line="119"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Among other things, the draft Foreign Investment Law proposes to expand the definition of foreign investment and to introduce the principle of “actual control” in determining whether a company is considered a foreign-invested enterprise. The draft Foreign Investment Law specifically proposes that entities established in China but “controlled” by foreign investors will be treated as foreign-invested enterprises, whereas an entity established in China by an investor from a foreign jurisdiction but “controlled” by PRC entities and/or citizens would be treated as a permitted PRC domestic investor in a restricted industry. In this connection, “control” is broadly defined in the draft law to cover the following summarized categories: (i) holding 50% or more of the shares, voting rights or other similar rights of the subject entity; (ii) holding less than 50% of the shares, voting rights or other similar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determined to be a foreign-invested enterprise, it will be subject to the foreign investment restrictions or prohibitions set forth in a “negative list,” to be separately issued by the State Council at a later date. If the underlying business of the foreign-invested enterprise falls within the negative list, market entry clearance by the Ministry of Commerce would be required for the establishment of such foreign-invested enterprise.</w:t>
      </w:r>
    </w:p>
    <w:p>
      <w:pPr>
        <w:spacing w:after="0" w:line="173" w:lineRule="exact"/>
        <w:rPr>
          <w:sz w:val="20"/>
          <w:szCs w:val="20"/>
          <w:color w:val="auto"/>
        </w:rPr>
      </w:pPr>
    </w:p>
    <w:p>
      <w:pPr>
        <w:ind w:right="60" w:firstLine="617"/>
        <w:spacing w:after="0" w:line="295" w:lineRule="auto"/>
        <w:rPr>
          <w:sz w:val="20"/>
          <w:szCs w:val="20"/>
          <w:color w:val="auto"/>
        </w:rPr>
      </w:pPr>
      <w:r>
        <w:rPr>
          <w:rFonts w:ascii="Arial" w:cs="Arial" w:eastAsia="Arial" w:hAnsi="Arial"/>
          <w:sz w:val="15"/>
          <w:szCs w:val="15"/>
          <w:color w:val="auto"/>
        </w:rPr>
        <w:t>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“Corporate History and Structure—Contractual Arrangements with Our Variable Interest Entities.” Under the draft Foreign Investment Law, variable interest entities that are controlled via contractual arrangements would also be deemed foreign-invested enterprises if they are ultimately “controlled” by foreign investors. Therefore, for any company with a VIE structure in a restricted industry category that is included on the “negative list”, the VIE structure may be permissible only if the ultimate controlling person(s) is/are of PRC nationality (either PRC companies or PRC citizens) or if such foreign investment has obtained market entry clearance from the Ministry of Commerce. Conversely, if the actual controlling person(s) is/are of foreign nationalities, then the variable interest entities will be treated as foreign-invested enterprises and any operations in a restricted industry category without prior market entry clearance may be considered illegal.</w:t>
      </w:r>
    </w:p>
    <w:p>
      <w:pPr>
        <w:spacing w:after="0" w:line="156" w:lineRule="exact"/>
        <w:rPr>
          <w:sz w:val="20"/>
          <w:szCs w:val="20"/>
          <w:color w:val="auto"/>
        </w:rPr>
      </w:pPr>
    </w:p>
    <w:p>
      <w:pPr>
        <w:ind w:right="20" w:firstLine="617"/>
        <w:spacing w:after="0" w:line="255" w:lineRule="auto"/>
        <w:rPr>
          <w:sz w:val="20"/>
          <w:szCs w:val="20"/>
          <w:color w:val="auto"/>
        </w:rPr>
      </w:pPr>
      <w:r>
        <w:rPr>
          <w:rFonts w:ascii="Arial" w:cs="Arial" w:eastAsia="Arial" w:hAnsi="Arial"/>
          <w:sz w:val="17"/>
          <w:szCs w:val="17"/>
          <w:color w:val="auto"/>
        </w:rPr>
        <w:t>It is uncertain whether we would be considered to be ultimately controlled by Chinese parties. Mr. William Lei Ding, our director and chief executive officer and a PRC citizen, was the largest shareholder of NetEase as of the close of the period covered by the annual report, but shares owned by him constituted less than 50% of NetEase’s then total outstanding ordinary shares. It is uncertain whether Mr. Ding would be deemed to have control over NetEase under the draft Foreign Investment Law. Moreover, the draft Foreign Investment Law has not taken a position on what actions would be taken with respect to the existing companies with a VIE structure, whether or not these companies are controlled by Chinese parties. In addition, it is uncertain whether the industries of online games, online advertising, e-commerce and other services in which our variable interest entities operate will be subject to the foreign investment restrictions or prohibitions set forth in the “negative list” that is to be issued by the State Council. If the enacted version of the Foreign Investment Law and the final “negative list” mandate further actions, such as market entry clearance or restructuring of corporate structure and operations, to be completed by companies with existing VIE structure like us, there may be substantial uncertainties as to whether we can complete these actions in a timely manner, or at all, and our business and financial condition may be materially and adversely affected.</w:t>
      </w:r>
    </w:p>
    <w:p>
      <w:pPr>
        <w:spacing w:after="0" w:line="187" w:lineRule="exact"/>
        <w:rPr>
          <w:sz w:val="20"/>
          <w:szCs w:val="20"/>
          <w:color w:val="auto"/>
        </w:rPr>
      </w:pPr>
    </w:p>
    <w:p>
      <w:pPr>
        <w:ind w:right="40" w:firstLine="617"/>
        <w:spacing w:after="0" w:line="275" w:lineRule="auto"/>
        <w:rPr>
          <w:sz w:val="20"/>
          <w:szCs w:val="20"/>
          <w:color w:val="auto"/>
        </w:rPr>
      </w:pPr>
      <w:r>
        <w:rPr>
          <w:rFonts w:ascii="Arial" w:cs="Arial" w:eastAsia="Arial" w:hAnsi="Arial"/>
          <w:sz w:val="16"/>
          <w:szCs w:val="16"/>
          <w:color w:val="auto"/>
        </w:rPr>
        <w:t>The draft Foreign Investment Law, if enacted as proposed, may also materially impact our corporate governance practice and increase our compliance costs. For instance, the draft Foreign Investment Law proposes to impose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foreign-invested enterprises meeting certain criteria are required to report on a quarterly basis. Also, the Ministry of Commerce may supervise and examine the foreign investors and the foreign-invested enterprises on a regular and irregular basis on their compliance with the Foreign Investment Law. Any company found to be non-compliant with these information reporting obligations may potentially be subject to fines and/or administrative or criminal liabilities, and the persons directly responsible may be subject to criminal liabilities.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drafting, interpretation and enforcement in China involve significant uncertainty.</w:t>
      </w:r>
    </w:p>
    <w:p>
      <w:pPr>
        <w:spacing w:after="0" w:line="222" w:lineRule="exact"/>
        <w:rPr>
          <w:sz w:val="20"/>
          <w:szCs w:val="20"/>
          <w:color w:val="auto"/>
        </w:rPr>
      </w:pPr>
    </w:p>
    <w:p>
      <w:pPr>
        <w:ind w:right="100" w:firstLine="617"/>
        <w:spacing w:after="0" w:line="277" w:lineRule="auto"/>
        <w:rPr>
          <w:sz w:val="20"/>
          <w:szCs w:val="20"/>
          <w:color w:val="auto"/>
        </w:rPr>
      </w:pPr>
      <w:r>
        <w:rPr>
          <w:rFonts w:ascii="Arial" w:cs="Arial" w:eastAsia="Arial" w:hAnsi="Arial"/>
          <w:sz w:val="16"/>
          <w:szCs w:val="16"/>
          <w:color w:val="auto"/>
        </w:rPr>
        <w:t>We have entered into numerous contracts governed by PRC law, many of which are material to our business. As compared with contracts in the United States, contracts governed by PRC law tend to contain less detail and are not as comprehensive in defining contracting parties’ rights and obligations. As a result, contracts in China are more vulnerable to disputes and legal challenges. In addition, contract interpretation and enforcement in China is not as developed as in the United States, and the result of any contract dispute is subject to significant uncertainties. Therefore, we cannot assure you that we will not be subject to disputes under our material contracts, and if such disputes arise, we cannot assure you that we will prevail. Any dispute involving material contracts, even without merit, may materially and adversely affect our reputation and our business operations, and may cause the price of our ADSs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China’s political and economic policies could harm our business.</w:t>
      </w:r>
    </w:p>
    <w:p>
      <w:pPr>
        <w:spacing w:after="0" w:line="222" w:lineRule="exact"/>
        <w:rPr>
          <w:sz w:val="20"/>
          <w:szCs w:val="20"/>
          <w:color w:val="auto"/>
        </w:rPr>
      </w:pPr>
    </w:p>
    <w:p>
      <w:pPr>
        <w:ind w:right="60" w:firstLine="617"/>
        <w:spacing w:after="0" w:line="279"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65" w:lineRule="exact"/>
        <w:rPr>
          <w:sz w:val="20"/>
          <w:szCs w:val="20"/>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economic structure;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of government involvement in the economy;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of development;</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of capital reinvestment;</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control of foreign exchange;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inflation rates;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methods of allocating resources; and</w:t>
      </w:r>
    </w:p>
    <w:p>
      <w:pPr>
        <w:sectPr>
          <w:pgSz w:w="11900" w:h="16838" w:orient="portrait"/>
          <w:cols w:equalWidth="0" w:num="1">
            <w:col w:w="11420"/>
          </w:cols>
          <w:pgMar w:left="240" w:top="127" w:right="239" w:bottom="0" w:gutter="0" w:footer="0" w:header="0"/>
        </w:sectPr>
      </w:pPr>
    </w:p>
    <w:bookmarkStart w:id="17" w:name="page18"/>
    <w:bookmarkEnd w:id="17"/>
    <w:p>
      <w:pPr>
        <w:ind w:left="580" w:hanging="268"/>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balance of payments position.</w:t>
      </w:r>
    </w:p>
    <w:p>
      <w:pPr>
        <w:spacing w:after="0" w:line="216" w:lineRule="exact"/>
        <w:rPr>
          <w:sz w:val="20"/>
          <w:szCs w:val="20"/>
          <w:color w:val="auto"/>
        </w:rPr>
      </w:pPr>
    </w:p>
    <w:p>
      <w:pPr>
        <w:ind w:right="60" w:firstLine="617"/>
        <w:spacing w:after="0" w:line="278" w:lineRule="auto"/>
        <w:rPr>
          <w:sz w:val="20"/>
          <w:szCs w:val="20"/>
          <w:color w:val="auto"/>
        </w:rPr>
      </w:pPr>
      <w:r>
        <w:rPr>
          <w:rFonts w:ascii="Arial" w:cs="Arial" w:eastAsia="Arial" w:hAnsi="Arial"/>
          <w:sz w:val="17"/>
          <w:szCs w:val="17"/>
          <w:color w:val="auto"/>
        </w:rPr>
        <w:t>As a result of these differences, our business may not develop in the same way or at the same rate as might be expected if the Chinese economy were similar to those of the OECD member countries.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 in Renminbi exchange rates could adversely affect the value of our ADSs and any cash dividend declared on them.</w:t>
      </w:r>
    </w:p>
    <w:p>
      <w:pPr>
        <w:spacing w:after="0" w:line="222" w:lineRule="exact"/>
        <w:rPr>
          <w:sz w:val="20"/>
          <w:szCs w:val="20"/>
          <w:color w:val="auto"/>
        </w:rPr>
      </w:pPr>
    </w:p>
    <w:p>
      <w:pPr>
        <w:ind w:right="60" w:firstLine="617"/>
        <w:spacing w:after="0" w:line="289" w:lineRule="auto"/>
        <w:rPr>
          <w:sz w:val="20"/>
          <w:szCs w:val="20"/>
          <w:color w:val="auto"/>
        </w:rPr>
      </w:pPr>
      <w:r>
        <w:rPr>
          <w:rFonts w:ascii="Arial" w:cs="Arial" w:eastAsia="Arial" w:hAnsi="Arial"/>
          <w:sz w:val="15"/>
          <w:szCs w:val="15"/>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Between January 2014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December 2016, the RMB depreciated against the U.S. dollar by approximately 15%.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 Our revenues are primarily denominated in Renminbi, and any significant depreciation of the RMB may affect the value of, and dividends (if any) payable on, our ADSs in U.S. dollar terms.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currency exchange may limit our ability to utilize our revenues effectively.</w:t>
      </w:r>
    </w:p>
    <w:p>
      <w:pPr>
        <w:spacing w:after="0" w:line="222" w:lineRule="exact"/>
        <w:rPr>
          <w:sz w:val="20"/>
          <w:szCs w:val="20"/>
          <w:color w:val="auto"/>
        </w:rPr>
      </w:pPr>
    </w:p>
    <w:p>
      <w:pPr>
        <w:ind w:right="60" w:firstLine="617"/>
        <w:spacing w:after="0" w:line="347" w:lineRule="auto"/>
        <w:rPr>
          <w:sz w:val="20"/>
          <w:szCs w:val="20"/>
          <w:color w:val="auto"/>
        </w:rPr>
      </w:pPr>
      <w:r>
        <w:rPr>
          <w:rFonts w:ascii="Arial" w:cs="Arial" w:eastAsia="Arial" w:hAnsi="Arial"/>
          <w:sz w:val="15"/>
          <w:szCs w:val="15"/>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19"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w:t>
      </w:r>
    </w:p>
    <w:p>
      <w:pPr>
        <w:spacing w:after="0" w:line="179" w:lineRule="exact"/>
        <w:rPr>
          <w:sz w:val="20"/>
          <w:szCs w:val="20"/>
          <w:color w:val="auto"/>
        </w:rPr>
      </w:pPr>
    </w:p>
    <w:p>
      <w:pPr>
        <w:ind w:right="100" w:firstLine="617"/>
        <w:spacing w:after="0" w:line="288" w:lineRule="auto"/>
        <w:rPr>
          <w:sz w:val="20"/>
          <w:szCs w:val="20"/>
          <w:color w:val="auto"/>
        </w:rPr>
      </w:pPr>
      <w:r>
        <w:rPr>
          <w:rFonts w:ascii="Arial" w:cs="Arial" w:eastAsia="Arial" w:hAnsi="Arial"/>
          <w:sz w:val="16"/>
          <w:szCs w:val="16"/>
          <w:color w:val="auto"/>
        </w:rPr>
        <w:t xml:space="preserve">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w:t>
      </w:r>
      <w:r>
        <w:rPr>
          <w:rFonts w:ascii="Arial" w:cs="Arial" w:eastAsia="Arial" w:hAnsi="Arial"/>
          <w:sz w:val="15"/>
          <w:szCs w:val="15"/>
          <w:color w:val="auto"/>
        </w:rPr>
        <w:t>In order</w:t>
      </w:r>
      <w:r>
        <w:rPr>
          <w:rFonts w:ascii="Arial" w:cs="Arial" w:eastAsia="Arial" w:hAnsi="Arial"/>
          <w:sz w:val="16"/>
          <w:szCs w:val="16"/>
          <w:color w:val="auto"/>
        </w:rPr>
        <w:t xml:space="preserve"> </w:t>
      </w:r>
      <w:r>
        <w:rPr>
          <w:rFonts w:ascii="Arial" w:cs="Arial" w:eastAsia="Arial" w:hAnsi="Arial"/>
          <w:sz w:val="15"/>
          <w:szCs w:val="15"/>
          <w:color w:val="auto"/>
        </w:rPr>
        <w:t>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160" w:lineRule="exact"/>
        <w:rPr>
          <w:sz w:val="20"/>
          <w:szCs w:val="20"/>
          <w:color w:val="auto"/>
        </w:rPr>
      </w:pPr>
    </w:p>
    <w:p>
      <w:pPr>
        <w:ind w:right="20" w:firstLine="617"/>
        <w:spacing w:after="0" w:line="294" w:lineRule="auto"/>
        <w:rPr>
          <w:sz w:val="20"/>
          <w:szCs w:val="20"/>
          <w:color w:val="auto"/>
        </w:rPr>
      </w:pPr>
      <w:r>
        <w:rPr>
          <w:rFonts w:ascii="Arial" w:cs="Arial" w:eastAsia="Arial" w:hAnsi="Arial"/>
          <w:sz w:val="15"/>
          <w:szCs w:val="15"/>
          <w:color w:val="auto"/>
        </w:rPr>
        <w:t xml:space="preserve">In addition, foreign exchange transactions under the capital account are subject to limitations and require registration with or approval by the relevant PRC governmental authorities. In particular,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variable interest entities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variable interest entities by loans or capital contributions. </w:t>
      </w:r>
      <w:r>
        <w:rPr>
          <w:rFonts w:ascii="Arial" w:cs="Arial" w:eastAsia="Arial" w:hAnsi="Arial"/>
          <w:sz w:val="14"/>
          <w:szCs w:val="14"/>
          <w:color w:val="auto"/>
        </w:rPr>
        <w:t>W</w:t>
      </w:r>
      <w:r>
        <w:rPr>
          <w:rFonts w:ascii="Arial" w:cs="Arial" w:eastAsia="Arial" w:hAnsi="Arial"/>
          <w:sz w:val="15"/>
          <w:szCs w:val="15"/>
          <w:color w:val="auto"/>
        </w:rPr>
        <w:t>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58" w:lineRule="exact"/>
        <w:rPr>
          <w:sz w:val="20"/>
          <w:szCs w:val="20"/>
          <w:color w:val="auto"/>
        </w:rPr>
      </w:pPr>
    </w:p>
    <w:p>
      <w:pPr>
        <w:ind w:right="40" w:firstLine="617"/>
        <w:spacing w:after="0" w:line="295" w:lineRule="auto"/>
        <w:rPr>
          <w:sz w:val="20"/>
          <w:szCs w:val="20"/>
          <w:color w:val="auto"/>
        </w:rPr>
      </w:pPr>
      <w:r>
        <w:rPr>
          <w:rFonts w:ascii="Arial" w:cs="Arial" w:eastAsia="Arial" w:hAnsi="Arial"/>
          <w:sz w:val="15"/>
          <w:szCs w:val="15"/>
          <w:color w:val="auto"/>
        </w:rPr>
        <w:t>On March 28, 2007, SAFE promulgated the Application Procedure of Foreign Exchange Administration for Domestic Individuals Participating in Employee Stock Holding Plan or Share Option Plan of Overseas-Listed Company, or the Share Option Rule. On February 15, 2012, SAFE issued the Notices on Issues Concerning the Foreign Exchange Administration for Domestic Individuals Participating in Stock Incentive Plan of Overseas-Listed Company, or the Stock Incentive Plan Rule, which replaced the Share Option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58" w:lineRule="exact"/>
        <w:rPr>
          <w:sz w:val="20"/>
          <w:szCs w:val="20"/>
          <w:color w:val="auto"/>
        </w:rPr>
      </w:pPr>
    </w:p>
    <w:p>
      <w:pPr>
        <w:ind w:firstLine="617"/>
        <w:spacing w:after="0" w:line="256" w:lineRule="auto"/>
        <w:rPr>
          <w:sz w:val="20"/>
          <w:szCs w:val="20"/>
          <w:color w:val="auto"/>
        </w:rPr>
      </w:pPr>
      <w:r>
        <w:rPr>
          <w:rFonts w:ascii="Arial" w:cs="Arial" w:eastAsia="Arial" w:hAnsi="Arial"/>
          <w:sz w:val="17"/>
          <w:szCs w:val="17"/>
          <w:color w:val="auto"/>
        </w:rPr>
        <w:t>The SAFE has adopted certain regulations that require registration with, and approval from, Chinese government authorities in connection with direct or indirect offshore investment activities by Chinese residents.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84" w:lineRule="exact"/>
        <w:rPr>
          <w:sz w:val="20"/>
          <w:szCs w:val="20"/>
          <w:color w:val="auto"/>
        </w:rPr>
      </w:pPr>
    </w:p>
    <w:p>
      <w:pPr>
        <w:ind w:right="260" w:firstLine="617"/>
        <w:spacing w:after="0" w:line="282"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required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ectPr>
          <w:pgSz w:w="11900" w:h="16838" w:orient="portrait"/>
          <w:cols w:equalWidth="0" w:num="1">
            <w:col w:w="11420"/>
          </w:cols>
          <w:pgMar w:left="240" w:top="127" w:right="239" w:bottom="51"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7392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7" w:right="239" w:bottom="51" w:gutter="0" w:footer="0" w:header="0"/>
          <w:type w:val="continuous"/>
        </w:sectPr>
      </w:pPr>
    </w:p>
    <w:bookmarkStart w:id="18" w:name="page19"/>
    <w:bookmarkEnd w:id="18"/>
    <w:p>
      <w:pPr>
        <w:spacing w:after="0" w:line="8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firstLine="617"/>
        <w:spacing w:after="0" w:line="293" w:lineRule="auto"/>
        <w:rPr>
          <w:sz w:val="20"/>
          <w:szCs w:val="20"/>
          <w:color w:val="auto"/>
        </w:rPr>
      </w:pPr>
      <w:r>
        <w:rPr>
          <w:rFonts w:ascii="Arial" w:cs="Arial" w:eastAsia="Arial" w:hAnsi="Arial"/>
          <w:sz w:val="15"/>
          <w:szCs w:val="15"/>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for ensuring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52"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58" w:lineRule="exact"/>
        <w:rPr>
          <w:sz w:val="20"/>
          <w:szCs w:val="20"/>
          <w:color w:val="auto"/>
        </w:rPr>
      </w:pPr>
    </w:p>
    <w:p>
      <w:pPr>
        <w:ind w:right="60" w:firstLine="617"/>
        <w:spacing w:after="0" w:line="273" w:lineRule="auto"/>
        <w:rPr>
          <w:sz w:val="20"/>
          <w:szCs w:val="20"/>
          <w:color w:val="auto"/>
        </w:rPr>
      </w:pPr>
      <w:r>
        <w:rPr>
          <w:rFonts w:ascii="Arial" w:cs="Arial" w:eastAsia="Arial" w:hAnsi="Arial"/>
          <w:sz w:val="16"/>
          <w:szCs w:val="16"/>
          <w:color w:val="auto"/>
        </w:rPr>
        <w:t>Our auditor, the independent registered public accounting firm that issued the audit report included elsewhere in this prospectus, as an auditor of companies that are registered with the SEC and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Our auditor is located in China and the PCAOB is currently unable to conduct inspections on auditors in China without the approval of the PRC authorities. The PCAOB announced on May 24, 2013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 As a result, our auditor, like other independent registered public accounting firms operating in China, is currently not inspected by the PCAOB.</w:t>
      </w:r>
    </w:p>
    <w:p>
      <w:pPr>
        <w:spacing w:after="0" w:line="171"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Inspections of other firms that the PCAOB has conducted outside of China have identified deficiencies in those firms’ audit procedures and quality control procedures, and such deficiencies may be addressed as part of the inspection process to improve future audit quality. The inability of the PCAOB to conduct inspections of independent registered public accounting firms operating in China makes it more difficult to evaluate the effectiveness of our auditor’s audit procedures or quality control procedures and, to the extent that such inspections might have facilitated improvements in our auditor’s audit procedures and quality control procedures, investors may be deprived of such benefits.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adversely affected by the outcome of the administrative proceedings brought by the SEC against the Big Four PRC-based accounting firms.</w:t>
      </w:r>
    </w:p>
    <w:p>
      <w:pPr>
        <w:spacing w:after="0" w:line="245" w:lineRule="exact"/>
        <w:rPr>
          <w:sz w:val="20"/>
          <w:szCs w:val="20"/>
          <w:color w:val="auto"/>
        </w:rPr>
      </w:pPr>
    </w:p>
    <w:p>
      <w:pPr>
        <w:jc w:val="both"/>
        <w:ind w:right="20" w:firstLine="617"/>
        <w:spacing w:after="0" w:line="289" w:lineRule="auto"/>
        <w:rPr>
          <w:sz w:val="20"/>
          <w:szCs w:val="20"/>
          <w:color w:val="auto"/>
        </w:rPr>
      </w:pPr>
      <w:r>
        <w:rPr>
          <w:rFonts w:ascii="Arial" w:cs="Arial" w:eastAsia="Arial" w:hAnsi="Arial"/>
          <w:sz w:val="16"/>
          <w:szCs w:val="16"/>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59"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On January 22, 2014, the administrative law judge presiding over the matter reached an initial decision that the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176" w:lineRule="exact"/>
        <w:rPr>
          <w:sz w:val="20"/>
          <w:szCs w:val="20"/>
          <w:color w:val="auto"/>
        </w:rPr>
      </w:pPr>
    </w:p>
    <w:p>
      <w:pPr>
        <w:ind w:right="80" w:firstLine="617"/>
        <w:spacing w:after="0" w:line="274" w:lineRule="auto"/>
        <w:rPr>
          <w:sz w:val="20"/>
          <w:szCs w:val="20"/>
          <w:color w:val="auto"/>
        </w:rPr>
      </w:pPr>
      <w:r>
        <w:rPr>
          <w:rFonts w:ascii="Arial" w:cs="Arial" w:eastAsia="Arial" w:hAnsi="Arial"/>
          <w:sz w:val="16"/>
          <w:szCs w:val="16"/>
          <w:color w:val="auto"/>
        </w:rPr>
        <w:t>On February 6, 2015, the four China-based accounting firms each agreed to a censure and to pay a fine to the SEC to settle the dispute and avoid suspension of their ability to practice before the SEC and to audit U.S.-listed companies. The settlement required the firms to follow detailed procedures and to seek to provide the SEC with access to Chinese firms’ audit documents via the CSRC. If future document productions fail to meet specified criteria, the SEC retains the authority to impose a variety of additional remedial measures on the firms depending on the nature of the failure. While we cannot predict if the SEC will further review the Big Four PRC-based accounting firms’ compliance with specified criteria or if the results of such a review would result in the SEC imposing penalties such as suspensions or restarting the administrative proceedings, if the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TELECOMMUNICATIONS AND INTERNET INDUSTRIES IN CHINA</w:t>
      </w:r>
    </w:p>
    <w:p>
      <w:pPr>
        <w:spacing w:after="0" w:line="216"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b w:val="1"/>
          <w:bCs w:val="1"/>
          <w:color w:val="auto"/>
        </w:rPr>
        <w:t>Increased government regulation of the telecommunications and Internet industries in China may result in the Chinese government requiring us to obtain additional licenses or other governmental approvals to conduct our business which, if unattainable, may restrict our operations.</w:t>
      </w:r>
    </w:p>
    <w:p>
      <w:pPr>
        <w:spacing w:after="0" w:line="134" w:lineRule="exact"/>
        <w:rPr>
          <w:sz w:val="20"/>
          <w:szCs w:val="20"/>
          <w:color w:val="auto"/>
        </w:rPr>
      </w:pPr>
    </w:p>
    <w:p>
      <w:pPr>
        <w:ind w:right="180" w:firstLine="617"/>
        <w:spacing w:after="0" w:line="259" w:lineRule="auto"/>
        <w:rPr>
          <w:sz w:val="20"/>
          <w:szCs w:val="20"/>
          <w:color w:val="auto"/>
        </w:rPr>
      </w:pPr>
      <w:r>
        <w:rPr>
          <w:rFonts w:ascii="Arial" w:cs="Arial" w:eastAsia="Arial" w:hAnsi="Arial"/>
          <w:sz w:val="17"/>
          <w:szCs w:val="17"/>
          <w:color w:val="auto"/>
        </w:rPr>
        <w:t>The telecommunications industry, including Internet content provider, or ICP, services and online games, is highly regulated by the Chinese government, with the main relevant government authority being the MII. Pursuant to the Administrative Rules for Foreign Investments in Telecommunications Enterprises promulgated by the State Council dated December 5, 2001, foreign investors are allowed to hold in the aggregate up to 50.0% of the total equity in any value-added telecommunications business in China. In addition, foreign investors and foreign invested enterprises are currently not able to apply for the required licenses for operating online games in China.</w:t>
      </w:r>
    </w:p>
    <w:p>
      <w:pPr>
        <w:spacing w:after="0" w:line="180" w:lineRule="exact"/>
        <w:rPr>
          <w:sz w:val="20"/>
          <w:szCs w:val="20"/>
          <w:color w:val="auto"/>
        </w:rPr>
      </w:pPr>
    </w:p>
    <w:p>
      <w:pPr>
        <w:ind w:right="20" w:firstLine="617"/>
        <w:spacing w:after="0" w:line="292" w:lineRule="auto"/>
        <w:rPr>
          <w:sz w:val="20"/>
          <w:szCs w:val="20"/>
          <w:color w:val="auto"/>
        </w:rPr>
      </w:pPr>
      <w:r>
        <w:rPr>
          <w:rFonts w:ascii="Arial" w:cs="Arial" w:eastAsia="Arial" w:hAnsi="Arial"/>
          <w:sz w:val="15"/>
          <w:szCs w:val="15"/>
          <w:color w:val="auto"/>
        </w:rPr>
        <w:t>To operate the NetEase websites in compliance with all the relevant ICP-related Chinese regulations, Guangzhou NetEase successfully obtained ICP licenses issued by the Guangdong Provincial Telecommunications Bureau in 2000. The ICP license of Guangzhou NetEase issued by the Guangdong Provincial Telecommunications Bureau was replaced by the Value-Added Telecommunication Operating License issued by the MII in 2004, which was further replaced by the Value-Added Telecommunication Operating License issued by the Guangdong Provincial Telecommunications Bureau in 2009 and 2014, respectively. Guangzhou NetEase has also obtained the following licenses and registrations: a website registration with the Beijing Municipal Administrative Bureau of Industry and Commerce, an audio-visual product operating license issued by Guangdong Culture Department to sell audio-visual products on the Internet, which was replaced by a publication operating license issued by the Administration of Culture, Radio, Film and Television, Press and Publication of Guangzhou, an Internet publishing license issued by the State Administration of Press, Publication, Radio, Film and Television, or SAPPRFT (which was formed from the merger of the former General Administration of Press and Publication, or GAPP, with the former State Administration of Radio, Film and Television, or SARFT), an Internet Culture Operating License issued by Guangdong Culture Department, a license for online dissemination of drug-related information issued by Guangdong Food and Drug Administration, an Internet news information service license issued by the State Council Information Office, a permit for the Network Transmission of Audiovisual</w:t>
      </w:r>
    </w:p>
    <w:p>
      <w:pPr>
        <w:sectPr>
          <w:pgSz w:w="11900" w:h="16927" w:orient="portrait"/>
          <w:cols w:equalWidth="0" w:num="1">
            <w:col w:w="11420"/>
          </w:cols>
          <w:pgMar w:left="240" w:top="359" w:right="239" w:bottom="0" w:gutter="0" w:footer="0" w:header="0"/>
        </w:sectPr>
      </w:pPr>
    </w:p>
    <w:bookmarkStart w:id="19" w:name="page20"/>
    <w:bookmarkEnd w:id="19"/>
    <w:p>
      <w:pPr>
        <w:spacing w:after="0" w:line="6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Programs issued by SAPPRFT, a permit for the production of audiovisual programs issued by the Press, Publication, Radio, Film and Television Administration of Guangdong. NetEase, Inc. relies exclusively on contractual arrangements with Guangzhou NetEase and its approvals to operate as an ICP. In addition, to operate the online games licensed from Blizzard in compliance with all the relevant ICP-related Chinese regulations, Shanghai EaseNet obtained a Value-Added Telecommunications Business Operating License issued by the Shanghai Provincial Telecommunications Bureau in October 2008 and an Internet Culture Operating License from MOC in October 2008.</w:t>
      </w:r>
    </w:p>
    <w:p>
      <w:pPr>
        <w:spacing w:after="0" w:line="180" w:lineRule="exact"/>
        <w:rPr>
          <w:sz w:val="20"/>
          <w:szCs w:val="20"/>
          <w:color w:val="auto"/>
        </w:rPr>
      </w:pPr>
    </w:p>
    <w:p>
      <w:pPr>
        <w:ind w:right="160" w:firstLine="617"/>
        <w:spacing w:after="0" w:line="277" w:lineRule="auto"/>
        <w:rPr>
          <w:sz w:val="20"/>
          <w:szCs w:val="20"/>
          <w:color w:val="auto"/>
        </w:rPr>
      </w:pPr>
      <w:r>
        <w:rPr>
          <w:rFonts w:ascii="Arial" w:cs="Arial" w:eastAsia="Arial" w:hAnsi="Arial"/>
          <w:sz w:val="16"/>
          <w:szCs w:val="16"/>
          <w:color w:val="auto"/>
        </w:rPr>
        <w:t>We cannot be certain, however, that we or our affiliates will be granted renewals of existing licenses or any other additional license, permit or clearance we may need now or in the future. Moreover, we cannot be certain that any local or national ICP or telecommunications license requirements will not conflict with one another or that any given license will be deemed sufficient by the relevant governmental authorities for the provision of our services. There are substantial uncertainties regarding the interpretation of current PRC Internet laws and regulations. The PRC government may issue new interpretations of the regulations regarding supervision of the information industry from time to time. Any failure to obtain or maintain the licenses required to operate our businesses could have a material adverse effect on our business, results of operations and financial condition.</w:t>
      </w:r>
    </w:p>
    <w:p>
      <w:pPr>
        <w:spacing w:after="0" w:line="167" w:lineRule="exact"/>
        <w:rPr>
          <w:sz w:val="20"/>
          <w:szCs w:val="20"/>
          <w:color w:val="auto"/>
        </w:rPr>
      </w:pPr>
    </w:p>
    <w:p>
      <w:pPr>
        <w:ind w:right="80" w:firstLine="617"/>
        <w:spacing w:after="0" w:line="274" w:lineRule="auto"/>
        <w:rPr>
          <w:sz w:val="20"/>
          <w:szCs w:val="20"/>
          <w:color w:val="auto"/>
        </w:rPr>
      </w:pPr>
      <w:r>
        <w:rPr>
          <w:rFonts w:ascii="Arial" w:cs="Arial" w:eastAsia="Arial" w:hAnsi="Arial"/>
          <w:sz w:val="16"/>
          <w:szCs w:val="16"/>
          <w:color w:val="auto"/>
        </w:rPr>
        <w:t>In addition, we are uncertain as to whether the Chinese government will reclassify our business as a media or retail company, due to our acceptance of fees for Internet advertising, online games and e-mail, e-commerce and other services as sources of revenues, or as a result of our current corporate structure. Such reclassification could subject us to penalties or fines or significant restrictions on our business. Moreover, NetEase, Inc. may have difficulties enforcing its rights under the agreements with Guangzhou NetEase, NetEase Advertising, Hangzhou Leihuo, Youdao Computer and Shanghai EaseNet if any of these parties breaches any of the agreements with them because NetEase, Inc. does not have approval from appropriate Chinese authorities to provide Internet content services, Internet advertising services or e-mail and e-commerce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the telecommunications and online gaming businesses.</w:t>
      </w:r>
    </w:p>
    <w:p>
      <w:pPr>
        <w:spacing w:after="0" w:line="234" w:lineRule="exact"/>
        <w:rPr>
          <w:sz w:val="20"/>
          <w:szCs w:val="20"/>
          <w:color w:val="auto"/>
        </w:rPr>
      </w:pPr>
    </w:p>
    <w:p>
      <w:pPr>
        <w:ind w:right="60" w:firstLine="617"/>
        <w:spacing w:after="0" w:line="273" w:lineRule="auto"/>
        <w:rPr>
          <w:sz w:val="20"/>
          <w:szCs w:val="20"/>
          <w:color w:val="auto"/>
        </w:rPr>
      </w:pPr>
      <w:r>
        <w:rPr>
          <w:rFonts w:ascii="Arial" w:cs="Arial" w:eastAsia="Arial" w:hAnsi="Arial"/>
          <w:sz w:val="16"/>
          <w:szCs w:val="16"/>
          <w:color w:val="auto"/>
        </w:rPr>
        <w:t>In July 2006, the MII issued a notice to strengthen management of foreign investment in and operation of value-added telecommunication services. The notice emphasizes that foreign investors who wish to engage in value-added telecommunication services must strictly follow the relevant rules and regulations on foreign investment in telecommunication sectors. The notice also prohibits domestic telecommunication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 xml:space="preserve">In September 2009, GAPP (later superseded by SAPPRFT), together with the National Copyright Administration, and National Office of Combating Pornography and Illegal Publications jointly issued a </w:t>
      </w:r>
      <w:r>
        <w:rPr>
          <w:rFonts w:ascii="Arial" w:cs="Arial" w:eastAsia="Arial" w:hAnsi="Arial"/>
          <w:sz w:val="16"/>
          <w:szCs w:val="16"/>
          <w:i w:val="1"/>
          <w:iCs w:val="1"/>
          <w:color w:val="auto"/>
        </w:rPr>
        <w:t>Notice on Further Strengthening on the Administration of Pre-examination and Approval of Online Games and</w:t>
      </w:r>
      <w:r>
        <w:rPr>
          <w:rFonts w:ascii="Arial" w:cs="Arial" w:eastAsia="Arial" w:hAnsi="Arial"/>
          <w:sz w:val="16"/>
          <w:szCs w:val="16"/>
          <w:color w:val="auto"/>
        </w:rPr>
        <w:t xml:space="preserve"> </w:t>
      </w:r>
      <w:r>
        <w:rPr>
          <w:rFonts w:ascii="Arial" w:cs="Arial" w:eastAsia="Arial" w:hAnsi="Arial"/>
          <w:sz w:val="16"/>
          <w:szCs w:val="16"/>
          <w:i w:val="1"/>
          <w:iCs w:val="1"/>
          <w:color w:val="auto"/>
        </w:rPr>
        <w:t>the Examination and Approval of Imported Online Games</w:t>
      </w:r>
      <w:r>
        <w:rPr>
          <w:rFonts w:ascii="Arial" w:cs="Arial" w:eastAsia="Arial" w:hAnsi="Arial"/>
          <w:sz w:val="16"/>
          <w:szCs w:val="16"/>
          <w:color w:val="auto"/>
        </w:rPr>
        <w:t>, or the SAPPRFT Notice. The SAPPRFT Notice restates that foreign investors are not permitted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SAPPRFT and MII, effective on March 10, 2016, also forbids foreign investments in the online publishing sector. It is unclear whether the authorities will deem our VIE structure as a kind of such “indirect ways” by foreign investors to gain control over or participate in domestic online game operators. If our VIE structure is deemed as one such “indirect way” under the SAPPRFT Notice,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In addition, the authorities would have broad discretion in dealing with such determination which may adversely impact our financial statements, operations and cash flows.</w:t>
      </w:r>
    </w:p>
    <w:p>
      <w:pPr>
        <w:spacing w:after="0" w:line="167" w:lineRule="exact"/>
        <w:rPr>
          <w:sz w:val="20"/>
          <w:szCs w:val="20"/>
          <w:color w:val="auto"/>
        </w:rPr>
      </w:pPr>
    </w:p>
    <w:p>
      <w:pPr>
        <w:spacing w:after="0" w:line="356" w:lineRule="auto"/>
        <w:rPr>
          <w:sz w:val="20"/>
          <w:szCs w:val="20"/>
          <w:color w:val="auto"/>
        </w:rPr>
      </w:pPr>
      <w:r>
        <w:rPr>
          <w:rFonts w:ascii="Arial" w:cs="Arial" w:eastAsia="Arial" w:hAnsi="Arial"/>
          <w:sz w:val="15"/>
          <w:szCs w:val="15"/>
          <w:b w:val="1"/>
          <w:bCs w:val="1"/>
          <w:color w:val="auto"/>
        </w:rPr>
        <w:t>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12" w:lineRule="exact"/>
        <w:rPr>
          <w:sz w:val="20"/>
          <w:szCs w:val="20"/>
          <w:color w:val="auto"/>
        </w:rPr>
      </w:pPr>
    </w:p>
    <w:p>
      <w:pPr>
        <w:ind w:right="40" w:firstLine="617"/>
        <w:spacing w:after="0" w:line="255" w:lineRule="auto"/>
        <w:rPr>
          <w:sz w:val="20"/>
          <w:szCs w:val="20"/>
          <w:color w:val="auto"/>
        </w:rPr>
      </w:pPr>
      <w:r>
        <w:rPr>
          <w:rFonts w:ascii="Arial" w:cs="Arial" w:eastAsia="Arial" w:hAnsi="Arial"/>
          <w:sz w:val="17"/>
          <w:szCs w:val="17"/>
          <w:color w:val="auto"/>
        </w:rPr>
        <w:t>We have provided certain e-commerce services related to third-party lottery products. Under the Tentative Administrative Measures on Internet Lottery Sale promulgated by the PRC Ministry of Finance, or MOF, on September 26, 2010, an approval from the MOF is required for conducting an online lottery sales business. On January 18, 2012, the Implementation Rules of the Lottery Administration Regulations, or the Lottery Implementation Rules, were jointly issued by the MOF, the PRC Ministry of Civil Affairs and the State General Administration of Sport. The Lottery Implementation Rules became effective as of March 1, 2012 and explicitly stipulate that the welfare lotteries and sports lotteries sold without the approval of the MOF and the Lottery Issuing Authority’s and Lottery Sales Office’s commission may be categorized as illegal lotteries. In December 2012, the MOF issued the Lottery Distribution and Sale Administration Measures, which became effective on January 1, 2013, and the Tentative Administrative Measures on Telephone Lottery Sale, which became effective on April 1, 2014. Such measures expressly allow lottery sales online or via telephone after obtaining an approval from the MOF. However, there are no associated implementation rules. Under these issued rules or regulations, it is currently unclear if we need to obtain approval from the MOF with respect to our provision of e-commerce services related to third-party lottery products.</w:t>
      </w:r>
    </w:p>
    <w:p>
      <w:pPr>
        <w:spacing w:after="0" w:line="187" w:lineRule="exact"/>
        <w:rPr>
          <w:sz w:val="20"/>
          <w:szCs w:val="20"/>
          <w:color w:val="auto"/>
        </w:rPr>
      </w:pPr>
    </w:p>
    <w:p>
      <w:pPr>
        <w:ind w:right="20" w:firstLine="617"/>
        <w:spacing w:after="0" w:line="291" w:lineRule="auto"/>
        <w:rPr>
          <w:sz w:val="20"/>
          <w:szCs w:val="20"/>
          <w:color w:val="auto"/>
        </w:rPr>
      </w:pPr>
      <w:r>
        <w:rPr>
          <w:rFonts w:ascii="Arial" w:cs="Arial" w:eastAsia="Arial" w:hAnsi="Arial"/>
          <w:sz w:val="15"/>
          <w:szCs w:val="15"/>
          <w:color w:val="auto"/>
        </w:rPr>
        <w:t>On January 15, 2015, the Notice on Issues Related to Self-Inspection and Self-Remedy of Unauthorized Online Lottery Sales, or the Lottery Self-Inspection Notice, was jointly issued by the MOF, the PRC Ministry of Civil Affairs and the State General Administration of Sport. In addition, on April 3, 2015, the MOF, the PRC Ministry of Public Security, the State Administration of Industry and Commerce, or SAIC, the MII, the PRC Ministry of Civil Affairs, the People’s Bank of China, the State General Administration of Sport and the China Banking Regulatory Commission jointly issued a public announcement (Announcement No. 18 of 2015) with regard to online lottery sales in China, or Announcement No. 18, which reaffirmed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After the issuance of the Lottery Self-Inspection Notice, we were informed by provincial sports lottery administration centers that, as part of their self-inspection process, they would temporarily suspend accepting online purchase orders for lottery products. The suspension began in late February 2015 and remained in effect after Announcement No. 18 and as of the date of this annual report. As a result, our e-commerce services related to third-party lottery products were affected, and we have not been able to process online purchase orders for the suspended lottery products. On April 28, 2016, the MOF, the Ministry of Public Security, the SAIC, the Ministry of Civil Affairs and the State General Administration of Sport jointly promulgated the Notice on Seriously Investigating and Severely Sanctioning the Unauthorized Online Lottery Sale (Cai Zong [2016] No.22), or Notice No. 22. In addition to reaffirming that using the Internet to sell lottery products requires government authorization, Notice No. 22 announces the government’s plan to set up the procedures and application process for such authorization. We intend to submit an application to the relevant government agency for such authorization to provide online lottery</w:t>
      </w:r>
    </w:p>
    <w:p>
      <w:pPr>
        <w:sectPr>
          <w:pgSz w:w="11900" w:h="16903" w:orient="portrait"/>
          <w:cols w:equalWidth="0" w:num="1">
            <w:col w:w="11420"/>
          </w:cols>
          <w:pgMar w:left="240" w:top="127" w:right="239" w:bottom="0" w:gutter="0" w:footer="0" w:header="0"/>
        </w:sectPr>
      </w:pPr>
    </w:p>
    <w:bookmarkStart w:id="20" w:name="page21"/>
    <w:bookmarkEnd w:id="20"/>
    <w:p>
      <w:pPr>
        <w:spacing w:after="0" w:line="265" w:lineRule="auto"/>
        <w:rPr>
          <w:sz w:val="20"/>
          <w:szCs w:val="20"/>
          <w:color w:val="auto"/>
        </w:rPr>
      </w:pPr>
      <w:r>
        <w:rPr>
          <w:rFonts w:ascii="Arial" w:cs="Arial" w:eastAsia="Arial" w:hAnsi="Arial"/>
          <w:sz w:val="17"/>
          <w:szCs w:val="17"/>
          <w:color w:val="auto"/>
        </w:rPr>
        <w:t>services. However, we do not know when, or if at all, such application procedure will be in place. We also cannot guarantee you if our application will be approved. A prolonged or permanent suspension has had and will continue to have a material adverse impact on our e-commerce related revenues, and our results of operations and prospects may be adversely affected.</w:t>
      </w:r>
    </w:p>
    <w:p>
      <w:pPr>
        <w:spacing w:after="0" w:line="170" w:lineRule="exact"/>
        <w:rPr>
          <w:sz w:val="20"/>
          <w:szCs w:val="20"/>
          <w:color w:val="auto"/>
        </w:rPr>
      </w:pPr>
    </w:p>
    <w:p>
      <w:pPr>
        <w:ind w:right="540"/>
        <w:spacing w:after="0" w:line="356" w:lineRule="auto"/>
        <w:rPr>
          <w:sz w:val="20"/>
          <w:szCs w:val="20"/>
          <w:color w:val="auto"/>
        </w:rPr>
      </w:pPr>
      <w:r>
        <w:rPr>
          <w:rFonts w:ascii="Arial" w:cs="Arial" w:eastAsia="Arial" w:hAnsi="Arial"/>
          <w:sz w:val="15"/>
          <w:szCs w:val="15"/>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12"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 xml:space="preserve">As part of its anti-addiction online game policy, the Chinese government has taken several steps to discourage minors under the age of 18 from continuously playing online games once they exceed a set number of hours of continuous play. For example, in July 2005, the MOC and the MII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(later superseded by SAPPRFT) proposed an online game anti-addiction system that would have reduced and eliminated experience points that a user can accumulate after three and five hours of consecutive playing, respectively. In March 2006, GAPP (later superseded by SAPPRFT) amended its proposal to require players to register with their real names and identity card numbers and to apply the anti-addiction system only to players under 18 years of age. In April 2007, GAPP (later superseded by SAPPRFT) and several other government authorities jointly promulgated the </w:t>
      </w:r>
      <w:r>
        <w:rPr>
          <w:rFonts w:ascii="Arial" w:cs="Arial" w:eastAsia="Arial" w:hAnsi="Arial"/>
          <w:sz w:val="16"/>
          <w:szCs w:val="16"/>
          <w:i w:val="1"/>
          <w:iCs w:val="1"/>
          <w:color w:val="auto"/>
        </w:rPr>
        <w:t>Notice Concerning the Protection of Minors’ Physical and Mental Well-being and Implementation of Anti-addiction System on Online Games,</w:t>
      </w:r>
      <w:r>
        <w:rPr>
          <w:rFonts w:ascii="Arial" w:cs="Arial" w:eastAsia="Arial" w:hAnsi="Arial"/>
          <w:sz w:val="16"/>
          <w:szCs w:val="16"/>
          <w:color w:val="auto"/>
        </w:rPr>
        <w:t xml:space="preserve">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40" w:firstLine="617"/>
        <w:spacing w:after="0" w:line="292" w:lineRule="auto"/>
        <w:rPr>
          <w:sz w:val="20"/>
          <w:szCs w:val="20"/>
          <w:color w:val="auto"/>
        </w:rPr>
      </w:pPr>
      <w:r>
        <w:rPr>
          <w:rFonts w:ascii="Arial" w:cs="Arial" w:eastAsia="Arial" w:hAnsi="Arial"/>
          <w:sz w:val="15"/>
          <w:szCs w:val="15"/>
          <w:color w:val="auto"/>
        </w:rPr>
        <w:t>In addition, on June 3, 2010, the MOC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Furthermore, in July 2010 the MOC enacted the Notice on Implementing Interim Measures for the Administration of Online Games, or the Online Games Notice, in which several provisions of the Online Games Measures are supplemented, including the required standard clauses for online games service contracts between game operators and users and the timing for the implementation of a real identity registration system. The Online Games Notice also adopts several new measures, including requirements for the domestic online games joint operation by game developers and operators. Although many of these requirements reflect previously issued government regulations with which we already comply, certain new requirements may cause us to change the way we launch and operate our online games. Because the Online Games Measures and Online Games Notice are relatively new and it is unclear how the MOC will interpret and enforce them, we are unable to fully assess what impact, if any, these new requirements may have on our business.</w:t>
      </w:r>
    </w:p>
    <w:p>
      <w:pPr>
        <w:spacing w:after="0" w:line="161" w:lineRule="exact"/>
        <w:rPr>
          <w:sz w:val="20"/>
          <w:szCs w:val="20"/>
          <w:color w:val="auto"/>
        </w:rPr>
      </w:pPr>
    </w:p>
    <w:p>
      <w:pPr>
        <w:ind w:right="100" w:firstLine="617"/>
        <w:spacing w:after="0" w:line="278" w:lineRule="auto"/>
        <w:rPr>
          <w:sz w:val="20"/>
          <w:szCs w:val="20"/>
          <w:color w:val="auto"/>
        </w:rPr>
      </w:pPr>
      <w:r>
        <w:rPr>
          <w:rFonts w:ascii="Arial" w:cs="Arial" w:eastAsia="Arial" w:hAnsi="Arial"/>
          <w:sz w:val="17"/>
          <w:szCs w:val="17"/>
          <w:color w:val="auto"/>
        </w:rPr>
        <w:t>It has been reported in the Chinese media that the Chinese government has concerns about the social impact of online games, and it may continue to impose additional regulatory restrictions on us or our customers or otherwise take actions that harm our business.</w:t>
      </w:r>
    </w:p>
    <w:p>
      <w:pPr>
        <w:spacing w:after="0" w:line="15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The Chinese government has not enacted any laws regarding virtual asset property rights and, accordingly, it is not clear what liabilities, if any, online game providers may have for virtual assets.</w:t>
      </w:r>
    </w:p>
    <w:p>
      <w:pPr>
        <w:spacing w:after="0" w:line="158" w:lineRule="exact"/>
        <w:rPr>
          <w:sz w:val="20"/>
          <w:szCs w:val="20"/>
          <w:color w:val="auto"/>
        </w:rPr>
      </w:pPr>
    </w:p>
    <w:p>
      <w:pPr>
        <w:ind w:right="20" w:firstLine="617"/>
        <w:spacing w:after="0" w:line="274" w:lineRule="auto"/>
        <w:rPr>
          <w:sz w:val="20"/>
          <w:szCs w:val="20"/>
          <w:color w:val="auto"/>
        </w:rPr>
      </w:pPr>
      <w:r>
        <w:rPr>
          <w:rFonts w:ascii="Arial" w:cs="Arial" w:eastAsia="Arial" w:hAnsi="Arial"/>
          <w:sz w:val="16"/>
          <w:szCs w:val="16"/>
          <w:color w:val="auto"/>
        </w:rPr>
        <w:t>One of the features of our PC-client and mobile MMORPGs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General Rules on the Civil Law of the People’s Republic of China, which was passed by the National People’s Representative Meeting on March 15, 2017 and shall take effect on October 1, 2017, and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virtual currency may adversely affect our online game revenues.</w:t>
      </w:r>
    </w:p>
    <w:p>
      <w:pPr>
        <w:spacing w:after="0" w:line="222" w:lineRule="exact"/>
        <w:rPr>
          <w:sz w:val="20"/>
          <w:szCs w:val="20"/>
          <w:color w:val="auto"/>
        </w:rPr>
      </w:pPr>
    </w:p>
    <w:p>
      <w:pPr>
        <w:ind w:right="160" w:firstLine="617"/>
        <w:spacing w:after="0" w:line="278" w:lineRule="auto"/>
        <w:rPr>
          <w:sz w:val="20"/>
          <w:szCs w:val="20"/>
          <w:color w:val="auto"/>
        </w:rPr>
      </w:pPr>
      <w:r>
        <w:rPr>
          <w:rFonts w:ascii="Arial" w:cs="Arial" w:eastAsia="Arial" w:hAnsi="Arial"/>
          <w:sz w:val="17"/>
          <w:szCs w:val="17"/>
          <w:color w:val="auto"/>
        </w:rPr>
        <w:t>Our online game revenues are collected through the sale of physical and virtual prepaid point cards, as described elsewhere on this annual report, including below in the “User Fees” section in Item 4.B of this annual report.</w:t>
      </w:r>
    </w:p>
    <w:p>
      <w:pPr>
        <w:spacing w:after="0" w:line="165"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On February 15, 2007, the MOC issued the Notice on the Reinforcement of the Administration of Internet Cafés and Online Games, or the Internet Cafés Notice, which directs the People’s Bank of China, or the PBOC, to strengthen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80" w:lineRule="exact"/>
        <w:rPr>
          <w:sz w:val="20"/>
          <w:szCs w:val="20"/>
          <w:color w:val="auto"/>
        </w:rPr>
      </w:pPr>
    </w:p>
    <w:p>
      <w:pPr>
        <w:ind w:right="60" w:firstLine="617"/>
        <w:spacing w:after="0" w:line="292" w:lineRule="auto"/>
        <w:rPr>
          <w:sz w:val="20"/>
          <w:szCs w:val="20"/>
          <w:color w:val="auto"/>
        </w:rPr>
      </w:pPr>
      <w:r>
        <w:rPr>
          <w:rFonts w:ascii="Arial" w:cs="Arial" w:eastAsia="Arial" w:hAnsi="Arial"/>
          <w:sz w:val="15"/>
          <w:szCs w:val="15"/>
          <w:color w:val="auto"/>
        </w:rPr>
        <w:t>On June 4, 2009, the MOC and the Ministry of Commerce jointly issued the Notice on Strengthening the Administration of Online Game Virtual Currency, or the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Virtual Currency Notice categorizes companies involved with virtual currency as either issuers or trading platforms and prohibits companies from simultaneously engaging both as issuers and as trading platforms. The Virtual Currency Notice’s stated objective is to limit the circulation of virtual currency and thereby reduce concerns that it may impact real world inflation. To accomplish this, the Virtual Currency Notice requires online game operators to report the total amount of their issued virtual currencies on a quarterly basis and to refrain from issuing disproportionate amounts of virtual currencies in order to generate revenues. In addition, the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Virtual Currency Notice also requires online game operators to keep transaction data records for no less than 180 days and to not provide virtual currency trading services to minors.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27" w:right="239" w:bottom="0" w:gutter="0" w:footer="0" w:header="0"/>
          <w:type w:val="continuous"/>
        </w:sectPr>
      </w:pPr>
    </w:p>
    <w:bookmarkStart w:id="21" w:name="page22"/>
    <w:bookmarkEnd w:id="21"/>
    <w:p>
      <w:pPr>
        <w:jc w:val="both"/>
        <w:ind w:right="120" w:firstLine="617"/>
        <w:spacing w:after="0" w:line="265" w:lineRule="auto"/>
        <w:rPr>
          <w:sz w:val="20"/>
          <w:szCs w:val="20"/>
          <w:color w:val="auto"/>
        </w:rPr>
      </w:pPr>
      <w:r>
        <w:rPr>
          <w:rFonts w:ascii="Arial" w:cs="Arial" w:eastAsia="Arial" w:hAnsi="Arial"/>
          <w:sz w:val="17"/>
          <w:szCs w:val="17"/>
          <w:color w:val="auto"/>
        </w:rPr>
        <w:t>In order to comply with the requirements of the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restrictions on financial transactions may adversely affect the operation and profitability of our business.</w:t>
      </w:r>
    </w:p>
    <w:p>
      <w:pPr>
        <w:spacing w:after="0" w:line="222" w:lineRule="exact"/>
        <w:rPr>
          <w:sz w:val="20"/>
          <w:szCs w:val="20"/>
          <w:color w:val="auto"/>
        </w:rPr>
      </w:pPr>
    </w:p>
    <w:p>
      <w:pPr>
        <w:ind w:right="20" w:firstLine="617"/>
        <w:spacing w:after="0" w:line="290" w:lineRule="auto"/>
        <w:rPr>
          <w:sz w:val="20"/>
          <w:szCs w:val="20"/>
          <w:color w:val="auto"/>
        </w:rPr>
      </w:pPr>
      <w:r>
        <w:rPr>
          <w:rFonts w:ascii="Arial" w:cs="Arial" w:eastAsia="Arial" w:hAnsi="Arial"/>
          <w:sz w:val="15"/>
          <w:szCs w:val="15"/>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were effective as of September 1, 2010 and require that non-financial institutions engaging in the business of effecting payments and settlements before June 14, 2010 obtain a permit from the PBOC by August 31, 2011 to continue such business. On December 1, 2010, the PBOC issued Detailed Rules for the Implementation of the Administrative Measures for the Payment Services Provided by Non-financial Institutions, which provide, among other things, further explanation for the qualifications of applicants and more detailed description for the application materials. On December 28, 2015, the PBOC issued a notice regarding the Administrative Measures for the Online Payment Business of Non-bank Payment Institutions, or PBOC Notice 18, which is to take effect on July 1, 2016. According to the PBOC Notice 18, a payment institution is required to follow the principles of “know your clients”, and establish a sound client identification mechanism. The payment institution is required to manage the client on a real name basis when opening a payment account for such client. Pursuant to the PBOC Notice 18,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and carry out classified management of an individual’s payment accounts according to the respective provisions stipulated in the PBOC Notice 18.</w:t>
      </w:r>
    </w:p>
    <w:p>
      <w:pPr>
        <w:spacing w:after="0" w:line="167" w:lineRule="exact"/>
        <w:rPr>
          <w:sz w:val="20"/>
          <w:szCs w:val="20"/>
          <w:color w:val="auto"/>
        </w:rPr>
      </w:pPr>
    </w:p>
    <w:p>
      <w:pPr>
        <w:ind w:right="120" w:firstLine="617"/>
        <w:spacing w:after="0" w:line="306" w:lineRule="auto"/>
        <w:rPr>
          <w:sz w:val="20"/>
          <w:szCs w:val="20"/>
          <w:color w:val="auto"/>
        </w:rPr>
      </w:pPr>
      <w:r>
        <w:rPr>
          <w:rFonts w:ascii="Arial" w:cs="Arial" w:eastAsia="Arial" w:hAnsi="Arial"/>
          <w:sz w:val="15"/>
          <w:szCs w:val="15"/>
          <w:color w:val="auto"/>
        </w:rPr>
        <w:t>We currently operate an online payment platform used by both distributors of our prepaid point cards and end users of our online services, which requires a permit under the PBOC Measures. We have obtained such permit from the PBOC. However, as the PBOC Measures and PBOC Notice 18 are relatively new, we cannot be certain how they will be interpreted and enforced by the PBOC and whether we will be able to maintain or renew such permit in the future. An inability to continue operating our current online payment platform would likely materially and adversely affect the operation and profitability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compete successfully against new entrants and established industry competitors.</w:t>
      </w:r>
    </w:p>
    <w:p>
      <w:pPr>
        <w:spacing w:after="0" w:line="222"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The Chinese market for Internet content and services is intensely competitive and rapidly changing. Many companies offer competitive products or services including online games, Chinese language-based web search, retrieval and navigation services, e-commerce services and extensive Chinese language content, informational and community features, and e-mail.</w:t>
      </w:r>
    </w:p>
    <w:p>
      <w:pPr>
        <w:spacing w:after="0" w:line="176" w:lineRule="exact"/>
        <w:rPr>
          <w:sz w:val="20"/>
          <w:szCs w:val="20"/>
          <w:color w:val="auto"/>
        </w:rPr>
      </w:pPr>
    </w:p>
    <w:p>
      <w:pPr>
        <w:ind w:right="100" w:firstLine="617"/>
        <w:spacing w:after="0" w:line="273" w:lineRule="auto"/>
        <w:rPr>
          <w:sz w:val="20"/>
          <w:szCs w:val="20"/>
          <w:color w:val="auto"/>
        </w:rPr>
      </w:pPr>
      <w:r>
        <w:rPr>
          <w:rFonts w:ascii="Arial" w:cs="Arial" w:eastAsia="Arial" w:hAnsi="Arial"/>
          <w:sz w:val="16"/>
          <w:szCs w:val="16"/>
          <w:color w:val="auto"/>
        </w:rPr>
        <w:t>Currently, our competition comes from Chinese language-based Internet media companies as well as US-based media companies. Some of our current and potential competitors are much larger than we are, and currently offer, and could further develop or acquire, content and services that compete with the NetEase websites. We also face competition from online game developers and operators, Internet service providers, e-commerce service providers, website operators and providers of web browser software that incorporate search and retrieval features.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 revenues in the future. We believe that competition in the online advertising industry in China is intense with numerous competitors such as Baidu, Sina, Sohu, Tencent, Alibaba, Qihoo, iFeng.com, TouTiao.com, Youku and other vertical Internet media. Any of our present or future competitors may offer products and services that provide significant performance, price, creativity or other advantages over those offered by us and, therefore, achieve greater market acceptance than ours.</w:t>
      </w:r>
    </w:p>
    <w:p>
      <w:pPr>
        <w:spacing w:after="0" w:line="175"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Any increased competition could reduce page views, make it difficult for us to attract and retain users, reduce or eliminate our market share, lower our profit margins and reduce our revenues.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Information on the Company</w:t>
      </w:r>
    </w:p>
    <w:p>
      <w:pPr>
        <w:spacing w:after="0" w:line="216" w:lineRule="exact"/>
        <w:rPr>
          <w:sz w:val="20"/>
          <w:szCs w:val="20"/>
          <w:color w:val="auto"/>
        </w:rPr>
      </w:pPr>
    </w:p>
    <w:p>
      <w:pPr>
        <w:ind w:left="640" w:hanging="637"/>
        <w:spacing w:after="0"/>
        <w:tabs>
          <w:tab w:leader="none" w:pos="6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History and Development of the Company</w:t>
      </w:r>
    </w:p>
    <w:p>
      <w:pPr>
        <w:spacing w:after="0" w:line="222"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e-commerce platforms and to provide online shopping mall and other e-commerce services in China. In 2001, we also began focusing on fee-based premium services and online entertainment services, including online games, wireless value-added services, premium e-mail services and other subscription-type services. We launched our two e-commerce platforms, Kaola and Yanxuan in January 2015 and April 2016, respectively.</w:t>
      </w:r>
    </w:p>
    <w:p>
      <w:pPr>
        <w:spacing w:after="0" w:line="185"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Our company was incorporated in the Cayman Islands on July 6, 1999, and it operates under the Cayman Islands Companies Law (2016 Revision). Our principal executive offices are located at Building No. 7, West Zone, Zhongguancun Software Park (Phase II), No. 10 Xibeiwang East Road, Haidian District, Beijing, People’s Republic of China 100193. Our telephone number is (86-10) 8255-8163.</w:t>
      </w:r>
    </w:p>
    <w:p>
      <w:pPr>
        <w:spacing w:after="0" w:line="176" w:lineRule="exact"/>
        <w:rPr>
          <w:sz w:val="20"/>
          <w:szCs w:val="20"/>
          <w:color w:val="auto"/>
        </w:rPr>
      </w:pPr>
    </w:p>
    <w:p>
      <w:pPr>
        <w:ind w:firstLine="617"/>
        <w:spacing w:after="0" w:line="295" w:lineRule="auto"/>
        <w:rPr>
          <w:sz w:val="20"/>
          <w:szCs w:val="20"/>
          <w:color w:val="auto"/>
        </w:rPr>
      </w:pPr>
      <w:r>
        <w:rPr>
          <w:rFonts w:ascii="Arial" w:cs="Arial" w:eastAsia="Arial" w:hAnsi="Arial"/>
          <w:sz w:val="15"/>
          <w:szCs w:val="15"/>
          <w:color w:val="auto"/>
        </w:rPr>
        <w:t>Our principal capital expenditures for 2016 consisted mainly of cost incurred for the construction of our new office buildings and warehouses in Beijing, Guangzhou, Hangzhou, Zhoushan and Ningbo in China, acquisition of new servers in connection with the operation of our self-developed and licensed games and investment in the expansion and upgrade of our mailbox infrastructure for a total of approximately RMB1,135.5 million (US$163.6 million). Our principal capital expenditures for 2015 consisted mainly of cost incurred for the construction of our new office buildings and warehouses in Beijing, Guangzhou, Hangzhou, Zhoushan and Ningbo in China, acquisition of new servers in connection with the operation of our self-developed and licensed games, and investment in the expansion and upgrade of our mailbox infrastructure for a total of approximately RMB866.3 million. Our principal capital expenditures for 2014 consisted mainly of cost incurred for the construction of our new office buildings in Beijing, Guangzhou, Hangzhou and Zhoushan in China, acquisition of new servers in connection with the operation of our self-developed and licensed games, and investment in the expansion and upgrade of our mailbox infrastructure for a total of approximately RMB537.4 million.</w:t>
      </w:r>
    </w:p>
    <w:p>
      <w:pPr>
        <w:sectPr>
          <w:pgSz w:w="11900" w:h="16838" w:orient="portrait"/>
          <w:cols w:equalWidth="0" w:num="1">
            <w:col w:w="11420"/>
          </w:cols>
          <w:pgMar w:left="240" w:top="333" w:right="239" w:bottom="0" w:gutter="0" w:footer="0" w:header="0"/>
        </w:sectPr>
      </w:pPr>
    </w:p>
    <w:bookmarkStart w:id="22" w:name="page23"/>
    <w:bookmarkEnd w:id="22"/>
    <w:p>
      <w:pPr>
        <w:ind w:right="140" w:firstLine="617"/>
        <w:spacing w:after="0" w:line="257" w:lineRule="auto"/>
        <w:rPr>
          <w:sz w:val="20"/>
          <w:szCs w:val="20"/>
          <w:color w:val="auto"/>
        </w:rPr>
      </w:pPr>
      <w:r>
        <w:rPr>
          <w:rFonts w:ascii="Arial" w:cs="Arial" w:eastAsia="Arial" w:hAnsi="Arial"/>
          <w:sz w:val="17"/>
          <w:szCs w:val="17"/>
          <w:color w:val="auto"/>
        </w:rPr>
        <w:t>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 For further details, see Item 4.B. “Business Overview — Our Services — Game Licensing and Joint Venture with Blizzard.” As of December 31, 2016, we had capital expenditure commitments of RMB1,149.2 million (US$165.5 million) for 2017 onwards, which primarily consist of commitments made in connection with the construction of new office buildings and warehouses in Hangzhou, Guangzhou, Zhoushan and Ningbo. Our capital expenditures in 2016 have been, and future capital expenditures are expected to continue to be, funded by operating cash flows and our existing capital resources.</w:t>
      </w:r>
    </w:p>
    <w:p>
      <w:pPr>
        <w:spacing w:after="0" w:line="175"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Overview</w:t>
      </w:r>
    </w:p>
    <w:p>
      <w:pPr>
        <w:spacing w:after="0" w:line="21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OVERVIEW</w:t>
      </w:r>
    </w:p>
    <w:p>
      <w:pPr>
        <w:spacing w:after="0" w:line="222" w:lineRule="exact"/>
        <w:rPr>
          <w:sz w:val="20"/>
          <w:szCs w:val="20"/>
          <w:color w:val="auto"/>
        </w:rPr>
      </w:pPr>
    </w:p>
    <w:p>
      <w:pPr>
        <w:ind w:right="60" w:firstLine="617"/>
        <w:spacing w:after="0" w:line="265" w:lineRule="auto"/>
        <w:rPr>
          <w:sz w:val="20"/>
          <w:szCs w:val="20"/>
          <w:color w:val="auto"/>
        </w:rPr>
      </w:pPr>
      <w:r>
        <w:rPr>
          <w:rFonts w:ascii="Arial" w:cs="Arial" w:eastAsia="Arial" w:hAnsi="Arial"/>
          <w:sz w:val="17"/>
          <w:szCs w:val="17"/>
          <w:color w:val="auto"/>
        </w:rPr>
        <w:t>Through our subsidiaries and contracts with our affiliates Guangzhou NetEase, NetEase Advertising, Hanghzou Leihuo, Shanghai EaseNet and certain other affiliated companies and their respective shareholders, we operate a leading interactive online community in China and are a major provider of Chinese language content and services through our online games, Internet media, e-mail, e-commerce and other businesses.</w:t>
      </w:r>
    </w:p>
    <w:p>
      <w:pPr>
        <w:spacing w:after="0" w:line="176"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We generate revenues from fees we charge users of our online games, from selling advertisements, and from sales, service or commission fees from e-mail, e-commerce and other services, including revenues from sales of a wide range of products offered on our e-commerce platforms.</w:t>
      </w:r>
    </w:p>
    <w:p>
      <w:pPr>
        <w:spacing w:after="0" w:line="165" w:lineRule="exact"/>
        <w:rPr>
          <w:sz w:val="20"/>
          <w:szCs w:val="20"/>
          <w:color w:val="auto"/>
        </w:rPr>
      </w:pPr>
    </w:p>
    <w:p>
      <w:pPr>
        <w:ind w:right="380" w:firstLine="617"/>
        <w:spacing w:after="0" w:line="278" w:lineRule="auto"/>
        <w:rPr>
          <w:sz w:val="20"/>
          <w:szCs w:val="20"/>
          <w:color w:val="auto"/>
        </w:rPr>
      </w:pPr>
      <w:r>
        <w:rPr>
          <w:rFonts w:ascii="Arial" w:cs="Arial" w:eastAsia="Arial" w:hAnsi="Arial"/>
          <w:sz w:val="17"/>
          <w:szCs w:val="17"/>
          <w:color w:val="auto"/>
        </w:rPr>
        <w:t>Our ability to leverage our Internet media traffic to generate revenues in online gaming, advertising services and e-commerce is a key component of our growth strategy.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Online Games Services</w:t>
      </w:r>
    </w:p>
    <w:p>
      <w:pPr>
        <w:spacing w:after="0" w:line="222" w:lineRule="exact"/>
        <w:rPr>
          <w:sz w:val="20"/>
          <w:szCs w:val="20"/>
          <w:color w:val="auto"/>
        </w:rPr>
      </w:pPr>
    </w:p>
    <w:p>
      <w:pPr>
        <w:ind w:right="220" w:firstLine="617"/>
        <w:spacing w:after="0" w:line="278" w:lineRule="auto"/>
        <w:rPr>
          <w:sz w:val="20"/>
          <w:szCs w:val="20"/>
          <w:color w:val="auto"/>
        </w:rPr>
      </w:pPr>
      <w:r>
        <w:rPr>
          <w:rFonts w:ascii="Arial" w:cs="Arial" w:eastAsia="Arial" w:hAnsi="Arial"/>
          <w:sz w:val="17"/>
          <w:szCs w:val="17"/>
          <w:color w:val="auto"/>
        </w:rPr>
        <w:t>Our online games business focuses on offering massively multi-player online role-playing games (commonly known as “MMORPGs”), and other types of games to the Chinese market.</w:t>
      </w:r>
    </w:p>
    <w:p>
      <w:pPr>
        <w:spacing w:after="0" w:line="165" w:lineRule="exact"/>
        <w:rPr>
          <w:sz w:val="20"/>
          <w:szCs w:val="20"/>
          <w:color w:val="auto"/>
        </w:rPr>
      </w:pPr>
    </w:p>
    <w:p>
      <w:pPr>
        <w:ind w:right="280" w:firstLine="617"/>
        <w:spacing w:after="0" w:line="282" w:lineRule="auto"/>
        <w:rPr>
          <w:sz w:val="20"/>
          <w:szCs w:val="20"/>
          <w:color w:val="auto"/>
        </w:rPr>
      </w:pPr>
      <w:r>
        <w:rPr>
          <w:rFonts w:ascii="Arial" w:cs="Arial" w:eastAsia="Arial" w:hAnsi="Arial"/>
          <w:sz w:val="16"/>
          <w:szCs w:val="16"/>
          <w:color w:val="auto"/>
        </w:rPr>
        <w:t>MMORPGs are played over the Internet or mobile networks in “virtual worlds” that exist on networked game servers to which thousands of players simultaneously connect to interact with each other. We develop and operate MMORPGs that are targeted at or localized to the Chinese market, and we strive to provide the highest quality game playing experience to our users. In addition, starting in August 2008, Blizzard agreed to license certain online games to Shanghai EaseNet for operation in the PRC, as discussed below under “Our Services — Game Licensing and Joint Venture with Blizzard.”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40" w:firstLine="617"/>
        <w:spacing w:after="0" w:line="277" w:lineRule="auto"/>
        <w:rPr>
          <w:sz w:val="20"/>
          <w:szCs w:val="20"/>
          <w:color w:val="auto"/>
        </w:rPr>
      </w:pPr>
      <w:r>
        <w:rPr>
          <w:rFonts w:ascii="Arial" w:cs="Arial" w:eastAsia="Arial" w:hAnsi="Arial"/>
          <w:sz w:val="16"/>
          <w:szCs w:val="16"/>
          <w:color w:val="auto"/>
        </w:rPr>
        <w:t>We use two revenue models for PC-client games: an item-based model, in which players can play the basic features of the game for free and can purchase virtual items that enhance their playing experience, and a time-based model, in which players pay for game playing time. A majority of our revenues come from our games that use the item-based model, including our self-developed item-based PC-client MMORPG games, such as Tianxia III, New Ghost (a new version of Ghost II), Revelation, Demon Seals, Kung Fu Master II, Heroes of Tang Dynasty Zero, and an item-based version of New Westward Journey Online II. Games that use the time-based model include self-developed games such as New Westward Journey Online II and Fantasy Westward Journey Online, as well as licensed games such as World of Warcraft. We plan to launch other new games using the item-based revenue model in the future.</w:t>
      </w:r>
    </w:p>
    <w:p>
      <w:pPr>
        <w:spacing w:after="0" w:line="167" w:lineRule="exact"/>
        <w:rPr>
          <w:sz w:val="20"/>
          <w:szCs w:val="20"/>
          <w:color w:val="auto"/>
        </w:rPr>
      </w:pPr>
    </w:p>
    <w:p>
      <w:pPr>
        <w:jc w:val="both"/>
        <w:ind w:right="220" w:firstLine="617"/>
        <w:spacing w:after="0" w:line="259" w:lineRule="auto"/>
        <w:rPr>
          <w:sz w:val="20"/>
          <w:szCs w:val="20"/>
          <w:color w:val="auto"/>
        </w:rPr>
      </w:pPr>
      <w:r>
        <w:rPr>
          <w:rFonts w:ascii="Arial" w:cs="Arial" w:eastAsia="Arial" w:hAnsi="Arial"/>
          <w:sz w:val="17"/>
          <w:szCs w:val="17"/>
          <w:color w:val="auto"/>
        </w:rPr>
        <w:t>To pay for PC-client game playing time or virtual items purchased within a game, players use our proprietary prepaid point system by purchasing physical prepaid point cards or virtual prepaid point cards. We work with a wide range of distributors to distribute our point cards to gamers across China. Physical prepaid point card distribution channels include wholesalers, Internet cafés, software stores, supermarkets, bookstores and newspaper stands, as well as convenience stores mainly in Guangzhou Province, Shanghai, Beijing and in several second tier cities. Virtual prepaid point cards can be purchased online by debit card, credit card or bank transfer using online payment service platforms.</w:t>
      </w:r>
    </w:p>
    <w:p>
      <w:pPr>
        <w:spacing w:after="0" w:line="180" w:lineRule="exact"/>
        <w:rPr>
          <w:sz w:val="20"/>
          <w:szCs w:val="20"/>
          <w:color w:val="auto"/>
        </w:rPr>
      </w:pPr>
    </w:p>
    <w:p>
      <w:pPr>
        <w:ind w:right="60" w:firstLine="617"/>
        <w:spacing w:after="0" w:line="277" w:lineRule="auto"/>
        <w:rPr>
          <w:sz w:val="20"/>
          <w:szCs w:val="20"/>
          <w:color w:val="auto"/>
        </w:rPr>
      </w:pPr>
      <w:r>
        <w:rPr>
          <w:rFonts w:ascii="Arial" w:cs="Arial" w:eastAsia="Arial" w:hAnsi="Arial"/>
          <w:sz w:val="16"/>
          <w:szCs w:val="16"/>
          <w:color w:val="auto"/>
        </w:rPr>
        <w:t>As of December 31, 2016, we also offered over 100 self-developed and licensed mobile games of various genres, such as the Fantasy Westward Journey and Westward Journey Online mobile games and the mobile version of New Ghost, Onmyoji, Invincible and Heroes of Tang Dynasty mobile. We distribute our mobile games by partnering with major Android- and iOS-based app stores in China as well as through our proprietary distribution channels, such as our website and NetEase News App. Mobile game revenues are primarily derived from sales of in-game virtual items, including items, avatars, skills, privileges or other in-game consumables, features or functionalities, within our games. Users have a variety of payment options for our in-game virtual items, including our prepaid cards, online payments through app stores and other online payment channels.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Internet Media Business</w:t>
      </w:r>
    </w:p>
    <w:p>
      <w:pPr>
        <w:spacing w:after="0" w:line="222" w:lineRule="exact"/>
        <w:rPr>
          <w:sz w:val="20"/>
          <w:szCs w:val="20"/>
          <w:color w:val="auto"/>
        </w:rPr>
      </w:pPr>
    </w:p>
    <w:p>
      <w:pPr>
        <w:ind w:right="40" w:firstLine="617"/>
        <w:spacing w:after="0" w:line="301" w:lineRule="auto"/>
        <w:rPr>
          <w:sz w:val="20"/>
          <w:szCs w:val="20"/>
          <w:color w:val="auto"/>
        </w:rPr>
      </w:pPr>
      <w:r>
        <w:rPr>
          <w:rFonts w:ascii="Arial" w:cs="Arial" w:eastAsia="Arial" w:hAnsi="Arial"/>
          <w:sz w:val="15"/>
          <w:szCs w:val="15"/>
          <w:color w:val="auto"/>
        </w:rPr>
        <w:t>The NetEase websites provide Internet users with Chinese language online services centered around three core service categories—content, community and communication. Our wide range of content appeals to a broad audience group spanning all age groups. However, our services are particularly popular among younger audiences between the ages of 23 and 35. We are continually working to reinforce our leadership position through premium content and service development and innovation. In particular, China’s Internet sector is quickly transitioning from PC to mobile platforms. We believe there are significant opportunities to explore new revenue streams related to the mobile Internet market. We have been proactively migrating our PC products onto mobile across our different business units.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Content</w:t>
      </w:r>
    </w:p>
    <w:p>
      <w:pPr>
        <w:spacing w:after="0" w:line="216" w:lineRule="exact"/>
        <w:rPr>
          <w:sz w:val="20"/>
          <w:szCs w:val="20"/>
          <w:color w:val="auto"/>
        </w:rPr>
      </w:pPr>
    </w:p>
    <w:p>
      <w:pPr>
        <w:jc w:val="both"/>
        <w:ind w:right="300" w:firstLine="617"/>
        <w:spacing w:after="0" w:line="265" w:lineRule="auto"/>
        <w:rPr>
          <w:sz w:val="20"/>
          <w:szCs w:val="20"/>
          <w:color w:val="auto"/>
        </w:rPr>
      </w:pPr>
      <w:r>
        <w:rPr>
          <w:rFonts w:ascii="Arial" w:cs="Arial" w:eastAsia="Arial" w:hAnsi="Arial"/>
          <w:sz w:val="17"/>
          <w:szCs w:val="17"/>
          <w:color w:val="auto"/>
        </w:rPr>
        <w:t>The NetEase content channels provide news, information and online entertainment to the Chinese public. The websites consolidate and distribute content from more than one hundred international and domestic content providers. Content is distributed through various channels, including channels focusing on news, entertainment, sports, finance, information technology, automobiles, education and real estate.</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Community and Communication</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The NetEase websites provide a broad array of free and fee-based community and communication services, including photo album, instant messaging, online personal advertisements, open courses (NetEase Open Courses), mobile news applications (NetEase News App), interactive online video (NetEase BoBo) and community forums.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w:t>
      </w:r>
    </w:p>
    <w:p>
      <w:pPr>
        <w:sectPr>
          <w:pgSz w:w="11900" w:h="16838" w:orient="portrait"/>
          <w:cols w:equalWidth="0" w:num="1">
            <w:col w:w="11420"/>
          </w:cols>
          <w:pgMar w:left="240" w:top="127" w:right="239" w:bottom="40" w:gutter="0" w:footer="0" w:header="0"/>
        </w:sectPr>
      </w:pPr>
    </w:p>
    <w:bookmarkStart w:id="23" w:name="page24"/>
    <w:bookmarkEnd w:id="23"/>
    <w:p>
      <w:pPr>
        <w:ind w:right="80" w:firstLine="617"/>
        <w:spacing w:after="0" w:line="278" w:lineRule="auto"/>
        <w:rPr>
          <w:sz w:val="20"/>
          <w:szCs w:val="20"/>
          <w:color w:val="auto"/>
        </w:rPr>
      </w:pPr>
      <w:r>
        <w:rPr>
          <w:rFonts w:ascii="Arial" w:cs="Arial" w:eastAsia="Arial" w:hAnsi="Arial"/>
          <w:sz w:val="17"/>
          <w:szCs w:val="17"/>
          <w:color w:val="auto"/>
        </w:rPr>
        <w:t>In addition to the services described above, the NetEase websites provide other services to our users, including various search functions, dictionary (Youdao Dictionary) and cloud note-taking application (Youdao Cloudnote).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Services</w:t>
      </w:r>
    </w:p>
    <w:p>
      <w:pPr>
        <w:spacing w:after="0" w:line="222" w:lineRule="exact"/>
        <w:rPr>
          <w:sz w:val="20"/>
          <w:szCs w:val="20"/>
          <w:color w:val="auto"/>
        </w:rPr>
      </w:pPr>
    </w:p>
    <w:p>
      <w:pPr>
        <w:ind w:right="60" w:firstLine="617"/>
        <w:spacing w:after="0" w:line="256" w:lineRule="auto"/>
        <w:rPr>
          <w:sz w:val="20"/>
          <w:szCs w:val="20"/>
          <w:color w:val="auto"/>
        </w:rPr>
      </w:pPr>
      <w:r>
        <w:rPr>
          <w:rFonts w:ascii="Arial" w:cs="Arial" w:eastAsia="Arial" w:hAnsi="Arial"/>
          <w:sz w:val="17"/>
          <w:szCs w:val="17"/>
          <w:color w:val="auto"/>
        </w:rPr>
        <w:t>Our large and growing user base attracts well-known advertisers to our web sites. The various content channels and wide range of online services offered through our Internet media forms an effective medium for our clients to conduct integrated marketing campaigns to the millions of loyal NetEase users. Our online advertising offerings include banner advertising, channel sponsorships, direct e-mail, interactive media-rich sites, sponsored special events, games, contests and other activities. We mainly charge advertisers on a per diem fixed fees basis. We also offer advertising services based on performance-based pricing model, such as based on cost per thousand impressions, which means the number of times an advertisement is displayed, or cost per action by the consumers after viewing our advertisements, including but not limited to clicking on links to our customers’ products. Our standard advertising charges vary depending on the terms of the contract and the advertisement’s location within our website. Discounts from standard rates are typically provided for higher-volume, longer-term advertising contracts, and may be provided for promotional purposes.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E-mail, E-commerce and Others</w:t>
      </w:r>
    </w:p>
    <w:p>
      <w:pPr>
        <w:spacing w:after="0" w:line="222" w:lineRule="exact"/>
        <w:rPr>
          <w:sz w:val="20"/>
          <w:szCs w:val="20"/>
          <w:color w:val="auto"/>
        </w:rPr>
      </w:pPr>
    </w:p>
    <w:p>
      <w:pPr>
        <w:ind w:right="20" w:firstLine="617"/>
        <w:spacing w:after="0" w:line="272" w:lineRule="auto"/>
        <w:rPr>
          <w:sz w:val="20"/>
          <w:szCs w:val="20"/>
          <w:color w:val="auto"/>
        </w:rPr>
      </w:pPr>
      <w:r>
        <w:rPr>
          <w:rFonts w:ascii="Arial" w:cs="Arial" w:eastAsia="Arial" w:hAnsi="Arial"/>
          <w:sz w:val="16"/>
          <w:szCs w:val="16"/>
          <w:color w:val="auto"/>
        </w:rPr>
        <w:t>As one of the largest e-mail services provider in China, we offer free and fee-based premium e-mail services to our individual users and corporate users. We also offer a wide range of e-commerce services, which primarily include Caipiao, an online service that facilitates the processing of end users’ purchase orders for lotteries operated by third-party vendors, and Baoxian, an online service that facilitates the sale of insurance products from third-party insurers. We sell merchandise through our two e-commerce platforms, Kaola and Yanxuan. Kaola sells mainly imported goods that we source from overseas suppliers, including maternity and baby products, skincare and cosmetics and other general merchandise. Yanxuan sells our private label products, including apparel, homeware, kitchenware and other general merchandise which we source directly from original design manufacturers in China. Our other services include Wangyibao, our online payment platform, EaseRead, our e-reading apps, Cloud Music, our online music social network, NetEase Cloud Classroom, our online education platform, Internet finance services as well as the sale of game-related accessories to our users. For additional information, see Item 3.D. “Risk Factors—Risks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Partnership with China Telecom Corporation Limited, or China Telecom</w:t>
      </w:r>
    </w:p>
    <w:p>
      <w:pPr>
        <w:spacing w:after="0" w:line="216"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In August 2013, we established a joint venture with China Telecom in which we hold a minority ownership stake. The joint venture operates “YiChat”, a proprietary social instant messaging application for smart phones. YiChat differentiates itself from other social instant messaging applications through the integration of various unique technologies. Among its specially developed and distinctive features, YiChat offers proprietary environmental noise reduction technology, high-quality photo messaging and various original stickers and emoticon designs. Our strategic joint venture with China Telecom aims to provide a superior social instant messaging application for smart phone users. This partnership signaled the start of our entry into the mobile instant messaging space and is a key component of our mobile Internet strategy.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ORGANIZATIONAL STRUCTURE</w:t>
      </w:r>
    </w:p>
    <w:p>
      <w:pPr>
        <w:spacing w:after="0" w:line="222" w:lineRule="exact"/>
        <w:rPr>
          <w:sz w:val="20"/>
          <w:szCs w:val="20"/>
          <w:color w:val="auto"/>
        </w:rPr>
      </w:pPr>
    </w:p>
    <w:p>
      <w:pPr>
        <w:ind w:right="40" w:firstLine="617"/>
        <w:spacing w:after="0" w:line="273" w:lineRule="auto"/>
        <w:rPr>
          <w:sz w:val="20"/>
          <w:szCs w:val="20"/>
          <w:color w:val="auto"/>
        </w:rPr>
      </w:pPr>
      <w:r>
        <w:rPr>
          <w:rFonts w:ascii="Arial" w:cs="Arial" w:eastAsia="Arial" w:hAnsi="Arial"/>
          <w:sz w:val="16"/>
          <w:szCs w:val="16"/>
          <w:color w:val="auto"/>
        </w:rPr>
        <w:t>We conduct our business in China solely through our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e-mail, e-commerce and other services.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as well as certain other affiliated entities. Under the contracts, we provide our Internet, e-mail and e-commerce applications, services and technologies and advertising services to Guangzhou NetEase, NetEase Advertising, Hangzhou Leihuo and certain other affiliated entities and they operate the NetEase online games, websites, the online advertising business as well the e-mail and e-commerce business. Guangzhou NetEase also has a wholly-owned subsidiary, Wangyibao, the operator of our Wangyibao online payment platform. For more information on these agreements, see Item 7.B. “Major Shareholders and Related Party Transactions—Related Party Transactions.”</w:t>
      </w:r>
    </w:p>
    <w:p>
      <w:pPr>
        <w:spacing w:after="0" w:line="175" w:lineRule="exact"/>
        <w:rPr>
          <w:sz w:val="20"/>
          <w:szCs w:val="20"/>
          <w:color w:val="auto"/>
        </w:rPr>
      </w:pPr>
    </w:p>
    <w:p>
      <w:pPr>
        <w:ind w:firstLine="617"/>
        <w:spacing w:after="0" w:line="282" w:lineRule="auto"/>
        <w:rPr>
          <w:sz w:val="20"/>
          <w:szCs w:val="20"/>
          <w:color w:val="auto"/>
        </w:rPr>
      </w:pPr>
      <w:r>
        <w:rPr>
          <w:rFonts w:ascii="Arial" w:cs="Arial" w:eastAsia="Arial" w:hAnsi="Arial"/>
          <w:sz w:val="16"/>
          <w:szCs w:val="16"/>
          <w:color w:val="auto"/>
        </w:rPr>
        <w:t>Each of Guangzhou NetEase and NetEase Advertising is 99.0% beneficially owned by our founder, Chief Executive Officer and major shareholder, William Lei Ding, and 1.0% owned by one of our employees. Youdao Computer, the operator of our online dictionary, online education and other cloud application services, is 71.1% owned by William Lei Ding and 28.9% owned by individuals who are or were employees of Youdao Computer. Wangyibao is 100.0% owned by Guangzhou NetEase. Hangzhou Leihuo is owned by two of our employees. We do not have any direct ownership interest in those companies.</w:t>
      </w:r>
    </w:p>
    <w:p>
      <w:pPr>
        <w:spacing w:after="0" w:line="164"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Under our agreements with Guangzhou NetEase, we have agreed to pay its operating costs. Under our agreements with NetEase Advertising, Hangzhou Leihuo and Youdao Computer, we have agreed to provide performance guarantees and guarantee loans for working capital purposes to the extent required by NetEase Advertising, Hangzhou Leihuo or Youdao Computer for their operations. Guangzhou NetEase, NetEase Advertising, Hangzhou Leihuo and Youdao Computer are each prohibited from incurring any debt without our prior approval.</w:t>
      </w:r>
    </w:p>
    <w:p>
      <w:pPr>
        <w:spacing w:after="0" w:line="179"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and with us. The joint venture was established concurrently with the licensing of games from Blizzard in August 2008 and provides technical services to Shanghai EaseNet.</w:t>
      </w:r>
    </w:p>
    <w:p>
      <w:pPr>
        <w:spacing w:after="0" w:line="179" w:lineRule="exact"/>
        <w:rPr>
          <w:sz w:val="20"/>
          <w:szCs w:val="20"/>
          <w:color w:val="auto"/>
        </w:rPr>
      </w:pPr>
    </w:p>
    <w:p>
      <w:pPr>
        <w:ind w:right="120" w:firstLine="617"/>
        <w:spacing w:after="0" w:line="289" w:lineRule="auto"/>
        <w:rPr>
          <w:sz w:val="20"/>
          <w:szCs w:val="20"/>
          <w:color w:val="auto"/>
        </w:rPr>
      </w:pPr>
      <w:r>
        <w:rPr>
          <w:rFonts w:ascii="Arial" w:cs="Arial" w:eastAsia="Arial" w:hAnsi="Arial"/>
          <w:sz w:val="16"/>
          <w:szCs w:val="16"/>
          <w:color w:val="auto"/>
        </w:rPr>
        <w:t>As a result of our contractual arrangements with these companies, we bear the risks of, and enjoy the rewards associated with, and therefore are the primary beneficiary of our investments in them. They are therefore considered our variable interest entities, and we consolidate the results of operations of these VIEs and their subsidiaries in our historical consolidated financial statements. See also Item 5 “Operating and Financial Review and Prospects.”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27" w:right="239" w:bottom="181" w:gutter="0" w:footer="0" w:header="0"/>
        </w:sectPr>
      </w:pPr>
    </w:p>
    <w:bookmarkStart w:id="24" w:name="page25"/>
    <w:bookmarkEnd w:id="24"/>
    <w:p>
      <w:pPr>
        <w:spacing w:after="0" w:line="15"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Any violations by Guangzhou NetEase, NetEase Advertising, Hangzhou Leihuo or any other VIEs of our agreements with them could disrupt our operations, degrade our services or shut down our services. See Item 3.D. “Risk Factors” for a detailed discussion of the risks to NetEase, Inc. regarding its dependency on these companies.</w:t>
      </w:r>
    </w:p>
    <w:p>
      <w:pPr>
        <w:spacing w:after="0" w:line="176" w:lineRule="exact"/>
        <w:rPr>
          <w:sz w:val="20"/>
          <w:szCs w:val="20"/>
          <w:color w:val="auto"/>
        </w:rPr>
      </w:pPr>
    </w:p>
    <w:p>
      <w:pPr>
        <w:ind w:right="180" w:firstLine="617"/>
        <w:spacing w:after="0" w:line="265" w:lineRule="auto"/>
        <w:rPr>
          <w:sz w:val="20"/>
          <w:szCs w:val="20"/>
          <w:color w:val="auto"/>
        </w:rPr>
      </w:pPr>
      <w:r>
        <w:rPr>
          <w:rFonts w:ascii="Arial" w:cs="Arial" w:eastAsia="Arial" w:hAnsi="Arial"/>
          <w:sz w:val="17"/>
          <w:szCs w:val="17"/>
          <w:color w:val="auto"/>
        </w:rPr>
        <w:t>Lede Inc. (previously named Ujia.com, Inc.), Lede (Hong Kong) Limited (previously named Ujia (Hong Kong) Limited), or Lede Hong Kong, and Lede Technology, were established by us in the second half of 2011. Lede Technology now operates our e-commerce business related to third-party lottery, insurance and other products.</w:t>
      </w:r>
    </w:p>
    <w:p>
      <w:pPr>
        <w:spacing w:after="0" w:line="176" w:lineRule="exact"/>
        <w:rPr>
          <w:sz w:val="20"/>
          <w:szCs w:val="20"/>
          <w:color w:val="auto"/>
        </w:rPr>
      </w:pPr>
    </w:p>
    <w:p>
      <w:pPr>
        <w:ind w:right="140" w:firstLine="617"/>
        <w:spacing w:after="0" w:line="265" w:lineRule="auto"/>
        <w:rPr>
          <w:sz w:val="20"/>
          <w:szCs w:val="20"/>
          <w:color w:val="auto"/>
        </w:rPr>
      </w:pPr>
      <w:r>
        <w:rPr>
          <w:rFonts w:ascii="Arial" w:cs="Arial" w:eastAsia="Arial" w:hAnsi="Arial"/>
          <w:sz w:val="17"/>
          <w:szCs w:val="17"/>
          <w:color w:val="auto"/>
        </w:rPr>
        <w:t>HQG Inc., HQG Limited and Hangzhou Youmai Technology Co., Ltd., or Hanghzou Youmai, were established by us in 2014. HQG Limited and Hangzhou Youmai now operate our cross-border e-commerce business. Hangzhou Netease Yanxuan Trading Co., Ltd. or Hangzhou Yanxuan, was established by us in 2016. Hangzhou Yanxuan now operates our e-commerce platform through which we sell our private label products.</w:t>
      </w:r>
    </w:p>
    <w:p>
      <w:pPr>
        <w:spacing w:after="0" w:line="176" w:lineRule="exact"/>
        <w:rPr>
          <w:sz w:val="20"/>
          <w:szCs w:val="20"/>
          <w:color w:val="auto"/>
        </w:rPr>
      </w:pPr>
    </w:p>
    <w:p>
      <w:pPr>
        <w:ind w:right="440" w:firstLine="617"/>
        <w:spacing w:after="0" w:line="278" w:lineRule="auto"/>
        <w:rPr>
          <w:sz w:val="20"/>
          <w:szCs w:val="20"/>
          <w:color w:val="auto"/>
        </w:rPr>
      </w:pPr>
      <w:r>
        <w:rPr>
          <w:rFonts w:ascii="Arial" w:cs="Arial" w:eastAsia="Arial" w:hAnsi="Arial"/>
          <w:sz w:val="17"/>
          <w:szCs w:val="17"/>
          <w:color w:val="auto"/>
        </w:rPr>
        <w:t>The following diagram shows the group structure of our principal subsidiaries and affiliated companies, other than our joint venture arrangements with Blizzard, which are described separately in this section.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313295" cy="5488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3295" cy="548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SERVICES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Online Games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PC-client Games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launched our first PC-client MMORPG, Westward Journey Online, in December 2001 and began charging users for playing time beginning in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January 2002. Subsequently, we launched Westward Journey Online II in August 2002 and our second internally developed PC-client MMORPG, Fantasy Westward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Journey, in January 2004. Westward Journey Online II and Fantasy Westward Journey were upgraded to New Westward Journey Online II and Fantasy Westward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Journey Online in 2013. We subsequently have launched a number of additional online games, as set forth in the table below.</w:t>
      </w:r>
    </w:p>
    <w:p>
      <w:pPr>
        <w:spacing w:after="0" w:line="205" w:lineRule="exact"/>
        <w:rPr>
          <w:sz w:val="20"/>
          <w:szCs w:val="20"/>
          <w:color w:val="auto"/>
        </w:rPr>
      </w:pPr>
    </w:p>
    <w:p>
      <w:pPr>
        <w:ind w:right="280" w:firstLine="617"/>
        <w:spacing w:after="0" w:line="347" w:lineRule="auto"/>
        <w:rPr>
          <w:sz w:val="20"/>
          <w:szCs w:val="20"/>
          <w:color w:val="auto"/>
        </w:rPr>
      </w:pPr>
      <w:r>
        <w:rPr>
          <w:rFonts w:ascii="Arial" w:cs="Arial" w:eastAsia="Arial" w:hAnsi="Arial"/>
          <w:sz w:val="15"/>
          <w:szCs w:val="15"/>
          <w:color w:val="auto"/>
        </w:rPr>
        <w:t>In 2016, we launched new expansion packs for several of our existing games, as set forth in the table below. Our principal internally developed games, in terms of the number of users and revenue generated, are Fantasy Westward Journey Online, New Westward Journey Online II, New Ghost, Revelation, Tianxia III</w:t>
      </w:r>
    </w:p>
    <w:p>
      <w:pPr>
        <w:sectPr>
          <w:pgSz w:w="11900" w:h="16853" w:orient="portrait"/>
          <w:cols w:equalWidth="0" w:num="1">
            <w:col w:w="11420"/>
          </w:cols>
          <w:pgMar w:left="240" w:top="127" w:right="239" w:bottom="0" w:gutter="0" w:footer="0" w:header="0"/>
        </w:sectPr>
      </w:pPr>
    </w:p>
    <w:bookmarkStart w:id="25" w:name="page26"/>
    <w:bookmarkEnd w:id="25"/>
    <w:p>
      <w:pPr>
        <w:ind w:right="260"/>
        <w:spacing w:after="0" w:line="278" w:lineRule="auto"/>
        <w:rPr>
          <w:sz w:val="20"/>
          <w:szCs w:val="20"/>
          <w:color w:val="auto"/>
        </w:rPr>
      </w:pPr>
      <w:r>
        <w:rPr>
          <w:rFonts w:ascii="Arial" w:cs="Arial" w:eastAsia="Arial" w:hAnsi="Arial"/>
          <w:sz w:val="17"/>
          <w:szCs w:val="17"/>
          <w:color w:val="auto"/>
        </w:rPr>
        <w:t>and Heroes of Tang Dynasty Zero. These games are PC-client MMORPGs set in classical Chinese-themed fantasy worlds. The following table sets forth these and certain of our other major PC-client games.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Date of Initial</w:t>
            </w:r>
          </w:p>
        </w:tc>
        <w:tc>
          <w:tcPr>
            <w:tcW w:w="2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Date of Issue of</w:t>
            </w:r>
          </w:p>
        </w:tc>
        <w:tc>
          <w:tcPr>
            <w:tcW w:w="0" w:type="dxa"/>
            <w:vAlign w:val="bottom"/>
          </w:tcPr>
          <w:p>
            <w:pPr>
              <w:spacing w:after="0"/>
              <w:rPr>
                <w:sz w:val="1"/>
                <w:szCs w:val="1"/>
                <w:color w:val="auto"/>
              </w:rPr>
            </w:pPr>
          </w:p>
        </w:tc>
      </w:tr>
      <w:tr>
        <w:trPr>
          <w:trHeight w:val="14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Game</w:t>
            </w:r>
          </w:p>
        </w:tc>
        <w:tc>
          <w:tcPr>
            <w:tcW w:w="300" w:type="dxa"/>
            <w:vAlign w:val="bottom"/>
          </w:tcPr>
          <w:p>
            <w:pPr>
              <w:spacing w:after="0"/>
              <w:rPr>
                <w:sz w:val="12"/>
                <w:szCs w:val="12"/>
                <w:color w:val="auto"/>
              </w:rPr>
            </w:pP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Genre</w:t>
            </w:r>
          </w:p>
        </w:tc>
        <w:tc>
          <w:tcPr>
            <w:tcW w:w="1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Commercial</w:t>
            </w:r>
          </w:p>
        </w:tc>
        <w:tc>
          <w:tcPr>
            <w:tcW w:w="280" w:type="dxa"/>
            <w:vAlign w:val="bottom"/>
          </w:tcPr>
          <w:p>
            <w:pPr>
              <w:spacing w:after="0"/>
              <w:rPr>
                <w:sz w:val="12"/>
                <w:szCs w:val="12"/>
                <w:color w:val="auto"/>
              </w:rPr>
            </w:pPr>
          </w:p>
        </w:tc>
        <w:tc>
          <w:tcPr>
            <w:tcW w:w="18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Latest Expansion</w:t>
            </w:r>
          </w:p>
        </w:tc>
        <w:tc>
          <w:tcPr>
            <w:tcW w:w="0" w:type="dxa"/>
            <w:vAlign w:val="bottom"/>
          </w:tcPr>
          <w:p>
            <w:pPr>
              <w:spacing w:after="0"/>
              <w:rPr>
                <w:sz w:val="1"/>
                <w:szCs w:val="1"/>
                <w:color w:val="auto"/>
              </w:rPr>
            </w:pPr>
          </w:p>
        </w:tc>
      </w:tr>
      <w:tr>
        <w:trPr>
          <w:trHeight w:val="164"/>
        </w:trPr>
        <w:tc>
          <w:tcPr>
            <w:tcW w:w="2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980" w:type="dxa"/>
            <w:vAlign w:val="bottom"/>
          </w:tcPr>
          <w:p>
            <w:pPr>
              <w:ind w:left="800"/>
              <w:spacing w:after="0"/>
              <w:rPr>
                <w:sz w:val="20"/>
                <w:szCs w:val="20"/>
                <w:color w:val="auto"/>
              </w:rPr>
            </w:pPr>
            <w:r>
              <w:rPr>
                <w:rFonts w:ascii="Arial" w:cs="Arial" w:eastAsia="Arial" w:hAnsi="Arial"/>
                <w:sz w:val="14"/>
                <w:szCs w:val="14"/>
                <w:b w:val="1"/>
                <w:bCs w:val="1"/>
                <w:color w:val="auto"/>
              </w:rPr>
              <w:t>Model</w:t>
            </w:r>
          </w:p>
        </w:tc>
        <w:tc>
          <w:tcPr>
            <w:tcW w:w="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Launch</w:t>
            </w:r>
          </w:p>
        </w:tc>
        <w:tc>
          <w:tcPr>
            <w:tcW w:w="2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Pack</w:t>
            </w:r>
          </w:p>
        </w:tc>
        <w:tc>
          <w:tcPr>
            <w:tcW w:w="0" w:type="dxa"/>
            <w:vAlign w:val="bottom"/>
          </w:tcPr>
          <w:p>
            <w:pPr>
              <w:spacing w:after="0"/>
              <w:rPr>
                <w:sz w:val="1"/>
                <w:szCs w:val="1"/>
                <w:color w:val="auto"/>
              </w:rPr>
            </w:pPr>
          </w:p>
        </w:tc>
      </w:tr>
      <w:tr>
        <w:trPr>
          <w:trHeight w:val="186"/>
        </w:trPr>
        <w:tc>
          <w:tcPr>
            <w:tcW w:w="240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Tianxia III</w:t>
            </w:r>
          </w:p>
        </w:tc>
        <w:tc>
          <w:tcPr>
            <w:tcW w:w="30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3D MMORPG,</w:t>
            </w:r>
          </w:p>
        </w:tc>
        <w:tc>
          <w:tcPr>
            <w:tcW w:w="2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Item-Based</w:t>
            </w:r>
          </w:p>
        </w:tc>
        <w:tc>
          <w:tcPr>
            <w:tcW w:w="30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October 2011</w:t>
            </w:r>
          </w:p>
        </w:tc>
        <w:tc>
          <w:tcPr>
            <w:tcW w:w="28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December 2016</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line="194" w:lineRule="exact"/>
              <w:rPr>
                <w:sz w:val="20"/>
                <w:szCs w:val="20"/>
                <w:color w:val="auto"/>
              </w:rPr>
            </w:pPr>
            <w:r>
              <w:rPr>
                <w:rFonts w:ascii="Arial" w:cs="Arial" w:eastAsia="Arial" w:hAnsi="Arial"/>
                <w:sz w:val="17"/>
                <w:szCs w:val="17"/>
                <w:color w:val="auto"/>
                <w:w w:val="94"/>
              </w:rPr>
              <w:t>New Westward Journey Online III</w:t>
            </w:r>
          </w:p>
        </w:tc>
        <w:tc>
          <w:tcPr>
            <w:tcW w:w="278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2D MMORPG,</w:t>
            </w:r>
          </w:p>
        </w:tc>
        <w:tc>
          <w:tcPr>
            <w:tcW w:w="1980" w:type="dxa"/>
            <w:vAlign w:val="bottom"/>
          </w:tcPr>
          <w:p>
            <w:pPr>
              <w:spacing w:after="0" w:line="194" w:lineRule="exact"/>
              <w:rPr>
                <w:sz w:val="20"/>
                <w:szCs w:val="20"/>
                <w:color w:val="auto"/>
              </w:rPr>
            </w:pPr>
            <w:r>
              <w:rPr>
                <w:rFonts w:ascii="Arial" w:cs="Arial" w:eastAsia="Arial" w:hAnsi="Arial"/>
                <w:sz w:val="17"/>
                <w:szCs w:val="17"/>
                <w:color w:val="auto"/>
              </w:rPr>
              <w:t>Time-Based</w:t>
            </w:r>
          </w:p>
        </w:tc>
        <w:tc>
          <w:tcPr>
            <w:tcW w:w="21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May 2013</w:t>
            </w:r>
          </w:p>
        </w:tc>
        <w:tc>
          <w:tcPr>
            <w:tcW w:w="208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August 2016</w:t>
            </w: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7"/>
                <w:szCs w:val="17"/>
                <w:color w:val="auto"/>
                <w:w w:val="99"/>
              </w:rPr>
              <w:t>(a comprehensive upgrade of</w:t>
            </w:r>
          </w:p>
        </w:tc>
        <w:tc>
          <w:tcPr>
            <w:tcW w:w="2780" w:type="dxa"/>
            <w:vAlign w:val="bottom"/>
            <w:gridSpan w:val="3"/>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180"/>
              <w:spacing w:after="0"/>
              <w:rPr>
                <w:sz w:val="20"/>
                <w:szCs w:val="20"/>
                <w:color w:val="auto"/>
              </w:rPr>
            </w:pPr>
            <w:r>
              <w:rPr>
                <w:rFonts w:ascii="Arial" w:cs="Arial" w:eastAsia="Arial" w:hAnsi="Arial"/>
                <w:sz w:val="17"/>
                <w:szCs w:val="17"/>
                <w:color w:val="auto"/>
              </w:rPr>
              <w:t>Westward Journey Online III)</w:t>
            </w: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1"/>
              </w:rPr>
              <w:t>Fantasy Westward Journey Online</w:t>
            </w:r>
          </w:p>
        </w:tc>
        <w:tc>
          <w:tcPr>
            <w:tcW w:w="278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2D MMORPG,</w:t>
            </w:r>
          </w:p>
        </w:tc>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Time-Based</w:t>
            </w:r>
          </w:p>
        </w:tc>
        <w:tc>
          <w:tcPr>
            <w:tcW w:w="218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July 2013</w:t>
            </w:r>
          </w:p>
        </w:tc>
        <w:tc>
          <w:tcPr>
            <w:tcW w:w="208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January 2017</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(a comprehensive upgrade of</w:t>
            </w:r>
          </w:p>
        </w:tc>
        <w:tc>
          <w:tcPr>
            <w:tcW w:w="27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Fantasy Westward Journey)</w:t>
            </w: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line="194" w:lineRule="exact"/>
              <w:rPr>
                <w:sz w:val="20"/>
                <w:szCs w:val="20"/>
                <w:color w:val="auto"/>
              </w:rPr>
            </w:pPr>
            <w:r>
              <w:rPr>
                <w:rFonts w:ascii="Arial" w:cs="Arial" w:eastAsia="Arial" w:hAnsi="Arial"/>
                <w:sz w:val="17"/>
                <w:szCs w:val="17"/>
                <w:color w:val="auto"/>
                <w:w w:val="96"/>
              </w:rPr>
              <w:t>New Westward Journey Online II</w:t>
            </w:r>
          </w:p>
        </w:tc>
        <w:tc>
          <w:tcPr>
            <w:tcW w:w="278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2D MMORPG,</w:t>
            </w:r>
          </w:p>
        </w:tc>
        <w:tc>
          <w:tcPr>
            <w:tcW w:w="1980" w:type="dxa"/>
            <w:vAlign w:val="bottom"/>
          </w:tcPr>
          <w:p>
            <w:pPr>
              <w:spacing w:after="0" w:line="194" w:lineRule="exact"/>
              <w:rPr>
                <w:sz w:val="20"/>
                <w:szCs w:val="20"/>
                <w:color w:val="auto"/>
              </w:rPr>
            </w:pPr>
            <w:r>
              <w:rPr>
                <w:rFonts w:ascii="Arial" w:cs="Arial" w:eastAsia="Arial" w:hAnsi="Arial"/>
                <w:sz w:val="17"/>
                <w:szCs w:val="17"/>
                <w:color w:val="auto"/>
              </w:rPr>
              <w:t>Time-Based</w:t>
            </w:r>
          </w:p>
        </w:tc>
        <w:tc>
          <w:tcPr>
            <w:tcW w:w="21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September 2013</w:t>
            </w:r>
          </w:p>
        </w:tc>
        <w:tc>
          <w:tcPr>
            <w:tcW w:w="208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June 2016</w:t>
            </w: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7"/>
                <w:szCs w:val="17"/>
                <w:color w:val="auto"/>
                <w:w w:val="99"/>
              </w:rPr>
              <w:t>(a comprehensive upgrade of</w:t>
            </w:r>
          </w:p>
        </w:tc>
        <w:tc>
          <w:tcPr>
            <w:tcW w:w="2780" w:type="dxa"/>
            <w:vAlign w:val="bottom"/>
            <w:gridSpan w:val="3"/>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tcPr>
          <w:p>
            <w:pPr>
              <w:spacing w:after="0"/>
              <w:rPr>
                <w:sz w:val="20"/>
                <w:szCs w:val="20"/>
                <w:color w:val="auto"/>
              </w:rPr>
            </w:pPr>
            <w:r>
              <w:rPr>
                <w:rFonts w:ascii="Arial" w:cs="Arial" w:eastAsia="Arial" w:hAnsi="Arial"/>
                <w:sz w:val="17"/>
                <w:szCs w:val="17"/>
                <w:color w:val="auto"/>
              </w:rPr>
              <w:t>Item-Based</w:t>
            </w:r>
          </w:p>
        </w:tc>
        <w:tc>
          <w:tcPr>
            <w:tcW w:w="2180" w:type="dxa"/>
            <w:vAlign w:val="bottom"/>
            <w:gridSpan w:val="2"/>
          </w:tcPr>
          <w:p>
            <w:pPr>
              <w:ind w:left="300"/>
              <w:spacing w:after="0"/>
              <w:rPr>
                <w:sz w:val="20"/>
                <w:szCs w:val="20"/>
                <w:color w:val="auto"/>
              </w:rPr>
            </w:pPr>
            <w:r>
              <w:rPr>
                <w:rFonts w:ascii="Arial" w:cs="Arial" w:eastAsia="Arial" w:hAnsi="Arial"/>
                <w:sz w:val="17"/>
                <w:szCs w:val="17"/>
                <w:color w:val="auto"/>
              </w:rPr>
              <w:t>August 2014</w:t>
            </w:r>
          </w:p>
        </w:tc>
        <w:tc>
          <w:tcPr>
            <w:tcW w:w="2080" w:type="dxa"/>
            <w:vAlign w:val="bottom"/>
            <w:gridSpan w:val="2"/>
          </w:tcPr>
          <w:p>
            <w:pPr>
              <w:ind w:left="280"/>
              <w:spacing w:after="0"/>
              <w:rPr>
                <w:sz w:val="20"/>
                <w:szCs w:val="20"/>
                <w:color w:val="auto"/>
              </w:rPr>
            </w:pPr>
            <w:r>
              <w:rPr>
                <w:rFonts w:ascii="Arial" w:cs="Arial" w:eastAsia="Arial" w:hAnsi="Arial"/>
                <w:sz w:val="17"/>
                <w:szCs w:val="17"/>
                <w:color w:val="auto"/>
              </w:rPr>
              <w:t>June 2016</w:t>
            </w:r>
          </w:p>
        </w:tc>
        <w:tc>
          <w:tcPr>
            <w:tcW w:w="0" w:type="dxa"/>
            <w:vAlign w:val="bottom"/>
          </w:tcPr>
          <w:p>
            <w:pPr>
              <w:spacing w:after="0"/>
              <w:rPr>
                <w:sz w:val="1"/>
                <w:szCs w:val="1"/>
                <w:color w:val="auto"/>
              </w:rPr>
            </w:pPr>
          </w:p>
        </w:tc>
      </w:tr>
      <w:tr>
        <w:trPr>
          <w:trHeight w:val="217"/>
        </w:trPr>
        <w:tc>
          <w:tcPr>
            <w:tcW w:w="2400" w:type="dxa"/>
            <w:vAlign w:val="bottom"/>
          </w:tcPr>
          <w:p>
            <w:pPr>
              <w:ind w:left="180"/>
              <w:spacing w:after="0"/>
              <w:rPr>
                <w:sz w:val="20"/>
                <w:szCs w:val="20"/>
                <w:color w:val="auto"/>
              </w:rPr>
            </w:pPr>
            <w:r>
              <w:rPr>
                <w:rFonts w:ascii="Arial" w:cs="Arial" w:eastAsia="Arial" w:hAnsi="Arial"/>
                <w:sz w:val="17"/>
                <w:szCs w:val="17"/>
                <w:color w:val="auto"/>
              </w:rPr>
              <w:t>Westward Journey Online II)</w:t>
            </w: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Heroes of Tang Dynasty Zero (a</w:t>
            </w:r>
          </w:p>
        </w:tc>
        <w:tc>
          <w:tcPr>
            <w:tcW w:w="278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2.5D MMORPG,</w:t>
            </w:r>
          </w:p>
        </w:tc>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Item-Based</w:t>
            </w:r>
          </w:p>
        </w:tc>
        <w:tc>
          <w:tcPr>
            <w:tcW w:w="218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August 2014</w:t>
            </w:r>
          </w:p>
        </w:tc>
        <w:tc>
          <w:tcPr>
            <w:tcW w:w="208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December 2016</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upgrade of</w:t>
            </w:r>
          </w:p>
        </w:tc>
        <w:tc>
          <w:tcPr>
            <w:tcW w:w="27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Heroes of Tang Dynasty II)</w:t>
            </w:r>
          </w:p>
        </w:tc>
        <w:tc>
          <w:tcPr>
            <w:tcW w:w="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line="194" w:lineRule="exact"/>
              <w:rPr>
                <w:sz w:val="20"/>
                <w:szCs w:val="20"/>
                <w:color w:val="auto"/>
              </w:rPr>
            </w:pPr>
            <w:r>
              <w:rPr>
                <w:rFonts w:ascii="Arial" w:cs="Arial" w:eastAsia="Arial" w:hAnsi="Arial"/>
                <w:sz w:val="17"/>
                <w:szCs w:val="17"/>
                <w:color w:val="auto"/>
              </w:rPr>
              <w:t>Kung Fu Master II (a</w:t>
            </w:r>
          </w:p>
        </w:tc>
        <w:tc>
          <w:tcPr>
            <w:tcW w:w="278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2.5D MMORPG,</w:t>
            </w:r>
          </w:p>
        </w:tc>
        <w:tc>
          <w:tcPr>
            <w:tcW w:w="1980" w:type="dxa"/>
            <w:vAlign w:val="bottom"/>
          </w:tcPr>
          <w:p>
            <w:pPr>
              <w:spacing w:after="0" w:line="194" w:lineRule="exact"/>
              <w:rPr>
                <w:sz w:val="20"/>
                <w:szCs w:val="20"/>
                <w:color w:val="auto"/>
              </w:rPr>
            </w:pPr>
            <w:r>
              <w:rPr>
                <w:rFonts w:ascii="Arial" w:cs="Arial" w:eastAsia="Arial" w:hAnsi="Arial"/>
                <w:sz w:val="17"/>
                <w:szCs w:val="17"/>
                <w:color w:val="auto"/>
              </w:rPr>
              <w:t>Item-Based</w:t>
            </w:r>
          </w:p>
        </w:tc>
        <w:tc>
          <w:tcPr>
            <w:tcW w:w="21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October 2014</w:t>
            </w:r>
          </w:p>
        </w:tc>
        <w:tc>
          <w:tcPr>
            <w:tcW w:w="208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October 2016</w:t>
            </w: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7"/>
                <w:szCs w:val="17"/>
                <w:color w:val="auto"/>
              </w:rPr>
              <w:t>comprehensive upgrade of</w:t>
            </w:r>
          </w:p>
        </w:tc>
        <w:tc>
          <w:tcPr>
            <w:tcW w:w="2780" w:type="dxa"/>
            <w:vAlign w:val="bottom"/>
            <w:gridSpan w:val="3"/>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180"/>
              <w:spacing w:after="0"/>
              <w:rPr>
                <w:sz w:val="20"/>
                <w:szCs w:val="20"/>
                <w:color w:val="auto"/>
              </w:rPr>
            </w:pPr>
            <w:r>
              <w:rPr>
                <w:rFonts w:ascii="Arial" w:cs="Arial" w:eastAsia="Arial" w:hAnsi="Arial"/>
                <w:sz w:val="17"/>
                <w:szCs w:val="17"/>
                <w:color w:val="auto"/>
              </w:rPr>
              <w:t>Kung Fu Master)</w:t>
            </w: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Revelation</w:t>
            </w:r>
          </w:p>
        </w:tc>
        <w:tc>
          <w:tcPr>
            <w:tcW w:w="278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3D MMORPG,</w:t>
            </w:r>
          </w:p>
        </w:tc>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Item-Based</w:t>
            </w:r>
          </w:p>
        </w:tc>
        <w:tc>
          <w:tcPr>
            <w:tcW w:w="218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January 2015</w:t>
            </w:r>
          </w:p>
        </w:tc>
        <w:tc>
          <w:tcPr>
            <w:tcW w:w="208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December 2016</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line="194" w:lineRule="exact"/>
              <w:rPr>
                <w:sz w:val="20"/>
                <w:szCs w:val="20"/>
                <w:color w:val="auto"/>
              </w:rPr>
            </w:pPr>
            <w:r>
              <w:rPr>
                <w:rFonts w:ascii="Arial" w:cs="Arial" w:eastAsia="Arial" w:hAnsi="Arial"/>
                <w:sz w:val="17"/>
                <w:szCs w:val="17"/>
                <w:color w:val="auto"/>
              </w:rPr>
              <w:t>Demon Seals</w:t>
            </w:r>
          </w:p>
        </w:tc>
        <w:tc>
          <w:tcPr>
            <w:tcW w:w="278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2.5D MMORPG,</w:t>
            </w:r>
          </w:p>
        </w:tc>
        <w:tc>
          <w:tcPr>
            <w:tcW w:w="1980" w:type="dxa"/>
            <w:vAlign w:val="bottom"/>
          </w:tcPr>
          <w:p>
            <w:pPr>
              <w:spacing w:after="0" w:line="194" w:lineRule="exact"/>
              <w:rPr>
                <w:sz w:val="20"/>
                <w:szCs w:val="20"/>
                <w:color w:val="auto"/>
              </w:rPr>
            </w:pPr>
            <w:r>
              <w:rPr>
                <w:rFonts w:ascii="Arial" w:cs="Arial" w:eastAsia="Arial" w:hAnsi="Arial"/>
                <w:sz w:val="17"/>
                <w:szCs w:val="17"/>
                <w:color w:val="auto"/>
              </w:rPr>
              <w:t>Item-Based</w:t>
            </w:r>
          </w:p>
        </w:tc>
        <w:tc>
          <w:tcPr>
            <w:tcW w:w="21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April 2015</w:t>
            </w:r>
          </w:p>
        </w:tc>
        <w:tc>
          <w:tcPr>
            <w:tcW w:w="2080" w:type="dxa"/>
            <w:vAlign w:val="bottom"/>
            <w:gridSpan w:val="2"/>
          </w:tcPr>
          <w:p>
            <w:pPr>
              <w:ind w:left="280"/>
              <w:spacing w:after="0" w:line="194" w:lineRule="exact"/>
              <w:rPr>
                <w:sz w:val="20"/>
                <w:szCs w:val="20"/>
                <w:color w:val="auto"/>
              </w:rPr>
            </w:pPr>
            <w:r>
              <w:rPr>
                <w:rFonts w:ascii="Arial" w:cs="Arial" w:eastAsia="Arial" w:hAnsi="Arial"/>
                <w:sz w:val="17"/>
                <w:szCs w:val="17"/>
                <w:color w:val="auto"/>
              </w:rPr>
              <w:t>November 2016</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2780" w:type="dxa"/>
            <w:vAlign w:val="bottom"/>
            <w:gridSpan w:val="3"/>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New Ghost (a new version of</w:t>
            </w:r>
          </w:p>
        </w:tc>
        <w:tc>
          <w:tcPr>
            <w:tcW w:w="278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2.5D MMORPG,</w:t>
            </w:r>
          </w:p>
        </w:tc>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Item-Based</w:t>
            </w:r>
          </w:p>
        </w:tc>
        <w:tc>
          <w:tcPr>
            <w:tcW w:w="218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September 2015</w:t>
            </w:r>
          </w:p>
        </w:tc>
        <w:tc>
          <w:tcPr>
            <w:tcW w:w="208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December 2016</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Ghost II)</w:t>
            </w:r>
          </w:p>
        </w:tc>
        <w:tc>
          <w:tcPr>
            <w:tcW w:w="278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classical Chinese setting</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617"/>
        <w:spacing w:after="0" w:line="301" w:lineRule="auto"/>
        <w:rPr>
          <w:sz w:val="20"/>
          <w:szCs w:val="20"/>
          <w:color w:val="auto"/>
        </w:rPr>
      </w:pPr>
      <w:r>
        <w:rPr>
          <w:rFonts w:ascii="Arial" w:cs="Arial" w:eastAsia="Arial" w:hAnsi="Arial"/>
          <w:sz w:val="15"/>
          <w:szCs w:val="15"/>
          <w:color w:val="auto"/>
        </w:rPr>
        <w:t>Our PC-client game titles can be accessed from any location with an Internet connection by registered users of the NetEase websites. Users may enter our network with a password and a user ID after downloading our installation software. Players of these games select a specific character to begin play. Over the course of play, these characters build up experience and enhanced game capabilities, wealth, weapons and other possessions, all of which may be carried over into subsequent gaming sessions. In our item-based games, players can also purchase virtual items that enhance their playing experience such as special powers, costumes, weapons and other accessories. We regularly introduce new virtual items or change the features of virtual items based on player feedback, market trends and other factors.</w:t>
      </w:r>
    </w:p>
    <w:p>
      <w:pPr>
        <w:spacing w:after="0" w:line="153" w:lineRule="exact"/>
        <w:rPr>
          <w:sz w:val="20"/>
          <w:szCs w:val="20"/>
          <w:color w:val="auto"/>
        </w:rPr>
      </w:pPr>
    </w:p>
    <w:p>
      <w:pPr>
        <w:jc w:val="both"/>
        <w:ind w:right="20" w:firstLine="617"/>
        <w:spacing w:after="0" w:line="289" w:lineRule="auto"/>
        <w:rPr>
          <w:sz w:val="20"/>
          <w:szCs w:val="20"/>
          <w:color w:val="auto"/>
        </w:rPr>
      </w:pPr>
      <w:r>
        <w:rPr>
          <w:rFonts w:ascii="Arial" w:cs="Arial" w:eastAsia="Arial" w:hAnsi="Arial"/>
          <w:sz w:val="16"/>
          <w:szCs w:val="16"/>
          <w:color w:val="auto"/>
        </w:rPr>
        <w:t>Players develop their characters according to choices they make within the construct of the game. Players also interact with computer operated characters as well as with other players that are playing on the same network server. Players are able to communicate with each other during the game through instant messaging or chatting features, allowing them to coordinate their activities with other players to form groups and achieve collective objectives.</w:t>
      </w:r>
    </w:p>
    <w:p>
      <w:pPr>
        <w:spacing w:after="0" w:line="159" w:lineRule="exact"/>
        <w:rPr>
          <w:sz w:val="20"/>
          <w:szCs w:val="20"/>
          <w:color w:val="auto"/>
        </w:rPr>
      </w:pPr>
    </w:p>
    <w:p>
      <w:pPr>
        <w:jc w:val="both"/>
        <w:ind w:right="80" w:firstLine="617"/>
        <w:spacing w:after="0" w:line="289" w:lineRule="auto"/>
        <w:rPr>
          <w:sz w:val="20"/>
          <w:szCs w:val="20"/>
          <w:color w:val="auto"/>
        </w:rPr>
      </w:pPr>
      <w:r>
        <w:rPr>
          <w:rFonts w:ascii="Arial" w:cs="Arial" w:eastAsia="Arial" w:hAnsi="Arial"/>
          <w:sz w:val="16"/>
          <w:szCs w:val="16"/>
          <w:color w:val="auto"/>
        </w:rPr>
        <w:t>Other than those aforementioned comprehensive upgrades, we periodically develop and release expansion packs, which expand game content and gameplay features for previously launched games. These periodic expansion packs are designed to retain the interest of existing users and to attract new users. The timing and success of periodic expansion packs have a strong influence on the popularity and profitability of online games.</w:t>
      </w:r>
    </w:p>
    <w:p>
      <w:pPr>
        <w:spacing w:after="0" w:line="159" w:lineRule="exact"/>
        <w:rPr>
          <w:sz w:val="20"/>
          <w:szCs w:val="20"/>
          <w:color w:val="auto"/>
        </w:rPr>
      </w:pPr>
    </w:p>
    <w:p>
      <w:pPr>
        <w:ind w:right="280" w:firstLine="617"/>
        <w:spacing w:after="0" w:line="265" w:lineRule="auto"/>
        <w:rPr>
          <w:sz w:val="20"/>
          <w:szCs w:val="20"/>
          <w:color w:val="auto"/>
        </w:rPr>
      </w:pPr>
      <w:r>
        <w:rPr>
          <w:rFonts w:ascii="Arial" w:cs="Arial" w:eastAsia="Arial" w:hAnsi="Arial"/>
          <w:sz w:val="17"/>
          <w:szCs w:val="17"/>
          <w:color w:val="auto"/>
        </w:rPr>
        <w:t>Users of our time-based games, such as New Westward Journey Online II, Fantasy Westward Journey Online and New Westward Journey Online III, pay RMB0.60 (US$0.10) per hour of game playing time. For our item-based games, such as Tianxia III, Heroes of Tang Dynasty Zero, New Ghost, Revelation and Demon Seals, we charge users a separate fee for each virtual item purchased within the games.</w:t>
      </w:r>
    </w:p>
    <w:p>
      <w:pPr>
        <w:spacing w:after="0" w:line="176"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In connection with the introduction of our online games, we developed a prepaid point card to facilitate payment of fees for our online games services and, to a lesser extent, our other fee-based value-added services. Users can buy prepaid point cards at a variety of locations in China, including Internet cafés, convenience stores, software stores, bookstores and newspaper stands. Electronic point cards can also be purchased through credit cards or online payment platforms through which players can directly credit their accounts. Each prepaid card contains an account number and a password. The points represented by these cards can then be transferred into users’ individual accounts on the NetEase websites and used to pay for our online services, primarily playing time for online games. We also utilize our point cards for the payment of virtual items as we launch item-based games for which playing time is free and players may purchase various virtual items to enhance their game playing experience.</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Mobile Games</w:t>
      </w:r>
    </w:p>
    <w:p>
      <w:pPr>
        <w:spacing w:after="0" w:line="216" w:lineRule="exact"/>
        <w:rPr>
          <w:sz w:val="20"/>
          <w:szCs w:val="20"/>
          <w:color w:val="auto"/>
        </w:rPr>
      </w:pPr>
    </w:p>
    <w:p>
      <w:pPr>
        <w:ind w:right="20" w:firstLine="617"/>
        <w:spacing w:after="0" w:line="279" w:lineRule="auto"/>
        <w:rPr>
          <w:sz w:val="20"/>
          <w:szCs w:val="20"/>
          <w:color w:val="auto"/>
        </w:rPr>
      </w:pPr>
      <w:r>
        <w:rPr>
          <w:rFonts w:ascii="Arial" w:cs="Arial" w:eastAsia="Arial" w:hAnsi="Arial"/>
          <w:sz w:val="16"/>
          <w:szCs w:val="16"/>
          <w:color w:val="auto"/>
        </w:rPr>
        <w:t>Mobile games have gained increasing popularity and user base as Internet users in China rely more and more on mobile devices, such as smart phones and tablets, to access the Internet. In response to this trend, we are developing games that can be operated on mobile devices. As of December 31, 2016, we have commercially launched over 100 mobile games of various genres, including self-developed and licensed casual, shooting, strategy and MMORPG games. To date, the majority of our most popular games are the mobile versions of our self-developed PC-client MMORPGs, such as the Fantasy Westward Journey and Westward Journey Online mobile games and the mobile version of New Ghost, Onmyoji, Invincible and Heroes of Tang Dynasty mobile.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00" w:firstLine="617"/>
        <w:spacing w:after="0" w:line="261" w:lineRule="auto"/>
        <w:rPr>
          <w:sz w:val="20"/>
          <w:szCs w:val="20"/>
          <w:color w:val="auto"/>
        </w:rPr>
      </w:pPr>
      <w:r>
        <w:rPr>
          <w:rFonts w:ascii="Arial" w:cs="Arial" w:eastAsia="Arial" w:hAnsi="Arial"/>
          <w:sz w:val="17"/>
          <w:szCs w:val="17"/>
          <w:color w:val="auto"/>
        </w:rPr>
        <w:t>We distribute our mobile games through partnerships with major Android- and iOS-based app stores in China as well as proprietary distribution channels, such as our website and the NetEase News App. Mobile game revenues are primarily derived from sales of in-game virtual items, including avatars, skills, privileges or other in-game consumables, features or functionality within our games. Users have a variety of payment options for in-game virtual items, including our prepaid cards, online payments through app stores and other online payment channels.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certain of our mobile games, we periodically introduce content updates to maintain our users’ interest.</w:t>
      </w:r>
    </w:p>
    <w:p>
      <w:pPr>
        <w:sectPr>
          <w:pgSz w:w="11900" w:h="16838" w:orient="portrait"/>
          <w:cols w:equalWidth="0" w:num="1">
            <w:col w:w="11420"/>
          </w:cols>
          <w:pgMar w:left="240" w:top="127" w:right="239" w:bottom="0" w:gutter="0" w:footer="0" w:header="0"/>
        </w:sectPr>
      </w:pPr>
    </w:p>
    <w:bookmarkStart w:id="26" w:name="page27"/>
    <w:bookmarkEnd w:id="26"/>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Game Masters and Customer Service</w:t>
      </w:r>
    </w:p>
    <w:p>
      <w:pPr>
        <w:spacing w:after="0" w:line="216" w:lineRule="exact"/>
        <w:rPr>
          <w:sz w:val="20"/>
          <w:szCs w:val="20"/>
          <w:color w:val="auto"/>
        </w:rPr>
      </w:pPr>
    </w:p>
    <w:p>
      <w:pPr>
        <w:ind w:right="60" w:firstLine="617"/>
        <w:spacing w:after="0" w:line="311" w:lineRule="auto"/>
        <w:rPr>
          <w:sz w:val="20"/>
          <w:szCs w:val="20"/>
          <w:color w:val="auto"/>
        </w:rPr>
      </w:pPr>
      <w:r>
        <w:rPr>
          <w:rFonts w:ascii="Arial" w:cs="Arial" w:eastAsia="Arial" w:hAnsi="Arial"/>
          <w:sz w:val="16"/>
          <w:szCs w:val="16"/>
          <w:color w:val="auto"/>
        </w:rPr>
        <w:t>Gameplay for both our PC-client and mobile MMORPG are monitored by game masters, who appear as game characters within the game world and provide assistance and guidance to players, as well as policing behavior of players in the game world to maintain an atmosphere of fun and fair play.</w:t>
      </w:r>
    </w:p>
    <w:p>
      <w:pPr>
        <w:spacing w:after="0" w:line="141" w:lineRule="exact"/>
        <w:rPr>
          <w:sz w:val="20"/>
          <w:szCs w:val="20"/>
          <w:color w:val="auto"/>
        </w:rPr>
      </w:pPr>
    </w:p>
    <w:p>
      <w:pPr>
        <w:ind w:right="120" w:firstLine="617"/>
        <w:spacing w:after="0" w:line="261" w:lineRule="auto"/>
        <w:rPr>
          <w:sz w:val="20"/>
          <w:szCs w:val="20"/>
          <w:color w:val="auto"/>
        </w:rPr>
      </w:pPr>
      <w:r>
        <w:rPr>
          <w:rFonts w:ascii="Arial" w:cs="Arial" w:eastAsia="Arial" w:hAnsi="Arial"/>
          <w:sz w:val="17"/>
          <w:szCs w:val="17"/>
          <w:color w:val="auto"/>
        </w:rPr>
        <w:t>In addition, we believe that providing strong, dependable customer support is a key component to success in the online games business. Our customer service center provides 24 hour-a-day, 7 day-a-week customer service and technical support and can be contacted via telephone or e-mail. As of December 31, 2016, our company employed approximately 1,800 personnel in our call center as customer service specialists for our online games as well as for our other services, of which 546 personnel provided customer service support for games licensed from Blizzard.</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Game Licensing and Joint Venture with Blizzard</w:t>
      </w:r>
    </w:p>
    <w:p>
      <w:pPr>
        <w:spacing w:after="0" w:line="216" w:lineRule="exact"/>
        <w:rPr>
          <w:sz w:val="20"/>
          <w:szCs w:val="20"/>
          <w:color w:val="auto"/>
        </w:rPr>
      </w:pPr>
    </w:p>
    <w:p>
      <w:pPr>
        <w:ind w:right="680" w:firstLine="617"/>
        <w:spacing w:after="0" w:line="278" w:lineRule="auto"/>
        <w:rPr>
          <w:sz w:val="20"/>
          <w:szCs w:val="20"/>
          <w:color w:val="auto"/>
        </w:rPr>
      </w:pPr>
      <w:r>
        <w:rPr>
          <w:rFonts w:ascii="Arial" w:cs="Arial" w:eastAsia="Arial" w:hAnsi="Arial"/>
          <w:sz w:val="17"/>
          <w:szCs w:val="17"/>
          <w:color w:val="auto"/>
        </w:rPr>
        <w:t>Commencing in August 2008, Blizzard has entered in various license agreements to license to Shanghai EaseNet on an exclusive basis in China the following PC-client and mobile games: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Date of Initial</w:t>
            </w:r>
          </w:p>
        </w:tc>
        <w:tc>
          <w:tcPr>
            <w:tcW w:w="2280" w:type="dxa"/>
            <w:vAlign w:val="bottom"/>
          </w:tcPr>
          <w:p>
            <w:pPr>
              <w:ind w:left="720"/>
              <w:spacing w:after="0"/>
              <w:rPr>
                <w:sz w:val="20"/>
                <w:szCs w:val="20"/>
                <w:color w:val="auto"/>
              </w:rPr>
            </w:pPr>
            <w:r>
              <w:rPr>
                <w:rFonts w:ascii="Arial" w:cs="Arial" w:eastAsia="Arial" w:hAnsi="Arial"/>
                <w:sz w:val="14"/>
                <w:szCs w:val="14"/>
                <w:b w:val="1"/>
                <w:bCs w:val="1"/>
                <w:color w:val="auto"/>
              </w:rPr>
              <w:t>Date of Initial</w:t>
            </w:r>
          </w:p>
        </w:tc>
        <w:tc>
          <w:tcPr>
            <w:tcW w:w="0" w:type="dxa"/>
            <w:vAlign w:val="bottom"/>
          </w:tcPr>
          <w:p>
            <w:pPr>
              <w:spacing w:after="0"/>
              <w:rPr>
                <w:sz w:val="1"/>
                <w:szCs w:val="1"/>
                <w:color w:val="auto"/>
              </w:rPr>
            </w:pPr>
          </w:p>
        </w:tc>
      </w:tr>
      <w:tr>
        <w:trPr>
          <w:trHeight w:val="14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Game</w:t>
            </w: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Genre</w:t>
            </w:r>
          </w:p>
        </w:tc>
        <w:tc>
          <w:tcPr>
            <w:tcW w:w="28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280" w:type="dxa"/>
            <w:vAlign w:val="bottom"/>
          </w:tcPr>
          <w:p>
            <w:pPr>
              <w:ind w:left="780"/>
              <w:spacing w:after="0" w:line="141" w:lineRule="exact"/>
              <w:rPr>
                <w:sz w:val="20"/>
                <w:szCs w:val="20"/>
                <w:color w:val="auto"/>
              </w:rPr>
            </w:pPr>
            <w:r>
              <w:rPr>
                <w:rFonts w:ascii="Arial" w:cs="Arial" w:eastAsia="Arial" w:hAnsi="Arial"/>
                <w:sz w:val="14"/>
                <w:szCs w:val="14"/>
                <w:b w:val="1"/>
                <w:bCs w:val="1"/>
                <w:color w:val="auto"/>
              </w:rPr>
              <w:t>Commercial</w:t>
            </w:r>
          </w:p>
        </w:tc>
        <w:tc>
          <w:tcPr>
            <w:tcW w:w="0" w:type="dxa"/>
            <w:vAlign w:val="bottom"/>
          </w:tcPr>
          <w:p>
            <w:pPr>
              <w:spacing w:after="0"/>
              <w:rPr>
                <w:sz w:val="1"/>
                <w:szCs w:val="1"/>
                <w:color w:val="auto"/>
              </w:rPr>
            </w:pPr>
          </w:p>
        </w:tc>
      </w:tr>
      <w:tr>
        <w:trPr>
          <w:trHeight w:val="164"/>
        </w:trPr>
        <w:tc>
          <w:tcPr>
            <w:tcW w:w="3460" w:type="dxa"/>
            <w:vAlign w:val="bottom"/>
            <w:gridSpan w:val="2"/>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License</w:t>
            </w: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199"/>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StarCraft II series</w:t>
            </w:r>
          </w:p>
        </w:tc>
        <w:tc>
          <w:tcPr>
            <w:tcW w:w="3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Space-themed strategy game</w:t>
            </w:r>
          </w:p>
        </w:tc>
        <w:tc>
          <w:tcPr>
            <w:tcW w:w="2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August 2008</w:t>
            </w:r>
          </w:p>
        </w:tc>
        <w:tc>
          <w:tcPr>
            <w:tcW w:w="2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April 2011</w:t>
            </w:r>
          </w:p>
        </w:tc>
        <w:tc>
          <w:tcPr>
            <w:tcW w:w="0" w:type="dxa"/>
            <w:vAlign w:val="bottom"/>
          </w:tcPr>
          <w:p>
            <w:pPr>
              <w:spacing w:after="0"/>
              <w:rPr>
                <w:sz w:val="1"/>
                <w:szCs w:val="1"/>
                <w:color w:val="auto"/>
              </w:rPr>
            </w:pPr>
          </w:p>
        </w:tc>
      </w:tr>
      <w:tr>
        <w:trPr>
          <w:trHeight w:val="206"/>
        </w:trPr>
        <w:tc>
          <w:tcPr>
            <w:tcW w:w="3460" w:type="dxa"/>
            <w:vAlign w:val="bottom"/>
            <w:gridSpan w:val="2"/>
          </w:tcPr>
          <w:p>
            <w:pPr>
              <w:spacing w:after="0"/>
              <w:rPr>
                <w:sz w:val="20"/>
                <w:szCs w:val="20"/>
                <w:color w:val="auto"/>
              </w:rPr>
            </w:pPr>
            <w:r>
              <w:rPr>
                <w:rFonts w:ascii="Arial" w:cs="Arial" w:eastAsia="Arial" w:hAnsi="Arial"/>
                <w:sz w:val="17"/>
                <w:szCs w:val="17"/>
                <w:color w:val="auto"/>
              </w:rPr>
              <w:t>World of Warcraft</w:t>
            </w:r>
          </w:p>
        </w:tc>
        <w:tc>
          <w:tcPr>
            <w:tcW w:w="2840" w:type="dxa"/>
            <w:vAlign w:val="bottom"/>
          </w:tcPr>
          <w:p>
            <w:pPr>
              <w:jc w:val="center"/>
              <w:spacing w:after="0"/>
              <w:rPr>
                <w:sz w:val="20"/>
                <w:szCs w:val="20"/>
                <w:color w:val="auto"/>
              </w:rPr>
            </w:pPr>
            <w:r>
              <w:rPr>
                <w:rFonts w:ascii="Arial" w:cs="Arial" w:eastAsia="Arial" w:hAnsi="Arial"/>
                <w:sz w:val="17"/>
                <w:szCs w:val="17"/>
                <w:color w:val="auto"/>
                <w:w w:val="90"/>
              </w:rPr>
              <w:t>Fantasy-themed role playing game</w:t>
            </w:r>
          </w:p>
        </w:tc>
        <w:tc>
          <w:tcPr>
            <w:tcW w:w="2840" w:type="dxa"/>
            <w:vAlign w:val="bottom"/>
            <w:gridSpan w:val="3"/>
          </w:tcPr>
          <w:p>
            <w:pPr>
              <w:ind w:left="280"/>
              <w:spacing w:after="0"/>
              <w:rPr>
                <w:sz w:val="20"/>
                <w:szCs w:val="20"/>
                <w:color w:val="auto"/>
              </w:rPr>
            </w:pPr>
            <w:r>
              <w:rPr>
                <w:rFonts w:ascii="Arial" w:cs="Arial" w:eastAsia="Arial" w:hAnsi="Arial"/>
                <w:sz w:val="17"/>
                <w:szCs w:val="17"/>
                <w:color w:val="auto"/>
              </w:rPr>
              <w:t>April 2009</w:t>
            </w:r>
          </w:p>
        </w:tc>
        <w:tc>
          <w:tcPr>
            <w:tcW w:w="2280" w:type="dxa"/>
            <w:vAlign w:val="bottom"/>
          </w:tcPr>
          <w:p>
            <w:pPr>
              <w:spacing w:after="0"/>
              <w:rPr>
                <w:sz w:val="20"/>
                <w:szCs w:val="20"/>
                <w:color w:val="auto"/>
              </w:rPr>
            </w:pPr>
            <w:r>
              <w:rPr>
                <w:rFonts w:ascii="Arial" w:cs="Arial" w:eastAsia="Arial" w:hAnsi="Arial"/>
                <w:sz w:val="17"/>
                <w:szCs w:val="17"/>
                <w:color w:val="auto"/>
              </w:rPr>
              <w:t>September 2009</w:t>
            </w:r>
          </w:p>
        </w:tc>
        <w:tc>
          <w:tcPr>
            <w:tcW w:w="0" w:type="dxa"/>
            <w:vAlign w:val="bottom"/>
          </w:tcPr>
          <w:p>
            <w:pPr>
              <w:spacing w:after="0"/>
              <w:rPr>
                <w:sz w:val="1"/>
                <w:szCs w:val="1"/>
                <w:color w:val="auto"/>
              </w:rPr>
            </w:pPr>
          </w:p>
        </w:tc>
      </w:tr>
      <w:tr>
        <w:trPr>
          <w:trHeight w:val="206"/>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Heroes of the Storm</w:t>
            </w:r>
          </w:p>
        </w:tc>
        <w:tc>
          <w:tcPr>
            <w:tcW w:w="2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Multiplayer battle arena game</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November 2012</w:t>
            </w: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June 2015</w:t>
            </w:r>
          </w:p>
        </w:tc>
        <w:tc>
          <w:tcPr>
            <w:tcW w:w="0" w:type="dxa"/>
            <w:vAlign w:val="bottom"/>
          </w:tcPr>
          <w:p>
            <w:pPr>
              <w:spacing w:after="0"/>
              <w:rPr>
                <w:sz w:val="1"/>
                <w:szCs w:val="1"/>
                <w:color w:val="auto"/>
              </w:rPr>
            </w:pPr>
          </w:p>
        </w:tc>
      </w:tr>
      <w:tr>
        <w:trPr>
          <w:trHeight w:val="206"/>
        </w:trPr>
        <w:tc>
          <w:tcPr>
            <w:tcW w:w="3460" w:type="dxa"/>
            <w:vAlign w:val="bottom"/>
            <w:gridSpan w:val="2"/>
          </w:tcPr>
          <w:p>
            <w:pPr>
              <w:spacing w:after="0"/>
              <w:rPr>
                <w:sz w:val="20"/>
                <w:szCs w:val="20"/>
                <w:color w:val="auto"/>
              </w:rPr>
            </w:pPr>
            <w:r>
              <w:rPr>
                <w:rFonts w:ascii="Arial" w:cs="Arial" w:eastAsia="Arial" w:hAnsi="Arial"/>
                <w:sz w:val="17"/>
                <w:szCs w:val="17"/>
                <w:color w:val="auto"/>
              </w:rPr>
              <w:t>Hearthstone</w:t>
            </w:r>
          </w:p>
        </w:tc>
        <w:tc>
          <w:tcPr>
            <w:tcW w:w="2840" w:type="dxa"/>
            <w:vAlign w:val="bottom"/>
          </w:tcPr>
          <w:p>
            <w:pPr>
              <w:jc w:val="center"/>
              <w:spacing w:after="0"/>
              <w:rPr>
                <w:sz w:val="20"/>
                <w:szCs w:val="20"/>
                <w:color w:val="auto"/>
              </w:rPr>
            </w:pPr>
            <w:r>
              <w:rPr>
                <w:rFonts w:ascii="Arial" w:cs="Arial" w:eastAsia="Arial" w:hAnsi="Arial"/>
                <w:sz w:val="17"/>
                <w:szCs w:val="17"/>
                <w:color w:val="auto"/>
                <w:w w:val="90"/>
              </w:rPr>
              <w:t>Card game</w:t>
            </w:r>
          </w:p>
        </w:tc>
        <w:tc>
          <w:tcPr>
            <w:tcW w:w="2840" w:type="dxa"/>
            <w:vAlign w:val="bottom"/>
            <w:gridSpan w:val="3"/>
          </w:tcPr>
          <w:p>
            <w:pPr>
              <w:ind w:left="280"/>
              <w:spacing w:after="0"/>
              <w:rPr>
                <w:sz w:val="20"/>
                <w:szCs w:val="20"/>
                <w:color w:val="auto"/>
              </w:rPr>
            </w:pPr>
            <w:r>
              <w:rPr>
                <w:rFonts w:ascii="Arial" w:cs="Arial" w:eastAsia="Arial" w:hAnsi="Arial"/>
                <w:sz w:val="17"/>
                <w:szCs w:val="17"/>
                <w:color w:val="auto"/>
              </w:rPr>
              <w:t>July 2013</w:t>
            </w:r>
          </w:p>
        </w:tc>
        <w:tc>
          <w:tcPr>
            <w:tcW w:w="2280" w:type="dxa"/>
            <w:vAlign w:val="bottom"/>
          </w:tcPr>
          <w:p>
            <w:pPr>
              <w:spacing w:after="0"/>
              <w:rPr>
                <w:sz w:val="20"/>
                <w:szCs w:val="20"/>
                <w:color w:val="auto"/>
              </w:rPr>
            </w:pPr>
            <w:r>
              <w:rPr>
                <w:rFonts w:ascii="Arial" w:cs="Arial" w:eastAsia="Arial" w:hAnsi="Arial"/>
                <w:sz w:val="17"/>
                <w:szCs w:val="17"/>
                <w:color w:val="auto"/>
              </w:rPr>
              <w:t>January 2014</w:t>
            </w:r>
          </w:p>
        </w:tc>
        <w:tc>
          <w:tcPr>
            <w:tcW w:w="0" w:type="dxa"/>
            <w:vAlign w:val="bottom"/>
          </w:tcPr>
          <w:p>
            <w:pPr>
              <w:spacing w:after="0"/>
              <w:rPr>
                <w:sz w:val="1"/>
                <w:szCs w:val="1"/>
                <w:color w:val="auto"/>
              </w:rPr>
            </w:pPr>
          </w:p>
        </w:tc>
      </w:tr>
      <w:tr>
        <w:trPr>
          <w:trHeight w:val="206"/>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Diablo III</w:t>
            </w:r>
          </w:p>
        </w:tc>
        <w:tc>
          <w:tcPr>
            <w:tcW w:w="2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Action role-playing game</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June 2014</w:t>
            </w: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May 2015</w:t>
            </w:r>
          </w:p>
        </w:tc>
        <w:tc>
          <w:tcPr>
            <w:tcW w:w="0" w:type="dxa"/>
            <w:vAlign w:val="bottom"/>
          </w:tcPr>
          <w:p>
            <w:pPr>
              <w:spacing w:after="0"/>
              <w:rPr>
                <w:sz w:val="1"/>
                <w:szCs w:val="1"/>
                <w:color w:val="auto"/>
              </w:rPr>
            </w:pPr>
          </w:p>
        </w:tc>
      </w:tr>
      <w:tr>
        <w:trPr>
          <w:trHeight w:val="217"/>
        </w:trPr>
        <w:tc>
          <w:tcPr>
            <w:tcW w:w="3460" w:type="dxa"/>
            <w:vAlign w:val="bottom"/>
            <w:gridSpan w:val="2"/>
          </w:tcPr>
          <w:p>
            <w:pPr>
              <w:spacing w:after="0"/>
              <w:rPr>
                <w:sz w:val="20"/>
                <w:szCs w:val="20"/>
                <w:color w:val="auto"/>
              </w:rPr>
            </w:pPr>
            <w:r>
              <w:rPr>
                <w:rFonts w:ascii="Arial" w:cs="Arial" w:eastAsia="Arial" w:hAnsi="Arial"/>
                <w:sz w:val="17"/>
                <w:szCs w:val="17"/>
                <w:color w:val="auto"/>
              </w:rPr>
              <w:t>Overwatch</w:t>
            </w:r>
          </w:p>
        </w:tc>
        <w:tc>
          <w:tcPr>
            <w:tcW w:w="2840" w:type="dxa"/>
            <w:vAlign w:val="bottom"/>
          </w:tcPr>
          <w:p>
            <w:pPr>
              <w:jc w:val="center"/>
              <w:spacing w:after="0"/>
              <w:rPr>
                <w:sz w:val="20"/>
                <w:szCs w:val="20"/>
                <w:color w:val="auto"/>
              </w:rPr>
            </w:pPr>
            <w:r>
              <w:rPr>
                <w:rFonts w:ascii="Arial" w:cs="Arial" w:eastAsia="Arial" w:hAnsi="Arial"/>
                <w:sz w:val="17"/>
                <w:szCs w:val="17"/>
                <w:color w:val="auto"/>
                <w:w w:val="89"/>
              </w:rPr>
              <w:t>Team-based first-person shooter game</w:t>
            </w:r>
          </w:p>
        </w:tc>
        <w:tc>
          <w:tcPr>
            <w:tcW w:w="2840" w:type="dxa"/>
            <w:vAlign w:val="bottom"/>
            <w:gridSpan w:val="3"/>
          </w:tcPr>
          <w:p>
            <w:pPr>
              <w:ind w:left="280"/>
              <w:spacing w:after="0"/>
              <w:rPr>
                <w:sz w:val="20"/>
                <w:szCs w:val="20"/>
                <w:color w:val="auto"/>
              </w:rPr>
            </w:pPr>
            <w:r>
              <w:rPr>
                <w:rFonts w:ascii="Arial" w:cs="Arial" w:eastAsia="Arial" w:hAnsi="Arial"/>
                <w:sz w:val="17"/>
                <w:szCs w:val="17"/>
                <w:color w:val="auto"/>
              </w:rPr>
              <w:t>May 2015</w:t>
            </w:r>
          </w:p>
        </w:tc>
        <w:tc>
          <w:tcPr>
            <w:tcW w:w="2280" w:type="dxa"/>
            <w:vAlign w:val="bottom"/>
          </w:tcPr>
          <w:p>
            <w:pPr>
              <w:spacing w:after="0"/>
              <w:rPr>
                <w:sz w:val="20"/>
                <w:szCs w:val="20"/>
                <w:color w:val="auto"/>
              </w:rPr>
            </w:pPr>
            <w:r>
              <w:rPr>
                <w:rFonts w:ascii="Arial" w:cs="Arial" w:eastAsia="Arial" w:hAnsi="Arial"/>
                <w:sz w:val="17"/>
                <w:szCs w:val="17"/>
                <w:color w:val="auto"/>
              </w:rPr>
              <w:t>May 2016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20" w:firstLine="617"/>
        <w:spacing w:after="0" w:line="234" w:lineRule="auto"/>
        <w:rPr>
          <w:sz w:val="20"/>
          <w:szCs w:val="20"/>
          <w:color w:val="auto"/>
        </w:rPr>
      </w:pPr>
      <w:r>
        <w:rPr>
          <w:rFonts w:ascii="Arial" w:cs="Arial" w:eastAsia="Arial" w:hAnsi="Arial"/>
          <w:sz w:val="17"/>
          <w:szCs w:val="17"/>
          <w:color w:val="auto"/>
        </w:rPr>
        <w:t>In September 2016, Blizzard and Shanghai EaseNet agreed to extend the licenses to operate all of the foregoing games to January 2020. Blizzard has also licensed to Shanghai EaseNet on an exclusive basis in China its Battle.net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platform, which enables multiplayer interaction within these games and other online services.</w:t>
      </w:r>
    </w:p>
    <w:p>
      <w:pPr>
        <w:spacing w:after="0" w:line="195" w:lineRule="exact"/>
        <w:rPr>
          <w:sz w:val="20"/>
          <w:szCs w:val="20"/>
          <w:color w:val="auto"/>
        </w:rPr>
      </w:pPr>
    </w:p>
    <w:p>
      <w:pPr>
        <w:ind w:right="40" w:firstLine="617"/>
        <w:spacing w:after="0" w:line="274" w:lineRule="auto"/>
        <w:rPr>
          <w:sz w:val="20"/>
          <w:szCs w:val="20"/>
          <w:color w:val="auto"/>
        </w:rPr>
      </w:pPr>
      <w:r>
        <w:rPr>
          <w:rFonts w:ascii="Arial" w:cs="Arial" w:eastAsia="Arial" w:hAnsi="Arial"/>
          <w:sz w:val="16"/>
          <w:szCs w:val="16"/>
          <w:color w:val="auto"/>
        </w:rPr>
        <w:t>Shanghai EaseNet is required to pay royalties for these games to Blizzard and, until September 2016, was also required to pay license and consultancy fees to Blizzard for the StarCraft II series, World of Warcraft, and Overwatch games. The license agreements also include minimum marketing expenditure commitments. In sum, the total commitments amount to approximately RMB7.4 billion (US$1.1 billion) over the terms of the agreements. As of December 31, 2016, our outstanding commitments under the license agreements with respect to the StarCraft II series, World of Warcraft, Hearthstone, Heroes of the Storm, Diablo III and Overwatch totaled RMB3,458.5 million (US$498.1 million). 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Blizzard has the right to terminate the license of the foregoing games under certain circumstances.</w:t>
      </w:r>
    </w:p>
    <w:p>
      <w:pPr>
        <w:spacing w:after="0" w:line="216" w:lineRule="exact"/>
        <w:rPr>
          <w:sz w:val="20"/>
          <w:szCs w:val="20"/>
          <w:color w:val="auto"/>
        </w:rPr>
      </w:pPr>
    </w:p>
    <w:p>
      <w:pPr>
        <w:ind w:right="220" w:firstLine="617"/>
        <w:spacing w:after="0" w:line="265" w:lineRule="auto"/>
        <w:rPr>
          <w:sz w:val="20"/>
          <w:szCs w:val="20"/>
          <w:color w:val="auto"/>
        </w:rPr>
      </w:pPr>
      <w:r>
        <w:rPr>
          <w:rFonts w:ascii="Arial" w:cs="Arial" w:eastAsia="Arial" w:hAnsi="Arial"/>
          <w:sz w:val="17"/>
          <w:szCs w:val="17"/>
          <w:color w:val="auto"/>
        </w:rPr>
        <w:t>Concurrently with the licensing of games from Blizzard in August 2008, we entered into arrangements to establish a joint venture with Blizzard. The joint venture provides technical services to Shanghai EaseNet in return for a fee. Net profits of the joint venture are shared equally between Blizzard and us, after the deduction of, among others, various fees and expenses payable to Blizzard and us.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from our online games accounted for 79.1%, 76.0% and 73.3% of our total net revenues in 2014, 2015 and 2016,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Media Business</w:t>
      </w:r>
    </w:p>
    <w:p>
      <w:pPr>
        <w:spacing w:after="0" w:line="222" w:lineRule="exact"/>
        <w:rPr>
          <w:sz w:val="20"/>
          <w:szCs w:val="20"/>
          <w:color w:val="auto"/>
        </w:rPr>
      </w:pPr>
    </w:p>
    <w:p>
      <w:pPr>
        <w:ind w:right="200" w:firstLine="617"/>
        <w:spacing w:after="0" w:line="259" w:lineRule="auto"/>
        <w:rPr>
          <w:sz w:val="20"/>
          <w:szCs w:val="20"/>
          <w:color w:val="auto"/>
        </w:rPr>
      </w:pPr>
      <w:r>
        <w:rPr>
          <w:rFonts w:ascii="Arial" w:cs="Arial" w:eastAsia="Arial" w:hAnsi="Arial"/>
          <w:sz w:val="17"/>
          <w:szCs w:val="17"/>
          <w:color w:val="auto"/>
        </w:rPr>
        <w:t>Our Internet media business, which is conducted through the NetEase websites, offers Chinese Internet users a network of Chinese language-based online content channels, community and communication services, including news content, community forums, mobile-based applications, open courses (which offer users access to recorded content from classes and lectures) and interactive online video (which is a platform that provides online entertainment services). We also offer users other Web-based applications and services, including a Web directory, to enhance their Internet experience. Our Internet services are all designed with user friendly interfaces and easy to understand instructions.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163.com</w:t>
      </w:r>
    </w:p>
    <w:p>
      <w:pPr>
        <w:spacing w:after="0" w:line="216" w:lineRule="exact"/>
        <w:rPr>
          <w:sz w:val="20"/>
          <w:szCs w:val="20"/>
          <w:color w:val="auto"/>
        </w:rPr>
      </w:pPr>
    </w:p>
    <w:p>
      <w:pPr>
        <w:ind w:right="140" w:firstLine="617"/>
        <w:spacing w:after="0" w:line="317" w:lineRule="auto"/>
        <w:rPr>
          <w:sz w:val="20"/>
          <w:szCs w:val="20"/>
          <w:color w:val="auto"/>
        </w:rPr>
      </w:pPr>
      <w:r>
        <w:rPr>
          <w:rFonts w:ascii="Arial" w:cs="Arial" w:eastAsia="Arial" w:hAnsi="Arial"/>
          <w:sz w:val="15"/>
          <w:szCs w:val="15"/>
          <w:color w:val="auto"/>
        </w:rPr>
        <w:t>The main homepage of the NetEase websites, www.163.com, provides a destination for Chinese Internet users to identify and access resources, services, content and information on the Internet. The NetEase websites aggregate, organize and deliver information to meet the needs of Internet users in China. Our Internet media channels provide users with an efficient and easy way to explore and utilize a wealth of information and content organized around a variety of topics.</w:t>
      </w:r>
    </w:p>
    <w:p>
      <w:pPr>
        <w:spacing w:after="0" w:line="140" w:lineRule="exact"/>
        <w:rPr>
          <w:sz w:val="20"/>
          <w:szCs w:val="20"/>
          <w:color w:val="auto"/>
        </w:rPr>
      </w:pPr>
    </w:p>
    <w:p>
      <w:pPr>
        <w:ind w:right="160" w:firstLine="617"/>
        <w:spacing w:after="0" w:line="278" w:lineRule="auto"/>
        <w:rPr>
          <w:sz w:val="20"/>
          <w:szCs w:val="20"/>
          <w:color w:val="auto"/>
        </w:rPr>
      </w:pPr>
      <w:r>
        <w:rPr>
          <w:rFonts w:ascii="Arial" w:cs="Arial" w:eastAsia="Arial" w:hAnsi="Arial"/>
          <w:sz w:val="17"/>
          <w:szCs w:val="17"/>
          <w:color w:val="auto"/>
        </w:rPr>
        <w:t>The NetEase websites currently include various channels focusing on news, automobile, sports, finance, real estate, entertainment, science and information technology. In addition, we operate a leading mobile news application, NetEase News App.</w:t>
      </w:r>
    </w:p>
    <w:p>
      <w:pPr>
        <w:spacing w:after="0" w:line="165" w:lineRule="exact"/>
        <w:rPr>
          <w:sz w:val="20"/>
          <w:szCs w:val="20"/>
          <w:color w:val="auto"/>
        </w:rPr>
      </w:pPr>
    </w:p>
    <w:p>
      <w:pPr>
        <w:ind w:right="180" w:firstLine="617"/>
        <w:spacing w:after="0" w:line="257" w:lineRule="auto"/>
        <w:rPr>
          <w:sz w:val="20"/>
          <w:szCs w:val="20"/>
          <w:color w:val="auto"/>
        </w:rPr>
      </w:pPr>
      <w:r>
        <w:rPr>
          <w:rFonts w:ascii="Arial" w:cs="Arial" w:eastAsia="Arial" w:hAnsi="Arial"/>
          <w:sz w:val="17"/>
          <w:szCs w:val="17"/>
          <w:color w:val="auto"/>
        </w:rPr>
        <w:t>Our content distribution platform enables the NetEase websites to offer in-depth local content as well as a variety of locally relevant regional and international content. We do not produce our own news content for the NetEase websites, but rather obtain such content from our content partners. Our content partners display their content on one or more of the NetEase websites and other Internet media channels free of charge or in exchange for a licensing fee, online advertising, access to original content produced by the NetEase user community or a combination of these arrangements. We distribute this content through our content distribution system, which determines the appropriate content to publish on the NetEase websites and to distribute to users of our e-commerce services. Our content alliances are generally non-exclusive.</w:t>
      </w:r>
    </w:p>
    <w:p>
      <w:pPr>
        <w:spacing w:after="0" w:line="185" w:lineRule="exact"/>
        <w:rPr>
          <w:sz w:val="20"/>
          <w:szCs w:val="20"/>
          <w:color w:val="auto"/>
        </w:rPr>
      </w:pPr>
    </w:p>
    <w:p>
      <w:pPr>
        <w:ind w:right="160" w:firstLine="617"/>
        <w:spacing w:after="0" w:line="289" w:lineRule="auto"/>
        <w:rPr>
          <w:sz w:val="20"/>
          <w:szCs w:val="20"/>
          <w:color w:val="auto"/>
        </w:rPr>
      </w:pPr>
      <w:r>
        <w:rPr>
          <w:rFonts w:ascii="Arial" w:cs="Arial" w:eastAsia="Arial" w:hAnsi="Arial"/>
          <w:sz w:val="16"/>
          <w:szCs w:val="16"/>
          <w:color w:val="auto"/>
        </w:rPr>
        <w:t>We believe that the breadth and relevance of our content offerings increases the number of visits our users make to the NetEase websites and the amount of time they spend on these sites. We adopt a significant amount of user-generated content from the community forums on the NetEase websites. We believe that this user-generated content is highly effective in maintaining user interest and ensuring repeat visits to the NetEase websites.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Community and Communication</w:t>
      </w:r>
    </w:p>
    <w:p>
      <w:pPr>
        <w:sectPr>
          <w:pgSz w:w="11900" w:h="16872" w:orient="portrait"/>
          <w:cols w:equalWidth="0" w:num="1">
            <w:col w:w="11420"/>
          </w:cols>
          <w:pgMar w:left="240" w:top="333" w:right="239" w:bottom="0" w:gutter="0" w:footer="0" w:header="0"/>
        </w:sectPr>
      </w:pPr>
    </w:p>
    <w:bookmarkStart w:id="27" w:name="page28"/>
    <w:bookmarkEnd w:id="27"/>
    <w:p>
      <w:pPr>
        <w:ind w:right="180" w:firstLine="617"/>
        <w:spacing w:after="0" w:line="317" w:lineRule="auto"/>
        <w:rPr>
          <w:sz w:val="20"/>
          <w:szCs w:val="20"/>
          <w:color w:val="auto"/>
        </w:rPr>
      </w:pPr>
      <w:r>
        <w:rPr>
          <w:rFonts w:ascii="Arial" w:cs="Arial" w:eastAsia="Arial" w:hAnsi="Arial"/>
          <w:sz w:val="15"/>
          <w:szCs w:val="15"/>
          <w:color w:val="auto"/>
        </w:rPr>
        <w:t>The NetEase websites have established a large online community member base as a result of our leading online community technology. We launched what we believe to be one of the first online communities in China in December 1998. Users can register with us online to interact with other registered community members. We believe that as users become more involved with our online community, they will return to the NetEase websites frequently.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NetEase users can interact through a variety of community services, including:</w:t>
      </w:r>
    </w:p>
    <w:p>
      <w:pPr>
        <w:spacing w:after="0" w:line="216" w:lineRule="exact"/>
        <w:rPr>
          <w:sz w:val="20"/>
          <w:szCs w:val="20"/>
          <w:color w:val="auto"/>
        </w:rPr>
      </w:pPr>
    </w:p>
    <w:p>
      <w:pPr>
        <w:ind w:left="620" w:right="40" w:hanging="308"/>
        <w:spacing w:after="0" w:line="261" w:lineRule="auto"/>
        <w:tabs>
          <w:tab w:leader="none" w:pos="58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Online Community Forums. </w:t>
      </w:r>
      <w:r>
        <w:rPr>
          <w:rFonts w:ascii="Arial" w:cs="Arial" w:eastAsia="Arial" w:hAnsi="Arial"/>
          <w:sz w:val="17"/>
          <w:szCs w:val="17"/>
          <w:color w:val="auto"/>
        </w:rPr>
        <w:t>We offer NetEase registered community members a variety of community forums where they can post messages and articles for</w:t>
      </w:r>
      <w:r>
        <w:rPr>
          <w:rFonts w:ascii="Arial" w:cs="Arial" w:eastAsia="Arial" w:hAnsi="Arial"/>
          <w:sz w:val="17"/>
          <w:szCs w:val="17"/>
          <w:i w:val="1"/>
          <w:iCs w:val="1"/>
          <w:color w:val="auto"/>
        </w:rPr>
        <w:t xml:space="preserve"> </w:t>
      </w:r>
      <w:r>
        <w:rPr>
          <w:rFonts w:ascii="Arial" w:cs="Arial" w:eastAsia="Arial" w:hAnsi="Arial"/>
          <w:sz w:val="17"/>
          <w:szCs w:val="17"/>
          <w:color w:val="auto"/>
        </w:rPr>
        <w:t>viewing by other registered community members and other users. The NetEase online communities are hosted by volunteers, who are chosen by us based on their contributions to the communities. The NetEase community volunteers monitor our community forums and select appropriate articles for posting. In addition, these forums are also monitored by NetEase customer service personnel.</w:t>
      </w:r>
    </w:p>
    <w:p>
      <w:pPr>
        <w:spacing w:after="0" w:line="178" w:lineRule="exact"/>
        <w:rPr>
          <w:rFonts w:ascii="Arial" w:cs="Arial" w:eastAsia="Arial" w:hAnsi="Arial"/>
          <w:sz w:val="17"/>
          <w:szCs w:val="17"/>
          <w:color w:val="auto"/>
        </w:rPr>
      </w:pPr>
    </w:p>
    <w:p>
      <w:pPr>
        <w:ind w:left="580" w:hanging="268"/>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Others. </w:t>
      </w:r>
      <w:r>
        <w:rPr>
          <w:rFonts w:ascii="Arial" w:cs="Arial" w:eastAsia="Arial" w:hAnsi="Arial"/>
          <w:sz w:val="17"/>
          <w:szCs w:val="17"/>
          <w:color w:val="auto"/>
        </w:rPr>
        <w:t>We offer a large number of other community services including photo album sharing and diary.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Youdao</w:t>
      </w:r>
    </w:p>
    <w:p>
      <w:pPr>
        <w:spacing w:after="0" w:line="216" w:lineRule="exact"/>
        <w:rPr>
          <w:sz w:val="20"/>
          <w:szCs w:val="20"/>
          <w:color w:val="auto"/>
        </w:rPr>
      </w:pPr>
    </w:p>
    <w:p>
      <w:pPr>
        <w:ind w:right="40" w:firstLine="617"/>
        <w:spacing w:after="0" w:line="279" w:lineRule="auto"/>
        <w:rPr>
          <w:sz w:val="20"/>
          <w:szCs w:val="20"/>
          <w:color w:val="auto"/>
        </w:rPr>
      </w:pPr>
      <w:r>
        <w:rPr>
          <w:rFonts w:ascii="Arial" w:cs="Arial" w:eastAsia="Arial" w:hAnsi="Arial"/>
          <w:sz w:val="16"/>
          <w:szCs w:val="16"/>
          <w:color w:val="auto"/>
        </w:rPr>
        <w:t>In addition to the services described above, the NetEase websites provide other services to our users including web search, video search, image search, news search, online shopping search (Huihui.cn), online dictionary (Youdao Dictionary), toolbar, cloud note-taking application (Youdao Cloudnote), which automatically retrieves syndicated online content and customized sets of search results, and online courses, including exam review courses taught by star instructors. Among these, Youdao Dictionary has become one of the most popular online translation tools among Chinese Internet users, achieving over 691 million installations as of December 31, 2016, and Huihui.cn is an online shopping search engine developed by us and launched in September 2012.</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Mobile Internet Applications</w:t>
      </w:r>
    </w:p>
    <w:p>
      <w:pPr>
        <w:spacing w:after="0" w:line="216" w:lineRule="exact"/>
        <w:rPr>
          <w:sz w:val="20"/>
          <w:szCs w:val="20"/>
          <w:color w:val="auto"/>
        </w:rPr>
      </w:pPr>
    </w:p>
    <w:p>
      <w:pPr>
        <w:jc w:val="both"/>
        <w:ind w:right="40" w:firstLine="617"/>
        <w:spacing w:after="0" w:line="282" w:lineRule="auto"/>
        <w:rPr>
          <w:sz w:val="20"/>
          <w:szCs w:val="20"/>
          <w:color w:val="auto"/>
        </w:rPr>
      </w:pPr>
      <w:r>
        <w:rPr>
          <w:rFonts w:ascii="Arial" w:cs="Arial" w:eastAsia="Arial" w:hAnsi="Arial"/>
          <w:sz w:val="16"/>
          <w:szCs w:val="16"/>
          <w:color w:val="auto"/>
        </w:rPr>
        <w:t>Many of our services, such as news content (NetEase News App), open courses (NetEase Open Courses), online dictionary (Youdao Dictionary) and cloud note-taking application (Youdao Cloudnote) may be accessed through mobile Internet and mobile applications, such as those operating on iPhone, iPad and Android devices. Designed as multi-device products, our products and services enable Chinese communities to participate in discussions on PCs and mobile devices, allowing easier and more frequent interactions and elevating the social media and networking experience to a different level.</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 on the Websites and Fees and Revenues</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Revenue generated by our Internet media business consists mainly of fees we receive from the sale of advertising space on the NetEase websites. Our free website content and services attract a large number of visitors who generate page views, which form the audience for us to provide advertising services for advertisers on our websites.</w:t>
      </w:r>
    </w:p>
    <w:p>
      <w:pPr>
        <w:spacing w:after="0" w:line="176"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Our advertising services utilize many advertising formats and techniques. These include sponsorships of our channels, advertisements such as animated and interactive banners, floating buttons, text-links, in-stream video and other formats throughout our websites, advertising through interactive media-rich sites and sponsored special events that integrate live events with online promotion and other media.</w:t>
      </w:r>
    </w:p>
    <w:p>
      <w:pPr>
        <w:spacing w:after="0" w:line="176" w:lineRule="exact"/>
        <w:rPr>
          <w:sz w:val="20"/>
          <w:szCs w:val="20"/>
          <w:color w:val="auto"/>
        </w:rPr>
      </w:pPr>
    </w:p>
    <w:p>
      <w:pPr>
        <w:ind w:right="40" w:firstLine="617"/>
        <w:spacing w:after="0" w:line="265" w:lineRule="auto"/>
        <w:rPr>
          <w:sz w:val="20"/>
          <w:szCs w:val="20"/>
          <w:color w:val="auto"/>
        </w:rPr>
      </w:pPr>
      <w:r>
        <w:rPr>
          <w:rFonts w:ascii="Arial" w:cs="Arial" w:eastAsia="Arial" w:hAnsi="Arial"/>
          <w:sz w:val="17"/>
          <w:szCs w:val="17"/>
          <w:color w:val="auto"/>
        </w:rPr>
        <w:t>Furthermore, in compliance with applicable laws and ensuring the confidentiality of the information of our users, we transmit and store over our systems information, such as age, geographic location and interest, of our users and integrate such information to generate comprehensive demographic profiles for individual users, which enable us to better tailor our advertising services.</w:t>
      </w:r>
    </w:p>
    <w:p>
      <w:pPr>
        <w:spacing w:after="0" w:line="176"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To strengthen our overall brand and increase traffic on the NetEase websites and enhance the websites’ appeal to advertisers, we periodically sponsor high profile events, such as the NetEase Annual Economist Conference and the annual Netease Attitude Awards.</w:t>
      </w:r>
    </w:p>
    <w:p>
      <w:pPr>
        <w:spacing w:after="0" w:line="165" w:lineRule="exact"/>
        <w:rPr>
          <w:sz w:val="20"/>
          <w:szCs w:val="20"/>
          <w:color w:val="auto"/>
        </w:rPr>
      </w:pPr>
    </w:p>
    <w:p>
      <w:pPr>
        <w:ind w:right="140" w:firstLine="617"/>
        <w:spacing w:after="0" w:line="265" w:lineRule="auto"/>
        <w:rPr>
          <w:sz w:val="20"/>
          <w:szCs w:val="20"/>
          <w:color w:val="auto"/>
        </w:rPr>
      </w:pPr>
      <w:r>
        <w:rPr>
          <w:rFonts w:ascii="Arial" w:cs="Arial" w:eastAsia="Arial" w:hAnsi="Arial"/>
          <w:sz w:val="17"/>
          <w:szCs w:val="17"/>
          <w:color w:val="auto"/>
        </w:rPr>
        <w:t>Pricing for our Internet media advertising services has varied based on a number of factors including the duration for which advertisements appear on the NetEase websites and/or the NetEase News App, how often such advertisements are viewed by users and the number of users that perform a specific action, such as registering onto an advertiser’s website.</w:t>
      </w:r>
    </w:p>
    <w:p>
      <w:pPr>
        <w:spacing w:after="0" w:line="176" w:lineRule="exact"/>
        <w:rPr>
          <w:sz w:val="20"/>
          <w:szCs w:val="20"/>
          <w:color w:val="auto"/>
        </w:rPr>
      </w:pPr>
    </w:p>
    <w:p>
      <w:pPr>
        <w:ind w:right="40" w:firstLine="617"/>
        <w:spacing w:after="0" w:line="265" w:lineRule="auto"/>
        <w:rPr>
          <w:sz w:val="20"/>
          <w:szCs w:val="20"/>
          <w:color w:val="auto"/>
        </w:rPr>
      </w:pPr>
      <w:r>
        <w:rPr>
          <w:rFonts w:ascii="Arial" w:cs="Arial" w:eastAsia="Arial" w:hAnsi="Arial"/>
          <w:sz w:val="17"/>
          <w:szCs w:val="17"/>
          <w:color w:val="auto"/>
        </w:rPr>
        <w:t>We mainly charge advertisers on a per diem fixed fees basis. We also offer advertising services based on performance-based pricing model, such as based on cost per thousand impressions or cost per action by the consumers after viewing our advertisements, including but not limited to clicking on links to our customers’ products.</w:t>
      </w:r>
    </w:p>
    <w:p>
      <w:pPr>
        <w:spacing w:after="0" w:line="176" w:lineRule="exact"/>
        <w:rPr>
          <w:sz w:val="20"/>
          <w:szCs w:val="20"/>
          <w:color w:val="auto"/>
        </w:rPr>
      </w:pPr>
    </w:p>
    <w:p>
      <w:pPr>
        <w:ind w:right="220" w:firstLine="617"/>
        <w:spacing w:after="0" w:line="278" w:lineRule="auto"/>
        <w:rPr>
          <w:sz w:val="20"/>
          <w:szCs w:val="20"/>
          <w:color w:val="auto"/>
        </w:rPr>
      </w:pPr>
      <w:r>
        <w:rPr>
          <w:rFonts w:ascii="Arial" w:cs="Arial" w:eastAsia="Arial" w:hAnsi="Arial"/>
          <w:sz w:val="17"/>
          <w:szCs w:val="17"/>
          <w:color w:val="auto"/>
        </w:rPr>
        <w:t>Youdao Computer also enters into other advertising business contracts which provide priority placements in a search directory and other online marketing services on the Youdao Dictionary service.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from our Internet media accounted for 11.5%, 7.8% and 5.6% of our total net revenues in 2014, 2015, and 2016,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E-mail, E-commerce and Others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w:t>
      </w:r>
    </w:p>
    <w:p>
      <w:pPr>
        <w:spacing w:after="0" w:line="216" w:lineRule="exact"/>
        <w:rPr>
          <w:sz w:val="20"/>
          <w:szCs w:val="20"/>
          <w:color w:val="auto"/>
        </w:rPr>
      </w:pPr>
    </w:p>
    <w:p>
      <w:pPr>
        <w:ind w:right="60" w:firstLine="617"/>
        <w:spacing w:after="0" w:line="273" w:lineRule="auto"/>
        <w:rPr>
          <w:sz w:val="20"/>
          <w:szCs w:val="20"/>
          <w:color w:val="auto"/>
        </w:rPr>
      </w:pPr>
      <w:r>
        <w:rPr>
          <w:rFonts w:ascii="Arial" w:cs="Arial" w:eastAsia="Arial" w:hAnsi="Arial"/>
          <w:sz w:val="16"/>
          <w:szCs w:val="16"/>
          <w:color w:val="auto"/>
        </w:rPr>
        <w:t>We provide registered users with free and fee-based premium e-mail services which support both the Chinese and English languages. Registered users can access and send e-mail through their Web browsers, smart phone application or through the POP3 and SMTP standards, which allow users to handle e-mails on their own e-mail applications without opening their browsers. The free e-mail service includes free SPAM filters and anti-virus protection as well as the convenience of an address book to maintain user contact lists online. As of December 31, 2016, we had approximately 910 million registered free e-mail users. We also offer value-added e-mail services for individuals, known as VIP, which provide fee-paying subscribers with the latest anti-virus and anti-SPAM filtering capabilities. The VIP e-mail service also includes enhanced security features as well as several convenient online and offline payment methods and 24-hour customer support. As of December 31, 2016, we had approximately 433,000 active VIP e-mail subscribers. In addition, we also offer fee-based premium e-mail services to corporate users, who could use their corporate name as e-mail address and enjoy our custom-made functions, such as group instant message, push mail service and Internet disk services. As of December 31, 2016, we had approximately 450,000 corporate e-mail customers.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00"/>
          </w:cols>
          <w:pgMar w:left="240" w:top="333" w:right="259" w:bottom="0" w:gutter="0" w:footer="0" w:header="0"/>
        </w:sectPr>
      </w:pPr>
    </w:p>
    <w:bookmarkStart w:id="28" w:name="page29"/>
    <w:bookmarkEnd w:id="28"/>
    <w:p>
      <w:pPr>
        <w:spacing w:after="0" w:line="100"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E-commerce</w:t>
      </w:r>
    </w:p>
    <w:p>
      <w:pPr>
        <w:spacing w:after="0" w:line="216"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We operate two e-commerce platforms for consumers in China. The first e-commerce platform, Kaola, was established in January 2015. Through Kaola, we source goods from mainly overseas suppliers, maintain our own inventory and sell such imported goods, including maternity and baby products, skincare and cosmetics and other general merchandise, to Chinese consumers. The second e-commerce platform, Yanxuan, was established in April 2016. Through Yanxuan, we sell our private label goods, including apparel, homeware, kitchenware and other general merchandise, which we source directly from original design manufacturers, to Chinese consumers. We generate revenue from both these platforms through merchandise sales and recognize revenue on a gross basis as we carry our own inventory and have discretion in setting prices.</w:t>
      </w:r>
    </w:p>
    <w:p>
      <w:pPr>
        <w:spacing w:after="0" w:line="185" w:lineRule="exact"/>
        <w:rPr>
          <w:sz w:val="20"/>
          <w:szCs w:val="20"/>
          <w:color w:val="auto"/>
        </w:rPr>
      </w:pPr>
    </w:p>
    <w:p>
      <w:pPr>
        <w:ind w:right="20" w:firstLine="617"/>
        <w:spacing w:after="0" w:line="273" w:lineRule="auto"/>
        <w:rPr>
          <w:sz w:val="20"/>
          <w:szCs w:val="20"/>
          <w:color w:val="auto"/>
        </w:rPr>
      </w:pPr>
      <w:r>
        <w:rPr>
          <w:rFonts w:ascii="Arial" w:cs="Arial" w:eastAsia="Arial" w:hAnsi="Arial"/>
          <w:sz w:val="16"/>
          <w:szCs w:val="16"/>
          <w:color w:val="auto"/>
        </w:rPr>
        <w:t>We provide our e-commerce services related to third-party products through our online platforms, including Caipiao, an online service that facilitates the processing of end users’ purchase orders for a wide selection of sports and welfare lottery products offered by third-party lottery vendors, and Baoxian, an online service that facilitates the sale of insurance products from third-party insurers. We act as an agent and do not buy, sell, manufacture, or design such products. We help third-party vendors and insurers to collect payments from consumers through online payments via our Caipiao and Baoxian platforms. We generate revenues from service fees paid by third-party vendors and insurers based on a pre-determined service fee rate and the amount of processed orders from end users. Caipiao has been affected by a government suspension of online purchase orders for lottery products since February 2015. For additional information, see Item 3.D. “Risk Factors— 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75"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We also operated another e-commerce platform, Duobao, which provided services that allow users to purchase a virtual currency that could be exchanged for products. We discontinued the Duobao platform in early 2017.</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Services</w:t>
      </w:r>
    </w:p>
    <w:p>
      <w:pPr>
        <w:spacing w:after="0" w:line="216" w:lineRule="exact"/>
        <w:rPr>
          <w:sz w:val="20"/>
          <w:szCs w:val="20"/>
          <w:color w:val="auto"/>
        </w:rPr>
      </w:pPr>
    </w:p>
    <w:p>
      <w:pPr>
        <w:ind w:right="180" w:firstLine="617"/>
        <w:spacing w:after="0" w:line="265" w:lineRule="auto"/>
        <w:rPr>
          <w:sz w:val="20"/>
          <w:szCs w:val="20"/>
          <w:color w:val="auto"/>
        </w:rPr>
      </w:pPr>
      <w:r>
        <w:rPr>
          <w:rFonts w:ascii="Arial" w:cs="Arial" w:eastAsia="Arial" w:hAnsi="Arial"/>
          <w:sz w:val="17"/>
          <w:szCs w:val="17"/>
          <w:color w:val="auto"/>
        </w:rPr>
        <w:t>In addition to the services described above, the NetEase websites provide products such as Wangyibao, our online payment platform, game-related accessories, and other services to our users, such as e-reading (EaseRead), online music SNS (Cloud Music) services and online education services (NetEase Cloud Classroom). We have also started to provide various Internet microcredit and other finance services.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Revenues from e-mail, e-commerce and others accounted for 9.4%, 16.2% and 21.1% of total net revenues in 2014, 2015 and 2016,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w:t>
      </w:r>
    </w:p>
    <w:p>
      <w:pPr>
        <w:spacing w:after="0" w:line="216" w:lineRule="exact"/>
        <w:rPr>
          <w:sz w:val="20"/>
          <w:szCs w:val="20"/>
          <w:color w:val="auto"/>
        </w:rPr>
      </w:pPr>
    </w:p>
    <w:p>
      <w:pPr>
        <w:ind w:right="20" w:firstLine="617"/>
        <w:spacing w:after="0" w:line="256" w:lineRule="auto"/>
        <w:rPr>
          <w:sz w:val="20"/>
          <w:szCs w:val="20"/>
          <w:color w:val="auto"/>
        </w:rPr>
      </w:pPr>
      <w:r>
        <w:rPr>
          <w:rFonts w:ascii="Arial" w:cs="Arial" w:eastAsia="Arial" w:hAnsi="Arial"/>
          <w:sz w:val="17"/>
          <w:szCs w:val="17"/>
          <w:color w:val="auto"/>
        </w:rPr>
        <w:t>We sell game playing time to users of the PC-client games that we operate largely in the form of prepaid point cards. We sell prepaid point cards to end users through over 1,100 distributors as of December 31, 2016. These distributors arrange for our cards to be offered at various retail points in China including, Internet cafés where some of the users of our online games access our system, and to a much larger extent, directly over the Internet. Historically, we sold prepaid point cards to distributors at a 6.0% - 12.0% discount off of their face value. We reduced the discount to 6.0% - 10.0% in June 2012, 4.0% - 6.0% in January 2014 and 2.0% - 4.0% in February 2015. For the distributors selling prepaid point cards for use with the games licensed from Blizzard, the discount was 9.0% -12.0%, which was reduced to 7.0% - 10.0% in December 2011, 4.0% - 6.0% in January 2014 and 2.0% - 4.0% in February 2015. The discount for each distributor varies based on that distributor’s volume of point cards purchased. Users can also purchase virtual prepaid cards online by debit card, credit card or bank transfer, and receive the prepaid point information over the Internet.</w:t>
      </w:r>
    </w:p>
    <w:p>
      <w:pPr>
        <w:spacing w:after="0" w:line="184" w:lineRule="exact"/>
        <w:rPr>
          <w:sz w:val="20"/>
          <w:szCs w:val="20"/>
          <w:color w:val="auto"/>
        </w:rPr>
      </w:pPr>
    </w:p>
    <w:p>
      <w:pPr>
        <w:ind w:right="160" w:firstLine="617"/>
        <w:spacing w:after="0" w:line="259" w:lineRule="auto"/>
        <w:rPr>
          <w:sz w:val="20"/>
          <w:szCs w:val="20"/>
          <w:color w:val="auto"/>
        </w:rPr>
      </w:pPr>
      <w:r>
        <w:rPr>
          <w:rFonts w:ascii="Arial" w:cs="Arial" w:eastAsia="Arial" w:hAnsi="Arial"/>
          <w:sz w:val="17"/>
          <w:szCs w:val="17"/>
          <w:color w:val="auto"/>
        </w:rPr>
        <w:t>For our mobile games, the Apple app store for iOS and third-party Android app stores such as Qihoo 360 Mobile and Baidu are the dominant distribution channels in China. In addition, to leverage our existing user bases, we also publish our mobile games through our website and our NetEase News App and other mobile Internet applications. Mobile users in China have a variety of payment options for our mobile games, including prepaid cards, online payments through app stores and other online payment channels. App stores collect a portion of our revenues for mobile games downloaded through the app store, which is generally 30% for the iOS app store and ranges from 30% to 50% for Android app stores.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120" w:firstLine="617"/>
        <w:spacing w:after="0" w:line="265" w:lineRule="auto"/>
        <w:rPr>
          <w:sz w:val="20"/>
          <w:szCs w:val="20"/>
          <w:color w:val="auto"/>
        </w:rPr>
      </w:pPr>
      <w:r>
        <w:rPr>
          <w:rFonts w:ascii="Arial" w:cs="Arial" w:eastAsia="Arial" w:hAnsi="Arial"/>
          <w:sz w:val="17"/>
          <w:szCs w:val="17"/>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478 sales professionals located in Beijing, Shanghai and Guangzhou as of December 31, 2016.</w:t>
      </w:r>
    </w:p>
    <w:p>
      <w:pPr>
        <w:spacing w:after="0" w:line="176"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In addition, online advertising on the NetEase websites is also sold through online advertising sales networks and advertising agencies. We believe that our focus on providing widely-used services that are designed to appeal to a broad base of Internet users attracts a variety of blue chip advertisers, ranging from technology products to consumer brands (including, increasingly, Chinese companies).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conferences, music awards, charity concerts and industry exhibitions.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a discussion of the seasonality of our revenue, see Item 5 “Operating and Financial Review and Prospects—Revenue—Seasonality of Revenues.”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22" w:lineRule="exact"/>
        <w:rPr>
          <w:sz w:val="20"/>
          <w:szCs w:val="20"/>
          <w:color w:val="auto"/>
        </w:rPr>
      </w:pPr>
    </w:p>
    <w:p>
      <w:pPr>
        <w:ind w:right="40" w:firstLine="617"/>
        <w:spacing w:after="0" w:line="306" w:lineRule="auto"/>
        <w:rPr>
          <w:sz w:val="20"/>
          <w:szCs w:val="20"/>
          <w:color w:val="auto"/>
        </w:rPr>
      </w:pPr>
      <w:r>
        <w:rPr>
          <w:rFonts w:ascii="Arial" w:cs="Arial" w:eastAsia="Arial" w:hAnsi="Arial"/>
          <w:sz w:val="15"/>
          <w:szCs w:val="15"/>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Our marketing campaigns consist of corporate branding and announcements about our services through outdoor, print and online advertisements. We also conduct in-game marketing campaigns, visible to users playing our online games, in connection with</w:t>
      </w:r>
    </w:p>
    <w:p>
      <w:pPr>
        <w:sectPr>
          <w:pgSz w:w="11900" w:h="16938" w:orient="portrait"/>
          <w:cols w:equalWidth="0" w:num="1">
            <w:col w:w="11400"/>
          </w:cols>
          <w:pgMar w:left="240" w:top="359" w:right="259" w:bottom="0" w:gutter="0" w:footer="0" w:header="0"/>
        </w:sectPr>
      </w:pPr>
    </w:p>
    <w:bookmarkStart w:id="29" w:name="page30"/>
    <w:bookmarkEnd w:id="29"/>
    <w:p>
      <w:pPr>
        <w:jc w:val="both"/>
        <w:ind w:right="580"/>
        <w:spacing w:after="0" w:line="265" w:lineRule="auto"/>
        <w:rPr>
          <w:sz w:val="20"/>
          <w:szCs w:val="20"/>
          <w:color w:val="auto"/>
        </w:rPr>
      </w:pPr>
      <w:r>
        <w:rPr>
          <w:rFonts w:ascii="Arial" w:cs="Arial" w:eastAsia="Arial" w:hAnsi="Arial"/>
          <w:sz w:val="17"/>
          <w:szCs w:val="17"/>
          <w:color w:val="auto"/>
        </w:rPr>
        <w:t>holiday seasons or the commercial launches of new games or expansion packs throughout the year. In 2016, we continued with efforts to maintain or raise the popularity of our PC-client and mobile games and our licensed games from Blizzard through certain sales and promotional activities. We believe that players’ feedback has been positive in response to our recent promotional activities.</w:t>
      </w:r>
    </w:p>
    <w:p>
      <w:pPr>
        <w:spacing w:after="0" w:line="176" w:lineRule="exact"/>
        <w:rPr>
          <w:sz w:val="20"/>
          <w:szCs w:val="20"/>
          <w:color w:val="auto"/>
        </w:rPr>
      </w:pPr>
    </w:p>
    <w:p>
      <w:pPr>
        <w:ind w:firstLine="617"/>
        <w:spacing w:after="0" w:line="311" w:lineRule="auto"/>
        <w:rPr>
          <w:sz w:val="20"/>
          <w:szCs w:val="20"/>
          <w:color w:val="auto"/>
        </w:rPr>
      </w:pPr>
      <w:r>
        <w:rPr>
          <w:rFonts w:ascii="Arial" w:cs="Arial" w:eastAsia="Arial" w:hAnsi="Arial"/>
          <w:sz w:val="16"/>
          <w:szCs w:val="16"/>
          <w:color w:val="auto"/>
        </w:rPr>
        <w:t>We have entered into a number of agreements with third-party promoters of our online game titles. Pursuant to these agreements, promoters market our game titles to potential customers in specific locations, principally Internet cafés and university campuses, in return for a commission for new users they recruit.</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plan to continue investing in various forms of marketing to further build awareness of our brand and game titles.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2" w:lineRule="exact"/>
        <w:rPr>
          <w:sz w:val="20"/>
          <w:szCs w:val="20"/>
          <w:color w:val="auto"/>
        </w:rPr>
      </w:pPr>
    </w:p>
    <w:p>
      <w:pPr>
        <w:ind w:right="440" w:firstLine="617"/>
        <w:spacing w:after="0" w:line="265" w:lineRule="auto"/>
        <w:rPr>
          <w:sz w:val="20"/>
          <w:szCs w:val="20"/>
          <w:color w:val="auto"/>
        </w:rPr>
      </w:pPr>
      <w:r>
        <w:rPr>
          <w:rFonts w:ascii="Arial" w:cs="Arial" w:eastAsia="Arial" w:hAnsi="Arial"/>
          <w:sz w:val="17"/>
          <w:szCs w:val="17"/>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e-commerce applications, services and technologies for the Chinese market.</w:t>
      </w:r>
    </w:p>
    <w:p>
      <w:pPr>
        <w:spacing w:after="0" w:line="176"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We have utilized and will continue to utilize the products and services of third parties to enhance our platform of technologies and services to provide competitive and diverse Internet and e-commerce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w:t>
      </w:r>
    </w:p>
    <w:p>
      <w:pPr>
        <w:spacing w:after="0" w:line="180" w:lineRule="exact"/>
        <w:rPr>
          <w:sz w:val="20"/>
          <w:szCs w:val="20"/>
          <w:color w:val="auto"/>
        </w:rPr>
      </w:pPr>
    </w:p>
    <w:p>
      <w:pPr>
        <w:ind w:right="40" w:firstLine="617"/>
        <w:spacing w:after="0" w:line="265" w:lineRule="auto"/>
        <w:rPr>
          <w:sz w:val="20"/>
          <w:szCs w:val="20"/>
          <w:color w:val="auto"/>
        </w:rPr>
      </w:pPr>
      <w:r>
        <w:rPr>
          <w:rFonts w:ascii="Arial" w:cs="Arial" w:eastAsia="Arial" w:hAnsi="Arial"/>
          <w:sz w:val="17"/>
          <w:szCs w:val="17"/>
          <w:color w:val="auto"/>
        </w:rPr>
        <w:t>Our major area of focus is the development of our proprietary online games (including introducing new types of games) and localizing licensed games, and we plan to continue this focus in the future. As of December 31, 2016, we had approximately 5,900 programmers, network engineers and graphic designers dedicated to online game research and development.</w:t>
      </w:r>
    </w:p>
    <w:p>
      <w:pPr>
        <w:spacing w:after="0" w:line="176"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We have multiple studios of game developers established to research and develop new games and expansion packs. In developing a new game or expansion pack, game developers create proposals for the game theme and design, and then construct prototypes for management to review and approve. Subsequently, our quality control staff, as well as volunteer players, conduct limited beta testing for the new game designs and expansion packs. Based on analysis of the feedback provided by the quality control staff and volunteer players, our game developers refine the game designs and expansion packs and then initiate unlimited beta testing, by which time the game becomes available to the public. For games using the time-based revenue model, no revenue is collected from users during unlimited beta testing until commercial launch of the game. However, for games using the item-based revenue model, users in the unlimited beta testing can purchase in-game items, which allow those games to start generating revenue from the unlimited beta testing phase onwards. Accordingly, for item-based games, the beginning of unlimited beta testing is sometimes considered to be the commercial launch of the game. Our game developers further improve the new game designs and expansion packs as necessary based on user statistics and feedback gathered from unlimited beta testing. User statistics gathered from limited beta and unlimited beta testing results are compared with existing games, which enables us to assess the potential for success of the new games and expansion packs and to plan the network infrastructure and marketing efforts required to support each new game or expansion pack.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connection with our game development activities, we occasionally license specific game technologies which we incorporate into our internally developed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games.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INFRASTRUCTURE AND TECHNOLOGY</w:t>
      </w:r>
    </w:p>
    <w:p>
      <w:pPr>
        <w:spacing w:after="0" w:line="158" w:lineRule="exact"/>
        <w:rPr>
          <w:sz w:val="20"/>
          <w:szCs w:val="20"/>
          <w:color w:val="auto"/>
        </w:rPr>
      </w:pPr>
    </w:p>
    <w:p>
      <w:pPr>
        <w:ind w:right="80" w:firstLine="617"/>
        <w:spacing w:after="0" w:line="259" w:lineRule="auto"/>
        <w:rPr>
          <w:sz w:val="20"/>
          <w:szCs w:val="20"/>
          <w:color w:val="auto"/>
        </w:rPr>
      </w:pPr>
      <w:r>
        <w:rPr>
          <w:rFonts w:ascii="Arial" w:cs="Arial" w:eastAsia="Arial" w:hAnsi="Arial"/>
          <w:sz w:val="17"/>
          <w:szCs w:val="17"/>
          <w:color w:val="auto"/>
        </w:rPr>
        <w:t>Our infrastructure and technology have been designed for reliability, scalability and flexibility and are administered by our technical staff. The NetEase websites are made available primarily through network servers co-located in the facilities of China Unicom’s Beijing affiliate and China Telecom’s Beijing affiliates. As of December 31, 2016, there were approximately 50,000 of such co-located servers, including servers supporting the operation of the games licensed to Shanghai EaseNet by Blizzard, operating with Web server software from Apache and Netscape and using leased dedicated lines from CERNET and various affiliates of China Unicom and China Telecom.</w:t>
      </w:r>
    </w:p>
    <w:p>
      <w:pPr>
        <w:spacing w:after="0" w:line="116" w:lineRule="exact"/>
        <w:rPr>
          <w:sz w:val="20"/>
          <w:szCs w:val="20"/>
          <w:color w:val="auto"/>
        </w:rPr>
      </w:pPr>
    </w:p>
    <w:p>
      <w:pPr>
        <w:ind w:right="560" w:firstLine="617"/>
        <w:spacing w:after="0" w:line="278" w:lineRule="auto"/>
        <w:rPr>
          <w:sz w:val="20"/>
          <w:szCs w:val="20"/>
          <w:color w:val="auto"/>
        </w:rPr>
      </w:pPr>
      <w:r>
        <w:rPr>
          <w:rFonts w:ascii="Arial" w:cs="Arial" w:eastAsia="Arial" w:hAnsi="Arial"/>
          <w:sz w:val="17"/>
          <w:szCs w:val="17"/>
          <w:color w:val="auto"/>
        </w:rPr>
        <w:t>In addition, we also develop our own systems to facilitate sales planning, targeting, trafficking, inventory management and reporting tools, as well as advertisement and search tracking systems for our advertising and search services.</w:t>
      </w:r>
    </w:p>
    <w:p>
      <w:pPr>
        <w:spacing w:after="0" w:line="100" w:lineRule="exact"/>
        <w:rPr>
          <w:sz w:val="20"/>
          <w:szCs w:val="20"/>
          <w:color w:val="auto"/>
        </w:rPr>
      </w:pPr>
    </w:p>
    <w:p>
      <w:pPr>
        <w:ind w:firstLine="617"/>
        <w:spacing w:after="0" w:line="317" w:lineRule="auto"/>
        <w:rPr>
          <w:sz w:val="20"/>
          <w:szCs w:val="20"/>
          <w:color w:val="auto"/>
        </w:rPr>
      </w:pPr>
      <w:r>
        <w:rPr>
          <w:rFonts w:ascii="Arial" w:cs="Arial" w:eastAsia="Arial" w:hAnsi="Arial"/>
          <w:sz w:val="15"/>
          <w:szCs w:val="15"/>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 -party products to enhance our Internet media services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58" w:lineRule="exact"/>
        <w:rPr>
          <w:sz w:val="20"/>
          <w:szCs w:val="20"/>
          <w:color w:val="auto"/>
        </w:rPr>
      </w:pPr>
    </w:p>
    <w:p>
      <w:pPr>
        <w:ind w:right="40" w:firstLine="617"/>
        <w:spacing w:after="0" w:line="275" w:lineRule="auto"/>
        <w:rPr>
          <w:sz w:val="20"/>
          <w:szCs w:val="20"/>
          <w:color w:val="auto"/>
        </w:rPr>
      </w:pPr>
      <w:r>
        <w:rPr>
          <w:rFonts w:ascii="Arial" w:cs="Arial" w:eastAsia="Arial" w:hAnsi="Arial"/>
          <w:sz w:val="16"/>
          <w:szCs w:val="16"/>
          <w:color w:val="auto"/>
        </w:rPr>
        <w:t>A number of companies offer competitive products or services in China, our main operating market. Specifically, we are encountering competition from companies offering various online games that target the China market, such as Tencent, Changyou.com Limited, Giant Interactive Group Inc., Shanda Games Limited, and Perfect World Company Limited. We also face competition from other websites that offer online content and online community services, including Tencent, Baidu, Alibaba, Sina, Sohu, Qihoo, iFeng.com, Youku, and other vertical Internet media. In addition, we face competition for our e-commerce businesses from other companies such as Alibaba, JD.com, Inc., Jumei International Holding Limited and Vipshop Holdings Limited.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06" w:lineRule="exact"/>
        <w:rPr>
          <w:sz w:val="20"/>
          <w:szCs w:val="20"/>
          <w:color w:val="auto"/>
        </w:rPr>
      </w:pPr>
    </w:p>
    <w:p>
      <w:pPr>
        <w:ind w:right="140" w:firstLine="617"/>
        <w:spacing w:after="0" w:line="275" w:lineRule="auto"/>
        <w:rPr>
          <w:sz w:val="20"/>
          <w:szCs w:val="20"/>
          <w:color w:val="auto"/>
        </w:rPr>
      </w:pPr>
      <w:r>
        <w:rPr>
          <w:rFonts w:ascii="Arial" w:cs="Arial" w:eastAsia="Arial" w:hAnsi="Arial"/>
          <w:sz w:val="16"/>
          <w:szCs w:val="16"/>
          <w:color w:val="auto"/>
        </w:rPr>
        <w:t>We also believe that competition in the online advertising industry in China is intense with numerous competitors such as Baidu, Sina, Sohu, Tencent, Alibaba, Qihoo, iFeng.com, TouTiao.com and Youku, as well as other vertical Internet media. In addition, we face competition from Internet media operated by multinational Internet companies such as Yahoo! Inc., Microsoft Corporation and Google Inc. which provide Chinese language service offerings.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Finally, we face competition from websites that operate outside our market and offer content in the English language, which may be attractive to a portion of Chinese Internet users. We also compete with traditional forms of media for advertising-related revenue.</w:t>
      </w:r>
    </w:p>
    <w:p>
      <w:pPr>
        <w:spacing w:after="0" w:line="106" w:lineRule="exact"/>
        <w:rPr>
          <w:sz w:val="20"/>
          <w:szCs w:val="20"/>
          <w:color w:val="auto"/>
        </w:rPr>
      </w:pPr>
    </w:p>
    <w:p>
      <w:pPr>
        <w:ind w:right="80" w:firstLine="617"/>
        <w:spacing w:after="0" w:line="278" w:lineRule="auto"/>
        <w:rPr>
          <w:sz w:val="20"/>
          <w:szCs w:val="20"/>
          <w:color w:val="auto"/>
        </w:rPr>
      </w:pPr>
      <w:r>
        <w:rPr>
          <w:rFonts w:ascii="Arial" w:cs="Arial" w:eastAsia="Arial" w:hAnsi="Arial"/>
          <w:sz w:val="17"/>
          <w:szCs w:val="17"/>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w:t>
      </w:r>
    </w:p>
    <w:p>
      <w:pPr>
        <w:sectPr>
          <w:pgSz w:w="11900" w:h="16838" w:orient="portrait"/>
          <w:cols w:equalWidth="0" w:num="1">
            <w:col w:w="11400"/>
          </w:cols>
          <w:pgMar w:left="240" w:top="127" w:right="259" w:bottom="0" w:gutter="0" w:footer="0" w:header="0"/>
        </w:sectPr>
      </w:pPr>
    </w:p>
    <w:bookmarkStart w:id="30" w:name="page31"/>
    <w:bookmarkEnd w:id="30"/>
    <w:p>
      <w:pPr>
        <w:spacing w:after="0" w:line="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Overview</w:t>
      </w:r>
    </w:p>
    <w:p>
      <w:pPr>
        <w:spacing w:after="0" w:line="152"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The Chinese government has enacted an extensive regulatory scheme governing the operation of Internet-related businesses, such as telecommunications, Internet information services, international connection to computer information networks, information security and censorship. In addition to MII, the various services of the PRC Internet industry are regulated by various governmental authorities, such as the SAIC, the State Council Information Office, or SCIO, the Ministry of Education, or MOE, the Ministry of Health, or MOH, the State Food and Drug Administration, or SFDA, the MOC, SAPPRFT, the Ministry of Commerce and the Ministry of Public Security.</w:t>
      </w:r>
    </w:p>
    <w:p>
      <w:pPr>
        <w:spacing w:after="0" w:line="116" w:lineRule="exact"/>
        <w:rPr>
          <w:sz w:val="20"/>
          <w:szCs w:val="20"/>
          <w:color w:val="auto"/>
        </w:rPr>
      </w:pPr>
    </w:p>
    <w:p>
      <w:pPr>
        <w:ind w:right="20" w:firstLine="617"/>
        <w:spacing w:after="0" w:line="259" w:lineRule="auto"/>
        <w:rPr>
          <w:sz w:val="20"/>
          <w:szCs w:val="20"/>
          <w:color w:val="auto"/>
        </w:rPr>
      </w:pPr>
      <w:r>
        <w:rPr>
          <w:rFonts w:ascii="Arial" w:cs="Arial" w:eastAsia="Arial" w:hAnsi="Arial"/>
          <w:sz w:val="17"/>
          <w:szCs w:val="17"/>
          <w:color w:val="auto"/>
        </w:rPr>
        <w:t>In September 2000, China’s State Council promulgated the Telecommunications Regulations of the People’s Republic of China, or the Telecom Regulations, which was revised in February 2016.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16" w:lineRule="exact"/>
        <w:rPr>
          <w:sz w:val="20"/>
          <w:szCs w:val="20"/>
          <w:color w:val="auto"/>
        </w:rPr>
      </w:pPr>
    </w:p>
    <w:p>
      <w:pPr>
        <w:ind w:right="20" w:firstLine="617"/>
        <w:spacing w:after="0" w:line="272" w:lineRule="auto"/>
        <w:rPr>
          <w:sz w:val="20"/>
          <w:szCs w:val="20"/>
          <w:color w:val="auto"/>
        </w:rPr>
      </w:pPr>
      <w:r>
        <w:rPr>
          <w:rFonts w:ascii="Arial" w:cs="Arial" w:eastAsia="Arial" w:hAnsi="Arial"/>
          <w:sz w:val="16"/>
          <w:szCs w:val="16"/>
          <w:color w:val="auto"/>
        </w:rPr>
        <w:t>In December 2001, in order to comply with China’s commitments with respect to its entry into the WTO, the State Council promulgated the Regulation for the Administration of Foreign-invested Telecommunications Enterprises, or the FITE Regulations, which was revised in February 2016. The FITE Regulations set forth detailed requirements with respect to capitalization, investor qualifications and application procedures in connection with the establishment of a foreign invested telecom enterprise. Pursuant to the FITE Regulations, foreign investors may hold an aggregate of no more than 50% of the total equity in any value-added telecommunications business in China, with the one exception set forth in the Notice of the Ministry of Industry and Information Technology on Removing the Restrictions on Foreign Equity Ratios in Online Data Processing and Transaction Processing (Operating E-commerce) Business issued by MII in June 2015, pursuant to which, foreign investors may hold up to 100% of the total equity in online data processing and transaction processing businesses. However, the FITE Regulations do not define the “online data processing and transaction processing business”, and its interpretation and enforcement involve significant uncertainties. Therefore, we cannot assure you whether our online retail business and distribution of online information falls into the “online data processing and transaction processing business” category and whether we are permitted to conduct such value-added telecommunication services in the PRC through our subsidiaries in which foreign investors own more than 50% of the equity interests.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95" w:lineRule="auto"/>
        <w:rPr>
          <w:sz w:val="20"/>
          <w:szCs w:val="20"/>
          <w:color w:val="auto"/>
        </w:rPr>
      </w:pPr>
      <w:r>
        <w:rPr>
          <w:rFonts w:ascii="Arial" w:cs="Arial" w:eastAsia="Arial" w:hAnsi="Arial"/>
          <w:sz w:val="15"/>
          <w:szCs w:val="15"/>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Classified Regulations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Internet Information Services</w:t>
      </w:r>
    </w:p>
    <w:p>
      <w:pPr>
        <w:spacing w:after="0" w:line="216" w:lineRule="exact"/>
        <w:rPr>
          <w:sz w:val="20"/>
          <w:szCs w:val="20"/>
          <w:color w:val="auto"/>
        </w:rPr>
      </w:pPr>
    </w:p>
    <w:p>
      <w:pPr>
        <w:jc w:val="both"/>
        <w:ind w:right="180" w:firstLine="617"/>
        <w:spacing w:after="0" w:line="290" w:lineRule="auto"/>
        <w:rPr>
          <w:sz w:val="20"/>
          <w:szCs w:val="20"/>
          <w:color w:val="auto"/>
        </w:rPr>
      </w:pPr>
      <w:r>
        <w:rPr>
          <w:rFonts w:ascii="Arial" w:cs="Arial" w:eastAsia="Arial" w:hAnsi="Arial"/>
          <w:sz w:val="15"/>
          <w:szCs w:val="15"/>
          <w:color w:val="auto"/>
        </w:rPr>
        <w:t>The Measures for the Administration of Internet Information Services, or the ICP Measures, issued by the State Council went into effect on September 25, 2000 and was revised on January 8, 2011.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ICP-related Chinese regulations, Guangzhou NetEase successfully obtained an ICP license issued by the Guangdong Provincial Telecommunications Bureau.</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Subsequently, Guangzhou NetEase obtained a Value-Added Telecom Business Operating License from the Guangdong Provincial Telecommunications Bureau, which replaced its ICP license and authorizes Guangzhou NetEase to provide Internet information services. Guangzhou NetEase obtained an Inter-Provincial Value-Added Telecommunications Business Operating License from MII, which specifically authorizes it to provide value-added telecommunications services (excluding fixed line phone call information services and Internet information services). Also, Shanghai EaseNet, Youdao Computer, Hangzhou Leihuo, Zhejiang Yixin Science &amp; Technology Co., Ltd, Wangyibao, Ujia E-commerce Co., Ltd., or Ujia, Zhoushan Bole Technology Co., Ltd., or Zhoushan Bole, NetEase Advertising, Hangzhou Bobo Technology Co., Ltd., or Hangzhou Bobo, and Hangzhou Ledu Technology Co., Ltd., or Ledu, have each obtained a Value-Added Telecommunications Business Operating License issued by a relevant Provincial Telecommunications Bureau.</w:t>
      </w:r>
    </w:p>
    <w:p>
      <w:pPr>
        <w:spacing w:after="0" w:line="170" w:lineRule="exact"/>
        <w:rPr>
          <w:sz w:val="20"/>
          <w:szCs w:val="20"/>
          <w:color w:val="auto"/>
        </w:rPr>
      </w:pPr>
    </w:p>
    <w:p>
      <w:pPr>
        <w:ind w:right="40" w:firstLine="617"/>
        <w:spacing w:after="0" w:line="257" w:lineRule="auto"/>
        <w:rPr>
          <w:sz w:val="20"/>
          <w:szCs w:val="20"/>
          <w:color w:val="auto"/>
        </w:rPr>
      </w:pPr>
      <w:r>
        <w:rPr>
          <w:rFonts w:ascii="Arial" w:cs="Arial" w:eastAsia="Arial" w:hAnsi="Arial"/>
          <w:sz w:val="17"/>
          <w:szCs w:val="17"/>
          <w:color w:val="auto"/>
        </w:rPr>
        <w:t>The Provisional Regulations for the Administration of Website Operation of News Publications, which were jointly issued by SCIO and MII on November 17, 2000, stipulate that websites of non-news organizations shall not publish news items produced by themselves and require the websites of non-news organizations to be approved by SCIO after securing permission from SCIO at the provincial level. On September 25, 2005, the Regulations for the Administration of Internet News Information Services were promulgated jointly by SCIO and MII. The regulations require that any ICP operator that is a non-news organization but engaged in Internet news information services must obtain approval for those services from SCIO. Guangzhou NetEase has obtained an Internet News Information Service License from SCIO.</w:t>
      </w:r>
    </w:p>
    <w:p>
      <w:pPr>
        <w:spacing w:after="0" w:line="185"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On June 27, 2002, MII and GAPP (later superseded by SAPPRFT) jointly promulgated the Provisional Measures for the Administration of Internet Publishing, which was replaced by the Rules for the Administration of Online Publishing Service jointly issued by SAPPRFT and MII that became effective on March 10, 2016, which requires Internet publishers to secure approval from SAPPRFT.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etc. that have already been formally published or works that have been made public in other media) and subsequently post the same on the Internet or transmit the same to users via the Internet for browsing, use or downloading by the public. Guangzhou NetEase has obtained a license from SAPPRFT to engage in Internet publishing.</w:t>
      </w:r>
    </w:p>
    <w:p>
      <w:pPr>
        <w:spacing w:after="0" w:line="181" w:lineRule="exact"/>
        <w:rPr>
          <w:sz w:val="20"/>
          <w:szCs w:val="20"/>
          <w:color w:val="auto"/>
        </w:rPr>
      </w:pPr>
    </w:p>
    <w:p>
      <w:pPr>
        <w:ind w:right="300" w:firstLine="617"/>
        <w:spacing w:after="0" w:line="265" w:lineRule="auto"/>
        <w:rPr>
          <w:sz w:val="20"/>
          <w:szCs w:val="20"/>
          <w:color w:val="auto"/>
        </w:rPr>
      </w:pPr>
      <w:r>
        <w:rPr>
          <w:rFonts w:ascii="Arial" w:cs="Arial" w:eastAsia="Arial" w:hAnsi="Arial"/>
          <w:sz w:val="17"/>
          <w:szCs w:val="17"/>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76" w:lineRule="exact"/>
        <w:rPr>
          <w:sz w:val="20"/>
          <w:szCs w:val="20"/>
          <w:color w:val="auto"/>
        </w:rPr>
      </w:pPr>
    </w:p>
    <w:p>
      <w:pPr>
        <w:ind w:right="60" w:firstLine="617"/>
        <w:spacing w:after="0" w:line="298" w:lineRule="auto"/>
        <w:rPr>
          <w:sz w:val="20"/>
          <w:szCs w:val="20"/>
          <w:color w:val="auto"/>
        </w:rPr>
      </w:pPr>
      <w:r>
        <w:rPr>
          <w:rFonts w:ascii="Arial" w:cs="Arial" w:eastAsia="Arial" w:hAnsi="Arial"/>
          <w:sz w:val="15"/>
          <w:szCs w:val="15"/>
          <w:color w:val="auto"/>
        </w:rPr>
        <w:t>Pursuant to the Measures for the Administration of Internet E-mail Services, or the Internet E-mail Measures, which were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w:t>
      </w:r>
    </w:p>
    <w:p>
      <w:pPr>
        <w:sectPr>
          <w:pgSz w:w="11900" w:h="16855" w:orient="portrait"/>
          <w:cols w:equalWidth="0" w:num="1">
            <w:col w:w="11420"/>
          </w:cols>
          <w:pgMar w:left="240" w:top="127" w:right="239" w:bottom="0" w:gutter="0" w:footer="0" w:header="0"/>
        </w:sectPr>
      </w:pPr>
    </w:p>
    <w:bookmarkStart w:id="31" w:name="page32"/>
    <w:bookmarkEnd w:id="31"/>
    <w:p>
      <w:pPr>
        <w:ind w:right="180"/>
        <w:spacing w:after="0" w:line="278" w:lineRule="auto"/>
        <w:rPr>
          <w:sz w:val="20"/>
          <w:szCs w:val="20"/>
          <w:color w:val="auto"/>
        </w:rPr>
      </w:pPr>
      <w:r>
        <w:rPr>
          <w:rFonts w:ascii="Arial" w:cs="Arial" w:eastAsia="Arial" w:hAnsi="Arial"/>
          <w:sz w:val="17"/>
          <w:szCs w:val="17"/>
          <w:color w:val="auto"/>
        </w:rPr>
        <w:t>prescribed by another law or administrative regulation. Guangzhou NetEase has obtained an Inter-Provincial Value-Added Telecommunications Business Operating License.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60" w:firstLine="617"/>
        <w:spacing w:after="0" w:line="261" w:lineRule="auto"/>
        <w:rPr>
          <w:sz w:val="20"/>
          <w:szCs w:val="20"/>
          <w:color w:val="auto"/>
        </w:rPr>
      </w:pPr>
      <w:r>
        <w:rPr>
          <w:rFonts w:ascii="Arial" w:cs="Arial" w:eastAsia="Arial" w:hAnsi="Arial"/>
          <w:sz w:val="17"/>
          <w:szCs w:val="17"/>
          <w:color w:val="auto"/>
        </w:rPr>
        <w:t>SARFT (later superseded by SAPPRFT) and MII jointly issued the Regulations for the Administration of Internet Audiovisual Program Services, or the Audiovisual Regulations, on December 20, 2007, which was revised on August 28, 2015, require that online audio and video service providers must obtain a permit from SAPPRFT in accordance with the Audiovisual Regulations. Guangzhou NetEase has obtained the Permit for the Network Transmission of Audiovisual Programs issued by SAPPRFT.</w:t>
      </w:r>
    </w:p>
    <w:p>
      <w:pPr>
        <w:spacing w:after="0" w:line="179" w:lineRule="exact"/>
        <w:rPr>
          <w:sz w:val="20"/>
          <w:szCs w:val="20"/>
          <w:color w:val="auto"/>
        </w:rPr>
      </w:pPr>
    </w:p>
    <w:p>
      <w:pPr>
        <w:ind w:right="200" w:firstLine="617"/>
        <w:spacing w:after="0" w:line="256" w:lineRule="auto"/>
        <w:rPr>
          <w:sz w:val="20"/>
          <w:szCs w:val="20"/>
          <w:color w:val="auto"/>
        </w:rPr>
      </w:pPr>
      <w:r>
        <w:rPr>
          <w:rFonts w:ascii="Arial" w:cs="Arial" w:eastAsia="Arial" w:hAnsi="Arial"/>
          <w:sz w:val="17"/>
          <w:szCs w:val="17"/>
          <w:color w:val="auto"/>
        </w:rPr>
        <w:t>On September 3, 2009, the MOC issued its Notice on Strengthening and Improving the Content Censorship of Online Music Content. According to this notice, only entities approved by the Ministry of Culture for an Internet Culture Operating License may engage in the production, release, dissemination (including providing direct links to music products) and importation of online music products. In addition, the notice also requires all domestic music products to be filed with the MOC within 30 days after being publicly available online. Imported music products must be approved by the MOC before being made available online. On October 23, 2015, the MOC issued its Notice on Further Strengthening and Improving the Management of Online Music Content. According to this notice, the entities should examine and verify the content of online music by themselves, while the culture management administration should supervise in the act and afterwards. Guangzhou NetEase, Shanghai EaseNet, Hangzhou Leihuo, Zhoushan Bole, Ujia, Ledu and Hangzhou Bobo have each obtained an Internet Culture Operating License.</w:t>
      </w:r>
    </w:p>
    <w:p>
      <w:pPr>
        <w:spacing w:after="0" w:line="184" w:lineRule="exact"/>
        <w:rPr>
          <w:sz w:val="20"/>
          <w:szCs w:val="20"/>
          <w:color w:val="auto"/>
        </w:rPr>
      </w:pPr>
    </w:p>
    <w:p>
      <w:pPr>
        <w:ind w:right="20" w:firstLine="617"/>
        <w:spacing w:after="0" w:line="273" w:lineRule="auto"/>
        <w:rPr>
          <w:sz w:val="20"/>
          <w:szCs w:val="20"/>
          <w:color w:val="auto"/>
        </w:rPr>
      </w:pPr>
      <w:r>
        <w:rPr>
          <w:rFonts w:ascii="Arial" w:cs="Arial" w:eastAsia="Arial" w:hAnsi="Arial"/>
          <w:sz w:val="16"/>
          <w:szCs w:val="16"/>
          <w:color w:val="auto"/>
        </w:rPr>
        <w:t>On May 4, 2008, the China Banking Regulatory Commission, or CBRC, and PBOC jointly issued the Guiding Opinions of China Banking Regulatory Commission and the People’s Bank of China on the Pilot Operation of Small Loan Companies, or the Guiding Opinions. According to the Guiding Opinions, to apply for setting up a small loan company, the applicant is required to file a formal official application with the competent department of the provincial government, and, upon approval, it shall apply to the local administrative department for industry and commerce for handling the registration formalities and to receive the business license. It is also required to file the relevant materials with the local public security organ, the dispatch office of the CBRC and the branch institution of the PBOC within five working days after approval. The major sources of funds of a small loan company shall be the capital paid by shareholders, donated capital and the capital borrowed from a maximum of two banking financial institutions. The balance of the capital borrowed from banking financial institutions shall not exceed 50% of the net capital within the scope as prescribed by laws and regulations. In addition, the balance of loans granted by a small loan company to a single borrower shall not exceed 5% of the net capital of the company.</w:t>
      </w:r>
    </w:p>
    <w:p>
      <w:pPr>
        <w:spacing w:after="0" w:line="175" w:lineRule="exact"/>
        <w:rPr>
          <w:sz w:val="20"/>
          <w:szCs w:val="20"/>
          <w:color w:val="auto"/>
        </w:rPr>
      </w:pPr>
    </w:p>
    <w:p>
      <w:pPr>
        <w:ind w:firstLine="617"/>
        <w:spacing w:after="0" w:line="289" w:lineRule="auto"/>
        <w:rPr>
          <w:sz w:val="20"/>
          <w:szCs w:val="20"/>
          <w:color w:val="auto"/>
        </w:rPr>
      </w:pPr>
      <w:r>
        <w:rPr>
          <w:rFonts w:ascii="Arial" w:cs="Arial" w:eastAsia="Arial" w:hAnsi="Arial"/>
          <w:sz w:val="15"/>
          <w:szCs w:val="15"/>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became effective as of September 1, 2010 and require that non-financial institutions engaging in the business of effecting payments and settlements before June 14, 2010 obtain a permit, Payment Service Permit, from the PBOC by August 31, 2011 to continue such business. On December 1, 2010, the PBOC issued the Implementation Rules for the Measures for the Administration of Non-financial Institutions Engaging in Payment and Settlement Services, or the Implementation Rules for the PBOC Measures, which contains further elaboration with respect to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We have obtained the Payment Service Permit from the PBOC. On December 28, 2015, the PBOC issued the Administrative Measures for Internet Payment Services of Non-banking Payment Institutions, which will take effect on July 1, 2016, which require that non-banking payment institutions shall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such accounts shall be owned by the same client. On January 13, 2017, the PBOC issued the Notice of the PBOC on Matters concerning Implementing the Centralized Deposit of the Funds of Pending Payments of Clients of Payment Institutions, which requires that, beginning on April 17, 2017, a payment institution to deposit a certain percentage of the funds from its clients, pending payment from such clients, in a special deposit account with a designated financial institution where no interest on such percentage of funds shall accrue. This means that beginning on April 17, 2017, we will not be able to collect interest on a certain portion of funds that our users have with us through our Wangyibao payment platform. For other details, see Item 3.D. “Risk Factors—Risks Related to the Telecommunications and Internet Industries in China—Regulatory restrictions on financial transactions may adversely affect the operation and profitability of our business.”</w:t>
      </w:r>
    </w:p>
    <w:p>
      <w:pPr>
        <w:spacing w:after="0" w:line="168" w:lineRule="exact"/>
        <w:rPr>
          <w:sz w:val="20"/>
          <w:szCs w:val="20"/>
          <w:color w:val="auto"/>
        </w:rPr>
      </w:pPr>
    </w:p>
    <w:p>
      <w:pPr>
        <w:ind w:right="40" w:firstLine="617"/>
        <w:spacing w:after="0" w:line="274" w:lineRule="auto"/>
        <w:rPr>
          <w:sz w:val="20"/>
          <w:szCs w:val="20"/>
          <w:color w:val="auto"/>
        </w:rPr>
      </w:pPr>
      <w:r>
        <w:rPr>
          <w:rFonts w:ascii="Arial" w:cs="Arial" w:eastAsia="Arial" w:hAnsi="Arial"/>
          <w:sz w:val="16"/>
          <w:szCs w:val="16"/>
          <w:color w:val="auto"/>
        </w:rPr>
        <w:t>On December 29, 2011, MII issued Several Provisions on Regulating the Market Order for Internet Information Services, or the Market Order Provisions. According to such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the users. Also, IISPs are prohibited from collecting information that is related to the users and can serve to identify the users’ identities solely or in conjunction with other information without the users’ consent or providing other people with such information, unless otherwise permitted or required under laws or administrative regulations. We believe our current operation is in compliance with the Market Order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340" w:firstLine="617"/>
        <w:spacing w:after="0" w:line="261" w:lineRule="auto"/>
        <w:rPr>
          <w:sz w:val="20"/>
          <w:szCs w:val="20"/>
          <w:color w:val="auto"/>
        </w:rPr>
      </w:pPr>
      <w:r>
        <w:rPr>
          <w:rFonts w:ascii="Arial" w:cs="Arial" w:eastAsia="Arial" w:hAnsi="Arial"/>
          <w:sz w:val="17"/>
          <w:szCs w:val="17"/>
          <w:color w:val="auto"/>
        </w:rPr>
        <w:t>On June 7, 2013, the PBOC issued the Measures for the Custody of Clients’ Reserves of Payment Institutions, or the Clients’ Reserves Measures,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We have taken necessary measures to comply with the Clients’ Reserves Measures.</w:t>
      </w:r>
    </w:p>
    <w:p>
      <w:pPr>
        <w:spacing w:after="0" w:line="179" w:lineRule="exact"/>
        <w:rPr>
          <w:sz w:val="20"/>
          <w:szCs w:val="20"/>
          <w:color w:val="auto"/>
        </w:rPr>
      </w:pPr>
    </w:p>
    <w:p>
      <w:pPr>
        <w:ind w:right="200" w:firstLine="617"/>
        <w:spacing w:after="0" w:line="296" w:lineRule="auto"/>
        <w:rPr>
          <w:sz w:val="20"/>
          <w:szCs w:val="20"/>
          <w:color w:val="auto"/>
        </w:rPr>
      </w:pPr>
      <w:r>
        <w:rPr>
          <w:rFonts w:ascii="Arial" w:cs="Arial" w:eastAsia="Arial" w:hAnsi="Arial"/>
          <w:sz w:val="15"/>
          <w:szCs w:val="15"/>
          <w:color w:val="auto"/>
        </w:rPr>
        <w:t>On July 18, 2015, PBOC, MII, Ministry of Public Security, MOF, SAIC, Legislative Affairs Office of the State Council, CBRC, CSRC, China Insurance Regulatory Commission and China Internet Information Technology Office jointly issued the Guiding Opinions on Promoting the Healthy Development of Internet Finance, which was imperative to encourage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w:t>
      </w:r>
    </w:p>
    <w:p>
      <w:pPr>
        <w:sectPr>
          <w:pgSz w:w="11900" w:h="16838" w:orient="portrait"/>
          <w:cols w:equalWidth="0" w:num="1">
            <w:col w:w="11420"/>
          </w:cols>
          <w:pgMar w:left="240" w:top="127" w:right="239" w:bottom="0" w:gutter="0" w:footer="0" w:header="0"/>
        </w:sectPr>
      </w:pPr>
    </w:p>
    <w:bookmarkStart w:id="32" w:name="page33"/>
    <w:bookmarkEnd w:id="32"/>
    <w:p>
      <w:pPr>
        <w:spacing w:after="0" w:line="10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financial services systems under the premise of compliance with financial laws and regulations, and effectively expand the supply chain operations of e-commerce enterprises.</w:t>
      </w:r>
    </w:p>
    <w:p>
      <w:pPr>
        <w:spacing w:after="0" w:line="165" w:lineRule="exact"/>
        <w:rPr>
          <w:sz w:val="20"/>
          <w:szCs w:val="20"/>
          <w:color w:val="auto"/>
        </w:rPr>
      </w:pPr>
    </w:p>
    <w:p>
      <w:pPr>
        <w:ind w:right="240" w:firstLine="617"/>
        <w:spacing w:after="0" w:line="261" w:lineRule="auto"/>
        <w:rPr>
          <w:sz w:val="20"/>
          <w:szCs w:val="20"/>
          <w:color w:val="auto"/>
        </w:rPr>
      </w:pPr>
      <w:r>
        <w:rPr>
          <w:rFonts w:ascii="Arial" w:cs="Arial" w:eastAsia="Arial" w:hAnsi="Arial"/>
          <w:sz w:val="17"/>
          <w:szCs w:val="17"/>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 account registration to require them to abide by “Seven Principals”, including, without limitation, laws and regulations, socialist system principals and social ethics. We believe we have taken the necessary measures to comply with the Instant Messaging Interim Provisions.</w:t>
      </w:r>
    </w:p>
    <w:p>
      <w:pPr>
        <w:spacing w:after="0" w:line="179" w:lineRule="exact"/>
        <w:rPr>
          <w:sz w:val="20"/>
          <w:szCs w:val="20"/>
          <w:color w:val="auto"/>
        </w:rPr>
      </w:pPr>
    </w:p>
    <w:p>
      <w:pPr>
        <w:ind w:right="340" w:firstLine="617"/>
        <w:spacing w:after="0" w:line="261" w:lineRule="auto"/>
        <w:rPr>
          <w:sz w:val="20"/>
          <w:szCs w:val="20"/>
          <w:color w:val="auto"/>
        </w:rPr>
      </w:pPr>
      <w:r>
        <w:rPr>
          <w:rFonts w:ascii="Arial" w:cs="Arial" w:eastAsia="Arial" w:hAnsi="Arial"/>
          <w:sz w:val="17"/>
          <w:szCs w:val="17"/>
          <w:color w:val="auto"/>
        </w:rPr>
        <w:t>On December 28, 2015, MII issued the Telecommunication Services Classification Catalogue (2015), replacing the old Telecommunication Services Classification Catalogue (2003), which took effect on March 1, 2016. The 2015 catalogue divides the information services business into five more detailed sub-categories and reclassifies the online data processing and transaction processing services business as a value-added telecom business from basic telecom business category in the 2003 Catalogue.</w:t>
      </w:r>
    </w:p>
    <w:p>
      <w:pPr>
        <w:spacing w:after="0" w:line="179"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On April 17, 2015, the National Copyright Administration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Information Security and Censorship</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Regulations governing information security and censorship include:</w:t>
      </w:r>
    </w:p>
    <w:p>
      <w:pPr>
        <w:spacing w:after="0" w:line="216" w:lineRule="exact"/>
        <w:rPr>
          <w:sz w:val="20"/>
          <w:szCs w:val="20"/>
          <w:color w:val="auto"/>
        </w:rPr>
      </w:pPr>
    </w:p>
    <w:p>
      <w:pPr>
        <w:ind w:left="580" w:hanging="26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Law of the People’s Republic of China on the Preservation of State Secrets (2010) and its Implementation Rules (2014).</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Counter-espionage Law of the People’s Republic of China (2014).</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Rules of the People’s Republic of China for Protecting the Security of Computer Information Systems (1994, revised in 2011).</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Administrative Regulations for the Protection of Secrecy on Computer Information System Connected to International Networks (1997, revised in 2011).</w:t>
      </w:r>
    </w:p>
    <w:p>
      <w:pPr>
        <w:spacing w:after="0" w:line="239" w:lineRule="exact"/>
        <w:rPr>
          <w:rFonts w:ascii="Arial" w:cs="Arial" w:eastAsia="Arial" w:hAnsi="Arial"/>
          <w:sz w:val="15"/>
          <w:szCs w:val="15"/>
          <w:color w:val="auto"/>
        </w:rPr>
      </w:pPr>
    </w:p>
    <w:p>
      <w:pPr>
        <w:ind w:left="580" w:hanging="268"/>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Regulations for the Protection of State Secrets for Computer Information Systems on the Internet (2000).</w:t>
      </w:r>
    </w:p>
    <w:p>
      <w:pPr>
        <w:spacing w:after="0" w:line="216" w:lineRule="exact"/>
        <w:rPr>
          <w:rFonts w:ascii="Arial" w:cs="Arial" w:eastAsia="Arial" w:hAnsi="Arial"/>
          <w:sz w:val="17"/>
          <w:szCs w:val="17"/>
          <w:color w:val="auto"/>
        </w:rPr>
      </w:pPr>
    </w:p>
    <w:p>
      <w:pPr>
        <w:ind w:left="620" w:right="1020" w:hanging="308"/>
        <w:spacing w:after="0" w:line="311" w:lineRule="auto"/>
        <w:tabs>
          <w:tab w:leader="none" w:pos="5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Cyber Security Law of the People’s Republic of China (2016)</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Administrative Measures of the Commercial Website Filings for the Record (2004).</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Regarding the Safeguarding of Internet Security (2002).</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Provisions on the Technical Measures for the Protection of the Security of the Internet (2006).</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Administrative Regulations for the Classified Protection of Information Security (2007).</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on Strengthening Network Information Protection (2012).</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Provisions on Protection of Personal Information of Telecommunication and Internet Users (2013).</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Internet User Account Name Management Regulations (2015).</w:t>
      </w:r>
    </w:p>
    <w:p>
      <w:pPr>
        <w:spacing w:after="0" w:line="216"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65" w:lineRule="exact"/>
        <w:rPr>
          <w:sz w:val="20"/>
          <w:szCs w:val="20"/>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opposes the fundamental principles set forth in China’s Constitution;</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compromises state security, divulges state secrets, subverts state power or damages national unity;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harms the dignity or interests of the state;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incites ethnic hatred or racial discrimination or damages inter-ethnic unity;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sabotages China’s religious policy or propagates heretical teachings or feudal superstitions;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disseminates rumors, disturbs social order or disrupts social stability;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propagates obscenity, pornography, gambling, violence, murder or fear or incites the commission of crimes;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insults or slanders a third-party or infringes upon the lawful rights and interests of a third-party; or</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other content prohibited by laws or administrative regulations.</w:t>
      </w:r>
    </w:p>
    <w:p>
      <w:pPr>
        <w:spacing w:after="0" w:line="216" w:lineRule="exact"/>
        <w:rPr>
          <w:sz w:val="20"/>
          <w:szCs w:val="20"/>
          <w:color w:val="auto"/>
        </w:rPr>
      </w:pPr>
    </w:p>
    <w:p>
      <w:pPr>
        <w:ind w:right="260" w:firstLine="617"/>
        <w:spacing w:after="0" w:line="347" w:lineRule="auto"/>
        <w:rPr>
          <w:sz w:val="20"/>
          <w:szCs w:val="20"/>
          <w:color w:val="auto"/>
        </w:rPr>
      </w:pPr>
      <w:r>
        <w:rPr>
          <w:rFonts w:ascii="Arial" w:cs="Arial" w:eastAsia="Arial" w:hAnsi="Arial"/>
          <w:sz w:val="15"/>
          <w:szCs w:val="15"/>
          <w:color w:val="auto"/>
        </w:rPr>
        <w:t>Failure to comply with these content censorship requirements may result in the revocation of licenses and the closing down of the concerned websites. To ensure compliance with these regulatory requirements, Guangzhou NetEase has taken all reasonable steps to avoid displaying any of the prohibited content on the</w:t>
      </w:r>
    </w:p>
    <w:p>
      <w:pPr>
        <w:sectPr>
          <w:pgSz w:w="11900" w:h="16943" w:orient="portrait"/>
          <w:cols w:equalWidth="0" w:num="1">
            <w:col w:w="11420"/>
          </w:cols>
          <w:pgMar w:left="240" w:top="127" w:right="239" w:bottom="0" w:gutter="0" w:footer="0" w:header="0"/>
        </w:sectPr>
      </w:pPr>
    </w:p>
    <w:bookmarkStart w:id="33" w:name="page34"/>
    <w:bookmarkEnd w:id="33"/>
    <w:p>
      <w:pPr>
        <w:ind w:right="40"/>
        <w:spacing w:after="0" w:line="265" w:lineRule="auto"/>
        <w:rPr>
          <w:sz w:val="20"/>
          <w:szCs w:val="20"/>
          <w:color w:val="auto"/>
        </w:rPr>
      </w:pPr>
      <w:r>
        <w:rPr>
          <w:rFonts w:ascii="Arial" w:cs="Arial" w:eastAsia="Arial" w:hAnsi="Arial"/>
          <w:sz w:val="17"/>
          <w:szCs w:val="17"/>
          <w:color w:val="auto"/>
        </w:rPr>
        <w:t>NetEase websites. In addition, it is mandatory for Internet companies in the PRC to complete security-filing procedures and regularly update information security and censorship systems for their websites with the local public security bureau. Guangzhou NetEase has obtained a Filing and Registration Certificate for Computer Information System Connected to International Networks issued by Guangzhou Public Security Bureau.</w:t>
      </w:r>
    </w:p>
    <w:p>
      <w:pPr>
        <w:spacing w:after="0" w:line="176" w:lineRule="exact"/>
        <w:rPr>
          <w:sz w:val="20"/>
          <w:szCs w:val="20"/>
          <w:color w:val="auto"/>
        </w:rPr>
      </w:pPr>
    </w:p>
    <w:p>
      <w:pPr>
        <w:ind w:right="100" w:firstLine="617"/>
        <w:spacing w:after="0" w:line="306" w:lineRule="auto"/>
        <w:rPr>
          <w:sz w:val="20"/>
          <w:szCs w:val="20"/>
          <w:color w:val="auto"/>
        </w:rPr>
      </w:pPr>
      <w:r>
        <w:rPr>
          <w:rFonts w:ascii="Arial" w:cs="Arial" w:eastAsia="Arial" w:hAnsi="Arial"/>
          <w:sz w:val="15"/>
          <w:szCs w:val="15"/>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and its bureaus at provincial level. Guangzhou NetEase has followed the requirements and filed its classification with the Guangzhou Public Security Bureau.</w:t>
      </w:r>
    </w:p>
    <w:p>
      <w:pPr>
        <w:spacing w:after="0" w:line="149"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 Information. Also, according to the Information Protection Decision, where the network service providers provide website access service, or handle network access formalities for fixed-line telephones or mobile phones, or provide information publication service for their users, they shall require the users to provide authentic identity information when concluding agreement or confirming provision of such service with the users.</w:t>
      </w:r>
    </w:p>
    <w:p>
      <w:pPr>
        <w:spacing w:after="0" w:line="185"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On July 16, 2013, MII issued the Provisions on Protection of Personal Information of Telecommunication and Internet Users, which defines “Personal Information” as information that can identify the user either on its own or in combination with other information that is collected in the course of provision of services by the telecommunication business operators and Internet information service providers, and sets out detailed provisions concerning the collection and utilization of such Personal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88"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Also, according to the Internet User Account Name Management Regulations, Internet information service providers must prohibit their users from using any illegal or harmful information in their account name, avatar, profile or other registration information. We believe we have taken the necessary measures to comply with the Internet User Account Name Management Regulations.</w:t>
      </w:r>
    </w:p>
    <w:p>
      <w:pPr>
        <w:spacing w:after="0" w:line="51" w:lineRule="exact"/>
        <w:rPr>
          <w:sz w:val="20"/>
          <w:szCs w:val="20"/>
          <w:color w:val="auto"/>
        </w:rPr>
      </w:pPr>
    </w:p>
    <w:p>
      <w:pPr>
        <w:ind w:firstLine="617"/>
        <w:spacing w:after="0" w:line="295" w:lineRule="auto"/>
        <w:rPr>
          <w:sz w:val="20"/>
          <w:szCs w:val="20"/>
          <w:color w:val="auto"/>
        </w:rPr>
      </w:pPr>
      <w:r>
        <w:rPr>
          <w:rFonts w:ascii="Arial" w:cs="Arial" w:eastAsia="Arial" w:hAnsi="Arial"/>
          <w:sz w:val="15"/>
          <w:szCs w:val="15"/>
          <w:color w:val="auto"/>
        </w:rPr>
        <w:t>On December 7, 2016, the Standing Committee of the National People’s Congress promulgated the Cyber Security Law, which will become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the event of any unauthorized disclosure, damage or loss of collected personal information, network operators must take immediate remedial measures, notify the affected users and report the incidents to the relevant authorities in a timely manner. We collect and use our users’ personal information only if our users give their informed consent, and we believe we have taken appropriate measures to protect the security of our users’ personal information.</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w:t>
      </w:r>
    </w:p>
    <w:p>
      <w:pPr>
        <w:spacing w:after="0" w:line="88" w:lineRule="exact"/>
        <w:rPr>
          <w:sz w:val="20"/>
          <w:szCs w:val="20"/>
          <w:color w:val="auto"/>
        </w:rPr>
      </w:pPr>
    </w:p>
    <w:p>
      <w:pPr>
        <w:ind w:right="60" w:firstLine="617"/>
        <w:spacing w:after="0" w:line="279" w:lineRule="auto"/>
        <w:rPr>
          <w:sz w:val="20"/>
          <w:szCs w:val="20"/>
          <w:color w:val="auto"/>
        </w:rPr>
      </w:pPr>
      <w:r>
        <w:rPr>
          <w:rFonts w:ascii="Arial" w:cs="Arial" w:eastAsia="Arial" w:hAnsi="Arial"/>
          <w:sz w:val="16"/>
          <w:szCs w:val="16"/>
          <w:color w:val="auto"/>
        </w:rPr>
        <w:t>Effective as of April 10, 2009, the Measures for the Administration of Software Products, originally issued by MII on October 27, 2000, were amended and replaced by a new version issued by the MII in April 2009. According to these regulations, software products developed in the PRC could be registered with the local provincial government authorities in charge of the information industry and filed with the MII. Subsequently, on February 24, 2015, the Decision of the State Council on a Group of Administrative Approval Items Cancelled or Adjusted and Other Matters was issued which eliminated such registration procedures. Prior to February 24, 2015, all of our online games were registered with MII and its offices at the provincial level in accordance with the prior regulation.</w:t>
      </w:r>
    </w:p>
    <w:p>
      <w:pPr>
        <w:spacing w:after="0" w:line="37" w:lineRule="exact"/>
        <w:rPr>
          <w:sz w:val="20"/>
          <w:szCs w:val="20"/>
          <w:color w:val="auto"/>
        </w:rPr>
      </w:pPr>
    </w:p>
    <w:p>
      <w:pPr>
        <w:ind w:right="60" w:firstLine="617"/>
        <w:spacing w:after="0" w:line="255" w:lineRule="auto"/>
        <w:rPr>
          <w:sz w:val="20"/>
          <w:szCs w:val="20"/>
          <w:color w:val="auto"/>
        </w:rPr>
      </w:pPr>
      <w:r>
        <w:rPr>
          <w:rFonts w:ascii="Arial" w:cs="Arial" w:eastAsia="Arial" w:hAnsi="Arial"/>
          <w:sz w:val="17"/>
          <w:szCs w:val="17"/>
          <w:color w:val="auto"/>
        </w:rPr>
        <w:t>Pursuant to the Provisional Regulations for the Administration of Online Culture promulgated by MOC in May 2003, which were revised in July 2004 and February 2011, online game operators are required to obtain an Internet Culture Operating License from MOC, which Guangzhou NetEase, Shanghai EaseNet and Hangzhou Leihuo have received. In 2004, MOC promulgated the Notice Regarding the Strengthening of Online Games Censorship, which provides that imported online games must be reviewed and approved by MOC before they can be put into public testing or operation. Shanghai EaseNet has obtained MOC approval for World of Warcraft, including its expansion packs, The Burning Crusade, Wrath of the Lich King, Cataclysm, Mists of Pandaria, Warlords of Draenor and Legion, and StarCraft II series, including Wings of Liberty, Heart of the Swarm and Legacy of the Void, as well as Hearthstone, Heroes of the Storm, Diablo III and Overwatch. In accordance with such regulation, we are also required to register domestic online games with the MOC after their release. We have accordingly made such registrations with the MOC for our domestic online games, including, for example, Fairy Tales, the New Westward Journey Online II mobile game and the Fantasy Westward Journey mobile game.</w:t>
      </w:r>
    </w:p>
    <w:p>
      <w:pPr>
        <w:spacing w:after="0" w:line="60" w:lineRule="exact"/>
        <w:rPr>
          <w:sz w:val="20"/>
          <w:szCs w:val="20"/>
          <w:color w:val="auto"/>
        </w:rPr>
      </w:pPr>
    </w:p>
    <w:p>
      <w:pPr>
        <w:ind w:right="40" w:firstLine="617"/>
        <w:spacing w:after="0" w:line="265" w:lineRule="auto"/>
        <w:rPr>
          <w:sz w:val="20"/>
          <w:szCs w:val="20"/>
          <w:color w:val="auto"/>
        </w:rPr>
      </w:pPr>
      <w:r>
        <w:rPr>
          <w:rFonts w:ascii="Arial" w:cs="Arial" w:eastAsia="Arial" w:hAnsi="Arial"/>
          <w:sz w:val="17"/>
          <w:szCs w:val="17"/>
          <w:color w:val="auto"/>
        </w:rPr>
        <w:t>On April 24, 2009, MOC issued a Circular Concerning the Examination and Declaration of Imported Online Game Products. According to this circular, in the event of a change of the operator of an imported online game, the game’s existing import approval will be automatically revoked and the new operator must apply to the MOC for a new approval for the same game.</w:t>
      </w:r>
    </w:p>
    <w:p>
      <w:pPr>
        <w:spacing w:after="0" w:line="47" w:lineRule="exact"/>
        <w:rPr>
          <w:sz w:val="20"/>
          <w:szCs w:val="20"/>
          <w:color w:val="auto"/>
        </w:rPr>
      </w:pPr>
    </w:p>
    <w:p>
      <w:pPr>
        <w:ind w:right="80" w:firstLine="617"/>
        <w:spacing w:after="0" w:line="277" w:lineRule="auto"/>
        <w:rPr>
          <w:sz w:val="20"/>
          <w:szCs w:val="20"/>
          <w:color w:val="auto"/>
        </w:rPr>
      </w:pPr>
      <w:r>
        <w:rPr>
          <w:rFonts w:ascii="Arial" w:cs="Arial" w:eastAsia="Arial" w:hAnsi="Arial"/>
          <w:sz w:val="16"/>
          <w:szCs w:val="16"/>
          <w:color w:val="auto"/>
        </w:rPr>
        <w:t>On June 4, 2009, MOC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pay for or purchase tangible products or any service or product of another enterprise. Also, the Online Game Virtual Currency Notice obligates the issuing enterprise to give users 60 days prior notice and refund in the form of legal tender or other forms acceptable to users in case it plans to terminate the provision of its products or services. We have implemented measures which we believe are necessary to ensure our compliance of the Online Game Virtual Currency Notice.</w:t>
      </w:r>
    </w:p>
    <w:p>
      <w:pPr>
        <w:spacing w:after="0" w:line="38"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In addition, for imported online games, the relevant license agreements for such games are regarded as technology import contracts and, accordingly, must be registered with the Ministry of Commerce. Shanghai EaseNet has registered the license agreements for StarCraft II series and World of Warcraft with the local office of the Ministry of Commerce. Such license agreements also need to be registered with the State Copyright Bureau, otherwise the licensee cannot remit licensing fees out of China to the foreign game licensor. Shanghai EaseNet has registered the license agreement for World of Warcraft, StarCraft II series, Hearthstone, Heroes of the Storm, Diablo III and Overwatch with the State Copyright Bureau.</w:t>
      </w:r>
    </w:p>
    <w:p>
      <w:pPr>
        <w:spacing w:after="0" w:line="51" w:lineRule="exact"/>
        <w:rPr>
          <w:sz w:val="20"/>
          <w:szCs w:val="20"/>
          <w:color w:val="auto"/>
        </w:rPr>
      </w:pPr>
    </w:p>
    <w:p>
      <w:pPr>
        <w:ind w:firstLine="686"/>
        <w:spacing w:after="0" w:line="294" w:lineRule="auto"/>
        <w:rPr>
          <w:sz w:val="20"/>
          <w:szCs w:val="20"/>
          <w:color w:val="auto"/>
        </w:rPr>
      </w:pPr>
      <w:r>
        <w:rPr>
          <w:rFonts w:ascii="Arial" w:cs="Arial" w:eastAsia="Arial" w:hAnsi="Arial"/>
          <w:sz w:val="15"/>
          <w:szCs w:val="15"/>
          <w:color w:val="auto"/>
        </w:rPr>
        <w:t>The publication of online games also requires approval from SAPPRFT in accordance with the Rules for the Administration of Online Publishing Service jointly issued by SAPPRFT and MII, effective on March 10, 2016, replacing Provisional Rules for the Administration of Internet Publishing jointly promulgated by GAPP (later superseded by SAPPRFT) and MII on June 27, 2002. Guangzhou NetEase has received such approval. The Online Publishing Service Rules also forbids foreign investments in the online publishing sector. In addition, in April 2007, GAPP (later superseded by SAPPRFT) and several other government authorities jointly promulgated the Notice Concerning the Protection of Minors’ Physical and Mental Well-being and Implementation of Anti-addiction System on Online Games (the “Anti-Addiction Notice”), which confirms the real-name verification scheme and anti-addiction system standard made by GAPP (later superseded by SAPPRFT) in previous years and requires online game operators to develop and test their anti-addiction systems from April 2007 to July 2007, after which no online games can be registered or operated without an anti-addiction system in accordance with the Anti-Addiction Notice. On July 1, 2011, GAPP (later superseded by SAPPRFT) and several other government authorities jointly issued the Notice Regarding the Initiation of Work on the Online Games Real-Name Verification System to Prevent</w:t>
      </w:r>
    </w:p>
    <w:p>
      <w:pPr>
        <w:sectPr>
          <w:pgSz w:w="11900" w:h="16838" w:orient="portrait"/>
          <w:cols w:equalWidth="0" w:num="1">
            <w:col w:w="11420"/>
          </w:cols>
          <w:pgMar w:left="240" w:top="127" w:right="239" w:bottom="0" w:gutter="0" w:footer="0" w:header="0"/>
        </w:sectPr>
      </w:pPr>
    </w:p>
    <w:bookmarkStart w:id="34" w:name="page35"/>
    <w:bookmarkEnd w:id="34"/>
    <w:p>
      <w:pPr>
        <w:spacing w:after="0" w:line="4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Online Gaming Addiction, which requires that online game operators be responsible for the data registration and identification of online game users, and that online game operators shall duly file unverified user identification information with the Ministry of Public Security’s National Citizen Identity Information Center, or NCIIC, which will be in charge of real-name verification for the national anti-addiction system. In addition, online game operators shall ensure that via the NCIIC real-name verification, users with fraudulent identification data shall be enrolled in the operators’ anti-addiction systems. On July 25, 2014, SARFT (later superseded by SAPPRFT) issued the Notice Regarding the Implementation of the Anti-Addiction and Real-Name Verification System in Online Games, which requires online game operators to submit their real-name verification procedure for online games when applying for publication of online games. We have implemented our anti-addiction system and taken necessary measures to comply with these measures. Since their implementation, we have not experienced a significant negative impact from these measures on our business.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MOC, SARFT and GAPP (SARFT and GAPP were later superseded by SAPPRFT). According to this notice, SAPPRFT shall be responsible for the examination and approval of those online games made available on the Internet, and once an online game is available on the Internet, it shall be solely and completely administrated by MOC. The notice further clarifies that SAPPRFT shall be responsible for the examination and approval of the game publications which are authorized by overseas copyright owners to be made available on the Internet, and all other imported online games shall be examined and approved by MOC.</w:t>
      </w:r>
    </w:p>
    <w:p>
      <w:pPr>
        <w:spacing w:after="0" w:line="181" w:lineRule="exact"/>
        <w:rPr>
          <w:sz w:val="20"/>
          <w:szCs w:val="20"/>
          <w:color w:val="auto"/>
        </w:rPr>
      </w:pPr>
    </w:p>
    <w:p>
      <w:pPr>
        <w:ind w:right="40" w:firstLine="617"/>
        <w:spacing w:after="0" w:line="288" w:lineRule="auto"/>
        <w:rPr>
          <w:sz w:val="20"/>
          <w:szCs w:val="20"/>
          <w:color w:val="auto"/>
        </w:rPr>
      </w:pPr>
      <w:r>
        <w:rPr>
          <w:rFonts w:ascii="Arial" w:cs="Arial" w:eastAsia="Arial" w:hAnsi="Arial"/>
          <w:sz w:val="15"/>
          <w:szCs w:val="15"/>
          <w:color w:val="auto"/>
        </w:rPr>
        <w:t>On September 28, 2009, GAPP (later superseded by SAPPRFT), the National Copyright Administration and the National Office of Combating Pornography and Illegal Publications jointly published the Notice on Further Strengthening Pre-examination and Pre-approval of Online Games and Administration of Imported Online Games Approval, or Circular 13. According to Circular 13, no entity should engage in the operation of online games without receiving an Internet Publishing License and the pre-approval from SAPPRFT. Circular 13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Moreover, for online games which have been approved by SAPPRFT, when the operational entity changes, or when new versions, expansion packs or new content is implemented, the operation entity shall once again undertake the same procedures for the examination and approval by SAPPRFT of such changed operation entity, new versions, expansion packs or new content. Shanghai EaseNet has obtained SAPPRFT approval for World of Warcraft, including its expansion packs, The Burning Crusade, Wrath of the Lich King, Cataclysm, Mists of Pandaria, Warlords of Draenor and Legion, and StarCraft</w:t>
      </w:r>
    </w:p>
    <w:p>
      <w:pPr>
        <w:ind w:firstLine="3"/>
        <w:spacing w:after="0" w:line="256" w:lineRule="auto"/>
        <w:tabs>
          <w:tab w:leader="none" w:pos="157"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series, including Wings of Liberty, Heart of the Swarm and Legacy of the Void, as well as Hearthstone, Heroes of the Storm, Diablo III and Overwatch. On May 24, 2016, SAPPRFT issued the Circular on the Administration over Mobile Game Publishing Services, or Circular 44, which came into effect on July 1, 2016 and provides that no mobile game shall be published and operated online without the approval of the SAPPRFT. We have taken necessary measures to comply with Circular 44.</w:t>
      </w:r>
    </w:p>
    <w:p>
      <w:pPr>
        <w:spacing w:after="0" w:line="184"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On June 3, 2010, the MOC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Although many of these requirements reflect previously issued government regulations with which we already comply, certain new requirements may cause us to change the way we launch and operate our online games. For other details, see Item 3.D. “Risk Factors—Risks Related to the Telecommunications and Internet Industries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On July 30, 2010, the MOC promulgated the Notice on the Implementation of the Interim Measures for the Administration of Online Games, which provides details concerning the scope of online games, the review of online games content by the MOC, the administration of material changes in the content of online games and the implementation of real-name registration of online game users. In addition, the notice brings in the definition of joint operation of domestic online games and lays out the specific regulations for such joint operation.</w:t>
      </w:r>
    </w:p>
    <w:p>
      <w:pPr>
        <w:spacing w:after="0" w:line="173" w:lineRule="exact"/>
        <w:rPr>
          <w:sz w:val="20"/>
          <w:szCs w:val="20"/>
          <w:color w:val="auto"/>
        </w:rPr>
      </w:pPr>
    </w:p>
    <w:p>
      <w:pPr>
        <w:ind w:right="140" w:firstLine="617"/>
        <w:spacing w:after="0" w:line="306" w:lineRule="auto"/>
        <w:rPr>
          <w:sz w:val="20"/>
          <w:szCs w:val="20"/>
          <w:color w:val="auto"/>
        </w:rPr>
      </w:pPr>
      <w:r>
        <w:rPr>
          <w:rFonts w:ascii="Arial" w:cs="Arial" w:eastAsia="Arial" w:hAnsi="Arial"/>
          <w:sz w:val="15"/>
          <w:szCs w:val="15"/>
          <w:color w:val="auto"/>
        </w:rPr>
        <w:t>On January 15, 2011, the MOC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the online game operators, to monitor and restrict online game activities by minors, including restriction of playtime or total suspension of the relevant gaming account. We have taken necessary measures in compliance of the Monitoring System Notice.</w:t>
      </w:r>
    </w:p>
    <w:p>
      <w:pPr>
        <w:spacing w:after="0" w:line="149" w:lineRule="exact"/>
        <w:rPr>
          <w:sz w:val="20"/>
          <w:szCs w:val="20"/>
          <w:color w:val="auto"/>
        </w:rPr>
      </w:pPr>
    </w:p>
    <w:p>
      <w:pPr>
        <w:ind w:right="180" w:firstLine="617"/>
        <w:spacing w:after="0" w:line="261" w:lineRule="auto"/>
        <w:rPr>
          <w:sz w:val="20"/>
          <w:szCs w:val="20"/>
          <w:color w:val="auto"/>
        </w:rPr>
      </w:pPr>
      <w:r>
        <w:rPr>
          <w:rFonts w:ascii="Arial" w:cs="Arial" w:eastAsia="Arial" w:hAnsi="Arial"/>
          <w:sz w:val="17"/>
          <w:szCs w:val="17"/>
          <w:color w:val="auto"/>
        </w:rPr>
        <w:t>On August 12, 2013, the MOC issued the Administrative Measures for Content Self-review of Internet Culture Operators, which requires Internet culture operators to carry out prior self-review upon the products and services to be provided. In particular, such self-review should be conducted by staff who has obtained the Certificate for Content Review Personnel issued by MOC’s local branch at the provincial level. Our content review personnel have already obtained such certification.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96" w:lineRule="auto"/>
        <w:rPr>
          <w:sz w:val="20"/>
          <w:szCs w:val="20"/>
          <w:color w:val="auto"/>
        </w:rPr>
      </w:pPr>
      <w:r>
        <w:rPr>
          <w:rFonts w:ascii="Arial" w:cs="Arial" w:eastAsia="Arial" w:hAnsi="Arial"/>
          <w:sz w:val="15"/>
          <w:szCs w:val="15"/>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157" w:lineRule="exact"/>
        <w:rPr>
          <w:sz w:val="20"/>
          <w:szCs w:val="20"/>
          <w:color w:val="auto"/>
        </w:rPr>
      </w:pPr>
    </w:p>
    <w:p>
      <w:pPr>
        <w:ind w:right="120" w:firstLine="617"/>
        <w:spacing w:after="0" w:line="259" w:lineRule="auto"/>
        <w:rPr>
          <w:sz w:val="20"/>
          <w:szCs w:val="20"/>
          <w:color w:val="auto"/>
        </w:rPr>
      </w:pPr>
      <w:r>
        <w:rPr>
          <w:rFonts w:ascii="Arial" w:cs="Arial" w:eastAsia="Arial" w:hAnsi="Arial"/>
          <w:sz w:val="17"/>
          <w:szCs w:val="17"/>
          <w:color w:val="auto"/>
        </w:rPr>
        <w:t>According to the Guidelines for the Filing for Recordation of Domestic Online Games issued by MOC in 2005, domestic online games operating in China must be filed for recordation with MOC within 30 days after they are put into operation. Our internally developed online games, including New Westward Journey Online II, Fantasy Westward Journey II, New Legend of Westward Journey, New Westward Journey Online III, Tianxia III, Heroes of Tang Dynasty II, New Fly For Fun, Legend of Fairy, New Ghost, DREAM, Soul of the Fighter, Kung Fu Master II, Heroes of the Three Kingdoms, Dragon Sword, Onmyoji and other causal games, have successfully finished the recordation process.</w:t>
      </w:r>
    </w:p>
    <w:p>
      <w:pPr>
        <w:spacing w:after="0" w:line="180" w:lineRule="exact"/>
        <w:rPr>
          <w:sz w:val="20"/>
          <w:szCs w:val="20"/>
          <w:color w:val="auto"/>
        </w:rPr>
      </w:pPr>
    </w:p>
    <w:p>
      <w:pPr>
        <w:ind w:right="80" w:firstLine="617"/>
        <w:spacing w:after="0" w:line="347" w:lineRule="auto"/>
        <w:rPr>
          <w:sz w:val="20"/>
          <w:szCs w:val="20"/>
          <w:color w:val="auto"/>
        </w:rPr>
      </w:pPr>
      <w:r>
        <w:rPr>
          <w:rFonts w:ascii="Arial" w:cs="Arial" w:eastAsia="Arial" w:hAnsi="Arial"/>
          <w:sz w:val="15"/>
          <w:szCs w:val="15"/>
          <w:color w:val="auto"/>
        </w:rPr>
        <w:t>The Regulations for the Administration of Audio and Video Products, which was released by the State Council on December 25, 2001 and further amended in March 2011, require that the publication, production, duplication, importation, wholesale, retail and renting of the audio and video products are subject to a license</w:t>
      </w:r>
    </w:p>
    <w:p>
      <w:pPr>
        <w:sectPr>
          <w:pgSz w:w="11900" w:h="16879" w:orient="portrait"/>
          <w:cols w:equalWidth="0" w:num="1">
            <w:col w:w="11420"/>
          </w:cols>
          <w:pgMar w:left="240" w:top="127" w:right="239" w:bottom="0" w:gutter="0" w:footer="0" w:header="0"/>
        </w:sectPr>
      </w:pPr>
    </w:p>
    <w:bookmarkStart w:id="35" w:name="page36"/>
    <w:bookmarkEnd w:id="35"/>
    <w:p>
      <w:pPr>
        <w:spacing w:after="0" w:line="68"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issued by competent authorities. Guangzhou NetEase has obtained such license from Guangzhou Municipal Administration of Culture, Radio, Film, TV, Press and Publication.</w:t>
      </w:r>
    </w:p>
    <w:p>
      <w:pPr>
        <w:spacing w:after="0" w:line="165"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On January 6, 2016, MOC issued the Tentative Rules for the Management of Cultural Market Blacklist, according to which those cultural products and entities in serious violation of relevant laws and regulations will be put on the blacklist and thus subject to more strict regulations. We have taken necessary measures to ensure that none of our products or entities will be placed on such blacklist.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Advertising</w:t>
      </w:r>
    </w:p>
    <w:p>
      <w:pPr>
        <w:spacing w:after="0" w:line="216" w:lineRule="exact"/>
        <w:rPr>
          <w:sz w:val="20"/>
          <w:szCs w:val="20"/>
          <w:color w:val="auto"/>
        </w:rPr>
      </w:pPr>
    </w:p>
    <w:p>
      <w:pPr>
        <w:ind w:right="80" w:firstLine="617"/>
        <w:spacing w:after="0" w:line="306" w:lineRule="auto"/>
        <w:rPr>
          <w:sz w:val="20"/>
          <w:szCs w:val="20"/>
          <w:color w:val="auto"/>
        </w:rPr>
      </w:pPr>
      <w:r>
        <w:rPr>
          <w:rFonts w:ascii="Arial" w:cs="Arial" w:eastAsia="Arial" w:hAnsi="Arial"/>
          <w:sz w:val="15"/>
          <w:szCs w:val="15"/>
          <w:color w:val="auto"/>
        </w:rPr>
        <w:t>The Regulations for the Administration of Advertising and its Detailed Implementation Rules were both promulgated by the State Council and SAIC, which took effect on December 1, 1987 and January 1, 2005, respectively. According to these regulations, websites engaged in advertising must apply for a business license to conduct such business. In compliance with such regulations, NetEase Advertising, which operates our online advertising business through a series of agreements with Guangzhou NetEase, and Guangzhou NetEase have obtained a business license to carry out the design, production, agency and release of advertisements.</w:t>
      </w:r>
    </w:p>
    <w:p>
      <w:pPr>
        <w:spacing w:after="0" w:line="149" w:lineRule="exact"/>
        <w:rPr>
          <w:sz w:val="20"/>
          <w:szCs w:val="20"/>
          <w:color w:val="auto"/>
        </w:rPr>
      </w:pPr>
    </w:p>
    <w:p>
      <w:pPr>
        <w:ind w:right="60" w:firstLine="617"/>
        <w:spacing w:after="0" w:line="259" w:lineRule="auto"/>
        <w:rPr>
          <w:sz w:val="20"/>
          <w:szCs w:val="20"/>
          <w:color w:val="auto"/>
        </w:rPr>
      </w:pPr>
      <w:r>
        <w:rPr>
          <w:rFonts w:ascii="Arial" w:cs="Arial" w:eastAsia="Arial" w:hAnsi="Arial"/>
          <w:sz w:val="17"/>
          <w:szCs w:val="17"/>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shall participate in trainings in relation to advertisement laws, regulations and business, and after passing the training should perform works including reviewing of advertisements to be released and management of advertisement review archives. In compliance with the Advertisement Review Rule, several employees of Guangzhou NetEase have obtained the Certificate for Advertisement Reviewer.</w:t>
      </w:r>
    </w:p>
    <w:p>
      <w:pPr>
        <w:spacing w:after="0" w:line="180" w:lineRule="exact"/>
        <w:rPr>
          <w:sz w:val="20"/>
          <w:szCs w:val="20"/>
          <w:color w:val="auto"/>
        </w:rPr>
      </w:pPr>
    </w:p>
    <w:p>
      <w:pPr>
        <w:ind w:right="20" w:firstLine="617"/>
        <w:spacing w:after="0" w:line="275" w:lineRule="auto"/>
        <w:rPr>
          <w:sz w:val="20"/>
          <w:szCs w:val="20"/>
          <w:color w:val="auto"/>
        </w:rPr>
      </w:pPr>
      <w:r>
        <w:rPr>
          <w:rFonts w:ascii="Arial" w:cs="Arial" w:eastAsia="Arial" w:hAnsi="Arial"/>
          <w:sz w:val="16"/>
          <w:szCs w:val="16"/>
          <w:color w:val="auto"/>
        </w:rPr>
        <w:t>On April 24, 2015, the Standing Committee of the National People’s Congress enacted the Advertising Law of the People’s Republic of China, or the New Advertising Law. The New Advertising Law, which was a major overhaul of an advertising law enacted in 1994, increases the potential legal liability of providers of advertising services, and includes provisions intended to strengthen identification of false advertising and the power of regulatory authorities. The New Advertising Law forbids the usage of certain words or phrases in advertisement, such as “national”, “supreme” or “best” and provides a more detailed definition of “false advertisement”. The New Advertising Law also forbids sending advertisements to residences, vehicles, fixed or mobile telephones or personal email addresses if such advertisement is not invited or the receiver of the advertisement has rejected such advertising. We have taken necessary measures, including more stringent examination and monitoring of our advertisers and the content of their advertisements, in compliance with the New Advertising Law.</w:t>
      </w:r>
    </w:p>
    <w:p>
      <w:pPr>
        <w:spacing w:after="0" w:line="171" w:lineRule="exact"/>
        <w:rPr>
          <w:sz w:val="20"/>
          <w:szCs w:val="20"/>
          <w:color w:val="auto"/>
        </w:rPr>
      </w:pPr>
    </w:p>
    <w:p>
      <w:pPr>
        <w:jc w:val="both"/>
        <w:ind w:right="400" w:firstLine="617"/>
        <w:spacing w:after="0" w:line="293" w:lineRule="auto"/>
        <w:rPr>
          <w:sz w:val="20"/>
          <w:szCs w:val="20"/>
          <w:color w:val="auto"/>
        </w:rPr>
      </w:pPr>
      <w:r>
        <w:rPr>
          <w:rFonts w:ascii="Arial" w:cs="Arial" w:eastAsia="Arial" w:hAnsi="Arial"/>
          <w:sz w:val="15"/>
          <w:szCs w:val="15"/>
          <w:color w:val="auto"/>
        </w:rPr>
        <w:t>On July 4, 2016, SAIC promulgated the Provisional Measures of Internet Advertising Management, or the Internet Advertising Management Measures, which took effect on September 1, 2016. According to these measures, (i) an Internet advertisement shall be identifiable and clearly labeled as “advertisement”;</w:t>
      </w:r>
    </w:p>
    <w:p>
      <w:pPr>
        <w:spacing w:after="0" w:line="1" w:lineRule="exact"/>
        <w:rPr>
          <w:sz w:val="20"/>
          <w:szCs w:val="20"/>
          <w:color w:val="auto"/>
        </w:rPr>
      </w:pPr>
    </w:p>
    <w:p>
      <w:pPr>
        <w:jc w:val="both"/>
        <w:ind w:right="180" w:firstLine="3"/>
        <w:spacing w:after="0" w:line="277" w:lineRule="auto"/>
        <w:tabs>
          <w:tab w:leader="none" w:pos="2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paid search advertisements shall be clearly distinguished from natural search results; (iii) advertisements published in the form of pop-up or other forms shall be clearly marked with a “Close” sign to ensure “Single Click to Close”; and (iv) no entity or individual may induce users to click on the contents of an advertisement through deception, or attach advertisements in any form to an e-mail without user’s permission. We have taken necessary measures to ensure that our current advertising publication and distribution process are in compliance with the Internet Advertising Management Measures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Lottery Services</w:t>
      </w:r>
    </w:p>
    <w:p>
      <w:pPr>
        <w:spacing w:after="0" w:line="216" w:lineRule="exact"/>
        <w:rPr>
          <w:sz w:val="20"/>
          <w:szCs w:val="20"/>
          <w:color w:val="auto"/>
        </w:rPr>
      </w:pPr>
    </w:p>
    <w:p>
      <w:pPr>
        <w:ind w:right="20" w:firstLine="617"/>
        <w:spacing w:after="0" w:line="290" w:lineRule="auto"/>
        <w:rPr>
          <w:sz w:val="20"/>
          <w:szCs w:val="20"/>
          <w:color w:val="auto"/>
        </w:rPr>
      </w:pPr>
      <w:r>
        <w:rPr>
          <w:rFonts w:ascii="Arial" w:cs="Arial" w:eastAsia="Arial" w:hAnsi="Arial"/>
          <w:sz w:val="15"/>
          <w:szCs w:val="15"/>
          <w:color w:val="auto"/>
        </w:rPr>
        <w:t>The principal rules and regulations currently in effect and applicable to online lottery services include the Regulation on Administration of Lottery, promulgated by the State Council on May 4, 2009 and effective as of July 1, 2009, and the Tentative Administration Measures on Internet Lottery Sale, promulgated by the MOF on September 26, 2010, and effective upon its promulgation. On January 18, 2012, the MOF, the PRC Ministry of Civil Affairs and the State General Administration of Sports jointly promulgated the Lottery Implementation Rules, which became effective on March 1, 2012. In December 2012, the MOF issued the Lottery Distribution and Sale Administration Measures, which became effective on January 1, 2013, and the Tentative Administrative Measures on Telephone Lottery Sale, which became effective on April 1, 2014. On January 15, 2015, the Lottery Self-Inspection Notice was jointly issued by the MOF, the PRC Ministry of Civil Affairs and the State General Administration of Sport. In addition, on April 3, 2015, the MOF, the PRC Ministry of Public Security, the SAIC, the MII, the PRC Ministry of Civil Affairs, the People’s Bank of China, the State General Administration of Sport and the China Banking Regulatory Commission jointly issued Announcement No. 18, which 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On April 28, 2016, the MOF, the Ministry of Public Security, the SAIC, the Ministry of Civil Affairs and the State General Administration of Sport jointly promulgated the Notice No. 22, which reaffirms that using the Internet to sell lottery products requires government authorization and announces the government’s plan to set up the procedures and application process for such authorization. We intend to submit an application to the relevant government agency for such authorization to provide online lottery services. However, it currently remains unclear when, or if at all, such application procedure will be in place and if any application we submit will be approved. For more details, see Item 3.D. “Risk Factors—Risks Related to the Telecommunications and Internet Industries in China— 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E-commerce</w:t>
      </w:r>
    </w:p>
    <w:p>
      <w:pPr>
        <w:spacing w:after="0" w:line="216" w:lineRule="exact"/>
        <w:rPr>
          <w:sz w:val="20"/>
          <w:szCs w:val="20"/>
          <w:color w:val="auto"/>
        </w:rPr>
      </w:pPr>
    </w:p>
    <w:p>
      <w:pPr>
        <w:ind w:right="20" w:firstLine="617"/>
        <w:spacing w:after="0" w:line="272" w:lineRule="auto"/>
        <w:rPr>
          <w:sz w:val="20"/>
          <w:szCs w:val="20"/>
          <w:color w:val="auto"/>
        </w:rPr>
      </w:pPr>
      <w:r>
        <w:rPr>
          <w:rFonts w:ascii="Arial" w:cs="Arial" w:eastAsia="Arial" w:hAnsi="Arial"/>
          <w:sz w:val="16"/>
          <w:szCs w:val="16"/>
          <w:color w:val="auto"/>
        </w:rPr>
        <w:t>The Consumer Protection Law of the People’s Republic of China, as amended on October 25, 2013,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reputation, and could subject the business operators or the responsible individuals to criminal penalties when personal damages are involved or if the circumstances are severe.</w:t>
      </w:r>
    </w:p>
    <w:p>
      <w:pPr>
        <w:spacing w:after="0" w:line="176" w:lineRule="exact"/>
        <w:rPr>
          <w:sz w:val="20"/>
          <w:szCs w:val="20"/>
          <w:color w:val="auto"/>
        </w:rPr>
      </w:pPr>
    </w:p>
    <w:p>
      <w:pPr>
        <w:ind w:firstLine="617"/>
        <w:spacing w:after="0" w:line="298" w:lineRule="auto"/>
        <w:rPr>
          <w:sz w:val="20"/>
          <w:szCs w:val="20"/>
          <w:color w:val="auto"/>
        </w:rPr>
      </w:pPr>
      <w:r>
        <w:rPr>
          <w:rFonts w:ascii="Arial" w:cs="Arial" w:eastAsia="Arial" w:hAnsi="Arial"/>
          <w:sz w:val="15"/>
          <w:szCs w:val="15"/>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On January 5, 2015, SAIC issued the Measures for the Punishment of Conduct Infringing the Rights and Interests of Consumers, or the Consumer Conduct Measures, which became effective on March 15, 2015. According to these measures, business operators are prohibited from a</w:t>
      </w:r>
    </w:p>
    <w:p>
      <w:pPr>
        <w:sectPr>
          <w:pgSz w:w="11900" w:h="16906" w:orient="portrait"/>
          <w:cols w:equalWidth="0" w:num="1">
            <w:col w:w="11420"/>
          </w:cols>
          <w:pgMar w:left="240" w:top="127" w:right="239" w:bottom="0" w:gutter="0" w:footer="0" w:header="0"/>
        </w:sectPr>
      </w:pPr>
    </w:p>
    <w:bookmarkStart w:id="36" w:name="page37"/>
    <w:bookmarkEnd w:id="36"/>
    <w:p>
      <w:pPr>
        <w:spacing w:after="0" w:line="273" w:lineRule="auto"/>
        <w:rPr>
          <w:sz w:val="20"/>
          <w:szCs w:val="20"/>
          <w:color w:val="auto"/>
        </w:rPr>
      </w:pPr>
      <w:r>
        <w:rPr>
          <w:rFonts w:ascii="Arial" w:cs="Arial" w:eastAsia="Arial" w:hAnsi="Arial"/>
          <w:sz w:val="16"/>
          <w:szCs w:val="16"/>
          <w:color w:val="auto"/>
        </w:rPr>
        <w:t>wide range of activities that would infringe upon the rights and interests of consumers, including but not limited to collecting and using information related to consumers without their consent, illegally providing third parties with such information in any form, or sending promotional message to consumers despite their express refusal. We believe we have taken the necessary measures to comply with the Consumer Conduct Measures. On September 2, 2015, SAIC issued the Interim Provisions on the Administration of Centralized Online Promotional Activities for Goods and Services, which require the organizer of centralized online promotion activities to publish the methods, terms and rules of the activities in advance in an obvious position on its website. On January 6, 2017, SAIC issued the Interim Measures for Return of Online Purchases within seven Days without Reason, or the Online Return Measures, which became effective on March 15, 2017.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exception of Online Return Measures by the consumers at the time of purchase.</w:t>
      </w:r>
    </w:p>
    <w:p>
      <w:pPr>
        <w:spacing w:after="0" w:line="175" w:lineRule="exact"/>
        <w:rPr>
          <w:sz w:val="20"/>
          <w:szCs w:val="20"/>
          <w:color w:val="auto"/>
        </w:rPr>
      </w:pPr>
    </w:p>
    <w:p>
      <w:pPr>
        <w:ind w:right="60" w:firstLine="617"/>
        <w:spacing w:after="0" w:line="257" w:lineRule="auto"/>
        <w:rPr>
          <w:sz w:val="20"/>
          <w:szCs w:val="20"/>
          <w:color w:val="auto"/>
        </w:rPr>
      </w:pPr>
      <w:r>
        <w:rPr>
          <w:rFonts w:ascii="Arial" w:cs="Arial" w:eastAsia="Arial" w:hAnsi="Arial"/>
          <w:sz w:val="17"/>
          <w:szCs w:val="17"/>
          <w:color w:val="auto"/>
        </w:rPr>
        <w:t>The General Administration of Customs has promulgated the Announcement on the Regulatory Issues concerning the Inbound and Outbound Retail Commodities under E-Commerce, or Customs Circular No. 26, which took effect on April 8, 2016. Under the Customs Circular No. 26, e-commerce enterprises, e-commerce trade platform enterprises, payment enterprises and logistics enterprises shall, before the declaration of import retail commodities through cross border e-commerce, respectively submit to the customs bureau the information on trade, payment and logistics, among others. E-commerce enterprises shall verify the identity information of purchaser (subscriber) of cross-border e-commerce retail imports and provide the customs bureau with the effective identity information authenticated by respective competent authorities.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ind w:right="120" w:firstLine="617"/>
        <w:spacing w:after="0" w:line="259" w:lineRule="auto"/>
        <w:rPr>
          <w:sz w:val="20"/>
          <w:szCs w:val="20"/>
          <w:color w:val="auto"/>
        </w:rPr>
      </w:pPr>
      <w:r>
        <w:rPr>
          <w:rFonts w:ascii="Arial" w:cs="Arial" w:eastAsia="Arial" w:hAnsi="Arial"/>
          <w:sz w:val="17"/>
          <w:szCs w:val="17"/>
          <w:color w:val="auto"/>
        </w:rPr>
        <w:t>The Food Safety Law of the People’s Republic of China, promulgated on February 28, 2009 and effective on June 1, 2009, as amended on April 24, 2015 with effect from October 1, 2015. This amendment set out a new and stricter regulation framework for the production and circulation of food. However, it currently remains unclear if food distributed through the recently established cross-border e-commerce industry is required to comply with all the requirements set forth in the new Food Safety Law. For more details, see Item 3.D. “Risk Factors—Risks Related to Our Company—Our e-commerce business may expose us to new challenges and risks and may lower our profit margin.”</w:t>
      </w:r>
    </w:p>
    <w:p>
      <w:pPr>
        <w:spacing w:after="0" w:line="180" w:lineRule="exact"/>
        <w:rPr>
          <w:sz w:val="20"/>
          <w:szCs w:val="20"/>
          <w:color w:val="auto"/>
        </w:rPr>
      </w:pPr>
    </w:p>
    <w:p>
      <w:pPr>
        <w:ind w:right="40" w:firstLine="617"/>
        <w:spacing w:after="0" w:line="272" w:lineRule="auto"/>
        <w:rPr>
          <w:sz w:val="20"/>
          <w:szCs w:val="20"/>
          <w:color w:val="auto"/>
        </w:rPr>
      </w:pPr>
      <w:r>
        <w:rPr>
          <w:rFonts w:ascii="Arial" w:cs="Arial" w:eastAsia="Arial" w:hAnsi="Arial"/>
          <w:sz w:val="16"/>
          <w:szCs w:val="16"/>
          <w:color w:val="auto"/>
        </w:rPr>
        <w:t>On March 24, 2016, the MOF, General Administration of Customs and the State Administration of Taxation issued the Notice on Import Tax Policies for E-Commerce Retailers (Cai Guan Shui (2016) No. 18), with effect on April 8, 2016. According to the notice, which is applicable to the imported goods listed in the E-Commerce Retail Import Commodities List that was issued by the MOF and ten other relevant PRC regulatory authorities on April 6, 2016, customs duties, import VAT and consumption tax will be charged on cross-border e-commerce retail imports calculated based on the goods imported, with individual purchasers of cross-border e-commerce retail imports defined as the taxpayers, the actual transaction price (including retail price, freight and insurance premium) regarded as the dutiable value, and e-commerce companies and trading platforms or logistics companies bearing the obligations of tax collection and withholding. The value of single transactions of retail products imported through cross-border e-commerce is capped at RMB2,000, and the total value of transactions carried out by an individual is capped at RMB20,000 per year. For cross-border e-commerce retail imports with a value within the above-mentioned limits, a zero tariff rate is applicable but, at the same time, import VAT and consumption tax exemptions will be abolished and import VAT and consumption tax will be charged temporarily at 70% of the statutory taxable amount. The relevant taxes will be charged in full on any transactions exceeding the single-transaction limit or the cumulative annual limit, and single indivisible goods whose dutiable value exceeds RMB2,000.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PROPRIETARY RIGHTS</w:t>
      </w:r>
    </w:p>
    <w:p>
      <w:pPr>
        <w:spacing w:after="0" w:line="222" w:lineRule="exact"/>
        <w:rPr>
          <w:sz w:val="20"/>
          <w:szCs w:val="20"/>
          <w:color w:val="auto"/>
        </w:rPr>
      </w:pPr>
    </w:p>
    <w:p>
      <w:pPr>
        <w:ind w:right="20" w:firstLine="617"/>
        <w:spacing w:after="0" w:line="301" w:lineRule="auto"/>
        <w:rPr>
          <w:sz w:val="20"/>
          <w:szCs w:val="20"/>
          <w:color w:val="auto"/>
        </w:rPr>
      </w:pPr>
      <w:r>
        <w:rPr>
          <w:rFonts w:ascii="Arial" w:cs="Arial" w:eastAsia="Arial" w:hAnsi="Arial"/>
          <w:sz w:val="15"/>
          <w:szCs w:val="15"/>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registered a number of domain names, including:</w:t>
      </w:r>
    </w:p>
    <w:p>
      <w:pPr>
        <w:spacing w:after="0" w:line="216" w:lineRule="exact"/>
        <w:rPr>
          <w:sz w:val="20"/>
          <w:szCs w:val="20"/>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www.netease.com;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www.163.com;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www.yeah.net;</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www.126.com;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www.lofter.com;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www.youdao.com;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www.nease.net;</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www.188.com;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www.lede.com;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www.kaola.com;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www.bobo.com;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www.neteasemedia.com;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www.miaode.com;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www.163yun.com;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www.onmyojigame.jp; and</w:t>
      </w:r>
    </w:p>
    <w:p>
      <w:pPr>
        <w:sectPr>
          <w:pgSz w:w="11900" w:h="16838" w:orient="portrait"/>
          <w:cols w:equalWidth="0" w:num="1">
            <w:col w:w="11420"/>
          </w:cols>
          <w:pgMar w:left="240" w:top="127" w:right="239" w:bottom="0" w:gutter="0" w:footer="0" w:header="0"/>
        </w:sectPr>
      </w:pPr>
    </w:p>
    <w:bookmarkStart w:id="37" w:name="page38"/>
    <w:bookmarkEnd w:id="37"/>
    <w:p>
      <w:pPr>
        <w:ind w:left="580" w:hanging="26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www.immortalconquest.eu</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40" w:firstLine="617"/>
        <w:spacing w:after="0" w:line="296" w:lineRule="auto"/>
        <w:rPr>
          <w:sz w:val="20"/>
          <w:szCs w:val="20"/>
          <w:color w:val="auto"/>
        </w:rPr>
      </w:pPr>
      <w:r>
        <w:rPr>
          <w:rFonts w:ascii="Arial" w:cs="Arial" w:eastAsia="Arial" w:hAnsi="Arial"/>
          <w:sz w:val="15"/>
          <w:szCs w:val="15"/>
          <w:color w:val="auto"/>
        </w:rPr>
        <w:t>Guangzhou NetEase and NetEase Beijing have successfully registered numerous trademarks with China’s Trademark Office, including marks incorporating the words “NetEase” and “Yeah” in English and for marks for “NetEase” as written in Chinese in traditional and simplified Chinese characters. In addition, they have registered trademarks involving Chinese characters and phrases that have meanings relating to our Web pages, products and services, including our dating and friends matching services, chat services, online gaming, interactive online video, e-commerce and our Internet finance services.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and the marks for “NetEase” as written in Chinese in traditional and/or simplified Chinese characters in the United States, the European Union, the Republic of Korea, Japan, Macau, Taiwan, Thailand, and other jurisdictions.</w:t>
      </w:r>
    </w:p>
    <w:p>
      <w:pPr>
        <w:spacing w:after="0" w:line="157" w:lineRule="exact"/>
        <w:rPr>
          <w:sz w:val="20"/>
          <w:szCs w:val="20"/>
          <w:color w:val="auto"/>
        </w:rPr>
      </w:pPr>
    </w:p>
    <w:p>
      <w:pPr>
        <w:ind w:right="20" w:firstLine="617"/>
        <w:spacing w:after="0" w:line="277" w:lineRule="auto"/>
        <w:rPr>
          <w:sz w:val="20"/>
          <w:szCs w:val="20"/>
          <w:color w:val="auto"/>
        </w:rPr>
      </w:pPr>
      <w:r>
        <w:rPr>
          <w:rFonts w:ascii="Arial" w:cs="Arial" w:eastAsia="Arial" w:hAnsi="Arial"/>
          <w:sz w:val="16"/>
          <w:szCs w:val="16"/>
          <w:color w:val="auto"/>
        </w:rPr>
        <w:t>In addition, we have registered our various self-developed games and other online products with the State Copyright Bureau of China. Moreover, we have filed certain patent applications with the State Intellectual Property Office of China and U.S. Patent and Trademark Office, and have obtained Certificate of Design Patent for the Password Protection Device and Certificates of Invention Patent for the Password Protection Device, Netease Cloud Music, Youdao Dictionary, YiChat, hardware products. and certain other technologies related to our games, e-mail, live video, news, blog, educational products, reading products, YiChat, e-commerce and finance, Cloud Music, hardware products, agricultural products, cloud technology, augmented reality technology, computer technology and e-mail from the State Intellectual Property Office, as well as Certificates of Utility Patent for games in the United States.</w:t>
      </w:r>
    </w:p>
    <w:p>
      <w:pPr>
        <w:spacing w:after="0" w:line="167" w:lineRule="exact"/>
        <w:rPr>
          <w:sz w:val="20"/>
          <w:szCs w:val="20"/>
          <w:color w:val="auto"/>
        </w:rPr>
      </w:pPr>
    </w:p>
    <w:p>
      <w:pPr>
        <w:ind w:right="200" w:firstLine="617"/>
        <w:spacing w:after="0" w:line="282" w:lineRule="auto"/>
        <w:rPr>
          <w:sz w:val="20"/>
          <w:szCs w:val="20"/>
          <w:color w:val="auto"/>
        </w:rPr>
      </w:pPr>
      <w:r>
        <w:rPr>
          <w:rFonts w:ascii="Arial" w:cs="Arial" w:eastAsia="Arial" w:hAnsi="Arial"/>
          <w:sz w:val="16"/>
          <w:szCs w:val="16"/>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the technology that enables on-line community, personalization, online game, Cloud Music, instant message, e-commerce and finance services on those sites. We license content from various freelance providers and other content providers.</w:t>
      </w:r>
    </w:p>
    <w:p>
      <w:pPr>
        <w:spacing w:after="0" w:line="164" w:lineRule="exact"/>
        <w:rPr>
          <w:sz w:val="20"/>
          <w:szCs w:val="20"/>
          <w:color w:val="auto"/>
        </w:rPr>
      </w:pPr>
    </w:p>
    <w:p>
      <w:pPr>
        <w:ind w:right="100" w:firstLine="617"/>
        <w:spacing w:after="0" w:line="298" w:lineRule="auto"/>
        <w:rPr>
          <w:sz w:val="20"/>
          <w:szCs w:val="20"/>
          <w:color w:val="auto"/>
        </w:rPr>
      </w:pPr>
      <w:r>
        <w:rPr>
          <w:rFonts w:ascii="Arial" w:cs="Arial" w:eastAsia="Arial" w:hAnsi="Arial"/>
          <w:sz w:val="15"/>
          <w:szCs w:val="15"/>
          <w:color w:val="auto"/>
        </w:rPr>
        <w:t>Many parties are actively developing community, online game, e-commerce, search and related Web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online direct marketing, online game, instant message and intelligent hardware.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50" w:lineRule="exact"/>
        <w:rPr>
          <w:sz w:val="20"/>
          <w:szCs w:val="20"/>
          <w:color w:val="auto"/>
        </w:rPr>
      </w:pPr>
    </w:p>
    <w:p>
      <w:pPr>
        <w:ind w:left="640" w:hanging="637"/>
        <w:spacing w:after="0"/>
        <w:tabs>
          <w:tab w:leader="none" w:pos="6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Organizational Structure</w:t>
      </w:r>
    </w:p>
    <w:p>
      <w:pPr>
        <w:spacing w:after="0" w:line="22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Our organizational structure is set forth above under “— Our Organizational Structure.”</w:t>
      </w:r>
    </w:p>
    <w:p>
      <w:pPr>
        <w:spacing w:after="0" w:line="210" w:lineRule="exact"/>
        <w:rPr>
          <w:rFonts w:ascii="Arial" w:cs="Arial" w:eastAsia="Arial" w:hAnsi="Arial"/>
          <w:sz w:val="17"/>
          <w:szCs w:val="17"/>
          <w:b w:val="1"/>
          <w:bCs w:val="1"/>
          <w:color w:val="auto"/>
        </w:rPr>
      </w:pPr>
    </w:p>
    <w:p>
      <w:pPr>
        <w:ind w:left="640" w:hanging="637"/>
        <w:spacing w:after="0"/>
        <w:tabs>
          <w:tab w:leader="none" w:pos="6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Plants and Equipment</w:t>
      </w:r>
    </w:p>
    <w:p>
      <w:pPr>
        <w:spacing w:after="0" w:line="222"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Our principal executive offices are currently located at Building No. 7, West Zone, Zhongguancun Software Park (Phase II), No. 10 Xibeiwang East Road, Haidian District, Beijing, People’s Republic of China 100193. As of December 31, 2016, we leased office and warehouse facilities with a total effective annual rent of RMB145.2 million (US$20.9 million), including management fees, and an aggregate of approximately 287,630 square meters of space at properties mainly in Beijing, Shanghai, Guangzhou, Hangzhou and Zhengzhou.</w:t>
      </w:r>
    </w:p>
    <w:p>
      <w:pPr>
        <w:spacing w:after="0" w:line="179"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We own and occupy a research and development center in Hangzhou, China with a total floor area of 110,500 square meters, where our e-commerce and other online services and their related sales, marketing, technology, management and administrative functions are located and an office building in Beijing with a total floor area of 95,000 square meters, where our adversiging services are located. We also own and occupy a building in Guangzhou with a total floor area of 20,000 square meters, in which our online game developers, sales and marketing, technology and certain management as well as administrative support functions relating to game development are currently located. In addition, we also acquired a warehouse with a total floor area of 26,000 square meters in Ningbo for the operation of our e-commerce businesses.</w:t>
      </w:r>
    </w:p>
    <w:p>
      <w:pPr>
        <w:spacing w:after="0" w:line="185" w:lineRule="exact"/>
        <w:rPr>
          <w:sz w:val="20"/>
          <w:szCs w:val="20"/>
          <w:color w:val="auto"/>
        </w:rPr>
      </w:pPr>
    </w:p>
    <w:p>
      <w:pPr>
        <w:ind w:right="320" w:firstLine="617"/>
        <w:spacing w:after="0" w:line="289" w:lineRule="auto"/>
        <w:rPr>
          <w:sz w:val="20"/>
          <w:szCs w:val="20"/>
          <w:color w:val="auto"/>
        </w:rPr>
      </w:pPr>
      <w:r>
        <w:rPr>
          <w:rFonts w:ascii="Arial" w:cs="Arial" w:eastAsia="Arial" w:hAnsi="Arial"/>
          <w:sz w:val="16"/>
          <w:szCs w:val="16"/>
          <w:color w:val="auto"/>
        </w:rPr>
        <w:t>We are in the process of constructing four new office buildings and warehouses in Hangzhou, Guangzhou, Zhoushan and Ningbo on land with an area of approximately 76,000, 37,000, 18,900 and 160,000 square meters, respectively. As of December 31, 2016, we had incurred construction in progress costs of RMB642.4 million (US$92.5 million) for these new office buildings, which primarily comprise costs for building construction.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We continue to assess our needs with respect to office space and may, in the future, vacate or add additional facilities. We believe that our current facilities are adequate for our needs in the immediate and foreseeable future.</w:t>
      </w:r>
    </w:p>
    <w:p>
      <w:pPr>
        <w:spacing w:after="0" w:line="165" w:lineRule="exact"/>
        <w:rPr>
          <w:sz w:val="20"/>
          <w:szCs w:val="20"/>
          <w:color w:val="auto"/>
        </w:rPr>
      </w:pPr>
    </w:p>
    <w:p>
      <w:pPr>
        <w:ind w:right="140" w:firstLine="617"/>
        <w:spacing w:after="0" w:line="282" w:lineRule="auto"/>
        <w:rPr>
          <w:sz w:val="20"/>
          <w:szCs w:val="20"/>
          <w:color w:val="auto"/>
        </w:rPr>
      </w:pPr>
      <w:r>
        <w:rPr>
          <w:rFonts w:ascii="Arial" w:cs="Arial" w:eastAsia="Arial" w:hAnsi="Arial"/>
          <w:sz w:val="16"/>
          <w:szCs w:val="16"/>
          <w:color w:val="auto"/>
        </w:rPr>
        <w:t>As of December 31, 2016, we owned approximately 50,000 network servers co-located in the facilities of China Unicom’s Beijing affiliate and China Telecom’s Beijing affiliates for which we paid server custody fees, and we leased dedicated lines from affiliates of CERNET and various affiliates of China Unicom and China Telecom pursuant to short term contracts. Our server custody and lease fees were approximately RMB555.9 million (US$80.1 million) for the year ended December 31, 2016, of which approximately 27% was related to the operations of online games licensed from Blizzard.</w:t>
      </w:r>
    </w:p>
    <w:p>
      <w:pPr>
        <w:spacing w:after="0" w:line="158"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222" w:lineRule="exact"/>
        <w:rPr>
          <w:sz w:val="20"/>
          <w:szCs w:val="20"/>
          <w:color w:val="auto"/>
        </w:rPr>
      </w:pPr>
    </w:p>
    <w:p>
      <w:pPr>
        <w:ind w:right="100" w:firstLine="617"/>
        <w:spacing w:after="0" w:line="306" w:lineRule="auto"/>
        <w:rPr>
          <w:sz w:val="20"/>
          <w:szCs w:val="20"/>
          <w:color w:val="auto"/>
        </w:rPr>
      </w:pPr>
      <w:r>
        <w:rPr>
          <w:rFonts w:ascii="Arial" w:cs="Arial" w:eastAsia="Arial" w:hAnsi="Arial"/>
          <w:sz w:val="15"/>
          <w:szCs w:val="15"/>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w:t>
      </w:r>
    </w:p>
    <w:p>
      <w:pPr>
        <w:sectPr>
          <w:pgSz w:w="11900" w:h="16838" w:orient="portrait"/>
          <w:cols w:equalWidth="0" w:num="1">
            <w:col w:w="11420"/>
          </w:cols>
          <w:pgMar w:left="240" w:top="127" w:right="239" w:bottom="0" w:gutter="0" w:footer="0" w:header="0"/>
        </w:sectPr>
      </w:pPr>
    </w:p>
    <w:bookmarkStart w:id="38" w:name="page39"/>
    <w:bookmarkEnd w:id="38"/>
    <w:p>
      <w:pPr>
        <w:ind w:right="120"/>
        <w:spacing w:after="0" w:line="261" w:lineRule="auto"/>
        <w:rPr>
          <w:sz w:val="20"/>
          <w:szCs w:val="20"/>
          <w:color w:val="auto"/>
        </w:rPr>
      </w:pPr>
      <w:r>
        <w:rPr>
          <w:rFonts w:ascii="Arial" w:cs="Arial" w:eastAsia="Arial" w:hAnsi="Arial"/>
          <w:sz w:val="17"/>
          <w:szCs w:val="17"/>
          <w:i w:val="1"/>
          <w:iCs w:val="1"/>
          <w:color w:val="auto"/>
        </w:rPr>
        <w:t>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73" w:lineRule="exact"/>
        <w:rPr>
          <w:sz w:val="20"/>
          <w:szCs w:val="20"/>
          <w:color w:val="auto"/>
        </w:rPr>
      </w:pPr>
    </w:p>
    <w:p>
      <w:pPr>
        <w:ind w:left="620" w:right="8960" w:hanging="617"/>
        <w:spacing w:after="0" w:line="509" w:lineRule="auto"/>
        <w:tabs>
          <w:tab w:leader="none" w:pos="632"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RESULTS Overview</w:t>
      </w:r>
    </w:p>
    <w:p>
      <w:pPr>
        <w:ind w:right="60" w:firstLine="617"/>
        <w:spacing w:after="0" w:line="261" w:lineRule="auto"/>
        <w:rPr>
          <w:sz w:val="20"/>
          <w:szCs w:val="20"/>
          <w:color w:val="auto"/>
        </w:rPr>
      </w:pPr>
      <w:r>
        <w:rPr>
          <w:rFonts w:ascii="Arial" w:cs="Arial" w:eastAsia="Arial" w:hAnsi="Arial"/>
          <w:sz w:val="17"/>
          <w:szCs w:val="17"/>
          <w:color w:val="auto"/>
        </w:rPr>
        <w:t>NetEase is a leading Internet technology company in China. Our innovative online games, communities and personalized premium services, which allow registered users to interact with other community members, have established a large and stable user base for the NetEase websites which are operated by our affiliate. As of December 31, 2016, we had approximately 892.0 million accumulated registered accounts for our in-house PC-client games and over 100 mobile games, as well as a total of approximately 3.8 billion accumulated registered accounts for our other online services.</w:t>
      </w:r>
    </w:p>
    <w:p>
      <w:pPr>
        <w:spacing w:after="0" w:line="179" w:lineRule="exact"/>
        <w:rPr>
          <w:sz w:val="20"/>
          <w:szCs w:val="20"/>
          <w:color w:val="auto"/>
        </w:rPr>
      </w:pPr>
    </w:p>
    <w:p>
      <w:pPr>
        <w:ind w:right="320" w:firstLine="617"/>
        <w:spacing w:after="0" w:line="265" w:lineRule="auto"/>
        <w:rPr>
          <w:sz w:val="20"/>
          <w:szCs w:val="20"/>
          <w:color w:val="auto"/>
        </w:rPr>
      </w:pPr>
      <w:r>
        <w:rPr>
          <w:rFonts w:ascii="Arial" w:cs="Arial" w:eastAsia="Arial" w:hAnsi="Arial"/>
          <w:sz w:val="17"/>
          <w:szCs w:val="17"/>
          <w:color w:val="auto"/>
        </w:rPr>
        <w:t>We achieved a net income attributable to our shareholders of RMB11,604.5 million (US$1,671.4 million) for 2016 and generated positive operating cash flows of RMB15,488.3 million (US$2,230.8 million) during the year. We recorded retained earnings of RMB21,224.0 million, RMB26,419.7 million and RMB35,328.8 million (US$5,088.4 million) as of December 31, 2014, 2015 and 2016,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Our Corporate Structure</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company was incorporated in the Cayman Islands on July 6, 1999 as an Internet technology company in China.</w:t>
      </w:r>
    </w:p>
    <w:p>
      <w:pPr>
        <w:spacing w:after="0" w:line="216" w:lineRule="exact"/>
        <w:rPr>
          <w:sz w:val="20"/>
          <w:szCs w:val="20"/>
          <w:color w:val="auto"/>
        </w:rPr>
      </w:pPr>
    </w:p>
    <w:p>
      <w:pPr>
        <w:ind w:right="20" w:firstLine="617"/>
        <w:spacing w:after="0" w:line="293" w:lineRule="auto"/>
        <w:rPr>
          <w:sz w:val="20"/>
          <w:szCs w:val="20"/>
          <w:color w:val="auto"/>
        </w:rPr>
      </w:pPr>
      <w:r>
        <w:rPr>
          <w:rFonts w:ascii="Arial" w:cs="Arial" w:eastAsia="Arial" w:hAnsi="Arial"/>
          <w:sz w:val="15"/>
          <w:szCs w:val="15"/>
          <w:color w:val="auto"/>
        </w:rPr>
        <w:t>NetEase, Inc. conducts its business in China through its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e-commerce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Shanghai EaseNet, Youdao Computer and certain other affiliated companies. These affiliated companies are considered “variable interest entities” for accounting purposes, and are referred to collectively in this section as “VIEs.” The revenue earned by the VIEs largely flows through to NetEase, Inc. and its subsidiaries pursuant to such contractual arrangements. Based on these agreements, NetEase Beijing, Media Beijing, NetEase Hangzhou, Boguan, Hangzhou Langhe and Lede Technology provide technical consulting and related services to the VIEs. In addition, Guangzhou NetEase has a wholly-owned subsidiary, Wangyibao (the operator of our Wangyibao online payment platform). Please also see Item 4.B. “Business Overview—Our Organizational Structure.”</w:t>
      </w:r>
    </w:p>
    <w:p>
      <w:pPr>
        <w:spacing w:after="0" w:line="158" w:lineRule="exact"/>
        <w:rPr>
          <w:sz w:val="20"/>
          <w:szCs w:val="20"/>
          <w:color w:val="auto"/>
        </w:rPr>
      </w:pPr>
    </w:p>
    <w:p>
      <w:pPr>
        <w:ind w:right="20" w:firstLine="617"/>
        <w:spacing w:after="0" w:line="275" w:lineRule="auto"/>
        <w:rPr>
          <w:sz w:val="20"/>
          <w:szCs w:val="20"/>
          <w:color w:val="auto"/>
        </w:rPr>
      </w:pPr>
      <w:r>
        <w:rPr>
          <w:rFonts w:ascii="Arial" w:cs="Arial" w:eastAsia="Arial" w:hAnsi="Arial"/>
          <w:sz w:val="16"/>
          <w:szCs w:val="16"/>
          <w:color w:val="auto"/>
        </w:rPr>
        <w:t>As of December 31, 2016, the total assets of all the consolidated VIEs of our company were RMB10.6 billion (US$1.5 billion), mainly comprising cash and cash equivalents, time deposits, accounts receivable, prepayments and other current assets and fixed assets. As of December 31, 2016, the total liabilities of the consolidated VIEs were RMB10.0 billion (US$1.4 billion), mainly comprising accounts payable, deferred revenue, accrued liabilities and other payables. As of December 31, 2016, the total assets of our company and all of our consolidated subsidiaries were RMB47.4 billion (US$6.8 billion), mainly comprising cash and cash equivalents, time deposits, restricted cash, accounts receivable, short-term investments, prepayments and other current assets, fixed assets and other long-term assets. As of December 31, 2016, the total liabilities of our company and all of our consolidated subsidiaries were RMB9.6 billion (US$1.4 billion), mainly comprising accounts payable, salary and welfare payables, tax payable, short-term loan, deferred revenue, accrued liabilities and other payables.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76" w:lineRule="exact"/>
        <w:rPr>
          <w:sz w:val="20"/>
          <w:szCs w:val="20"/>
          <w:color w:val="auto"/>
        </w:rPr>
      </w:pPr>
    </w:p>
    <w:p>
      <w:pPr>
        <w:jc w:val="both"/>
        <w:ind w:right="80" w:firstLine="617"/>
        <w:spacing w:after="0" w:line="265" w:lineRule="auto"/>
        <w:rPr>
          <w:sz w:val="20"/>
          <w:szCs w:val="20"/>
          <w:color w:val="auto"/>
        </w:rPr>
      </w:pPr>
      <w:r>
        <w:rPr>
          <w:rFonts w:ascii="Arial" w:cs="Arial" w:eastAsia="Arial" w:hAnsi="Arial"/>
          <w:sz w:val="17"/>
          <w:szCs w:val="17"/>
          <w:color w:val="auto"/>
        </w:rPr>
        <w:t>Future changes in Chinese government policies affecting the provision of information services, including the provision of online services, Internet access, e-commerce services, online advertising and online payment services, may impose additional regulatory requirements on us or our service providers or otherwise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22" w:lineRule="exact"/>
        <w:rPr>
          <w:sz w:val="20"/>
          <w:szCs w:val="20"/>
          <w:color w:val="auto"/>
        </w:rPr>
      </w:pPr>
    </w:p>
    <w:p>
      <w:pPr>
        <w:ind w:right="580" w:firstLine="617"/>
        <w:spacing w:after="0" w:line="311" w:lineRule="auto"/>
        <w:rPr>
          <w:sz w:val="20"/>
          <w:szCs w:val="20"/>
          <w:color w:val="auto"/>
        </w:rPr>
      </w:pPr>
      <w:r>
        <w:rPr>
          <w:rFonts w:ascii="Arial" w:cs="Arial" w:eastAsia="Arial" w:hAnsi="Arial"/>
          <w:sz w:val="16"/>
          <w:szCs w:val="16"/>
          <w:color w:val="auto"/>
        </w:rPr>
        <w:t>We generate our revenues from the provision of online games services, advertising services and e-mail, e-commerce and other services. No customer individually accounted for greater than 10% of our total revenues for the years ended December 31, 2014, 2015 and 2016.</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Online </w:t>
      </w:r>
      <w:r>
        <w:rPr>
          <w:rFonts w:ascii="Arial" w:cs="Arial" w:eastAsia="Arial" w:hAnsi="Arial"/>
          <w:sz w:val="17"/>
          <w:szCs w:val="17"/>
          <w:color w:val="auto"/>
        </w:rPr>
        <w:t>Games</w:t>
      </w:r>
      <w:r>
        <w:rPr>
          <w:rFonts w:ascii="Arial" w:cs="Arial" w:eastAsia="Arial" w:hAnsi="Arial"/>
          <w:sz w:val="17"/>
          <w:szCs w:val="17"/>
          <w:i w:val="1"/>
          <w:iCs w:val="1"/>
          <w:color w:val="auto"/>
        </w:rPr>
        <w:t xml:space="preserve"> Services</w:t>
      </w:r>
    </w:p>
    <w:p>
      <w:pPr>
        <w:spacing w:after="0" w:line="216"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We derive our online games services revenues mainly from customers through their use of prepaid point cards and, for our mobile games, through online payments. Customers can purchase physical prepaid point cards in different locations in China, including Internet cafés, software stores, convenience stores and bookstores, or from vendors who register the points in our system. Customers can also purchase virtual prepaid cards online by debit card, credit card or bank transfer, and receive the prepaid point information over the Internet. Customers can use the points to play our online games, either to pay for playing time or to purchase virtual items within the games, and use our other fee-based services.</w:t>
      </w:r>
    </w:p>
    <w:p>
      <w:pPr>
        <w:spacing w:after="0" w:line="180" w:lineRule="exact"/>
        <w:rPr>
          <w:sz w:val="20"/>
          <w:szCs w:val="20"/>
          <w:color w:val="auto"/>
        </w:rPr>
      </w:pPr>
    </w:p>
    <w:p>
      <w:pPr>
        <w:jc w:val="both"/>
        <w:ind w:right="160" w:firstLine="617"/>
        <w:spacing w:after="0" w:line="261" w:lineRule="auto"/>
        <w:rPr>
          <w:sz w:val="20"/>
          <w:szCs w:val="20"/>
          <w:color w:val="auto"/>
        </w:rPr>
      </w:pPr>
      <w:r>
        <w:rPr>
          <w:rFonts w:ascii="Arial" w:cs="Arial" w:eastAsia="Arial" w:hAnsi="Arial"/>
          <w:sz w:val="17"/>
          <w:szCs w:val="17"/>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in China as well as proprietary distribution channels, such as our website and the NetEase News App. Users have a variety of payment options for in-game virtual items, including our prepaid cards, online payments through app stores and other online payment channels.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Starting in August 2008, Blizzard agreed to license certain online games to Shanghai EaseNet for operation in the PRC as discussed in “Business Overview</w:t>
      </w:r>
    </w:p>
    <w:p>
      <w:pPr>
        <w:spacing w:after="0" w:line="4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Our Services — Game Licensing and Joint Venture with Blizzard.” These games include World of Warcraft, StarCraft II series, Hearthstone, Heroes of the Storm, Diablo III and Overwatch, which were commercially launched in 2009, 2011, 2014, 2015, 2015 and 2016, respectively.</w:t>
      </w:r>
    </w:p>
    <w:p>
      <w:pPr>
        <w:spacing w:after="0" w:line="175" w:lineRule="exact"/>
        <w:rPr>
          <w:sz w:val="20"/>
          <w:szCs w:val="20"/>
          <w:color w:val="auto"/>
        </w:rPr>
      </w:pPr>
    </w:p>
    <w:p>
      <w:pPr>
        <w:ind w:right="80" w:firstLine="617"/>
        <w:spacing w:after="0" w:line="278" w:lineRule="auto"/>
        <w:rPr>
          <w:sz w:val="20"/>
          <w:szCs w:val="20"/>
          <w:color w:val="auto"/>
        </w:rPr>
      </w:pPr>
      <w:r>
        <w:rPr>
          <w:rFonts w:ascii="Arial" w:cs="Arial" w:eastAsia="Arial" w:hAnsi="Arial"/>
          <w:sz w:val="17"/>
          <w:szCs w:val="17"/>
          <w:color w:val="auto"/>
        </w:rPr>
        <w:t>We expect that we will face increasing competition as online game providers in China and abroad expand their presence in the Chinese market or enter it for the first time.</w:t>
      </w:r>
    </w:p>
    <w:p>
      <w:pPr>
        <w:sectPr>
          <w:pgSz w:w="11900" w:h="16838" w:orient="portrait"/>
          <w:cols w:equalWidth="0" w:num="1">
            <w:col w:w="11420"/>
          </w:cols>
          <w:pgMar w:left="240" w:top="127" w:right="239" w:bottom="0" w:gutter="0" w:footer="0" w:header="0"/>
        </w:sectPr>
      </w:pP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Advertising Services</w:t>
      </w:r>
    </w:p>
    <w:p>
      <w:pPr>
        <w:sectPr>
          <w:pgSz w:w="11900" w:h="16838" w:orient="portrait"/>
          <w:cols w:equalWidth="0" w:num="1">
            <w:col w:w="11420"/>
          </w:cols>
          <w:pgMar w:left="240" w:top="127" w:right="239" w:bottom="0" w:gutter="0" w:footer="0" w:header="0"/>
          <w:type w:val="continuous"/>
        </w:sectPr>
      </w:pPr>
    </w:p>
    <w:bookmarkStart w:id="39" w:name="page40"/>
    <w:bookmarkEnd w:id="39"/>
    <w:p>
      <w:pPr>
        <w:ind w:firstLine="617"/>
        <w:spacing w:after="0" w:line="265" w:lineRule="auto"/>
        <w:rPr>
          <w:sz w:val="20"/>
          <w:szCs w:val="20"/>
          <w:color w:val="auto"/>
        </w:rPr>
      </w:pPr>
      <w:r>
        <w:rPr>
          <w:rFonts w:ascii="Arial" w:cs="Arial" w:eastAsia="Arial" w:hAnsi="Arial"/>
          <w:sz w:val="17"/>
          <w:szCs w:val="17"/>
          <w:color w:val="auto"/>
        </w:rPr>
        <w:t>We derive most of our advertising services revenue from fees we earn from our Internet media business. Approximately 91.5%, 90.2% and 84.6% of our total advertising revenue was derived from brand advertising services for the years ended December 31, 2014, 2015 and 2016, respectively, with the remainder mainly generated from our performance-based advertising business.</w:t>
      </w:r>
    </w:p>
    <w:p>
      <w:pPr>
        <w:spacing w:after="0" w:line="176" w:lineRule="exact"/>
        <w:rPr>
          <w:sz w:val="20"/>
          <w:szCs w:val="20"/>
          <w:color w:val="auto"/>
        </w:rPr>
      </w:pPr>
    </w:p>
    <w:p>
      <w:pPr>
        <w:ind w:right="20" w:firstLine="617"/>
        <w:spacing w:after="0" w:line="279" w:lineRule="auto"/>
        <w:rPr>
          <w:sz w:val="20"/>
          <w:szCs w:val="20"/>
          <w:color w:val="auto"/>
        </w:rPr>
      </w:pPr>
      <w:r>
        <w:rPr>
          <w:rFonts w:ascii="Arial" w:cs="Arial" w:eastAsia="Arial" w:hAnsi="Arial"/>
          <w:sz w:val="16"/>
          <w:szCs w:val="16"/>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medium-sized online businesses using our online advertising services to advertise or market their businesses and products. We also believe that the growth rate of mobile Internet advertising in China may increase at a faster rate than that of traditional PC-client advertising. We expect that such advertising will become an important advertising sector in China and competition in this area will be intense.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firstLine="617"/>
        <w:spacing w:after="0" w:line="275" w:lineRule="auto"/>
        <w:rPr>
          <w:sz w:val="20"/>
          <w:szCs w:val="20"/>
          <w:color w:val="auto"/>
        </w:rPr>
      </w:pPr>
      <w:r>
        <w:rPr>
          <w:rFonts w:ascii="Arial" w:cs="Arial" w:eastAsia="Arial" w:hAnsi="Arial"/>
          <w:sz w:val="16"/>
          <w:szCs w:val="16"/>
          <w:color w:val="auto"/>
        </w:rPr>
        <w:t>We established our two e-commerce platforms, Kaola and Yanxuan, in January 2015 and April 2016, respectively. Kaola sells mainly imported goods that we source from overseas suppliers, including maternity and baby products, skincare and cosmetics and other general merchandise, and Yanxuan sells our private label products, including apparel, homeware, kitchenware and other general merchandise, which we source directly from original design manufacturers in China. We generate revenue from both these platforms through merchandise sales and recognize revenue on a gross basis as we carry our own inventory and have discretion in setting prices. We also provide discount coupons to our customers for use in purchases on Kaola and Yanxuan, which are treated as a reduction of revenue when the related transaction is recognized. We also act as the marketplace service provider for third-party vendors to sell their products on the Kaola platform and recognize revenue when services are rendered based on the pre-determined service fee 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60" w:firstLine="617"/>
        <w:spacing w:after="0" w:line="317" w:lineRule="auto"/>
        <w:rPr>
          <w:sz w:val="20"/>
          <w:szCs w:val="20"/>
          <w:color w:val="auto"/>
        </w:rPr>
      </w:pPr>
      <w:r>
        <w:rPr>
          <w:rFonts w:ascii="Arial" w:cs="Arial" w:eastAsia="Arial" w:hAnsi="Arial"/>
          <w:sz w:val="15"/>
          <w:szCs w:val="15"/>
          <w:color w:val="auto"/>
        </w:rPr>
        <w:t>In addition, we derive our e-mail, e-commerce and others revenues primarily from providing to our customers fee-based premium services, online payment platform services (Wangyibao), and e-commerce services related to third-party lottery products (Caipiao) and third-party insurance products (Baoxian). Our online fee-based premium services, supplied to registered users of the NetEase websites, include premium e-mail and other value-added services.</w:t>
      </w:r>
    </w:p>
    <w:p>
      <w:pPr>
        <w:spacing w:after="0" w:line="140" w:lineRule="exact"/>
        <w:rPr>
          <w:sz w:val="20"/>
          <w:szCs w:val="20"/>
          <w:color w:val="auto"/>
        </w:rPr>
      </w:pPr>
    </w:p>
    <w:p>
      <w:pPr>
        <w:ind w:right="80" w:firstLine="617"/>
        <w:spacing w:after="0" w:line="282" w:lineRule="auto"/>
        <w:rPr>
          <w:sz w:val="20"/>
          <w:szCs w:val="20"/>
          <w:color w:val="auto"/>
        </w:rPr>
      </w:pPr>
      <w:r>
        <w:rPr>
          <w:rFonts w:ascii="Arial" w:cs="Arial" w:eastAsia="Arial" w:hAnsi="Arial"/>
          <w:sz w:val="16"/>
          <w:szCs w:val="16"/>
          <w:color w:val="auto"/>
        </w:rPr>
        <w:t>Our Wangyibao online payment platform enables registered users to deposit money in their accounts and use the accounts to pay for game point cards and other fee-based services and products offered by us. Account holders are charged a service fee when they withdraw cash from their Wangyibao accounts or make a payment to a third-party (for example, to purchase goods online from a third- party) in accordance with their service agreements with us. We recognize revenue upon services rendered. No fees are imposed when account holders use money in their accounts to pay us for goods or services.</w:t>
      </w:r>
    </w:p>
    <w:p>
      <w:pPr>
        <w:spacing w:after="0" w:line="164" w:lineRule="exact"/>
        <w:rPr>
          <w:sz w:val="20"/>
          <w:szCs w:val="20"/>
          <w:color w:val="auto"/>
        </w:rPr>
      </w:pPr>
    </w:p>
    <w:p>
      <w:pPr>
        <w:ind w:right="340" w:firstLine="617"/>
        <w:spacing w:after="0" w:line="278" w:lineRule="auto"/>
        <w:rPr>
          <w:sz w:val="20"/>
          <w:szCs w:val="20"/>
          <w:color w:val="auto"/>
        </w:rPr>
      </w:pPr>
      <w:r>
        <w:rPr>
          <w:rFonts w:ascii="Arial" w:cs="Arial" w:eastAsia="Arial" w:hAnsi="Arial"/>
          <w:sz w:val="17"/>
          <w:szCs w:val="17"/>
          <w:color w:val="auto"/>
        </w:rPr>
        <w:t>We operated another e-commerce platform, Duobao, which provided services that allow users to purchase a virtual currency, “Duobao Bi,” that could be exchanged for products. This platform was discontinued in early 2017.</w:t>
      </w:r>
    </w:p>
    <w:p>
      <w:pPr>
        <w:spacing w:after="0" w:line="165"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We provide our e-commerce services related to third-party products through our online platforms, including Caipiao, an online service that facilitates the processing of end users’ purchase orders for a wide selection of sports and welfare lottery products offered by third-party lottery vendors, and Baoxian, an online service that facilitates the sale of insurance products from third-party insurers. We act as an agent and do not buy, sell, manufacture, or design the lottery or insurance related products. We help third-party vendors and insurers to collect payments from consumers through online payments via our Caipiao and Baoxian platforms. We generate revenues from service fees paid by third-party vendors and insurers based on a pre-determined service fee rate and the amount of processed orders from end users.</w:t>
      </w:r>
    </w:p>
    <w:p>
      <w:pPr>
        <w:spacing w:after="0" w:line="185" w:lineRule="exact"/>
        <w:rPr>
          <w:sz w:val="20"/>
          <w:szCs w:val="20"/>
          <w:color w:val="auto"/>
        </w:rPr>
      </w:pPr>
    </w:p>
    <w:p>
      <w:pPr>
        <w:ind w:right="120" w:firstLine="617"/>
        <w:spacing w:after="0" w:line="278" w:lineRule="auto"/>
        <w:rPr>
          <w:sz w:val="20"/>
          <w:szCs w:val="20"/>
          <w:color w:val="auto"/>
        </w:rPr>
      </w:pPr>
      <w:r>
        <w:rPr>
          <w:rFonts w:ascii="Arial" w:cs="Arial" w:eastAsia="Arial" w:hAnsi="Arial"/>
          <w:sz w:val="17"/>
          <w:szCs w:val="17"/>
          <w:color w:val="auto"/>
        </w:rPr>
        <w:t>We also generate revenue from other services such as game-related accessories and revenue is recognized when the titles of such products are transferred to the customers or the services are rendered and collections are reasonably assured.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Seasonality of Revenues</w:t>
      </w:r>
    </w:p>
    <w:p>
      <w:pPr>
        <w:spacing w:after="0" w:line="216" w:lineRule="exact"/>
        <w:rPr>
          <w:sz w:val="20"/>
          <w:szCs w:val="20"/>
          <w:color w:val="auto"/>
        </w:rPr>
      </w:pPr>
    </w:p>
    <w:p>
      <w:pPr>
        <w:ind w:right="120" w:firstLine="617"/>
        <w:spacing w:after="0" w:line="289" w:lineRule="auto"/>
        <w:rPr>
          <w:sz w:val="20"/>
          <w:szCs w:val="20"/>
          <w:color w:val="auto"/>
        </w:rPr>
      </w:pPr>
      <w:r>
        <w:rPr>
          <w:rFonts w:ascii="Arial" w:cs="Arial" w:eastAsia="Arial" w:hAnsi="Arial"/>
          <w:sz w:val="16"/>
          <w:szCs w:val="16"/>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as the strongest. Usage of our online games has generally increased around the Chinese holidays, particularly the winter and summer school holidays.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Cost of revenues for our online games services consist primarily of staff costs (in particular remuneration to employees who maintain game software and employees known as the “Game Masters” who are responsible for the daily co-ordination and regulation of the activities inside our games’ virtual worlds), service fee paid to Internet data centers, or IDC, for the rental of servers, and printing costs for our prepaid point cards. For our mobile games, cost of revenues also includes fees paid to game developers, distribution channels (app stores) and payment channels.</w:t>
      </w:r>
    </w:p>
    <w:p>
      <w:pPr>
        <w:spacing w:after="0" w:line="179"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In addition, cost of revenues for our online games services include that portion of bandwidth and server custody fees (fees paid to telecommunications companies to host and maintain our servers) and depreciation and amortization of computers and software which are attributable to our online games business. Our subsidiaries and VIEs have network servers co-located in facilities owned by China Telecom’s and China Unicom’s affiliates, for which we pay server custody fees to China Telecom and China Unicom.</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cost of revenues for certain games licensed from Blizzard also includes royalties, and in some cases license and consulting fees, paid to Blizzard.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140" w:firstLine="617"/>
        <w:spacing w:after="0" w:line="265" w:lineRule="auto"/>
        <w:rPr>
          <w:sz w:val="20"/>
          <w:szCs w:val="20"/>
          <w:color w:val="auto"/>
        </w:rPr>
      </w:pPr>
      <w:r>
        <w:rPr>
          <w:rFonts w:ascii="Arial" w:cs="Arial" w:eastAsia="Arial" w:hAnsi="Arial"/>
          <w:sz w:val="17"/>
          <w:szCs w:val="17"/>
          <w:color w:val="auto"/>
        </w:rPr>
        <w:t>Cost of revenues related to our advertising services consists primarily of staff costs for editors of the various content channels for the NetEase websites and content fees paid to content providers for the NetEase websites as well as that portion of bandwidth and server custody fees, depreciation and amortization of computers and software which are attributable to the provision of advertising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333" w:right="239" w:bottom="245"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Cost of revenues related to our e-mail, e-commerce and others consists primarily of staff costs, cost of merchandise sold related to our e-commerce business, game-related accessories, service fees related to online payments, as well as that portion of bandwidth and server custody fees, depreciation and amortization of computers and software which are attributable to the provision of e-mail, e-commerce and other services. We pay content fees to third-party partners for the right to use proprietary content developed by them, such as copyrights of books and music. We also pay content fees to newspaper and magazine publishers for the right to use their proprietary content, such as headline news and articles.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Operating expenses include selling and marketing expenses, general and administrative expenses and research and development expenses.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Selling and Marketing Expenses</w:t>
      </w:r>
    </w:p>
    <w:p>
      <w:pPr>
        <w:spacing w:after="0" w:line="216" w:lineRule="exact"/>
        <w:rPr>
          <w:sz w:val="20"/>
          <w:szCs w:val="20"/>
          <w:color w:val="auto"/>
        </w:rPr>
      </w:pPr>
    </w:p>
    <w:p>
      <w:pPr>
        <w:ind w:right="180" w:firstLine="617"/>
        <w:spacing w:after="0" w:line="278" w:lineRule="auto"/>
        <w:rPr>
          <w:sz w:val="20"/>
          <w:szCs w:val="20"/>
          <w:color w:val="auto"/>
        </w:rPr>
      </w:pPr>
      <w:r>
        <w:rPr>
          <w:rFonts w:ascii="Arial" w:cs="Arial" w:eastAsia="Arial" w:hAnsi="Arial"/>
          <w:sz w:val="17"/>
          <w:szCs w:val="17"/>
          <w:color w:val="auto"/>
        </w:rPr>
        <w:t>Selling and marketing expenses consist primarily of salary and welfare expenses, compensation costs for our sales and marketing staff, and marketing and advertising expenses payable to third-party vendors, Internet companies and agents.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6" w:lineRule="exact"/>
        <w:rPr>
          <w:sz w:val="20"/>
          <w:szCs w:val="20"/>
          <w:color w:val="auto"/>
        </w:rPr>
      </w:pPr>
    </w:p>
    <w:p>
      <w:pPr>
        <w:ind w:right="180" w:firstLine="617"/>
        <w:spacing w:after="0" w:line="311"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Research and Development Expenses</w:t>
      </w:r>
    </w:p>
    <w:p>
      <w:pPr>
        <w:spacing w:after="0" w:line="216" w:lineRule="exact"/>
        <w:rPr>
          <w:sz w:val="20"/>
          <w:szCs w:val="20"/>
          <w:color w:val="auto"/>
        </w:rPr>
      </w:pPr>
    </w:p>
    <w:p>
      <w:pPr>
        <w:ind w:right="780" w:firstLine="617"/>
        <w:spacing w:after="0" w:line="278" w:lineRule="auto"/>
        <w:rPr>
          <w:sz w:val="20"/>
          <w:szCs w:val="20"/>
          <w:color w:val="auto"/>
        </w:rPr>
      </w:pPr>
      <w:r>
        <w:rPr>
          <w:rFonts w:ascii="Arial" w:cs="Arial" w:eastAsia="Arial" w:hAnsi="Arial"/>
          <w:sz w:val="17"/>
          <w:szCs w:val="17"/>
          <w:color w:val="auto"/>
        </w:rPr>
        <w:t>Research and development expenses consist principally of salary and welfare expenses and compensation costs for our research and development professionals.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 Cost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NetEase 2009 Restricted Share Unit Plan</w:t>
      </w:r>
    </w:p>
    <w:p>
      <w:pPr>
        <w:spacing w:after="0" w:line="216" w:lineRule="exact"/>
        <w:rPr>
          <w:sz w:val="20"/>
          <w:szCs w:val="20"/>
          <w:color w:val="auto"/>
        </w:rPr>
      </w:pPr>
    </w:p>
    <w:p>
      <w:pPr>
        <w:ind w:right="280" w:firstLine="617"/>
        <w:spacing w:after="0" w:line="265" w:lineRule="auto"/>
        <w:rPr>
          <w:sz w:val="20"/>
          <w:szCs w:val="20"/>
          <w:color w:val="auto"/>
        </w:rPr>
      </w:pPr>
      <w:r>
        <w:rPr>
          <w:rFonts w:ascii="Arial" w:cs="Arial" w:eastAsia="Arial" w:hAnsi="Arial"/>
          <w:sz w:val="17"/>
          <w:szCs w:val="17"/>
          <w:color w:val="auto"/>
        </w:rPr>
        <w:t>In November 2009, we adopted our 2009 Restricted Share Unit Plan, or the RSU Plan, for our employees, directors and consultants. We have reserved 323,694,050 ordinary shares for issuance under this plan. The RSU Plan was adopted by a resolution of the board of directors on November 17, 2009 and became effective for a term of ten years unless sooner terminated.</w:t>
      </w:r>
    </w:p>
    <w:p>
      <w:pPr>
        <w:spacing w:after="0" w:line="176" w:lineRule="exact"/>
        <w:rPr>
          <w:sz w:val="20"/>
          <w:szCs w:val="20"/>
          <w:color w:val="auto"/>
        </w:rPr>
      </w:pPr>
    </w:p>
    <w:p>
      <w:pPr>
        <w:ind w:right="400" w:firstLine="617"/>
        <w:spacing w:after="0" w:line="293" w:lineRule="auto"/>
        <w:rPr>
          <w:sz w:val="20"/>
          <w:szCs w:val="20"/>
          <w:color w:val="auto"/>
        </w:rPr>
      </w:pPr>
      <w:r>
        <w:rPr>
          <w:rFonts w:ascii="Arial" w:cs="Arial" w:eastAsia="Arial" w:hAnsi="Arial"/>
          <w:sz w:val="15"/>
          <w:szCs w:val="15"/>
          <w:color w:val="auto"/>
        </w:rPr>
        <w:t>For the years ended December 31, 2014, 2015 and 2016, we recorded share-based compensation cost of approximately RMB349.3 million, RMB684.5 million and RMB990.1 million (US$142.6 million), respectively, for awards granted under the RSU Plan. This cost has been allocated to (i) cost of revenues,</w:t>
      </w:r>
    </w:p>
    <w:p>
      <w:pPr>
        <w:spacing w:after="0" w:line="1" w:lineRule="exact"/>
        <w:rPr>
          <w:sz w:val="20"/>
          <w:szCs w:val="20"/>
          <w:color w:val="auto"/>
        </w:rPr>
      </w:pPr>
    </w:p>
    <w:p>
      <w:pPr>
        <w:ind w:right="260" w:firstLine="3"/>
        <w:spacing w:after="0" w:line="265" w:lineRule="auto"/>
        <w:tabs>
          <w:tab w:leader="none" w:pos="2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selling and marketing expenses, (iii) general and administrative expenses and (iv) research and development expenses, depending on the responsibilities of the relevant employees.</w:t>
      </w:r>
    </w:p>
    <w:p>
      <w:pPr>
        <w:spacing w:after="0" w:line="175" w:lineRule="exact"/>
        <w:rPr>
          <w:sz w:val="20"/>
          <w:szCs w:val="20"/>
          <w:color w:val="auto"/>
        </w:rPr>
      </w:pPr>
    </w:p>
    <w:p>
      <w:pPr>
        <w:jc w:val="both"/>
        <w:ind w:right="80" w:firstLine="617"/>
        <w:spacing w:after="0" w:line="265" w:lineRule="auto"/>
        <w:rPr>
          <w:sz w:val="20"/>
          <w:szCs w:val="20"/>
          <w:color w:val="auto"/>
        </w:rPr>
      </w:pPr>
      <w:r>
        <w:rPr>
          <w:rFonts w:ascii="Arial" w:cs="Arial" w:eastAsia="Arial" w:hAnsi="Arial"/>
          <w:sz w:val="17"/>
          <w:szCs w:val="17"/>
          <w:color w:val="auto"/>
        </w:rPr>
        <w:t>As of December 31, 2016, total unrecognized compensation cost related to unvested awards granted under the RSU Plan, adjusted for estimated forfeitures, was RMB2,670.1 million (US$384.6 million), which is expected to be recognized through the remaining vesting period of each grant. As of December 31, 2016, the weighted average remaining vesting period was 3.21 years.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Option Plans</w:t>
      </w:r>
    </w:p>
    <w:p>
      <w:pPr>
        <w:spacing w:after="0" w:line="216" w:lineRule="exact"/>
        <w:rPr>
          <w:sz w:val="20"/>
          <w:szCs w:val="20"/>
          <w:color w:val="auto"/>
        </w:rPr>
      </w:pPr>
    </w:p>
    <w:p>
      <w:pPr>
        <w:ind w:firstLine="617"/>
        <w:spacing w:after="0" w:line="277" w:lineRule="auto"/>
        <w:rPr>
          <w:sz w:val="20"/>
          <w:szCs w:val="20"/>
          <w:color w:val="auto"/>
        </w:rPr>
      </w:pPr>
      <w:r>
        <w:rPr>
          <w:rFonts w:ascii="Arial" w:cs="Arial" w:eastAsia="Arial" w:hAnsi="Arial"/>
          <w:sz w:val="16"/>
          <w:szCs w:val="16"/>
          <w:color w:val="auto"/>
        </w:rPr>
        <w:t>Beginning in 2014, certain of our subsidiaries granted options exercisable for ordinary shares to certain of our employees. The options expire five to seven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 We adopt the binomial option pricing model to determine the fair value of stock options and accounts for share-based compensation cost using an estimated forfeiture rate. For the years ended December 31, 2015 and 2016, we recorded no compensation expenses for the share options granted under these plans as the vesting conditions of such options are not deemed probable to occur for accounting purposes until the vesting commencement date.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Cayman Islands</w:t>
      </w:r>
    </w:p>
    <w:p>
      <w:pPr>
        <w:spacing w:after="0" w:line="216" w:lineRule="exact"/>
        <w:rPr>
          <w:sz w:val="20"/>
          <w:szCs w:val="20"/>
          <w:color w:val="auto"/>
        </w:rPr>
      </w:pPr>
    </w:p>
    <w:p>
      <w:pPr>
        <w:ind w:right="160" w:firstLine="617"/>
        <w:spacing w:after="0" w:line="347" w:lineRule="auto"/>
        <w:rPr>
          <w:sz w:val="20"/>
          <w:szCs w:val="20"/>
          <w:color w:val="auto"/>
        </w:rPr>
      </w:pPr>
      <w:r>
        <w:rPr>
          <w:rFonts w:ascii="Arial" w:cs="Arial" w:eastAsia="Arial" w:hAnsi="Arial"/>
          <w:sz w:val="15"/>
          <w:szCs w:val="15"/>
          <w:color w:val="auto"/>
        </w:rPr>
        <w:t>Under the current laws of the Cayman Islands, we, Lede Inc., Media Cayman and HQG, Inc. are not subject to tax on income or capital gain. Additionally, upon payments of dividends by us to our shareholders or by Lede Inc., Media Cayman, or HQG, Inc. to us, no Cayman Islands withholding tax will be imposed.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British Virgin Islands (“BVI”)</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NetEase Interactive Entertainment Limited is exempted from income tax on its foreign-derived income in the BVI. There are no withholding taxes in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BVI.</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Hong Kong</w:t>
      </w:r>
    </w:p>
    <w:p>
      <w:pPr>
        <w:spacing w:after="0" w:line="216" w:lineRule="exact"/>
        <w:rPr>
          <w:sz w:val="20"/>
          <w:szCs w:val="20"/>
          <w:color w:val="auto"/>
        </w:rPr>
      </w:pPr>
    </w:p>
    <w:p>
      <w:pPr>
        <w:ind w:right="200" w:firstLine="617"/>
        <w:spacing w:after="0" w:line="261" w:lineRule="auto"/>
        <w:rPr>
          <w:sz w:val="20"/>
          <w:szCs w:val="20"/>
          <w:color w:val="auto"/>
        </w:rPr>
      </w:pPr>
      <w:r>
        <w:rPr>
          <w:rFonts w:ascii="Arial" w:cs="Arial" w:eastAsia="Arial" w:hAnsi="Arial"/>
          <w:sz w:val="17"/>
          <w:szCs w:val="17"/>
          <w:color w:val="auto"/>
        </w:rPr>
        <w:t>Hong Kong NetEase Interactive, NetEase Hong Kong, Lede Hong Kong, Media Hong Kong, HQG Limited and StormNet IT HK are subject to 16.5% income tax on their taxable income generated from operations in Hong Kong. No significant taxable income was generated by these companies in 2014, 2015 and 2016. The payments of dividends by Hong Kong NetEase Interactive, NetEase Hong Kong, Lede Hong Kong, Media Hong Kong, HQG Limited, and StormNet IT HK to us are not subject to any Hong Kong withholding tax.</w:t>
      </w:r>
    </w:p>
    <w:p>
      <w:pPr>
        <w:sectPr>
          <w:pgSz w:w="11900" w:h="16838" w:orient="portrait"/>
          <w:cols w:equalWidth="0" w:num="1">
            <w:col w:w="11380"/>
          </w:cols>
          <w:pgMar w:left="240" w:top="127" w:right="279" w:bottom="0" w:gutter="0" w:footer="0" w:header="0"/>
        </w:sectPr>
      </w:pPr>
    </w:p>
    <w:p>
      <w:pPr>
        <w:spacing w:after="0" w:line="179"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China</w:t>
      </w:r>
    </w:p>
    <w:p>
      <w:pPr>
        <w:sectPr>
          <w:pgSz w:w="11900" w:h="16838" w:orient="portrait"/>
          <w:cols w:equalWidth="0" w:num="1">
            <w:col w:w="11380"/>
          </w:cols>
          <w:pgMar w:left="240" w:top="127" w:right="279" w:bottom="0" w:gutter="0" w:footer="0" w:header="0"/>
          <w:type w:val="continuous"/>
        </w:sectPr>
      </w:pPr>
    </w:p>
    <w:bookmarkStart w:id="41" w:name="page42"/>
    <w:bookmarkEnd w:id="41"/>
    <w:p>
      <w:pPr>
        <w:spacing w:after="0" w:line="74" w:lineRule="exact"/>
        <w:rPr>
          <w:sz w:val="20"/>
          <w:szCs w:val="20"/>
          <w:color w:val="auto"/>
        </w:rPr>
      </w:pPr>
    </w:p>
    <w:p>
      <w:pPr>
        <w:ind w:right="40" w:firstLine="617"/>
        <w:spacing w:after="0" w:line="28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“High and New Technology Enterprises,” or HNTEs, “Software Enteprises” or “Key Software Enterprises.” The Enterprise Income Tax Law became effective on January 1, 2008.</w:t>
      </w:r>
    </w:p>
    <w:p>
      <w:pPr>
        <w:spacing w:after="0" w:line="164"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In 2013, NetEase Beijing, Boguan and NetEase Hangzhou were approved as Key Software Enterprises and enjoyed a preferential tax rate of 10% from 2011 to 2014. These three entities were qualified as HNTEs in 2014 and enjoyed a preferential tax rate of 15% from 2015 to 2016. In 2016, Boguan and Netease Hangzhou were each qualified as a Key Software Enterprise and enjoyed a further reduced preferential tax rate of 10% for 2015, and the related tax benefit was recorded in 2016.</w:t>
      </w:r>
    </w:p>
    <w:p>
      <w:pPr>
        <w:spacing w:after="0" w:line="179" w:lineRule="exact"/>
        <w:rPr>
          <w:sz w:val="20"/>
          <w:szCs w:val="20"/>
          <w:color w:val="auto"/>
        </w:rPr>
      </w:pPr>
    </w:p>
    <w:p>
      <w:pPr>
        <w:ind w:right="240" w:firstLine="617"/>
        <w:spacing w:after="0" w:line="311" w:lineRule="auto"/>
        <w:rPr>
          <w:sz w:val="20"/>
          <w:szCs w:val="20"/>
          <w:color w:val="auto"/>
        </w:rPr>
      </w:pPr>
      <w:r>
        <w:rPr>
          <w:rFonts w:ascii="Arial" w:cs="Arial" w:eastAsia="Arial" w:hAnsi="Arial"/>
          <w:sz w:val="16"/>
          <w:szCs w:val="16"/>
          <w:color w:val="auto"/>
        </w:rPr>
        <w:t>In 2014, Media Beijing was qualified as a HNTE and enjoyed a preferential tax rate of 15% from 2014 to 2016. In 2016, Media Beijing was qualified as a Key Software Enterprise and enjoyed a further reduced preferential tax rate of 10% for 2015, and the related tax benefit was recorded in 2016.</w:t>
      </w:r>
    </w:p>
    <w:p>
      <w:pPr>
        <w:spacing w:after="0" w:line="141" w:lineRule="exact"/>
        <w:rPr>
          <w:sz w:val="20"/>
          <w:szCs w:val="20"/>
          <w:color w:val="auto"/>
        </w:rPr>
      </w:pPr>
    </w:p>
    <w:p>
      <w:pPr>
        <w:ind w:right="280" w:firstLine="617"/>
        <w:spacing w:after="0" w:line="311" w:lineRule="auto"/>
        <w:rPr>
          <w:sz w:val="20"/>
          <w:szCs w:val="20"/>
          <w:color w:val="auto"/>
        </w:rPr>
      </w:pPr>
      <w:r>
        <w:rPr>
          <w:rFonts w:ascii="Arial" w:cs="Arial" w:eastAsia="Arial" w:hAnsi="Arial"/>
          <w:sz w:val="16"/>
          <w:szCs w:val="16"/>
          <w:color w:val="auto"/>
        </w:rPr>
        <w:t>Hangzhou Langhe was recognized as a Software Enterprise in 2010. It was exempt from EIT for 2010 and 2011 and subject to a 50% reduction in its EIT rate from 2012 to 2014. Hangzhou Langhe was also qualified as a HNTE in 2014 and enjoyed a preferential tax rate of 15% from 2015 to 2016.</w:t>
      </w:r>
    </w:p>
    <w:p>
      <w:pPr>
        <w:spacing w:after="0" w:line="141" w:lineRule="exact"/>
        <w:rPr>
          <w:sz w:val="20"/>
          <w:szCs w:val="20"/>
          <w:color w:val="auto"/>
        </w:rPr>
      </w:pPr>
    </w:p>
    <w:p>
      <w:pPr>
        <w:ind w:right="160" w:firstLine="617"/>
        <w:spacing w:after="0" w:line="311" w:lineRule="auto"/>
        <w:rPr>
          <w:sz w:val="20"/>
          <w:szCs w:val="20"/>
          <w:color w:val="auto"/>
        </w:rPr>
      </w:pPr>
      <w:r>
        <w:rPr>
          <w:rFonts w:ascii="Arial" w:cs="Arial" w:eastAsia="Arial" w:hAnsi="Arial"/>
          <w:sz w:val="16"/>
          <w:szCs w:val="16"/>
          <w:color w:val="auto"/>
        </w:rPr>
        <w:t>Wangyibao was recognized as a Software Enterprise in 2011. Accordingly, it was exempt from EIT for 2011 and 2012 and subject to a 50% reduction in its EIT rate from 2013 to 2015. In 2015, Wangyibao was also qualified as a HNTE and enjoyed a preferential tax rate of 15% from 2016 to 2017.</w:t>
      </w:r>
    </w:p>
    <w:p>
      <w:pPr>
        <w:spacing w:after="0" w:line="141" w:lineRule="exact"/>
        <w:rPr>
          <w:sz w:val="20"/>
          <w:szCs w:val="20"/>
          <w:color w:val="auto"/>
        </w:rPr>
      </w:pPr>
    </w:p>
    <w:p>
      <w:pPr>
        <w:ind w:right="40" w:firstLine="617"/>
        <w:spacing w:after="0" w:line="278" w:lineRule="auto"/>
        <w:rPr>
          <w:sz w:val="20"/>
          <w:szCs w:val="20"/>
          <w:color w:val="auto"/>
        </w:rPr>
      </w:pPr>
      <w:r>
        <w:rPr>
          <w:rFonts w:ascii="Arial" w:cs="Arial" w:eastAsia="Arial" w:hAnsi="Arial"/>
          <w:sz w:val="17"/>
          <w:szCs w:val="17"/>
          <w:color w:val="auto"/>
        </w:rPr>
        <w:t>Lede Technology was recognized as a Software Enterprise in 2014. It was exempt from EIT for 2014 and 2015 and subject to a 50% reduction in its EIT rate from 2016 to 2018.</w:t>
      </w:r>
    </w:p>
    <w:p>
      <w:pPr>
        <w:spacing w:after="0" w:line="165" w:lineRule="exact"/>
        <w:rPr>
          <w:sz w:val="20"/>
          <w:szCs w:val="20"/>
          <w:color w:val="auto"/>
        </w:rPr>
      </w:pPr>
    </w:p>
    <w:p>
      <w:pPr>
        <w:ind w:right="580" w:firstLine="617"/>
        <w:spacing w:after="0" w:line="278" w:lineRule="auto"/>
        <w:rPr>
          <w:sz w:val="20"/>
          <w:szCs w:val="20"/>
          <w:color w:val="auto"/>
        </w:rPr>
      </w:pPr>
      <w:r>
        <w:rPr>
          <w:rFonts w:ascii="Arial" w:cs="Arial" w:eastAsia="Arial" w:hAnsi="Arial"/>
          <w:sz w:val="17"/>
          <w:szCs w:val="17"/>
          <w:color w:val="auto"/>
        </w:rPr>
        <w:t>Tianjin Technology was recognized by the tax bureau as a Software Enterprise, and it was exempt from EIT for 2015 and 2016, and subject to a 50% reduction in its EIT rate from 2017 to 2019. The related tax benefit for 2015 was recorded in 2016.</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StormNet IT SH was qualified as a HNTE in 2016 and enjoys a preferential tax rate of 15% from 2016 to 2018.</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foregoing preferential income tax rates, however, are subject to periodic review and renewal by PRC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Tax</w:t>
      </w:r>
    </w:p>
    <w:p>
      <w:pPr>
        <w:spacing w:after="0" w:line="222"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Sales tax includes business tax and value-added tax. 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our revenues generally ranges from 3% to 5%.</w:t>
      </w:r>
    </w:p>
    <w:p>
      <w:pPr>
        <w:spacing w:after="0" w:line="176" w:lineRule="exact"/>
        <w:rPr>
          <w:sz w:val="20"/>
          <w:szCs w:val="20"/>
          <w:color w:val="auto"/>
        </w:rPr>
      </w:pPr>
    </w:p>
    <w:p>
      <w:pPr>
        <w:ind w:right="20" w:firstLine="617"/>
        <w:spacing w:after="0" w:line="255" w:lineRule="auto"/>
        <w:rPr>
          <w:sz w:val="20"/>
          <w:szCs w:val="20"/>
          <w:color w:val="auto"/>
        </w:rPr>
      </w:pPr>
      <w:r>
        <w:rPr>
          <w:rFonts w:ascii="Arial" w:cs="Arial" w:eastAsia="Arial" w:hAnsi="Arial"/>
          <w:sz w:val="17"/>
          <w:szCs w:val="17"/>
          <w:color w:val="auto"/>
        </w:rPr>
        <w:t>In November 2011, the PRC Ministry of Finance and the State Administration of Taxation jointly issued two circulars setting out the details of a pilot value-added tax reform program, which change the charge of sales tax from business tax to value-added tax for certain pilot industries, including research, development and technological industries, information technology industries and cultural innovation industries. The pilot value-added tax reform program initially applied only to the pilot industries in Shanghai commencing from January 1, 2012, and has been expanded to eight additional regions, including, among others, Beijing, Zhejiang province and Guangdong province, during 2012. The pilot program was subsequently expanded nationwide in 2013. In March 2016, the PRC Ministry of Finance and the State Administration of Taxation jointly issued a circular setting out the detailed implementation guidance on the further roll-out of the value-added tax reform to all industries from May 2016. As a result, our sales of merchandise through our e-commerce platforms are subject to a 17% value-added tax of the gross sales proceeds, and revenue derived from our services, excluding sales of merchandise and goods, are subject to 6% value-added tax which replaced the original 5% business tax.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22" w:lineRule="exact"/>
        <w:rPr>
          <w:sz w:val="20"/>
          <w:szCs w:val="20"/>
          <w:color w:val="auto"/>
        </w:rPr>
      </w:pPr>
    </w:p>
    <w:p>
      <w:pPr>
        <w:ind w:right="180" w:firstLine="617"/>
        <w:spacing w:after="0" w:line="261" w:lineRule="auto"/>
        <w:rPr>
          <w:sz w:val="20"/>
          <w:szCs w:val="20"/>
          <w:color w:val="auto"/>
        </w:rPr>
      </w:pPr>
      <w:r>
        <w:rPr>
          <w:rFonts w:ascii="Arial" w:cs="Arial" w:eastAsia="Arial" w:hAnsi="Arial"/>
          <w:sz w:val="17"/>
          <w:szCs w:val="17"/>
          <w:color w:val="auto"/>
        </w:rPr>
        <w:t>In order to assess uncertain tax positions, we apply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2" w:lineRule="exact"/>
        <w:rPr>
          <w:sz w:val="20"/>
          <w:szCs w:val="20"/>
          <w:color w:val="auto"/>
        </w:rPr>
      </w:pPr>
    </w:p>
    <w:p>
      <w:pPr>
        <w:ind w:right="40" w:firstLine="617"/>
        <w:spacing w:after="0" w:line="301" w:lineRule="auto"/>
        <w:rPr>
          <w:sz w:val="20"/>
          <w:szCs w:val="20"/>
          <w:color w:val="auto"/>
        </w:rPr>
      </w:pPr>
      <w:r>
        <w:rPr>
          <w:rFonts w:ascii="Arial" w:cs="Arial" w:eastAsia="Arial" w:hAnsi="Arial"/>
          <w:sz w:val="15"/>
          <w:szCs w:val="15"/>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53"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Critical Accounting Policies and Estimates Regarding Revenue Recognition</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Revenue Recognition</w:t>
      </w:r>
    </w:p>
    <w:p>
      <w:pPr>
        <w:spacing w:after="0" w:line="216" w:lineRule="exact"/>
        <w:rPr>
          <w:sz w:val="20"/>
          <w:szCs w:val="20"/>
          <w:color w:val="auto"/>
        </w:rPr>
      </w:pPr>
    </w:p>
    <w:p>
      <w:pPr>
        <w:ind w:right="40" w:firstLine="617"/>
        <w:spacing w:after="0" w:line="278" w:lineRule="auto"/>
        <w:rPr>
          <w:sz w:val="20"/>
          <w:szCs w:val="20"/>
          <w:color w:val="auto"/>
        </w:rPr>
      </w:pPr>
      <w:r>
        <w:rPr>
          <w:rFonts w:ascii="Arial" w:cs="Arial" w:eastAsia="Arial" w:hAnsi="Arial"/>
          <w:sz w:val="17"/>
          <w:szCs w:val="17"/>
          <w:color w:val="auto"/>
        </w:rPr>
        <w:t>We recognize revenue when persuasive evidence of an arrangement exists, delivery has occurred, the sales price is fixed or determinable and collectability is reasonably assured.</w:t>
      </w:r>
    </w:p>
    <w:p>
      <w:pPr>
        <w:spacing w:after="0" w:line="165" w:lineRule="exact"/>
        <w:rPr>
          <w:sz w:val="20"/>
          <w:szCs w:val="20"/>
          <w:color w:val="auto"/>
        </w:rPr>
      </w:pPr>
    </w:p>
    <w:p>
      <w:pPr>
        <w:ind w:firstLine="617"/>
        <w:spacing w:after="0" w:line="306" w:lineRule="auto"/>
        <w:rPr>
          <w:sz w:val="20"/>
          <w:szCs w:val="20"/>
          <w:color w:val="auto"/>
        </w:rPr>
      </w:pPr>
      <w:r>
        <w:rPr>
          <w:rFonts w:ascii="Arial" w:cs="Arial" w:eastAsia="Arial" w:hAnsi="Arial"/>
          <w:sz w:val="15"/>
          <w:szCs w:val="15"/>
          <w:color w:val="auto"/>
        </w:rPr>
        <w:t>Net revenues presented in the consolidated statements of operations and comprehensive income represent revenues from service and product sales net off sales discount, sales tax and related surcharges. Service sales represent revenues from online games services, advertising services, and certain e-commerce, e-mail and other services. Service sales are recognized when service has been rendered. Product sales represent revenue from the sale of products through our e-commerce platform where we record revenue on a gross basis. Product sales are recorded when the products are shipped and title passes to customers.</w:t>
      </w:r>
    </w:p>
    <w:p>
      <w:pPr>
        <w:sectPr>
          <w:pgSz w:w="11900" w:h="16913" w:orient="portrait"/>
          <w:cols w:equalWidth="0" w:num="1">
            <w:col w:w="11420"/>
          </w:cols>
          <w:pgMar w:left="240" w:top="333" w:right="239" w:bottom="0" w:gutter="0" w:footer="0" w:header="0"/>
        </w:sectPr>
      </w:pPr>
    </w:p>
    <w:bookmarkStart w:id="42" w:name="page43"/>
    <w:bookmarkEnd w:id="42"/>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Mobile games</w:t>
      </w:r>
    </w:p>
    <w:p>
      <w:pPr>
        <w:spacing w:after="0" w:line="216" w:lineRule="exact"/>
        <w:rPr>
          <w:sz w:val="20"/>
          <w:szCs w:val="20"/>
          <w:color w:val="auto"/>
        </w:rPr>
      </w:pPr>
    </w:p>
    <w:p>
      <w:pPr>
        <w:ind w:right="80" w:firstLine="617"/>
        <w:spacing w:after="0" w:line="347" w:lineRule="auto"/>
        <w:rPr>
          <w:sz w:val="20"/>
          <w:szCs w:val="20"/>
          <w:color w:val="auto"/>
        </w:rPr>
      </w:pPr>
      <w:r>
        <w:rPr>
          <w:rFonts w:ascii="Arial" w:cs="Arial" w:eastAsia="Arial" w:hAnsi="Arial"/>
          <w:sz w:val="15"/>
          <w:szCs w:val="15"/>
          <w:color w:val="auto"/>
        </w:rPr>
        <w:t>We primarily operate our mobile games, including both self-developed and licensed mobile games, through Hangzhou Leihuo and generate mobile game revenues from the sale of in-game virtual items, including items, avatars, skills, privileges or other in-game consumables, features or functionality, within our games.</w:t>
      </w:r>
    </w:p>
    <w:p>
      <w:pPr>
        <w:spacing w:after="0" w:line="119" w:lineRule="exact"/>
        <w:rPr>
          <w:sz w:val="20"/>
          <w:szCs w:val="20"/>
          <w:color w:val="auto"/>
        </w:rPr>
      </w:pPr>
    </w:p>
    <w:p>
      <w:pPr>
        <w:ind w:right="120" w:firstLine="617"/>
        <w:spacing w:after="0" w:line="311" w:lineRule="auto"/>
        <w:rPr>
          <w:sz w:val="20"/>
          <w:szCs w:val="20"/>
          <w:color w:val="auto"/>
        </w:rPr>
      </w:pPr>
      <w:r>
        <w:rPr>
          <w:rFonts w:ascii="Arial" w:cs="Arial" w:eastAsia="Arial" w:hAnsi="Arial"/>
          <w:sz w:val="16"/>
          <w:szCs w:val="16"/>
          <w:color w:val="auto"/>
        </w:rPr>
        <w:t>We record revenue generated from mobile games on a gross basis as we are acting as the principal in fulfilling all obligations related to the operation of our mobile game. Fees paid to game developers, distribution channels such as app stores and payment channels are recorded as cost of revenues.</w:t>
      </w:r>
    </w:p>
    <w:p>
      <w:pPr>
        <w:spacing w:after="0" w:line="141" w:lineRule="exact"/>
        <w:rPr>
          <w:sz w:val="20"/>
          <w:szCs w:val="20"/>
          <w:color w:val="auto"/>
        </w:rPr>
      </w:pPr>
    </w:p>
    <w:p>
      <w:pPr>
        <w:ind w:right="220" w:firstLine="617"/>
        <w:spacing w:after="0" w:line="261" w:lineRule="auto"/>
        <w:rPr>
          <w:sz w:val="20"/>
          <w:szCs w:val="20"/>
          <w:color w:val="auto"/>
        </w:rPr>
      </w:pPr>
      <w:r>
        <w:rPr>
          <w:rFonts w:ascii="Arial" w:cs="Arial" w:eastAsia="Arial" w:hAnsi="Arial"/>
          <w:sz w:val="17"/>
          <w:szCs w:val="17"/>
          <w:color w:val="auto"/>
        </w:rPr>
        <w:t>For the purposes of determining when the service has been provided to the end-users, we have determined that an implied obligation exists to provide on-going services to the end-users who have purchased virtual items to gain an enhanced game-playing experience over the average playing period of these paying players. Accordingly, we recognize revenues ratably over the estimated average playing period of these paying players, starting from the point in time when virtual items are delivered to the players’ accounts and all other revenue recognition criteria are met.</w:t>
      </w:r>
    </w:p>
    <w:p>
      <w:pPr>
        <w:spacing w:after="0" w:line="179" w:lineRule="exact"/>
        <w:rPr>
          <w:sz w:val="20"/>
          <w:szCs w:val="20"/>
          <w:color w:val="auto"/>
        </w:rPr>
      </w:pPr>
    </w:p>
    <w:p>
      <w:pPr>
        <w:ind w:right="40" w:firstLine="617"/>
        <w:spacing w:after="0" w:line="301" w:lineRule="auto"/>
        <w:rPr>
          <w:sz w:val="20"/>
          <w:szCs w:val="20"/>
          <w:color w:val="auto"/>
        </w:rPr>
      </w:pPr>
      <w:r>
        <w:rPr>
          <w:rFonts w:ascii="Arial" w:cs="Arial" w:eastAsia="Arial" w:hAnsi="Arial"/>
          <w:sz w:val="15"/>
          <w:szCs w:val="15"/>
          <w:color w:val="auto"/>
        </w:rPr>
        <w:t>We consider the average period of time that players typically play the games and other game playing behavior patterns, as well as various other factors, to arrive at a best estimate for the estimated playing period of the paying players. If a new game is launched and only a limited period of paying player data is available, then we consider other qualitative factors, such as the playing patterns for paying users for other games with similar characteristics and the playing patterns of certain targeted players and purchasing frequency. While we believe our estimates to be reasonable based on available game player information, we may revise such estimates and any adjustments are applied prospectively as such changes result from new information indicating a change in game player behavior patterns.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PC-client games</w:t>
      </w:r>
    </w:p>
    <w:p>
      <w:pPr>
        <w:spacing w:after="0" w:line="216" w:lineRule="exact"/>
        <w:rPr>
          <w:sz w:val="20"/>
          <w:szCs w:val="20"/>
          <w:color w:val="auto"/>
        </w:rPr>
      </w:pPr>
    </w:p>
    <w:p>
      <w:pPr>
        <w:jc w:val="both"/>
        <w:ind w:right="460" w:firstLine="617"/>
        <w:spacing w:after="0" w:line="289" w:lineRule="auto"/>
        <w:rPr>
          <w:sz w:val="20"/>
          <w:szCs w:val="20"/>
          <w:color w:val="auto"/>
        </w:rPr>
      </w:pPr>
      <w:r>
        <w:rPr>
          <w:rFonts w:ascii="Arial" w:cs="Arial" w:eastAsia="Arial" w:hAnsi="Arial"/>
          <w:sz w:val="16"/>
          <w:szCs w:val="16"/>
          <w:color w:val="auto"/>
        </w:rPr>
        <w:t>We provide PC-client MMORPG and certain other online games services through Guangzhou NetEase and Shanghai EaseNet. Regarding the revenue recognition for our online games, we sell prepaid point cards and online points to the end users who may use the points on such cards for online games services provided by us. Proceeds received from the sales of prepaid point cards and online points are initially recorded as deferred revenue.</w:t>
      </w:r>
    </w:p>
    <w:p>
      <w:pPr>
        <w:spacing w:after="0" w:line="159" w:lineRule="exact"/>
        <w:rPr>
          <w:sz w:val="20"/>
          <w:szCs w:val="20"/>
          <w:color w:val="auto"/>
        </w:rPr>
      </w:pPr>
    </w:p>
    <w:p>
      <w:pPr>
        <w:ind w:firstLine="686"/>
        <w:spacing w:after="0" w:line="291" w:lineRule="auto"/>
        <w:rPr>
          <w:sz w:val="20"/>
          <w:szCs w:val="20"/>
          <w:color w:val="auto"/>
        </w:rPr>
      </w:pPr>
      <w:r>
        <w:rPr>
          <w:rFonts w:ascii="Arial" w:cs="Arial" w:eastAsia="Arial" w:hAnsi="Arial"/>
          <w:sz w:val="15"/>
          <w:szCs w:val="15"/>
          <w:color w:val="auto"/>
        </w:rPr>
        <w:t>We earn revenue through providing online games services to players under two types of revenue models: a time-based revenue model and an item-based revenue model. For the time-based model, revenue is recognized based upon the actual usage of game playing time by players. For the item-based model, the basic gameplay functions are free of charge, and players are charged for purchases of in-game items. Revenues from the sales of in-game items are recognized when the items are consumed by the customers or over the estimated lives of the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based on the estimated lives of the in-game items. 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life in-game items. However, given the relatively short operating history of our item-based games, our estimate of the period that game players typically play our games may not accurately reflect the estimated lives of the permanent life in-game items. We have adopted a policy of assessing the estimated lives of the permanent life in-game items on a quarterly basis. All paying users’ data collected since the launch of the games are used to perform the relevant assessments. Historical behavior patterns of these paying users during the period between their first log-on date and last log-on date are used to estimate the lives of the permanent life in-game items.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59" w:lineRule="auto"/>
        <w:rPr>
          <w:sz w:val="20"/>
          <w:szCs w:val="20"/>
          <w:color w:val="auto"/>
        </w:rPr>
      </w:pPr>
      <w:r>
        <w:rPr>
          <w:rFonts w:ascii="Arial" w:cs="Arial" w:eastAsia="Arial" w:hAnsi="Arial"/>
          <w:sz w:val="17"/>
          <w:szCs w:val="17"/>
          <w:color w:val="auto"/>
        </w:rPr>
        <w:t>While we believe our estimates to be reasonable based on available game player information, we may revise such estimates in the future as we continue to gain more operating history and data of our item-based games. Any adjustments arising from changes in estimates of the lives of the permanent in-game items will be applied prospectively as such changes are resulted from new information indicating a change in the game player behavior patterns. Any changes in our estimate of lives of the permanent in-game items may result in our revenues being recognized on a basis different from prior periods and may cause our operating results to fluctuate.</w:t>
      </w:r>
    </w:p>
    <w:p>
      <w:pPr>
        <w:spacing w:after="0" w:line="180"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Unused online points in an inactive personal game account are recognized as revenue when the likelihood that we would provide further online games services with respect to such online points is remote. Based on our current policies, we periodically review activity in users’ accounts each year and will cancel online points and recognize revenue with respect to such points for accounts.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firstLine="617"/>
        <w:spacing w:after="0" w:line="294" w:lineRule="auto"/>
        <w:rPr>
          <w:sz w:val="20"/>
          <w:szCs w:val="20"/>
          <w:color w:val="auto"/>
        </w:rPr>
      </w:pPr>
      <w:r>
        <w:rPr>
          <w:rFonts w:ascii="Arial" w:cs="Arial" w:eastAsia="Arial" w:hAnsi="Arial"/>
          <w:sz w:val="15"/>
          <w:szCs w:val="15"/>
          <w:color w:val="auto"/>
        </w:rPr>
        <w:t xml:space="preserve">We derive advertising fees principally from short-term advertising contracts. Advertising service contracts </w:t>
      </w:r>
      <w:r>
        <w:rPr>
          <w:rFonts w:ascii="Arial" w:cs="Arial" w:eastAsia="Arial" w:hAnsi="Arial"/>
          <w:sz w:val="14"/>
          <w:szCs w:val="14"/>
          <w:color w:val="auto"/>
        </w:rPr>
        <w:t>consist of multiple elements with a typical term of</w:t>
      </w:r>
      <w:r>
        <w:rPr>
          <w:rFonts w:ascii="Arial" w:cs="Arial" w:eastAsia="Arial" w:hAnsi="Arial"/>
          <w:sz w:val="15"/>
          <w:szCs w:val="15"/>
          <w:color w:val="auto"/>
        </w:rPr>
        <w:t xml:space="preserve"> </w:t>
      </w:r>
      <w:r>
        <w:rPr>
          <w:rFonts w:ascii="Arial" w:cs="Arial" w:eastAsia="Arial" w:hAnsi="Arial"/>
          <w:sz w:val="14"/>
          <w:szCs w:val="14"/>
          <w:color w:val="auto"/>
        </w:rPr>
        <w:t xml:space="preserve">less than three months. </w:t>
      </w:r>
      <w:r>
        <w:rPr>
          <w:rFonts w:ascii="Arial" w:cs="Arial" w:eastAsia="Arial" w:hAnsi="Arial"/>
          <w:sz w:val="15"/>
          <w:szCs w:val="15"/>
          <w:color w:val="auto"/>
        </w:rPr>
        <w:t>Such elements generally represent different forms of advertisement, including but not limited to banners, text-links, videos, logos and rich</w:t>
      </w:r>
      <w:r>
        <w:rPr>
          <w:rFonts w:ascii="Arial" w:cs="Arial" w:eastAsia="Arial" w:hAnsi="Arial"/>
          <w:sz w:val="14"/>
          <w:szCs w:val="14"/>
          <w:color w:val="auto"/>
        </w:rPr>
        <w:t xml:space="preserve"> </w:t>
      </w:r>
      <w:r>
        <w:rPr>
          <w:rFonts w:ascii="Arial" w:cs="Arial" w:eastAsia="Arial" w:hAnsi="Arial"/>
          <w:sz w:val="15"/>
          <w:szCs w:val="15"/>
          <w:color w:val="auto"/>
        </w:rPr>
        <w:t>media. Each element is time-based and the service period of the element is usually within three months. We adopted ASU No.2009-13, Revenue Recognition - Multiple-Deliverable Revenue Arrangements, or ASU No.2009-13, and treat advertising contracts with multiple deliverable elements as separate units of accounting for revenue recognition purposes and recognize revenue over the advertising period during the contract when each deliverable element of the advertisements is provided and all the other revenue recognition criteria are met. Since the contract price is for all deliverables, we allocate the arrangement consideration to all deliverables at the inception of the arrangement on the basis of their relative selling price according to the selling price hierarchy established by ASU No.2009-13. We use vendor-specific objective evidence of selling price, if it exists, otherwise, third-party evidence of selling price. If neither of those types of evidence exists, we will use our management’s best estimate of the selling price for that deliverable. Such adoption did not have a material impact on our consolidated financial statements.</w:t>
      </w:r>
    </w:p>
    <w:p>
      <w:pPr>
        <w:spacing w:after="0" w:line="156"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We also enter into performance-based advertising arrangements with customers based on cost per thousand impressions, under which we recognize revenues based on the number of times that the advertisement has been displayed. We also enters into cost per action advertising arrangements with customers, under which revenues are recognized based on the number of actions completed resulting from our advertisements, including but not limited to when end-users click on links to our customers’ products.</w:t>
      </w:r>
    </w:p>
    <w:p>
      <w:pPr>
        <w:sectPr>
          <w:pgSz w:w="11900" w:h="16838" w:orient="portrait"/>
          <w:cols w:equalWidth="0" w:num="1">
            <w:col w:w="11400"/>
          </w:cols>
          <w:pgMar w:left="240" w:top="333" w:right="259" w:bottom="0" w:gutter="0" w:footer="0" w:header="0"/>
        </w:sectPr>
      </w:pPr>
    </w:p>
    <w:bookmarkStart w:id="43" w:name="page44"/>
    <w:bookmarkEnd w:id="43"/>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right="220" w:firstLine="617"/>
        <w:spacing w:after="0" w:line="265" w:lineRule="auto"/>
        <w:rPr>
          <w:sz w:val="20"/>
          <w:szCs w:val="20"/>
          <w:color w:val="auto"/>
        </w:rPr>
      </w:pPr>
      <w:r>
        <w:rPr>
          <w:rFonts w:ascii="Arial" w:cs="Arial" w:eastAsia="Arial" w:hAnsi="Arial"/>
          <w:sz w:val="17"/>
          <w:szCs w:val="17"/>
          <w:color w:val="auto"/>
        </w:rPr>
        <w:t>E-mail, e-commerce and others revenue includes revenue generated from activities related to e-mail and other fee-based premium services, e-commerce services, and Wangyibao online payment platform services. We recognize revenue when such services are rendered or the products are transferred to the customers and collections are reasonably assured.</w:t>
      </w:r>
    </w:p>
    <w:p>
      <w:pPr>
        <w:spacing w:after="0" w:line="176" w:lineRule="exact"/>
        <w:rPr>
          <w:sz w:val="20"/>
          <w:szCs w:val="20"/>
          <w:color w:val="auto"/>
        </w:rPr>
      </w:pPr>
    </w:p>
    <w:p>
      <w:pPr>
        <w:ind w:right="140" w:firstLine="617"/>
        <w:spacing w:after="0" w:line="282" w:lineRule="auto"/>
        <w:rPr>
          <w:sz w:val="20"/>
          <w:szCs w:val="20"/>
          <w:color w:val="auto"/>
        </w:rPr>
      </w:pPr>
      <w:r>
        <w:rPr>
          <w:rFonts w:ascii="Arial" w:cs="Arial" w:eastAsia="Arial" w:hAnsi="Arial"/>
          <w:sz w:val="16"/>
          <w:szCs w:val="16"/>
          <w:color w:val="auto"/>
        </w:rPr>
        <w:t>E-commerce revenue is derived primarily from marketplace services and merchandise sales. We evaluate whether it is appropriate to record the net amount earned as commissions or the gross amount of product sales. When we are not the primary obligor, do not bear the inventory risk and does not have the ability to establish the price, revenues are recorded on a net basis. When we are primarily obligated in a transaction, are subject to inventory risk, have latitude in establishing prices and selecting suppliers, or have several but not all of these indicators, we record revenues on a gross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Critical Accounting Policies and Estimates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Research and Development Costs</w:t>
      </w:r>
    </w:p>
    <w:p>
      <w:pPr>
        <w:spacing w:after="0" w:line="216" w:lineRule="exact"/>
        <w:rPr>
          <w:sz w:val="20"/>
          <w:szCs w:val="20"/>
          <w:color w:val="auto"/>
        </w:rPr>
      </w:pPr>
    </w:p>
    <w:p>
      <w:pPr>
        <w:ind w:right="40" w:firstLine="617"/>
        <w:spacing w:after="0" w:line="28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We did not capitalize costs incurred for the development of online game products for the years ended December 31, 2014, 2015 and 2016 because the period after the date technical feasibility is reached and the time when the game is marketed have been short historically and the development costs incurred in the period are insignificant.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Depreciation</w:t>
      </w:r>
    </w:p>
    <w:p>
      <w:pPr>
        <w:spacing w:after="0" w:line="216" w:lineRule="exact"/>
        <w:rPr>
          <w:sz w:val="20"/>
          <w:szCs w:val="20"/>
          <w:color w:val="auto"/>
        </w:rPr>
      </w:pPr>
    </w:p>
    <w:p>
      <w:pPr>
        <w:ind w:right="60" w:firstLine="617"/>
        <w:spacing w:after="0" w:line="265" w:lineRule="auto"/>
        <w:rPr>
          <w:sz w:val="20"/>
          <w:szCs w:val="20"/>
          <w:color w:val="auto"/>
        </w:rPr>
      </w:pPr>
      <w:r>
        <w:rPr>
          <w:rFonts w:ascii="Arial" w:cs="Arial" w:eastAsia="Arial" w:hAnsi="Arial"/>
          <w:sz w:val="17"/>
          <w:szCs w:val="17"/>
          <w:color w:val="auto"/>
        </w:rPr>
        <w:t>We depreciate our building, computer equipment, software and other assets (other than leasehold improvements) on a straight-line basis over their estimated useful lives, which range from three years to twenty years. We depreciate leasehold improvements, which are included in our operating expenses, on a straight-line basis over the lesser of the relevant lease term or their estimated useful lives.</w:t>
      </w:r>
    </w:p>
    <w:p>
      <w:pPr>
        <w:spacing w:after="0" w:line="176" w:lineRule="exact"/>
        <w:rPr>
          <w:sz w:val="20"/>
          <w:szCs w:val="20"/>
          <w:color w:val="auto"/>
        </w:rPr>
      </w:pPr>
    </w:p>
    <w:p>
      <w:pPr>
        <w:ind w:right="80" w:firstLine="617"/>
        <w:spacing w:after="0" w:line="301" w:lineRule="auto"/>
        <w:rPr>
          <w:sz w:val="20"/>
          <w:szCs w:val="20"/>
          <w:color w:val="auto"/>
        </w:rPr>
      </w:pPr>
      <w:r>
        <w:rPr>
          <w:rFonts w:ascii="Arial" w:cs="Arial" w:eastAsia="Arial" w:hAnsi="Arial"/>
          <w:sz w:val="15"/>
          <w:szCs w:val="15"/>
          <w:color w:val="auto"/>
        </w:rPr>
        <w:t>Management’s judgment is required in the assessment of the useful lives of long-lived assets, and is required in the measurement of impairment. Long-lived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The estimation of future cash flows requires significant management judgment based on our historical results and anticipated results and is subject to many factors. Measurement of any impairment loss for long-lived assets is based on the amount by which the carrying value exceeds the fair value of the asset.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Allowances for Doubtful Accounts</w:t>
      </w:r>
    </w:p>
    <w:p>
      <w:pPr>
        <w:spacing w:after="0" w:line="216" w:lineRule="exact"/>
        <w:rPr>
          <w:sz w:val="20"/>
          <w:szCs w:val="20"/>
          <w:color w:val="auto"/>
        </w:rPr>
      </w:pPr>
    </w:p>
    <w:p>
      <w:pPr>
        <w:ind w:firstLine="617"/>
        <w:spacing w:after="0" w:line="298" w:lineRule="auto"/>
        <w:rPr>
          <w:sz w:val="20"/>
          <w:szCs w:val="20"/>
          <w:color w:val="auto"/>
        </w:rPr>
      </w:pPr>
      <w:r>
        <w:rPr>
          <w:rFonts w:ascii="Arial" w:cs="Arial" w:eastAsia="Arial" w:hAnsi="Arial"/>
          <w:sz w:val="15"/>
          <w:szCs w:val="15"/>
          <w:color w:val="auto"/>
        </w:rPr>
        <w:t>We maintain allowances for doubtful accounts receivable based on various information, including aging analysis of accounts receivable balances, historical bad debt rates, repayment patterns and credit worthiness of customers, industry trend analysis and general and industry-specific economic and market conditions. We make provision for bad debts if there is evidence showing that the debts are likely to be irrecoverable based on historical collections assessment and aging. We provide for 50.0% in the case of direct customers, and 30.0% in the case of advertising agents, of the outstanding trade receivable balances overdue for more than 180 days and provide for 80.0% in the case of direct customers, and 50.0% in the case of advertising agents, of the outstanding trade receivable balances overdue for more than 270 days. We provide for 100.0% in the case of all parties for outstanding trade receivable balances overdue for more than one year.</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Inventories, net</w:t>
      </w:r>
    </w:p>
    <w:p>
      <w:pPr>
        <w:spacing w:after="0" w:line="216" w:lineRule="exact"/>
        <w:rPr>
          <w:sz w:val="20"/>
          <w:szCs w:val="20"/>
          <w:color w:val="auto"/>
        </w:rPr>
      </w:pPr>
    </w:p>
    <w:p>
      <w:pPr>
        <w:ind w:right="640" w:firstLine="617"/>
        <w:spacing w:after="0" w:line="278" w:lineRule="auto"/>
        <w:rPr>
          <w:sz w:val="20"/>
          <w:szCs w:val="20"/>
          <w:color w:val="auto"/>
        </w:rPr>
      </w:pPr>
      <w:r>
        <w:rPr>
          <w:rFonts w:ascii="Arial" w:cs="Arial" w:eastAsia="Arial" w:hAnsi="Arial"/>
          <w:sz w:val="17"/>
          <w:szCs w:val="17"/>
          <w:color w:val="auto"/>
        </w:rPr>
        <w:t>Inventories, which mainly represent products for our cross-border e-commerce business, are stated at the lower of cost or net realizable value in our consolidated balance sheets. Cost of inventory is determined using the weighted average cost method.</w:t>
      </w:r>
    </w:p>
    <w:p>
      <w:pPr>
        <w:spacing w:after="0" w:line="165" w:lineRule="exact"/>
        <w:rPr>
          <w:sz w:val="20"/>
          <w:szCs w:val="20"/>
          <w:color w:val="auto"/>
        </w:rPr>
      </w:pPr>
    </w:p>
    <w:p>
      <w:pPr>
        <w:ind w:right="100" w:firstLine="617"/>
        <w:spacing w:after="0" w:line="261" w:lineRule="auto"/>
        <w:rPr>
          <w:sz w:val="20"/>
          <w:szCs w:val="20"/>
          <w:color w:val="auto"/>
        </w:rPr>
      </w:pPr>
      <w:r>
        <w:rPr>
          <w:rFonts w:ascii="Arial" w:cs="Arial" w:eastAsia="Arial" w:hAnsi="Arial"/>
          <w:sz w:val="17"/>
          <w:szCs w:val="17"/>
          <w:color w:val="auto"/>
        </w:rPr>
        <w:t>Adjustments are recorded to write down the cost of inventory to the estimated net realizable value due to slow-moving merchandise and damaged goods, which is dependent upon factors such as historical and forecasted consumer demand and promotional environment. We take ownership, risks and rewards of the products purchased. Write downs are recorded in cost of revenues in our consolidated statements of operations and comprehensive income. Certain costs attributable to buying and receiving products, such as purchase freights, are also included in inventories.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Investments</w:t>
      </w:r>
    </w:p>
    <w:p>
      <w:pPr>
        <w:spacing w:after="0" w:line="216" w:lineRule="exact"/>
        <w:rPr>
          <w:sz w:val="20"/>
          <w:szCs w:val="20"/>
          <w:color w:val="auto"/>
        </w:rPr>
      </w:pPr>
    </w:p>
    <w:p>
      <w:pPr>
        <w:ind w:right="820" w:firstLine="617"/>
        <w:spacing w:after="0" w:line="278" w:lineRule="auto"/>
        <w:rPr>
          <w:sz w:val="20"/>
          <w:szCs w:val="20"/>
          <w:color w:val="auto"/>
        </w:rPr>
      </w:pPr>
      <w:r>
        <w:rPr>
          <w:rFonts w:ascii="Arial" w:cs="Arial" w:eastAsia="Arial" w:hAnsi="Arial"/>
          <w:sz w:val="17"/>
          <w:szCs w:val="17"/>
          <w:color w:val="auto"/>
        </w:rPr>
        <w:t>Short-term investments include investments in financial instruments with a variable interest rate indexed to performance of underlying assets and investments that we have positive intent and ability to hold to maturity.</w:t>
      </w:r>
    </w:p>
    <w:p>
      <w:pPr>
        <w:spacing w:after="0" w:line="165" w:lineRule="exact"/>
        <w:rPr>
          <w:sz w:val="20"/>
          <w:szCs w:val="20"/>
          <w:color w:val="auto"/>
        </w:rPr>
      </w:pPr>
    </w:p>
    <w:p>
      <w:pPr>
        <w:ind w:right="20" w:firstLine="617"/>
        <w:spacing w:after="0" w:line="282"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64" w:lineRule="exact"/>
        <w:rPr>
          <w:sz w:val="20"/>
          <w:szCs w:val="20"/>
          <w:color w:val="auto"/>
        </w:rPr>
      </w:pPr>
    </w:p>
    <w:p>
      <w:pPr>
        <w:jc w:val="both"/>
        <w:ind w:right="120" w:firstLine="617"/>
        <w:spacing w:after="0" w:line="306" w:lineRule="auto"/>
        <w:rPr>
          <w:sz w:val="20"/>
          <w:szCs w:val="20"/>
          <w:color w:val="auto"/>
        </w:rPr>
      </w:pPr>
      <w:r>
        <w:rPr>
          <w:rFonts w:ascii="Arial" w:cs="Arial" w:eastAsia="Arial" w:hAnsi="Arial"/>
          <w:sz w:val="15"/>
          <w:szCs w:val="15"/>
          <w:color w:val="auto"/>
        </w:rPr>
        <w:t>The investments that we have positive intent and ability to hold to maturity are classified as held-to-maturity investments and stated at amortized cost. For individual investments classified as held-to-maturity investments, we evaluate whether a decline in fair value below the amortized cost basis is other than temporary in accordance to our policy and ASC 320-10. If we conclude that we do not intend or are not required to sell an impaired debt investment before the recovery of its amortized cost basis, the impairment is considered temporary and the held-to-maturity investment continues to be recognized at the amortized cost.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360" w:firstLine="617"/>
        <w:spacing w:after="0" w:line="347" w:lineRule="auto"/>
        <w:rPr>
          <w:sz w:val="20"/>
          <w:szCs w:val="20"/>
          <w:color w:val="auto"/>
        </w:rPr>
      </w:pPr>
      <w:r>
        <w:rPr>
          <w:rFonts w:ascii="Arial" w:cs="Arial" w:eastAsia="Arial" w:hAnsi="Arial"/>
          <w:sz w:val="15"/>
          <w:szCs w:val="15"/>
          <w:color w:val="auto"/>
        </w:rPr>
        <w:t>Investments not classified as trading or as held-to-maturity are classified as available-for-sale securities. Available-for-sale investment is reported at fair value, with unrealized gains and losses recorded in accumulated other comprehensive income (loss). Realized gains or losses are charged to earnings during the</w:t>
      </w:r>
    </w:p>
    <w:p>
      <w:pPr>
        <w:sectPr>
          <w:pgSz w:w="11900" w:h="16838" w:orient="portrait"/>
          <w:cols w:equalWidth="0" w:num="1">
            <w:col w:w="11400"/>
          </w:cols>
          <w:pgMar w:left="240" w:top="333" w:right="259" w:bottom="0" w:gutter="0" w:footer="0" w:header="0"/>
        </w:sectPr>
      </w:pPr>
    </w:p>
    <w:bookmarkStart w:id="44" w:name="page45"/>
    <w:bookmarkEnd w:id="44"/>
    <w:p>
      <w:pPr>
        <w:ind w:right="320"/>
        <w:spacing w:after="0" w:line="265" w:lineRule="auto"/>
        <w:rPr>
          <w:sz w:val="20"/>
          <w:szCs w:val="20"/>
          <w:color w:val="auto"/>
        </w:rPr>
      </w:pPr>
      <w:r>
        <w:rPr>
          <w:rFonts w:ascii="Arial" w:cs="Arial" w:eastAsia="Arial" w:hAnsi="Arial"/>
          <w:sz w:val="17"/>
          <w:szCs w:val="17"/>
          <w:color w:val="auto"/>
        </w:rPr>
        <w:t>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long-term investments.</w:t>
      </w:r>
    </w:p>
    <w:p>
      <w:pPr>
        <w:spacing w:after="0" w:line="176" w:lineRule="exact"/>
        <w:rPr>
          <w:sz w:val="20"/>
          <w:szCs w:val="20"/>
          <w:color w:val="auto"/>
        </w:rPr>
      </w:pPr>
    </w:p>
    <w:p>
      <w:pPr>
        <w:ind w:right="140" w:firstLine="617"/>
        <w:spacing w:after="0" w:line="298" w:lineRule="auto"/>
        <w:rPr>
          <w:sz w:val="20"/>
          <w:szCs w:val="20"/>
          <w:color w:val="auto"/>
        </w:rPr>
      </w:pPr>
      <w:r>
        <w:rPr>
          <w:rFonts w:ascii="Arial" w:cs="Arial" w:eastAsia="Arial" w:hAnsi="Arial"/>
          <w:sz w:val="15"/>
          <w:szCs w:val="15"/>
          <w:color w:val="auto"/>
        </w:rPr>
        <w:t>For investments in an investee over which we do not have significant influence and which does not have a readily determinable fair value, we carry the investment at cost and only adjust for other-than-temporary declines in fair value and distributions of earnings that exceed our share of earnings since we made our investment. We regularly evaluate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Investments in Associated Companies</w:t>
      </w:r>
    </w:p>
    <w:p>
      <w:pPr>
        <w:spacing w:after="0" w:line="216" w:lineRule="exact"/>
        <w:rPr>
          <w:sz w:val="20"/>
          <w:szCs w:val="20"/>
          <w:color w:val="auto"/>
        </w:rPr>
      </w:pPr>
    </w:p>
    <w:p>
      <w:pPr>
        <w:ind w:right="240" w:firstLine="617"/>
        <w:spacing w:after="0" w:line="265" w:lineRule="auto"/>
        <w:rPr>
          <w:sz w:val="20"/>
          <w:szCs w:val="20"/>
          <w:color w:val="auto"/>
        </w:rPr>
      </w:pPr>
      <w:r>
        <w:rPr>
          <w:rFonts w:ascii="Arial" w:cs="Arial" w:eastAsia="Arial" w:hAnsi="Arial"/>
          <w:sz w:val="17"/>
          <w:szCs w:val="17"/>
          <w:color w:val="auto"/>
        </w:rPr>
        <w:t>Investments in associated companies in which we are in a position to exercise significant influence by participating in, but not controlling or jointly controlling, the financial and operating policies are accounted for using the equity method and are reported under long-term investment in the consolidated balance sheets.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Impairment of Long-Lived Assets</w:t>
      </w:r>
    </w:p>
    <w:p>
      <w:pPr>
        <w:spacing w:after="0" w:line="216" w:lineRule="exact"/>
        <w:rPr>
          <w:sz w:val="20"/>
          <w:szCs w:val="20"/>
          <w:color w:val="auto"/>
        </w:rPr>
      </w:pPr>
    </w:p>
    <w:p>
      <w:pPr>
        <w:ind w:right="240" w:firstLine="617"/>
        <w:spacing w:after="0" w:line="306" w:lineRule="auto"/>
        <w:rPr>
          <w:sz w:val="20"/>
          <w:szCs w:val="20"/>
          <w:color w:val="auto"/>
        </w:rPr>
      </w:pPr>
      <w:r>
        <w:rPr>
          <w:rFonts w:ascii="Arial" w:cs="Arial" w:eastAsia="Arial" w:hAnsi="Arial"/>
          <w:sz w:val="15"/>
          <w:szCs w:val="15"/>
          <w:color w:val="auto"/>
        </w:rPr>
        <w:t>The carrying values of long-lived assets are reviewed for impairment whenever events or changes in circumstances indicate that the carrying value of an asset may not be recoverable. Based on the existence of one or more indicators of impairment, we measure any impairment of long-lived assets using the projected discounted cash flow method. The estimation of future cash flows requires significant management judgment based on our historical results and anticipated results and is subject to many factors. The discount rate that is commensurate with the risk inherent in our business model is determined by our management.</w:t>
      </w:r>
    </w:p>
    <w:p>
      <w:pPr>
        <w:spacing w:after="0" w:line="149" w:lineRule="exact"/>
        <w:rPr>
          <w:sz w:val="20"/>
          <w:szCs w:val="20"/>
          <w:color w:val="auto"/>
        </w:rPr>
      </w:pPr>
    </w:p>
    <w:p>
      <w:pPr>
        <w:ind w:right="760" w:firstLine="617"/>
        <w:spacing w:after="0" w:line="278" w:lineRule="auto"/>
        <w:rPr>
          <w:sz w:val="20"/>
          <w:szCs w:val="20"/>
          <w:color w:val="auto"/>
        </w:rPr>
      </w:pPr>
      <w:r>
        <w:rPr>
          <w:rFonts w:ascii="Arial" w:cs="Arial" w:eastAsia="Arial" w:hAnsi="Arial"/>
          <w:sz w:val="17"/>
          <w:szCs w:val="17"/>
          <w:color w:val="auto"/>
        </w:rPr>
        <w:t>An impairment loss would be recorded if we determined that the carrying value of long-lived assets may not be recoverable. The impairment to be recognized is measured by the amount by which the carrying values of the assets exceed the fair value of the assets.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Share-Based Compensation Expense</w:t>
      </w:r>
    </w:p>
    <w:p>
      <w:pPr>
        <w:spacing w:after="0" w:line="216" w:lineRule="exact"/>
        <w:rPr>
          <w:sz w:val="20"/>
          <w:szCs w:val="20"/>
          <w:color w:val="auto"/>
        </w:rPr>
      </w:pPr>
    </w:p>
    <w:p>
      <w:pPr>
        <w:ind w:right="80" w:firstLine="617"/>
        <w:spacing w:after="0" w:line="259" w:lineRule="auto"/>
        <w:rPr>
          <w:sz w:val="20"/>
          <w:szCs w:val="20"/>
          <w:color w:val="auto"/>
        </w:rPr>
      </w:pPr>
      <w:r>
        <w:rPr>
          <w:rFonts w:ascii="Arial" w:cs="Arial" w:eastAsia="Arial" w:hAnsi="Arial"/>
          <w:sz w:val="17"/>
          <w:szCs w:val="17"/>
          <w:color w:val="auto"/>
        </w:rPr>
        <w:t>For awards of stock options, we measure the cost of employee services received in exchange for the award, measured at the grant date fair value of the award. We recognize the share-based compensation costs, net of a forfeiture rate, on a straight-line basis over the requisite service period of the award, which is the vesting term (generally three to four years for stock options). We use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80" w:lineRule="exact"/>
        <w:rPr>
          <w:sz w:val="20"/>
          <w:szCs w:val="20"/>
          <w:color w:val="auto"/>
        </w:rPr>
      </w:pPr>
    </w:p>
    <w:p>
      <w:pPr>
        <w:ind w:right="140" w:firstLine="617"/>
        <w:spacing w:after="0" w:line="298" w:lineRule="auto"/>
        <w:rPr>
          <w:sz w:val="20"/>
          <w:szCs w:val="20"/>
          <w:color w:val="auto"/>
        </w:rPr>
      </w:pPr>
      <w:r>
        <w:rPr>
          <w:rFonts w:ascii="Arial" w:cs="Arial" w:eastAsia="Arial" w:hAnsi="Arial"/>
          <w:sz w:val="15"/>
          <w:szCs w:val="15"/>
          <w:color w:val="auto"/>
        </w:rPr>
        <w:t>Under our RSU Plan, we issue restricted share units, or RSUs, to our employees, directors and consultants with performance conditions and service vesting periods ranging from one year to five years. Some of the RSUs issued are to be settled, at our discretion, in shares or cash upon vesting based on the share price at grant date. At each reporting period, we evaluate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shares only is measured based on the fair value of shares when all conditions to establish the grant date have been met. The compensation cost of RSUs to be settled either in shares or cash at our discretion is remeasured until the date when settlement in shares or cash is determined by us.</w:t>
      </w:r>
    </w:p>
    <w:p>
      <w:pPr>
        <w:spacing w:after="0" w:line="156" w:lineRule="exact"/>
        <w:rPr>
          <w:sz w:val="20"/>
          <w:szCs w:val="20"/>
          <w:color w:val="auto"/>
        </w:rPr>
      </w:pPr>
    </w:p>
    <w:p>
      <w:pPr>
        <w:ind w:right="20" w:firstLine="617"/>
        <w:spacing w:after="0" w:line="306" w:lineRule="auto"/>
        <w:rPr>
          <w:sz w:val="20"/>
          <w:szCs w:val="20"/>
          <w:color w:val="auto"/>
        </w:rPr>
      </w:pPr>
      <w:r>
        <w:rPr>
          <w:rFonts w:ascii="Arial" w:cs="Arial" w:eastAsia="Arial" w:hAnsi="Arial"/>
          <w:sz w:val="15"/>
          <w:szCs w:val="15"/>
          <w:color w:val="auto"/>
        </w:rPr>
        <w:t>We record share-based compensation on our consolidated statements of operations and comprehensive income with the corresponding credit to the additional paid-in-capital for share options and RSUs to the extent that such awards are to be settled only in shares. On the other hand, for RSUs which will either be settled in shares or cash as discussed above, we continue to mark to market such awards and, in accordance with the vesting schedules of such awards, record the resulting potential liabilities under accrued liabilities and other long-term payables (RMB172.8 million (US$24.9 million) and nil, respectively, as of December 31, 2016).</w:t>
      </w:r>
    </w:p>
    <w:p>
      <w:pPr>
        <w:spacing w:after="0" w:line="149" w:lineRule="exact"/>
        <w:rPr>
          <w:sz w:val="20"/>
          <w:szCs w:val="20"/>
          <w:color w:val="auto"/>
        </w:rPr>
      </w:pPr>
    </w:p>
    <w:p>
      <w:pPr>
        <w:jc w:val="both"/>
        <w:ind w:right="160" w:firstLine="617"/>
        <w:spacing w:after="0" w:line="265" w:lineRule="auto"/>
        <w:rPr>
          <w:sz w:val="20"/>
          <w:szCs w:val="20"/>
          <w:color w:val="auto"/>
        </w:rPr>
      </w:pPr>
      <w:r>
        <w:rPr>
          <w:rFonts w:ascii="Arial" w:cs="Arial" w:eastAsia="Arial" w:hAnsi="Arial"/>
          <w:sz w:val="17"/>
          <w:szCs w:val="17"/>
          <w:color w:val="auto"/>
        </w:rPr>
        <w:t>Certain of our subsidiaries granted options exercisable for ordinary shares to certain of our employees. The options expire five to seven years from the date of grant and either vest or have a vesting commencement date upon certain conditions being met. We adopt the binomial option pricing model to determine the fair value of stock options and account for share-based compensation cost using an estimated forfeiture rate.</w:t>
      </w:r>
    </w:p>
    <w:p>
      <w:pPr>
        <w:spacing w:after="0" w:line="176" w:lineRule="exact"/>
        <w:rPr>
          <w:sz w:val="20"/>
          <w:szCs w:val="20"/>
          <w:color w:val="auto"/>
        </w:rPr>
      </w:pPr>
    </w:p>
    <w:p>
      <w:pPr>
        <w:ind w:right="720" w:firstLine="617"/>
        <w:spacing w:after="0" w:line="278" w:lineRule="auto"/>
        <w:rPr>
          <w:sz w:val="20"/>
          <w:szCs w:val="20"/>
          <w:color w:val="auto"/>
        </w:rPr>
      </w:pPr>
      <w:r>
        <w:rPr>
          <w:rFonts w:ascii="Arial" w:cs="Arial" w:eastAsia="Arial" w:hAnsi="Arial"/>
          <w:sz w:val="17"/>
          <w:szCs w:val="17"/>
          <w:color w:val="auto"/>
        </w:rPr>
        <w:t>Forfeitures were estimated based on our weighted average historical forfeiture rate of the past five years. Differences between actual and estimated forfeitures are expensed in the period that the differences occur.</w:t>
      </w:r>
    </w:p>
    <w:p>
      <w:pPr>
        <w:spacing w:after="0" w:line="165" w:lineRule="exact"/>
        <w:rPr>
          <w:sz w:val="20"/>
          <w:szCs w:val="20"/>
          <w:color w:val="auto"/>
        </w:rPr>
      </w:pPr>
    </w:p>
    <w:p>
      <w:pPr>
        <w:ind w:right="160" w:firstLine="617"/>
        <w:spacing w:after="0" w:line="261" w:lineRule="auto"/>
        <w:rPr>
          <w:sz w:val="20"/>
          <w:szCs w:val="20"/>
          <w:color w:val="auto"/>
        </w:rPr>
      </w:pPr>
      <w:r>
        <w:rPr>
          <w:rFonts w:ascii="Arial" w:cs="Arial" w:eastAsia="Arial" w:hAnsi="Arial"/>
          <w:sz w:val="17"/>
          <w:szCs w:val="17"/>
          <w:color w:val="auto"/>
        </w:rPr>
        <w:t>Our assumptions are based on our historical experience and expectation of future development. The assumptions used in calculating the fair value of share-based awards and related share-based compensation expenses represent management’s best estimates, but these estimates involve inherent uncertainties and the application of management judgment. As a result, if factors change or different assumptions are used, particularly with respect to the volatility of our shares, our share-based compensation expense could be materially different for any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22" w:lineRule="exact"/>
        <w:rPr>
          <w:sz w:val="20"/>
          <w:szCs w:val="20"/>
          <w:color w:val="auto"/>
        </w:rPr>
      </w:pPr>
    </w:p>
    <w:p>
      <w:pPr>
        <w:ind w:right="20" w:firstLine="617"/>
        <w:spacing w:after="0" w:line="278" w:lineRule="auto"/>
        <w:rPr>
          <w:sz w:val="20"/>
          <w:szCs w:val="20"/>
          <w:color w:val="auto"/>
        </w:rPr>
      </w:pPr>
      <w:r>
        <w:rPr>
          <w:rFonts w:ascii="Arial" w:cs="Arial" w:eastAsia="Arial" w:hAnsi="Arial"/>
          <w:sz w:val="17"/>
          <w:szCs w:val="17"/>
          <w:color w:val="auto"/>
        </w:rPr>
        <w:t>The following table sets forth a summary of our audited consolidated statements of operations for the periods indicated both in Renminbi and as a percentage of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320" w:type="dxa"/>
            <w:vAlign w:val="bottom"/>
          </w:tcPr>
          <w:p>
            <w:pPr>
              <w:spacing w:after="0"/>
              <w:rPr>
                <w:sz w:val="11"/>
                <w:szCs w:val="11"/>
                <w:color w:val="auto"/>
              </w:rPr>
            </w:pPr>
          </w:p>
        </w:tc>
        <w:tc>
          <w:tcPr>
            <w:tcW w:w="1640" w:type="dxa"/>
            <w:vAlign w:val="bottom"/>
            <w:tcBorders>
              <w:bottom w:val="single" w:sz="8" w:color="auto"/>
            </w:tcBorders>
            <w:gridSpan w:val="3"/>
          </w:tcPr>
          <w:p>
            <w:pPr>
              <w:jc w:val="right"/>
              <w:ind w:right="240"/>
              <w:spacing w:after="0" w:line="135"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Borders>
              <w:bottom w:val="single" w:sz="8" w:color="auto"/>
            </w:tcBorders>
            <w:gridSpan w:val="3"/>
          </w:tcPr>
          <w:p>
            <w:pPr>
              <w:jc w:val="right"/>
              <w:ind w:right="240"/>
              <w:spacing w:after="0" w:line="135"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Borders>
              <w:bottom w:val="single" w:sz="8" w:color="auto"/>
            </w:tcBorders>
            <w:gridSpan w:val="3"/>
          </w:tcPr>
          <w:p>
            <w:pPr>
              <w:jc w:val="right"/>
              <w:ind w:right="220"/>
              <w:spacing w:after="0" w:line="135"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3320" w:type="dxa"/>
            <w:vAlign w:val="bottom"/>
          </w:tcPr>
          <w:p>
            <w:pPr>
              <w:spacing w:after="0"/>
              <w:rPr>
                <w:sz w:val="11"/>
                <w:szCs w:val="11"/>
                <w:color w:val="auto"/>
              </w:rPr>
            </w:pPr>
          </w:p>
        </w:tc>
        <w:tc>
          <w:tcPr>
            <w:tcW w:w="1640" w:type="dxa"/>
            <w:vAlign w:val="bottom"/>
            <w:gridSpan w:val="3"/>
          </w:tcPr>
          <w:p>
            <w:pPr>
              <w:jc w:val="right"/>
              <w:ind w:right="780"/>
              <w:spacing w:after="0" w:line="135" w:lineRule="exact"/>
              <w:rPr>
                <w:sz w:val="20"/>
                <w:szCs w:val="20"/>
                <w:color w:val="auto"/>
              </w:rPr>
            </w:pPr>
            <w:r>
              <w:rPr>
                <w:rFonts w:ascii="Arial" w:cs="Arial" w:eastAsia="Arial" w:hAnsi="Arial"/>
                <w:sz w:val="14"/>
                <w:szCs w:val="14"/>
                <w:b w:val="1"/>
                <w:bCs w:val="1"/>
                <w:color w:val="auto"/>
              </w:rPr>
              <w:t>RMB’000</w:t>
            </w:r>
          </w:p>
        </w:tc>
        <w:tc>
          <w:tcPr>
            <w:tcW w:w="880" w:type="dxa"/>
            <w:vAlign w:val="bottom"/>
          </w:tcPr>
          <w:p>
            <w:pPr>
              <w:jc w:val="right"/>
              <w:ind w:right="418"/>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640" w:type="dxa"/>
            <w:vAlign w:val="bottom"/>
            <w:gridSpan w:val="3"/>
          </w:tcPr>
          <w:p>
            <w:pPr>
              <w:ind w:left="280"/>
              <w:spacing w:after="0" w:line="135" w:lineRule="exact"/>
              <w:rPr>
                <w:sz w:val="20"/>
                <w:szCs w:val="20"/>
                <w:color w:val="auto"/>
              </w:rPr>
            </w:pPr>
            <w:r>
              <w:rPr>
                <w:rFonts w:ascii="Arial" w:cs="Arial" w:eastAsia="Arial" w:hAnsi="Arial"/>
                <w:sz w:val="14"/>
                <w:szCs w:val="14"/>
                <w:b w:val="1"/>
                <w:bCs w:val="1"/>
                <w:color w:val="auto"/>
              </w:rPr>
              <w:t>RMB’000</w:t>
            </w:r>
          </w:p>
        </w:tc>
        <w:tc>
          <w:tcPr>
            <w:tcW w:w="880" w:type="dxa"/>
            <w:vAlign w:val="bottom"/>
          </w:tcPr>
          <w:p>
            <w:pPr>
              <w:jc w:val="right"/>
              <w:ind w:right="418"/>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620" w:type="dxa"/>
            <w:vAlign w:val="bottom"/>
            <w:gridSpan w:val="3"/>
          </w:tcPr>
          <w:p>
            <w:pPr>
              <w:jc w:val="right"/>
              <w:ind w:right="760"/>
              <w:spacing w:after="0" w:line="135" w:lineRule="exact"/>
              <w:rPr>
                <w:sz w:val="20"/>
                <w:szCs w:val="20"/>
                <w:color w:val="auto"/>
              </w:rPr>
            </w:pPr>
            <w:r>
              <w:rPr>
                <w:rFonts w:ascii="Arial" w:cs="Arial" w:eastAsia="Arial" w:hAnsi="Arial"/>
                <w:sz w:val="14"/>
                <w:szCs w:val="14"/>
                <w:b w:val="1"/>
                <w:bCs w:val="1"/>
                <w:color w:val="auto"/>
              </w:rPr>
              <w:t>RMB’000</w:t>
            </w:r>
          </w:p>
        </w:tc>
        <w:tc>
          <w:tcPr>
            <w:tcW w:w="880" w:type="dxa"/>
            <w:vAlign w:val="bottom"/>
          </w:tcPr>
          <w:p>
            <w:pPr>
              <w:jc w:val="right"/>
              <w:ind w:right="418"/>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r>
      <w:tr>
        <w:trPr>
          <w:trHeight w:val="167"/>
        </w:trPr>
        <w:tc>
          <w:tcPr>
            <w:tcW w:w="332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Statement of Operations and</w:t>
            </w: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Comprehensive Income Data:</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Net revenues: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Services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11,712,256</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21,685,341</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33,748,455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w:t>
            </w: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Product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578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1,117,554</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4.9</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4,430,389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r>
      <w:tr>
        <w:trPr>
          <w:trHeight w:val="199"/>
        </w:trPr>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11,712,834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22,802,895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38,178,844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86"/>
        </w:trPr>
        <w:tc>
          <w:tcPr>
            <w:tcW w:w="3320" w:type="dxa"/>
            <w:vAlign w:val="bottom"/>
          </w:tcPr>
          <w:p>
            <w:pPr>
              <w:spacing w:after="0" w:line="186" w:lineRule="exact"/>
              <w:rPr>
                <w:sz w:val="20"/>
                <w:szCs w:val="20"/>
                <w:color w:val="auto"/>
              </w:rPr>
            </w:pPr>
            <w:r>
              <w:rPr>
                <w:rFonts w:ascii="Arial" w:cs="Arial" w:eastAsia="Arial" w:hAnsi="Arial"/>
                <w:sz w:val="17"/>
                <w:szCs w:val="17"/>
                <w:color w:val="auto"/>
              </w:rPr>
              <w:t>Cost of revenues: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Services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(3,258,481)</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(27.8)</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(8,345,541)</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(12,602,876)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(33.0)</w:t>
            </w:r>
          </w:p>
        </w:tc>
      </w:tr>
    </w:tbl>
    <w:p>
      <w:pPr>
        <w:sectPr>
          <w:pgSz w:w="11900" w:h="16838" w:orient="portrait"/>
          <w:cols w:equalWidth="0" w:num="1">
            <w:col w:w="11420"/>
          </w:cols>
          <w:pgMar w:left="240" w:top="127" w:right="239" w:bottom="0" w:gutter="0" w:footer="0" w:header="0"/>
        </w:sectPr>
      </w:pPr>
    </w:p>
    <w:bookmarkStart w:id="45" w:name="page46"/>
    <w:bookmarkEnd w:id="45"/>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ind w:left="180"/>
              <w:spacing w:after="0"/>
              <w:rPr>
                <w:sz w:val="20"/>
                <w:szCs w:val="20"/>
                <w:color w:val="auto"/>
              </w:rPr>
            </w:pPr>
            <w:r>
              <w:rPr>
                <w:rFonts w:ascii="Arial" w:cs="Arial" w:eastAsia="Arial" w:hAnsi="Arial"/>
                <w:sz w:val="17"/>
                <w:szCs w:val="17"/>
                <w:color w:val="auto"/>
              </w:rPr>
              <w:t>Product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(3,063)</w:t>
            </w:r>
          </w:p>
        </w:tc>
        <w:tc>
          <w:tcPr>
            <w:tcW w:w="1140" w:type="dxa"/>
            <w:vAlign w:val="bottom"/>
          </w:tcPr>
          <w:p>
            <w:pPr>
              <w:jc w:val="right"/>
              <w:spacing w:after="0"/>
              <w:rPr>
                <w:sz w:val="20"/>
                <w:szCs w:val="20"/>
                <w:color w:val="auto"/>
              </w:rPr>
            </w:pPr>
            <w:r>
              <w:rPr>
                <w:rFonts w:ascii="Arial" w:cs="Arial" w:eastAsia="Arial" w:hAnsi="Arial"/>
                <w:sz w:val="17"/>
                <w:szCs w:val="17"/>
                <w:color w:val="auto"/>
              </w:rPr>
              <w:t>0.0</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(1,053,719)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(3,912,156)</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cost of revenues</w:t>
            </w: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2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(3,261,544)</w:t>
            </w:r>
          </w:p>
        </w:tc>
        <w:tc>
          <w:tcPr>
            <w:tcW w:w="24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(9,399,260)</w:t>
            </w:r>
          </w:p>
        </w:tc>
        <w:tc>
          <w:tcPr>
            <w:tcW w:w="24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(16,515,032)</w:t>
            </w:r>
          </w:p>
        </w:tc>
        <w:tc>
          <w:tcPr>
            <w:tcW w:w="22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Arial" w:cs="Arial" w:eastAsia="Arial" w:hAnsi="Arial"/>
                <w:sz w:val="17"/>
                <w:szCs w:val="17"/>
                <w:color w:val="auto"/>
              </w:rPr>
              <w:t>Gross profit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8,451,290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13,403,635</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58.8</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21,663,812</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Selling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(1,894,998)</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(16.2)</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(2,958,229)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(13.0)</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(4,481,815)</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(467,669)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(1,014,395)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(1,506,154)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(1,323,498)</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(11.3)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(2,158,888)</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(9.5)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(3,046,979)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2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(3,686,165)</w:t>
            </w:r>
          </w:p>
        </w:tc>
        <w:tc>
          <w:tcPr>
            <w:tcW w:w="24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(6,131,512)</w:t>
            </w:r>
          </w:p>
        </w:tc>
        <w:tc>
          <w:tcPr>
            <w:tcW w:w="24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(9,034,948)</w:t>
            </w:r>
          </w:p>
        </w:tc>
        <w:tc>
          <w:tcPr>
            <w:tcW w:w="22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Arial" w:cs="Arial" w:eastAsia="Arial" w:hAnsi="Arial"/>
                <w:sz w:val="17"/>
                <w:szCs w:val="17"/>
                <w:color w:val="auto"/>
              </w:rPr>
              <w:t>Operating profit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4,765,125</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7,272,123</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12,628,864</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Other income (expenses):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27,373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62,341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200,333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601,502</w:t>
            </w:r>
          </w:p>
        </w:tc>
        <w:tc>
          <w:tcPr>
            <w:tcW w:w="1140" w:type="dxa"/>
            <w:vAlign w:val="bottom"/>
          </w:tcPr>
          <w:p>
            <w:pPr>
              <w:jc w:val="right"/>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596,930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2.6</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541,969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Exchange (losses) / gains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(17,998)</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133,776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146,510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82,438</w:t>
            </w:r>
          </w:p>
        </w:tc>
        <w:tc>
          <w:tcPr>
            <w:tcW w:w="1140" w:type="dxa"/>
            <w:vAlign w:val="bottom"/>
          </w:tcPr>
          <w:p>
            <w:pPr>
              <w:jc w:val="right"/>
              <w:spacing w:after="0"/>
              <w:rPr>
                <w:sz w:val="20"/>
                <w:szCs w:val="20"/>
                <w:color w:val="auto"/>
              </w:rPr>
            </w:pPr>
            <w:r>
              <w:rPr>
                <w:rFonts w:ascii="Arial" w:cs="Arial" w:eastAsia="Arial" w:hAnsi="Arial"/>
                <w:sz w:val="17"/>
                <w:szCs w:val="17"/>
                <w:color w:val="auto"/>
              </w:rPr>
              <w:t>0.7</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45,138</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377,685</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9"/>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5,458,440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8,110,308</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13,895,361</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Income tax</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(662,735)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(5.7)</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(1,273,408)</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(2,102,498)</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9"/>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4,795,705</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6,836,900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11,792,863</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7"/>
                <w:szCs w:val="17"/>
                <w:color w:val="auto"/>
              </w:rPr>
              <w:t>Net income attributable to noncontrolling</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(39,082)</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(101,792)</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(188,343)</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74"/>
        </w:trPr>
        <w:tc>
          <w:tcPr>
            <w:tcW w:w="332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rPr>
              <w:t>Net income attributable to NetEase, Inc.’s</w:t>
            </w: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shareholders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4,756,623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6,735,108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11,604,520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20"/>
                <w:szCs w:val="20"/>
                <w:color w:val="auto"/>
              </w:rPr>
            </w:pPr>
            <w:r>
              <w:rPr>
                <w:rFonts w:ascii="Arial" w:cs="Arial" w:eastAsia="Arial" w:hAnsi="Arial"/>
                <w:sz w:val="17"/>
                <w:szCs w:val="17"/>
                <w:color w:val="auto"/>
              </w:rPr>
              <w:t>Net 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4,795,705</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6,836,900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11,792,863</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7"/>
                <w:szCs w:val="17"/>
                <w:color w:val="auto"/>
              </w:rPr>
              <w:t>Unrealized gains on available-for-sale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tcPr>
          <w:p>
            <w:pPr>
              <w:ind w:left="180"/>
              <w:spacing w:after="0"/>
              <w:rPr>
                <w:sz w:val="20"/>
                <w:szCs w:val="20"/>
                <w:color w:val="auto"/>
              </w:rPr>
            </w:pPr>
            <w:r>
              <w:rPr>
                <w:rFonts w:ascii="Arial" w:cs="Arial" w:eastAsia="Arial" w:hAnsi="Arial"/>
                <w:sz w:val="17"/>
                <w:szCs w:val="17"/>
                <w:color w:val="auto"/>
              </w:rPr>
              <w:t>securities, net of tax</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27,452</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(232,633)</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Reclassification adjustment for losses on</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available-for-sale securities recorded in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nil of tax</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266,660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99"/>
        </w:trPr>
        <w:tc>
          <w:tcPr>
            <w:tcW w:w="3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other comprehensive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27,452</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34,027</w:t>
            </w:r>
          </w:p>
        </w:tc>
        <w:tc>
          <w:tcPr>
            <w:tcW w:w="2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4,795,705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6,864,352</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11,826,890</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7"/>
                <w:szCs w:val="17"/>
                <w:color w:val="auto"/>
              </w:rPr>
              <w:t>Add: Comprehensive income attributable to</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Arial" w:cs="Arial" w:eastAsia="Arial" w:hAnsi="Arial"/>
                <w:sz w:val="17"/>
                <w:szCs w:val="17"/>
                <w:color w:val="auto"/>
              </w:rPr>
              <w:t>noncontrolling interests and mezzanine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20" w:type="dxa"/>
            <w:vAlign w:val="bottom"/>
          </w:tcPr>
          <w:p>
            <w:pPr>
              <w:ind w:left="180"/>
              <w:spacing w:after="0"/>
              <w:rPr>
                <w:sz w:val="20"/>
                <w:szCs w:val="20"/>
                <w:color w:val="auto"/>
              </w:rPr>
            </w:pPr>
            <w:r>
              <w:rPr>
                <w:rFonts w:ascii="Arial" w:cs="Arial" w:eastAsia="Arial" w:hAnsi="Arial"/>
                <w:sz w:val="17"/>
                <w:szCs w:val="17"/>
                <w:color w:val="auto"/>
              </w:rPr>
              <w:t>classified noncontrolling interests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(39,082)</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(0.3)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(101,792)</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(188,343)</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Comprehensive income attributable to</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NetEase, Inc.’s shareholders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4,756,623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6,762,560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11,638,547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w w:val="98"/>
              </w:rPr>
              <w:t>Share-based compensation cost included in: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Cost of revenues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169,621</w:t>
            </w: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328,480</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1.4</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444,187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23,253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36,023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51,475</w:t>
            </w:r>
          </w:p>
        </w:tc>
        <w:tc>
          <w:tcPr>
            <w:tcW w:w="114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120,925</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0.5</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238,750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104,928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199,039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254,505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2016 Compared to Year Ended December 31, 2015</w:t>
      </w:r>
    </w:p>
    <w:p>
      <w:pPr>
        <w:spacing w:after="0" w:line="222"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We generate net revenues from service and product sales. Net service revenues are derived from online games services, advertising services, certain e-commerce, e-mail and other services. Net product revenues represent revenue from the sale of products through our e-commerce platform where we record revenue on a gross basis. Net revenue from service and product sales represented 88.4% and 11.6% of our total net revenues in 2016, compared with 95.1% and 4.9% in 2015,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320" w:firstLine="617"/>
        <w:spacing w:after="0" w:line="317" w:lineRule="auto"/>
        <w:rPr>
          <w:sz w:val="20"/>
          <w:szCs w:val="20"/>
          <w:color w:val="auto"/>
        </w:rPr>
      </w:pPr>
      <w:r>
        <w:rPr>
          <w:rFonts w:ascii="Arial" w:cs="Arial" w:eastAsia="Arial" w:hAnsi="Arial"/>
          <w:sz w:val="15"/>
          <w:szCs w:val="15"/>
          <w:color w:val="auto"/>
        </w:rPr>
        <w:t>We have organized our operations into three segments: online games services, advertising services and e-mail, e-commerce and others. These segments reflect the way we evaluate, view and run our business operations. The following table sets forth the net revenues and cost of revenues by segments for the period presented as derived from our audited financial statements. See Item 18 of Part III, “Financial Statements—Note 25—Segment Information”.</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586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87"/>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5860" w:type="dxa"/>
            <w:vAlign w:val="bottom"/>
          </w:tcPr>
          <w:p>
            <w:pPr>
              <w:spacing w:after="0"/>
              <w:rPr>
                <w:sz w:val="11"/>
                <w:szCs w:val="11"/>
                <w:color w:val="auto"/>
              </w:rPr>
            </w:pPr>
          </w:p>
        </w:tc>
        <w:tc>
          <w:tcPr>
            <w:tcW w:w="1360" w:type="dxa"/>
            <w:vAlign w:val="bottom"/>
            <w:tcBorders>
              <w:bottom w:val="single" w:sz="8" w:color="auto"/>
            </w:tcBorders>
          </w:tcPr>
          <w:p>
            <w:pPr>
              <w:jc w:val="right"/>
              <w:ind w:right="459"/>
              <w:spacing w:after="0" w:line="13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8"/>
              <w:spacing w:after="0" w:line="13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r>
      <w:tr>
        <w:trPr>
          <w:trHeight w:val="134"/>
        </w:trPr>
        <w:tc>
          <w:tcPr>
            <w:tcW w:w="5860" w:type="dxa"/>
            <w:vAlign w:val="bottom"/>
          </w:tcPr>
          <w:p>
            <w:pPr>
              <w:spacing w:after="0"/>
              <w:rPr>
                <w:sz w:val="11"/>
                <w:szCs w:val="11"/>
                <w:color w:val="auto"/>
              </w:rPr>
            </w:pPr>
          </w:p>
        </w:tc>
        <w:tc>
          <w:tcPr>
            <w:tcW w:w="136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right"/>
              <w:ind w:right="458"/>
              <w:spacing w:after="0" w:line="135" w:lineRule="exact"/>
              <w:rPr>
                <w:sz w:val="20"/>
                <w:szCs w:val="20"/>
                <w:color w:val="auto"/>
              </w:rPr>
            </w:pPr>
            <w:r>
              <w:rPr>
                <w:rFonts w:ascii="Arial" w:cs="Arial" w:eastAsia="Arial" w:hAnsi="Arial"/>
                <w:sz w:val="14"/>
                <w:szCs w:val="14"/>
                <w:b w:val="1"/>
                <w:bCs w:val="1"/>
                <w:color w:val="auto"/>
              </w:rPr>
              <w:t>USD</w:t>
            </w:r>
          </w:p>
        </w:tc>
        <w:tc>
          <w:tcPr>
            <w:tcW w:w="120" w:type="dxa"/>
            <w:vAlign w:val="bottom"/>
          </w:tcPr>
          <w:p>
            <w:pPr>
              <w:spacing w:after="0"/>
              <w:rPr>
                <w:sz w:val="11"/>
                <w:szCs w:val="11"/>
                <w:color w:val="auto"/>
              </w:rPr>
            </w:pPr>
          </w:p>
        </w:tc>
      </w:tr>
      <w:tr>
        <w:trPr>
          <w:trHeight w:val="206"/>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17,314,148</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27,980,491</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4,030,029</w:t>
            </w:r>
          </w:p>
        </w:tc>
        <w:tc>
          <w:tcPr>
            <w:tcW w:w="120" w:type="dxa"/>
            <w:vAlign w:val="bottom"/>
          </w:tcPr>
          <w:p>
            <w:pPr>
              <w:spacing w:after="0"/>
              <w:rPr>
                <w:sz w:val="17"/>
                <w:szCs w:val="17"/>
                <w:color w:val="auto"/>
              </w:rPr>
            </w:pPr>
          </w:p>
        </w:tc>
      </w:tr>
      <w:tr>
        <w:trPr>
          <w:trHeight w:val="206"/>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1,789,377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2,152,379</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310,007</w:t>
            </w: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3,699,370</w:t>
            </w:r>
          </w:p>
        </w:tc>
        <w:tc>
          <w:tcPr>
            <w:tcW w:w="1360" w:type="dxa"/>
            <w:vAlign w:val="bottom"/>
          </w:tcPr>
          <w:p>
            <w:pPr>
              <w:jc w:val="right"/>
              <w:spacing w:after="0"/>
              <w:rPr>
                <w:sz w:val="20"/>
                <w:szCs w:val="20"/>
                <w:color w:val="auto"/>
              </w:rPr>
            </w:pPr>
            <w:r>
              <w:rPr>
                <w:rFonts w:ascii="Arial" w:cs="Arial" w:eastAsia="Arial" w:hAnsi="Arial"/>
                <w:sz w:val="17"/>
                <w:szCs w:val="17"/>
                <w:color w:val="auto"/>
              </w:rPr>
              <w:t>8,045,974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1,158,862</w:t>
            </w:r>
          </w:p>
        </w:tc>
        <w:tc>
          <w:tcPr>
            <w:tcW w:w="120" w:type="dxa"/>
            <w:vAlign w:val="bottom"/>
          </w:tcPr>
          <w:p>
            <w:pPr>
              <w:spacing w:after="0"/>
              <w:rPr>
                <w:sz w:val="17"/>
                <w:szCs w:val="17"/>
                <w:color w:val="auto"/>
              </w:rPr>
            </w:pPr>
          </w:p>
        </w:tc>
      </w:tr>
      <w:tr>
        <w:trPr>
          <w:trHeight w:val="19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22,802,895</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38,178,844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5,498,898</w:t>
            </w:r>
          </w:p>
        </w:tc>
        <w:tc>
          <w:tcPr>
            <w:tcW w:w="120" w:type="dxa"/>
            <w:vAlign w:val="bottom"/>
            <w:tcBorders>
              <w:top w:val="single" w:sz="8" w:color="CCEEFF"/>
            </w:tcBorders>
            <w:shd w:val="clear" w:color="auto" w:fill="CCEEFF"/>
          </w:tcPr>
          <w:p>
            <w:pPr>
              <w:spacing w:after="0"/>
              <w:rPr>
                <w:sz w:val="17"/>
                <w:szCs w:val="17"/>
                <w:color w:val="auto"/>
              </w:rPr>
            </w:pPr>
          </w:p>
        </w:tc>
      </w:tr>
      <w:tr>
        <w:trPr>
          <w:trHeight w:val="199"/>
        </w:trPr>
        <w:tc>
          <w:tcPr>
            <w:tcW w:w="5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(5,393,555)</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(9,974,146)</w:t>
            </w: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(1,436,577)</w:t>
            </w:r>
          </w:p>
        </w:tc>
      </w:tr>
      <w:tr>
        <w:trPr>
          <w:trHeight w:val="206"/>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(599,032)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(749,652)</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(107,972)</w:t>
            </w: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(3,406,673)</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(5,791,234)</w:t>
            </w: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(834,111)</w:t>
            </w:r>
          </w:p>
        </w:tc>
      </w:tr>
      <w:tr>
        <w:trPr>
          <w:trHeight w:val="19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(9,399,260</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(16,515,032</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(2,378,660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22"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Total net revenues increased by 67.4% to RMB38,178.8 million (US$5,498.9 million) in 2016 from RMB22,802.9 million in 2015. Net revenues from online games services, advertising services, and e-mail, e-commerce and others constituted 73.3%, 5.6% and 21.1%, respectively, of our total net revenues in 2016. This compares with 76.0%, 7.8% and 16.2%, respectively, in 2015. Net revenues generated from licensed games represented 12.5% and 12.1% of our total net revenues in 2016 and 2015, respectively.</w:t>
      </w:r>
    </w:p>
    <w:p>
      <w:pPr>
        <w:sectPr>
          <w:pgSz w:w="11900" w:h="16896" w:orient="portrait"/>
          <w:cols w:equalWidth="0" w:num="1">
            <w:col w:w="11420"/>
          </w:cols>
          <w:pgMar w:left="240" w:top="127" w:right="239" w:bottom="0" w:gutter="0" w:footer="0" w:header="0"/>
        </w:sectPr>
      </w:pPr>
    </w:p>
    <w:bookmarkStart w:id="46" w:name="page47"/>
    <w:bookmarkEnd w:id="46"/>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right="20" w:firstLine="617"/>
        <w:spacing w:after="0" w:line="295" w:lineRule="auto"/>
        <w:rPr>
          <w:sz w:val="20"/>
          <w:szCs w:val="20"/>
          <w:color w:val="auto"/>
        </w:rPr>
      </w:pPr>
      <w:r>
        <w:rPr>
          <w:rFonts w:ascii="Arial" w:cs="Arial" w:eastAsia="Arial" w:hAnsi="Arial"/>
          <w:sz w:val="15"/>
          <w:szCs w:val="15"/>
          <w:color w:val="auto"/>
        </w:rPr>
        <w:t>Net revenues from online games services increased by 61.6% to RMB27,980.5 million (US$4,030.0 million) in 2016 from RMB17,314.1 million in 2015. The increase was principally attributable to higher net revenues from our mobile games which totaled RMB16,898.6 million (US$2,433.9 million) in 2016 compared to RMB7,590.7 million in 2015, excluding mobile games licensed from Blizzard Entertainment which are discussed below. The growth in net revenues from mobile games mainly resulted from the mobile versions of our self-developed games Fantasy Westward Journey (launched in March 2015) and Westward Journey Online (launched in September 2015) as well as the launch of new mobile games such as the mobile version of New Ghost and Onmyoji which quickly gained popularity. The increase also resulted to a lesser extent from increased popularity of other self-developed mobile games such as Invincible and Tianxia III mobile. Our mobile portfolio now consists of over 100 diverse games, and we expect to continue introducing new mobile games each year in the foreseeable future, which we believe will contribute to future revenue growth in this segment. Our self-developed PC-client games also delivered steady performances in 2016.</w:t>
      </w:r>
    </w:p>
    <w:p>
      <w:pPr>
        <w:spacing w:after="0" w:line="156"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In addition, the increased popularity of online games licensed from Blizzard Entertainment, including Overwatch and Hearthstone, which were commercially launched in May 2016 and January 2014 respectively, as well as World of Warcraft which we licensed from Blizzard and started operating since September 2009, contributed to our net revenue growth. Net revenues from games licensed by Blizzard Entertainment increased by 82.5% to RMB4,196.4 million (US$604.4 million) in 2016 from RMB2,299.0 million in 2015.</w:t>
      </w:r>
    </w:p>
    <w:p>
      <w:pPr>
        <w:spacing w:after="0" w:line="179" w:lineRule="exact"/>
        <w:rPr>
          <w:sz w:val="20"/>
          <w:szCs w:val="20"/>
          <w:color w:val="auto"/>
        </w:rPr>
      </w:pPr>
    </w:p>
    <w:p>
      <w:pPr>
        <w:ind w:right="440" w:firstLine="617"/>
        <w:spacing w:after="0" w:line="265" w:lineRule="auto"/>
        <w:rPr>
          <w:sz w:val="20"/>
          <w:szCs w:val="20"/>
          <w:color w:val="auto"/>
        </w:rPr>
      </w:pPr>
      <w:r>
        <w:rPr>
          <w:rFonts w:ascii="Arial" w:cs="Arial" w:eastAsia="Arial" w:hAnsi="Arial"/>
          <w:sz w:val="17"/>
          <w:szCs w:val="17"/>
          <w:color w:val="auto"/>
        </w:rPr>
        <w:t>Net revenues from mobile games (excluding the mobile games licensed from Blizzard Entertainment), self-developed PC-client games and Blizzard Entertainment licensed games represented 60.4%, 24.6% and 15.0% of total net revenues from online games services in 2016, respectively, compared to 43.8%, 42.9% and 13.3% in 2015, respectively.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140" w:firstLine="617"/>
        <w:spacing w:after="0" w:line="317" w:lineRule="auto"/>
        <w:rPr>
          <w:sz w:val="20"/>
          <w:szCs w:val="20"/>
          <w:color w:val="auto"/>
        </w:rPr>
      </w:pPr>
      <w:r>
        <w:rPr>
          <w:rFonts w:ascii="Arial" w:cs="Arial" w:eastAsia="Arial" w:hAnsi="Arial"/>
          <w:sz w:val="15"/>
          <w:szCs w:val="15"/>
          <w:color w:val="auto"/>
        </w:rPr>
        <w:t>Net revenues from advertising services increased by 20.3% to RMB2,152.4 million (US$310.0 million) in 2016 from RMB1,789.4 million in 2015. The increase in advertising services revenue in 2016 was driven by increased market demand, mainly as a result of continued efforts to introduce new online content and the increase in our general brand awareness, both of which increased our site traffic and in turn increased the attractiveness of our advertising services.</w:t>
      </w:r>
    </w:p>
    <w:p>
      <w:pPr>
        <w:spacing w:after="0" w:line="140" w:lineRule="exact"/>
        <w:rPr>
          <w:sz w:val="20"/>
          <w:szCs w:val="20"/>
          <w:color w:val="auto"/>
        </w:rPr>
      </w:pPr>
    </w:p>
    <w:p>
      <w:pPr>
        <w:ind w:right="120" w:firstLine="617"/>
        <w:spacing w:after="0" w:line="261" w:lineRule="auto"/>
        <w:rPr>
          <w:sz w:val="20"/>
          <w:szCs w:val="20"/>
          <w:color w:val="auto"/>
        </w:rPr>
      </w:pPr>
      <w:r>
        <w:rPr>
          <w:rFonts w:ascii="Arial" w:cs="Arial" w:eastAsia="Arial" w:hAnsi="Arial"/>
          <w:sz w:val="17"/>
          <w:szCs w:val="17"/>
          <w:color w:val="auto"/>
        </w:rPr>
        <w:t>Average net revenue per traditional advertiser (i.e., customers which do not advertise through our search services), which provide the substantial portion of our advertising revenue, decreased to approximately RMB1.6 million (US$0.2 million) in 2016 from RMB1.8 million in 2015. The number of traditional advertisers using the NetEase websites increased to 1,335 in 2016 from 1,002 in 2015, with revenues from our top ten advertisers comprising 29.4% of our total advertising services revenues in 2016 as compared to 28.2% in 2015.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right="60" w:firstLine="617"/>
        <w:spacing w:after="0" w:line="298" w:lineRule="auto"/>
        <w:rPr>
          <w:sz w:val="20"/>
          <w:szCs w:val="20"/>
          <w:color w:val="auto"/>
        </w:rPr>
      </w:pPr>
      <w:r>
        <w:rPr>
          <w:rFonts w:ascii="Arial" w:cs="Arial" w:eastAsia="Arial" w:hAnsi="Arial"/>
          <w:sz w:val="15"/>
          <w:szCs w:val="15"/>
          <w:color w:val="auto"/>
        </w:rPr>
        <w:t>Net revenues from the e-mail, e-commerce and others segment increased by 117.5% to RMB8,046.0 million (US$1,158.9 million) in 2016 from RMB3,699.4 million in 2015. The increase mainly resulted from rapid growth in the popularity among consumers in China of our e-commerce businesses, including our Yanxuan platform, which sells various products sourced by us from original design manufacturers and our Kaola platform, which is a cross-border e-commerce platform that enables users to purchase mainly imported consumer goods through an online platform, as well as our Duobao platform, which is an e-commerce platform that allows users to exchange a virtual currency for products. Duobao, Kaola and Yanxuan were commercially launched in June 2014, January 2015 and April 2016, respectively, and they represented 81.8% of our total net revenues from the e-mail, e-commerce and others segment in 2016, compared to 72.1% in 2015.</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w:t>
      </w:r>
    </w:p>
    <w:p>
      <w:pPr>
        <w:spacing w:after="0" w:line="222" w:lineRule="exact"/>
        <w:rPr>
          <w:sz w:val="20"/>
          <w:szCs w:val="20"/>
          <w:color w:val="auto"/>
        </w:rPr>
      </w:pPr>
    </w:p>
    <w:p>
      <w:pPr>
        <w:ind w:right="40" w:firstLine="617"/>
        <w:spacing w:after="0" w:line="306" w:lineRule="auto"/>
        <w:rPr>
          <w:sz w:val="20"/>
          <w:szCs w:val="20"/>
          <w:color w:val="auto"/>
        </w:rPr>
      </w:pPr>
      <w:r>
        <w:rPr>
          <w:rFonts w:ascii="Arial" w:cs="Arial" w:eastAsia="Arial" w:hAnsi="Arial"/>
          <w:sz w:val="15"/>
          <w:szCs w:val="15"/>
          <w:color w:val="auto"/>
        </w:rPr>
        <w:t>Our cost of revenues increased by 75.7% to RMB16,515.0 million (US$2,378.7 million) in 2016 from RMB9,399.3 million in 2015. The year-over-year increase was mainly due to an increase in cost of merchandise sold by our e-commerce business, costs of revenue sharing with distributors, developers and other third parties, staff-related costs and technology costs. In 2016, costs relating to online games services, advertising services and e-mail, e-commerce and others represented 60.4%, 4.5% and 35.1% of total cost of revenues, respectively, as compared with 57.4%, 6.4% and 36.2% of the cost of revenues, respectively, in 2015.</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right="300" w:firstLine="617"/>
        <w:spacing w:after="0" w:line="278" w:lineRule="auto"/>
        <w:rPr>
          <w:sz w:val="20"/>
          <w:szCs w:val="20"/>
          <w:color w:val="auto"/>
        </w:rPr>
      </w:pPr>
      <w:r>
        <w:rPr>
          <w:rFonts w:ascii="Arial" w:cs="Arial" w:eastAsia="Arial" w:hAnsi="Arial"/>
          <w:sz w:val="17"/>
          <w:szCs w:val="17"/>
          <w:color w:val="auto"/>
        </w:rPr>
        <w:t>Cost of revenues from our online games services increased by 84.9% to RMB9,974.1 million (US$1,436.6 million) in 2016 from RMB5,393.6 million in 2015. The increase in cost of revenues in 2016 was primarily due to a combination of the following factors:</w:t>
      </w:r>
    </w:p>
    <w:p>
      <w:pPr>
        <w:spacing w:after="0" w:line="165" w:lineRule="exact"/>
        <w:rPr>
          <w:sz w:val="20"/>
          <w:szCs w:val="20"/>
          <w:color w:val="auto"/>
        </w:rPr>
      </w:pPr>
    </w:p>
    <w:p>
      <w:pPr>
        <w:ind w:left="620" w:right="120" w:hanging="308"/>
        <w:spacing w:after="0" w:line="265" w:lineRule="auto"/>
        <w:tabs>
          <w:tab w:leader="none" w:pos="586"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Revenue sharing costs with distributors, developers and other third parties related to mobile games increased by RMB2,740.0 million (US$394.6 million) to RMB5,168.6 million (US$744.4 million) in 2016 from RMB2,428.6 million in 2015 primarily due to the launch of various self-developed and licensed mobile games in 2016.</w:t>
      </w:r>
    </w:p>
    <w:p>
      <w:pPr>
        <w:spacing w:after="0" w:line="175" w:lineRule="exact"/>
        <w:rPr>
          <w:rFonts w:ascii="Arial" w:cs="Arial" w:eastAsia="Arial" w:hAnsi="Arial"/>
          <w:sz w:val="17"/>
          <w:szCs w:val="17"/>
          <w:color w:val="auto"/>
        </w:rPr>
      </w:pPr>
    </w:p>
    <w:p>
      <w:pPr>
        <w:ind w:left="620" w:right="240" w:hanging="308"/>
        <w:spacing w:after="0" w:line="265" w:lineRule="auto"/>
        <w:tabs>
          <w:tab w:leader="none" w:pos="58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Technology costs increased by RMB1,056.8 million (US$152.2 million) to RMB2,435.3 million (US$350.8 million) in 2016 from RMB1,378.5 million in 2015, mainly due to an increase in royalty fee payments of RMB1,011.1 million (US$145.6 million) in line with the increased revenue contribution from games that we license from Blizzard.</w:t>
      </w:r>
    </w:p>
    <w:p>
      <w:pPr>
        <w:spacing w:after="0" w:line="175" w:lineRule="exact"/>
        <w:rPr>
          <w:rFonts w:ascii="Arial" w:cs="Arial" w:eastAsia="Arial" w:hAnsi="Arial"/>
          <w:sz w:val="17"/>
          <w:szCs w:val="17"/>
          <w:color w:val="auto"/>
        </w:rPr>
      </w:pPr>
    </w:p>
    <w:p>
      <w:pPr>
        <w:ind w:left="620" w:right="80" w:hanging="308"/>
        <w:spacing w:after="0" w:line="261" w:lineRule="auto"/>
        <w:tabs>
          <w:tab w:leader="none" w:pos="586"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Staff-related costs increased by RMB648.6 million (US$93.4 million) to RMB1,941.0 million (US$279.6 million) in 2016 from RMB1,292.4 million in 2015, mainly as a result of an increase in the level of salaries and other compensation payments and an increase in the number of employees. The number of full time employees in our online games business increased to 7,702 as of December 31, 2016 from 7,024 as of December 31, 2015, including 546 employees in the customer service function to support the operation of games licensed from Blizzard.</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100" w:firstLine="617"/>
        <w:spacing w:after="0" w:line="278" w:lineRule="auto"/>
        <w:rPr>
          <w:sz w:val="20"/>
          <w:szCs w:val="20"/>
          <w:color w:val="auto"/>
        </w:rPr>
      </w:pPr>
      <w:r>
        <w:rPr>
          <w:rFonts w:ascii="Arial" w:cs="Arial" w:eastAsia="Arial" w:hAnsi="Arial"/>
          <w:sz w:val="17"/>
          <w:szCs w:val="17"/>
          <w:color w:val="auto"/>
        </w:rPr>
        <w:t>Cost of revenues from our advertising services increased by 25.1% to RMB749.7 million (US$108.0 million) in 2016 from RMB599.0 million in 2015. The increase in cost of revenues in 2016 was primarily due to a combination of the following factors:</w:t>
      </w:r>
    </w:p>
    <w:p>
      <w:pPr>
        <w:spacing w:after="0" w:line="165" w:lineRule="exact"/>
        <w:rPr>
          <w:sz w:val="20"/>
          <w:szCs w:val="20"/>
          <w:color w:val="auto"/>
        </w:rPr>
      </w:pPr>
    </w:p>
    <w:p>
      <w:pPr>
        <w:ind w:left="620" w:right="380" w:hanging="308"/>
        <w:spacing w:after="0" w:line="265" w:lineRule="auto"/>
        <w:tabs>
          <w:tab w:leader="none" w:pos="58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Staff-related costs increased by RMB62.5 million (US$9.0 million) to RMB396.5 million (US$57.1 million) in 2016 from RMB334.0 million in 2015, mainly as a result of an increase in salaries and other compensation payments, such as bonuses and welfare benefits, and also due to an expansion of the business.</w:t>
      </w:r>
    </w:p>
    <w:p>
      <w:pPr>
        <w:sectPr>
          <w:pgSz w:w="11900" w:h="16838" w:orient="portrait"/>
          <w:cols w:equalWidth="0" w:num="1">
            <w:col w:w="11420"/>
          </w:cols>
          <w:pgMar w:left="240" w:top="333" w:right="239" w:bottom="0" w:gutter="0" w:footer="0" w:header="0"/>
        </w:sectPr>
      </w:pPr>
    </w:p>
    <w:bookmarkStart w:id="47" w:name="page48"/>
    <w:bookmarkEnd w:id="47"/>
    <w:p>
      <w:pPr>
        <w:ind w:left="620" w:right="660" w:hanging="308"/>
        <w:spacing w:after="0" w:line="278" w:lineRule="auto"/>
        <w:tabs>
          <w:tab w:leader="none" w:pos="5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Revenue sharing costs related to our performance-based advertising business increased by RMB45.6 million (US$6.6 million) to RMB103.4 million (US$14.9 million) in 2016 from RMB57.8 million in 2015 primarily due to an expansion of the business.</w:t>
      </w:r>
    </w:p>
    <w:p>
      <w:pPr>
        <w:spacing w:after="0" w:line="164" w:lineRule="exact"/>
        <w:rPr>
          <w:rFonts w:ascii="Arial" w:cs="Arial" w:eastAsia="Arial" w:hAnsi="Arial"/>
          <w:sz w:val="17"/>
          <w:szCs w:val="17"/>
          <w:color w:val="auto"/>
        </w:rPr>
      </w:pPr>
    </w:p>
    <w:p>
      <w:pPr>
        <w:ind w:left="620" w:right="420" w:hanging="308"/>
        <w:spacing w:after="0" w:line="278" w:lineRule="auto"/>
        <w:tabs>
          <w:tab w:leader="none" w:pos="5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sourcing costs increased by RMB25.6 million (US$3.7 million) to RMB106.6 million (US$15.3 million) in 2016 from RMB81.0 million in 2015, mainly due to the content costs incurred in relation to an expansion of the business.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Cost of revenues from our e-mail, e-commerce and other services increased by 70.0% to RMB5,791.2 million (US$834.1 million) in 2016 from RMB3,406.7 million in 2015. The increase in cost of revenues in 2016 was primarily due to a combination of the following factors:</w:t>
      </w:r>
    </w:p>
    <w:p>
      <w:pPr>
        <w:spacing w:after="0" w:line="165" w:lineRule="exact"/>
        <w:rPr>
          <w:sz w:val="20"/>
          <w:szCs w:val="20"/>
          <w:color w:val="auto"/>
        </w:rPr>
      </w:pPr>
    </w:p>
    <w:p>
      <w:pPr>
        <w:ind w:left="620" w:right="420" w:hanging="308"/>
        <w:spacing w:after="0" w:line="278" w:lineRule="auto"/>
        <w:tabs>
          <w:tab w:leader="none" w:pos="586"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 of merchandise sold increased by RMB1,954.8 million (US$281.6 million) to RMB4,347.1 million (US$626.1 million) in 2016 from RMB2,392.3 million in 2015, which was in line with the revenue growth of our e-commerce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400" w:hanging="308"/>
        <w:spacing w:after="0" w:line="311" w:lineRule="auto"/>
        <w:tabs>
          <w:tab w:leader="none" w:pos="5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Staff-related cost increased by RMB166.9 million (US$24.0 million) to RMB581.2 million (US$83.7 million) in 2016 from RMB414.3 million in 2015, mainly as a result of an increase in salaries and bonuses and an increase in the number of employees due to business expansion.</w:t>
      </w:r>
    </w:p>
    <w:p>
      <w:pPr>
        <w:spacing w:after="0" w:line="140" w:lineRule="exact"/>
        <w:rPr>
          <w:rFonts w:ascii="Arial" w:cs="Arial" w:eastAsia="Arial" w:hAnsi="Arial"/>
          <w:sz w:val="16"/>
          <w:szCs w:val="16"/>
          <w:color w:val="auto"/>
        </w:rPr>
      </w:pPr>
    </w:p>
    <w:p>
      <w:pPr>
        <w:ind w:left="620" w:right="20" w:hanging="308"/>
        <w:spacing w:after="0" w:line="265" w:lineRule="auto"/>
        <w:tabs>
          <w:tab w:leader="none" w:pos="5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Technology service cost such as bandwidth and server custody fees increased by RMB59.3 million (US$8.5 million) to RMB208.4 million (US$30.0 million) in 2016 from RMB149.1 million in 2015, mainly as a result of an increase in bandwidth usage by our e-mail, e-commerce and other value added services in 2016.</w:t>
      </w:r>
    </w:p>
    <w:p>
      <w:pPr>
        <w:spacing w:after="0" w:line="175" w:lineRule="exact"/>
        <w:rPr>
          <w:rFonts w:ascii="Arial" w:cs="Arial" w:eastAsia="Arial" w:hAnsi="Arial"/>
          <w:sz w:val="17"/>
          <w:szCs w:val="17"/>
          <w:color w:val="auto"/>
        </w:rPr>
      </w:pPr>
    </w:p>
    <w:p>
      <w:pPr>
        <w:ind w:left="620" w:right="640" w:hanging="308"/>
        <w:spacing w:after="0" w:line="278" w:lineRule="auto"/>
        <w:tabs>
          <w:tab w:leader="none" w:pos="5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Information cost increased by RMB30.7 million (US$4.4 million) to RMB266.4 million (US$38.4 million) in 2016 from RMB235.7 million in 2015 primarily due to the amortization of license fees related to Cloud Music.</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Gross Profit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gross profit increased by 61.6% to RMB21,663.8 million (US$3,120.2 million) in 2016 from RMB13,403.6 million in 2015.</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The following table sets forth the consolidated gross profits and gross profit margins of our business activities for the periods indicated as derived from our audited financial statements. The gross profit margins in 2015 and 2016 were calculated by dividing our gross profits over our net revenues for the corresponding type of services.</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5480" w:type="dxa"/>
            <w:vAlign w:val="bottom"/>
          </w:tcPr>
          <w:p>
            <w:pPr>
              <w:spacing w:after="0"/>
              <w:rPr>
                <w:sz w:val="14"/>
                <w:szCs w:val="14"/>
                <w:color w:val="auto"/>
              </w:rPr>
            </w:pPr>
          </w:p>
        </w:tc>
        <w:tc>
          <w:tcPr>
            <w:tcW w:w="3520" w:type="dxa"/>
            <w:vAlign w:val="bottom"/>
            <w:tcBorders>
              <w:bottom w:val="single" w:sz="8" w:color="auto"/>
            </w:tcBorders>
            <w:gridSpan w:val="5"/>
          </w:tcPr>
          <w:p>
            <w:pPr>
              <w:ind w:left="1340"/>
              <w:spacing w:after="0"/>
              <w:rPr>
                <w:sz w:val="20"/>
                <w:szCs w:val="20"/>
                <w:color w:val="auto"/>
              </w:rPr>
            </w:pPr>
            <w:r>
              <w:rPr>
                <w:rFonts w:ascii="Arial" w:cs="Arial" w:eastAsia="Arial" w:hAnsi="Arial"/>
                <w:sz w:val="14"/>
                <w:szCs w:val="14"/>
                <w:b w:val="1"/>
                <w:bCs w:val="1"/>
                <w:color w:val="auto"/>
                <w:w w:val="96"/>
              </w:rPr>
              <w:t>For the Year Ended December 31,</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4"/>
        </w:trPr>
        <w:tc>
          <w:tcPr>
            <w:tcW w:w="5480" w:type="dxa"/>
            <w:vAlign w:val="bottom"/>
          </w:tcPr>
          <w:p>
            <w:pPr>
              <w:spacing w:after="0"/>
              <w:rPr>
                <w:sz w:val="11"/>
                <w:szCs w:val="11"/>
                <w:color w:val="auto"/>
              </w:rPr>
            </w:pPr>
          </w:p>
        </w:tc>
        <w:tc>
          <w:tcPr>
            <w:tcW w:w="1360" w:type="dxa"/>
            <w:vAlign w:val="bottom"/>
            <w:tcBorders>
              <w:bottom w:val="single" w:sz="8" w:color="auto"/>
            </w:tcBorders>
          </w:tcPr>
          <w:p>
            <w:pPr>
              <w:jc w:val="right"/>
              <w:ind w:right="462"/>
              <w:spacing w:after="0" w:line="13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right"/>
              <w:ind w:right="460"/>
              <w:spacing w:after="0" w:line="13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80"/>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1"/>
                <w:szCs w:val="11"/>
                <w:color w:val="auto"/>
              </w:rPr>
            </w:pPr>
          </w:p>
        </w:tc>
      </w:tr>
      <w:tr>
        <w:trPr>
          <w:trHeight w:val="134"/>
        </w:trPr>
        <w:tc>
          <w:tcPr>
            <w:tcW w:w="54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RMB’000</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RMB’000</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360"/>
              <w:spacing w:after="0" w:line="135" w:lineRule="exact"/>
              <w:rPr>
                <w:sz w:val="20"/>
                <w:szCs w:val="20"/>
                <w:color w:val="auto"/>
              </w:rPr>
            </w:pPr>
            <w:r>
              <w:rPr>
                <w:rFonts w:ascii="Arial" w:cs="Arial" w:eastAsia="Arial" w:hAnsi="Arial"/>
                <w:sz w:val="14"/>
                <w:szCs w:val="14"/>
                <w:b w:val="1"/>
                <w:bCs w:val="1"/>
                <w:color w:val="auto"/>
              </w:rPr>
              <w:t>US$’000</w:t>
            </w:r>
          </w:p>
        </w:tc>
        <w:tc>
          <w:tcPr>
            <w:tcW w:w="140" w:type="dxa"/>
            <w:vAlign w:val="bottom"/>
          </w:tcPr>
          <w:p>
            <w:pPr>
              <w:spacing w:after="0"/>
              <w:rPr>
                <w:sz w:val="11"/>
                <w:szCs w:val="11"/>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11,920,593</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18,006,345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2,593,452</w:t>
            </w:r>
          </w:p>
        </w:tc>
        <w:tc>
          <w:tcPr>
            <w:tcW w:w="140" w:type="dxa"/>
            <w:vAlign w:val="bottom"/>
          </w:tcPr>
          <w:p>
            <w:pPr>
              <w:spacing w:after="0"/>
              <w:rPr>
                <w:sz w:val="17"/>
                <w:szCs w:val="17"/>
                <w:color w:val="auto"/>
              </w:rPr>
            </w:pP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1,190,345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1,402,727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202,035</w:t>
            </w:r>
          </w:p>
        </w:tc>
      </w:tr>
      <w:tr>
        <w:trPr>
          <w:trHeight w:val="206"/>
        </w:trPr>
        <w:tc>
          <w:tcPr>
            <w:tcW w:w="548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292,697</w:t>
            </w:r>
          </w:p>
        </w:tc>
        <w:tc>
          <w:tcPr>
            <w:tcW w:w="1360" w:type="dxa"/>
            <w:vAlign w:val="bottom"/>
          </w:tcPr>
          <w:p>
            <w:pPr>
              <w:jc w:val="right"/>
              <w:spacing w:after="0"/>
              <w:rPr>
                <w:sz w:val="20"/>
                <w:szCs w:val="20"/>
                <w:color w:val="auto"/>
              </w:rPr>
            </w:pPr>
            <w:r>
              <w:rPr>
                <w:rFonts w:ascii="Arial" w:cs="Arial" w:eastAsia="Arial" w:hAnsi="Arial"/>
                <w:sz w:val="17"/>
                <w:szCs w:val="17"/>
                <w:color w:val="auto"/>
              </w:rPr>
              <w:t>2,254,740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324,751</w:t>
            </w:r>
          </w:p>
        </w:tc>
      </w:tr>
      <w:tr>
        <w:trPr>
          <w:trHeight w:val="19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13,403,635</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21,663,812</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3,120,238</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 margin:</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68.8%</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64.4%</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64.4%</w:t>
            </w:r>
          </w:p>
        </w:tc>
      </w:tr>
      <w:tr>
        <w:trPr>
          <w:trHeight w:val="206"/>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66.5%</w:t>
            </w:r>
          </w:p>
        </w:tc>
        <w:tc>
          <w:tcPr>
            <w:tcW w:w="1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06"/>
        </w:trPr>
        <w:tc>
          <w:tcPr>
            <w:tcW w:w="548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7.9%</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28.0%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28.0%</w:t>
            </w:r>
          </w:p>
        </w:tc>
      </w:tr>
      <w:tr>
        <w:trPr>
          <w:trHeight w:val="19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28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28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3" w:lineRule="exact"/>
        <w:rPr>
          <w:sz w:val="20"/>
          <w:szCs w:val="20"/>
          <w:color w:val="auto"/>
        </w:rPr>
      </w:pPr>
    </w:p>
    <w:p>
      <w:pPr>
        <w:ind w:right="40" w:firstLine="617"/>
        <w:spacing w:after="0" w:line="306" w:lineRule="auto"/>
        <w:rPr>
          <w:sz w:val="20"/>
          <w:szCs w:val="20"/>
          <w:color w:val="auto"/>
        </w:rPr>
      </w:pPr>
      <w:r>
        <w:rPr>
          <w:rFonts w:ascii="Arial" w:cs="Arial" w:eastAsia="Arial" w:hAnsi="Arial"/>
          <w:sz w:val="15"/>
          <w:szCs w:val="15"/>
          <w:color w:val="auto"/>
        </w:rPr>
        <w:t>The decrease of gross profit margin for online games services was mainly due to the increased revenues contribution from mobile games, which have relatively lower gross profit margin, as a percentage of NetEase’s total online game revenues. The decrease in gross profit margin for advertising services was mainly due to the business expansion in our performance-based advertising business, which has a relatively lower gross profit margin. The increase in gross profit margin for e-mail, e-commerce and others business was mainly due to the increase of higher margin e-commerce services related to products sold on our Duobao platform.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22" w:lineRule="exact"/>
        <w:rPr>
          <w:sz w:val="20"/>
          <w:szCs w:val="20"/>
          <w:color w:val="auto"/>
        </w:rPr>
      </w:pPr>
    </w:p>
    <w:p>
      <w:pPr>
        <w:ind w:right="440" w:firstLine="617"/>
        <w:spacing w:after="0" w:line="278" w:lineRule="auto"/>
        <w:rPr>
          <w:sz w:val="20"/>
          <w:szCs w:val="20"/>
          <w:color w:val="auto"/>
        </w:rPr>
      </w:pPr>
      <w:r>
        <w:rPr>
          <w:rFonts w:ascii="Arial" w:cs="Arial" w:eastAsia="Arial" w:hAnsi="Arial"/>
          <w:sz w:val="17"/>
          <w:szCs w:val="17"/>
          <w:color w:val="auto"/>
        </w:rPr>
        <w:t>Total operating expenses increased by 47.4% to RMB9,034.9 million (US$1,301.3 million) in 2016 from RMB6,131.5 million in 2015 as a result of an increase in selling and marketing expenses, research and development expenses and general and administrative expenses.</w:t>
      </w:r>
    </w:p>
    <w:p>
      <w:pPr>
        <w:spacing w:after="0" w:line="165" w:lineRule="exact"/>
        <w:rPr>
          <w:sz w:val="20"/>
          <w:szCs w:val="20"/>
          <w:color w:val="auto"/>
        </w:rPr>
      </w:pPr>
    </w:p>
    <w:p>
      <w:pPr>
        <w:ind w:right="20" w:firstLine="617"/>
        <w:spacing w:after="0" w:line="278" w:lineRule="auto"/>
        <w:rPr>
          <w:sz w:val="20"/>
          <w:szCs w:val="20"/>
          <w:color w:val="auto"/>
        </w:rPr>
      </w:pPr>
      <w:r>
        <w:rPr>
          <w:rFonts w:ascii="Arial" w:cs="Arial" w:eastAsia="Arial" w:hAnsi="Arial"/>
          <w:sz w:val="17"/>
          <w:szCs w:val="17"/>
          <w:color w:val="auto"/>
        </w:rPr>
        <w:t>Selling and marketing expenses increased by 51.5% to RMB4,481.8 million (US$645.5 million) in 2016 from RMB2,958.2 million in 2015, primarily due to a combination of the following factors:</w:t>
      </w:r>
    </w:p>
    <w:p>
      <w:pPr>
        <w:spacing w:after="0" w:line="165" w:lineRule="exact"/>
        <w:rPr>
          <w:sz w:val="20"/>
          <w:szCs w:val="20"/>
          <w:color w:val="auto"/>
        </w:rPr>
      </w:pPr>
    </w:p>
    <w:p>
      <w:pPr>
        <w:ind w:left="620" w:right="60" w:hanging="308"/>
        <w:spacing w:after="0" w:line="265" w:lineRule="auto"/>
        <w:tabs>
          <w:tab w:leader="none" w:pos="58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in marketing costs of approximately RMB869.6 million (US$125.2 million) in 2016 resulting from increased marketing spending on our various online games, including our self-developed mobile games, PC-client games and games licensed from Blizzard, as well as media and outdoor branding promotion for our advertising services and email, e-commerce and other services.</w:t>
      </w:r>
    </w:p>
    <w:p>
      <w:pPr>
        <w:spacing w:after="0" w:line="175" w:lineRule="exact"/>
        <w:rPr>
          <w:rFonts w:ascii="Arial" w:cs="Arial" w:eastAsia="Arial" w:hAnsi="Arial"/>
          <w:sz w:val="17"/>
          <w:szCs w:val="17"/>
          <w:color w:val="auto"/>
        </w:rPr>
      </w:pPr>
    </w:p>
    <w:p>
      <w:pPr>
        <w:ind w:left="620" w:right="100" w:hanging="308"/>
        <w:spacing w:after="0" w:line="278" w:lineRule="auto"/>
        <w:tabs>
          <w:tab w:leader="none" w:pos="58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in staff-related costs of our sales team of approximately RMB223.2 million (US$32.1 million) in 2016, primarily driven by increased headcount and higher compensation levels and performance-related bonus accruals, particularly for our online game promotion teams.</w:t>
      </w:r>
    </w:p>
    <w:p>
      <w:pPr>
        <w:spacing w:after="0" w:line="164" w:lineRule="exact"/>
        <w:rPr>
          <w:rFonts w:ascii="Arial" w:cs="Arial" w:eastAsia="Arial" w:hAnsi="Arial"/>
          <w:sz w:val="17"/>
          <w:szCs w:val="17"/>
          <w:color w:val="auto"/>
        </w:rPr>
      </w:pPr>
    </w:p>
    <w:p>
      <w:pPr>
        <w:ind w:left="580" w:hanging="268"/>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in freight expenses of approximately RMB226.2 million (US$32.6 million) resulting from the expansion of our e-commerce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27" w:right="239" w:bottom="91" w:gutter="0" w:footer="0" w:header="0"/>
        </w:sectPr>
      </w:pPr>
    </w:p>
    <w:bookmarkStart w:id="48" w:name="page49"/>
    <w:bookmarkEnd w:id="48"/>
    <w:p>
      <w:pPr>
        <w:spacing w:after="0" w:line="3"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General and administrative expenses increased by 48.5% to RMB1,506.2 million (US$216.9 million) in 2016 from RMB1,014.4 million in 2015, primarily due to an increase in staff-related costs of approximately RMB443.1 million (US$63.8 million) in 2016 primarily driven by increased headcount, higher compensation levels and an increase in other miscellaneous costs of approximately RMB40.1 million (US$5.8 million) such as facility costs due to increased business expansion.</w:t>
      </w:r>
    </w:p>
    <w:p>
      <w:pPr>
        <w:spacing w:after="0" w:line="179"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Research and development expenses increased by 41.1% to RMB3,047.0 million (US$438.9 million) in 2016 from RMB2,158.9 million in 2015, primarily due to a combination of the following factors:</w:t>
      </w:r>
    </w:p>
    <w:p>
      <w:pPr>
        <w:spacing w:after="0" w:line="165" w:lineRule="exact"/>
        <w:rPr>
          <w:sz w:val="20"/>
          <w:szCs w:val="20"/>
          <w:color w:val="auto"/>
        </w:rPr>
      </w:pPr>
    </w:p>
    <w:p>
      <w:pPr>
        <w:ind w:left="620" w:right="100" w:hanging="308"/>
        <w:spacing w:after="0" w:line="265" w:lineRule="auto"/>
        <w:tabs>
          <w:tab w:leader="none" w:pos="5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in staff-related costs of approximately RMB672.7 million (US$96.9 million) in 2016, mainly as a result of increased headcount for our online games services and email, e-commerce and other services and higher salaries, bonuses and other benefits paid to our research and development team during 2016, including share based compensation.</w:t>
      </w:r>
    </w:p>
    <w:p>
      <w:pPr>
        <w:spacing w:after="0" w:line="175" w:lineRule="exact"/>
        <w:rPr>
          <w:rFonts w:ascii="Arial" w:cs="Arial" w:eastAsia="Arial" w:hAnsi="Arial"/>
          <w:sz w:val="17"/>
          <w:szCs w:val="17"/>
          <w:color w:val="auto"/>
        </w:rPr>
      </w:pPr>
    </w:p>
    <w:p>
      <w:pPr>
        <w:ind w:left="580" w:hanging="268"/>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in technology costs of approximately RMB118.2 million (US$17.0 million), mainly for game content design.</w:t>
      </w:r>
    </w:p>
    <w:p>
      <w:pPr>
        <w:spacing w:after="0" w:line="216" w:lineRule="exact"/>
        <w:rPr>
          <w:rFonts w:ascii="Arial" w:cs="Arial" w:eastAsia="Arial" w:hAnsi="Arial"/>
          <w:sz w:val="17"/>
          <w:szCs w:val="17"/>
          <w:color w:val="auto"/>
        </w:rPr>
      </w:pPr>
    </w:p>
    <w:p>
      <w:pPr>
        <w:ind w:left="620" w:right="540" w:hanging="308"/>
        <w:spacing w:after="0" w:line="311" w:lineRule="auto"/>
        <w:tabs>
          <w:tab w:leader="none" w:pos="5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in other miscellaneous cost of approximately RMB75.4 million (US$10.9 million) such as depreciation and amortization costs, rental and utilities expenses, mainly for development of our online games services as well as our email, e-commerce and other services.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Allowances for Doubtful Accounts</w:t>
      </w:r>
    </w:p>
    <w:p>
      <w:pPr>
        <w:spacing w:after="0" w:line="222" w:lineRule="exact"/>
        <w:rPr>
          <w:sz w:val="20"/>
          <w:szCs w:val="20"/>
          <w:color w:val="auto"/>
        </w:rPr>
      </w:pPr>
    </w:p>
    <w:p>
      <w:pPr>
        <w:ind w:right="60" w:firstLine="617"/>
        <w:spacing w:after="0" w:line="261" w:lineRule="auto"/>
        <w:rPr>
          <w:sz w:val="20"/>
          <w:szCs w:val="20"/>
          <w:color w:val="auto"/>
        </w:rPr>
      </w:pPr>
      <w:r>
        <w:rPr>
          <w:rFonts w:ascii="Arial" w:cs="Arial" w:eastAsia="Arial" w:hAnsi="Arial"/>
          <w:sz w:val="17"/>
          <w:szCs w:val="17"/>
          <w:color w:val="auto"/>
        </w:rPr>
        <w:t>As of December 31, 2016, the gross accounts receivable balance before any allowance for bad and doubtful accounts was RMB4,275.4 million (US$615.8 million). After providing for doubtful accounts in the amount of RMB24.1 million (US$3.5 million), the net balance of accounts receivable was RMB4,251.3 million (US$612.3 million) as of December 31, 2016. The allowances for doubtful accounts represented the provisions of RMB24.1 million (US$3.5 million) as of December 31 2016, as compared to the provision of RMB14.2 million as of December 31, 2015.</w:t>
      </w:r>
    </w:p>
    <w:p>
      <w:pPr>
        <w:spacing w:after="0" w:line="179" w:lineRule="exact"/>
        <w:rPr>
          <w:sz w:val="20"/>
          <w:szCs w:val="20"/>
          <w:color w:val="auto"/>
        </w:rPr>
      </w:pPr>
    </w:p>
    <w:p>
      <w:pPr>
        <w:ind w:right="320" w:firstLine="617"/>
        <w:spacing w:after="0" w:line="347" w:lineRule="auto"/>
        <w:rPr>
          <w:sz w:val="20"/>
          <w:szCs w:val="20"/>
          <w:color w:val="auto"/>
        </w:rPr>
      </w:pPr>
      <w:r>
        <w:rPr>
          <w:rFonts w:ascii="Arial" w:cs="Arial" w:eastAsia="Arial" w:hAnsi="Arial"/>
          <w:sz w:val="15"/>
          <w:szCs w:val="15"/>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19" w:lineRule="exact"/>
        <w:rPr>
          <w:sz w:val="20"/>
          <w:szCs w:val="20"/>
          <w:color w:val="auto"/>
        </w:rPr>
      </w:pPr>
    </w:p>
    <w:p>
      <w:pPr>
        <w:ind w:right="120" w:firstLine="617"/>
        <w:spacing w:after="0" w:line="278" w:lineRule="auto"/>
        <w:rPr>
          <w:sz w:val="20"/>
          <w:szCs w:val="20"/>
          <w:color w:val="auto"/>
        </w:rPr>
      </w:pPr>
      <w:r>
        <w:rPr>
          <w:rFonts w:ascii="Arial" w:cs="Arial" w:eastAsia="Arial" w:hAnsi="Arial"/>
          <w:sz w:val="17"/>
          <w:szCs w:val="17"/>
          <w:color w:val="auto"/>
        </w:rPr>
        <w:t>No significant allowance for bad and doubtful accounts was provided in 2016. As of December 31, 2016, we had one distribution channel with a receivable balance exceeding 10% of our total accounts receivable balance.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(Expenses)</w:t>
      </w:r>
    </w:p>
    <w:p>
      <w:pPr>
        <w:spacing w:after="0" w:line="222" w:lineRule="exact"/>
        <w:rPr>
          <w:sz w:val="20"/>
          <w:szCs w:val="20"/>
          <w:color w:val="auto"/>
        </w:rPr>
      </w:pPr>
    </w:p>
    <w:p>
      <w:pPr>
        <w:ind w:right="340" w:firstLine="617"/>
        <w:spacing w:after="0" w:line="347" w:lineRule="auto"/>
        <w:rPr>
          <w:sz w:val="20"/>
          <w:szCs w:val="20"/>
          <w:color w:val="auto"/>
        </w:rPr>
      </w:pPr>
      <w:r>
        <w:rPr>
          <w:rFonts w:ascii="Arial" w:cs="Arial" w:eastAsia="Arial" w:hAnsi="Arial"/>
          <w:sz w:val="15"/>
          <w:szCs w:val="15"/>
          <w:color w:val="auto"/>
        </w:rPr>
        <w:t>Other income in 2016 mainly consisted of interest income, investment income related to short-term investments, foreign exchange gain and government incentives, offset in part by the net investment loss in associated companies and the investment impairment loss related to certain equity investments.</w:t>
      </w:r>
    </w:p>
    <w:p>
      <w:pPr>
        <w:spacing w:after="0" w:line="119"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Interest income decreased to RMB542.0 million (US$78.1 million) in 2016 from RMB596.9 million in 2015, primarily due to a decrease in interest rates, offset in part by an increase in our total cash and cash equivalents and time deposit balance, which increased by 16.4% to RMB25.4 billion (US$3.7 billion) as of December 31, 2016 from RMB21.8 billion as of December 31, 2015. We incurred interest expense of RMB32.2 million (US$4.6 million) in 2016 related to our short-term borrowings.</w:t>
      </w:r>
    </w:p>
    <w:p>
      <w:pPr>
        <w:spacing w:after="0" w:line="179"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In 2016, we received and recognized unconditional government incentives of approximately RMB377.7 million (US$54.4 million), compared to RMB45.1 million in 2015.</w:t>
      </w:r>
    </w:p>
    <w:p>
      <w:pPr>
        <w:spacing w:after="0" w:line="165" w:lineRule="exact"/>
        <w:rPr>
          <w:sz w:val="20"/>
          <w:szCs w:val="20"/>
          <w:color w:val="auto"/>
        </w:rPr>
      </w:pPr>
    </w:p>
    <w:p>
      <w:pPr>
        <w:ind w:firstLine="617"/>
        <w:spacing w:after="0" w:line="279" w:lineRule="auto"/>
        <w:rPr>
          <w:sz w:val="20"/>
          <w:szCs w:val="20"/>
          <w:color w:val="auto"/>
        </w:rPr>
      </w:pPr>
      <w:r>
        <w:rPr>
          <w:rFonts w:ascii="Arial" w:cs="Arial" w:eastAsia="Arial" w:hAnsi="Arial"/>
          <w:sz w:val="16"/>
          <w:szCs w:val="16"/>
          <w:color w:val="auto"/>
        </w:rPr>
        <w:t>Investment income increased to RMB200.3 million (US$28.9 million) in 2016 from RMB62.3 million in 2015, consisting primarily of (i) investment income related to short-term investments of RMB303.4 million (US$43.7 million) in 2016, compared to RMB143.1 million in 2015, (ii) net investment income of RMB234.1 million (US$33.7 million) from a partial disposal of an equity investee in 2016, compared to nil in 2015, (iii) cash dividend of RMB21.4 million from available-for-sale investments in 2016, compared to nil in 2015, offset in part by impairment provisions related to certain investments and a net investment loss in associated companies which totaled RMB364.7 million (US$52.6) in 2016 compared to RMB88.1 million in 2015.</w:t>
      </w:r>
    </w:p>
    <w:p>
      <w:pPr>
        <w:spacing w:after="0" w:line="165" w:lineRule="exact"/>
        <w:rPr>
          <w:sz w:val="20"/>
          <w:szCs w:val="20"/>
          <w:color w:val="auto"/>
        </w:rPr>
      </w:pPr>
    </w:p>
    <w:p>
      <w:pPr>
        <w:ind w:right="420" w:firstLine="617"/>
        <w:spacing w:after="0" w:line="265" w:lineRule="auto"/>
        <w:rPr>
          <w:sz w:val="20"/>
          <w:szCs w:val="20"/>
          <w:color w:val="auto"/>
        </w:rPr>
      </w:pPr>
      <w:r>
        <w:rPr>
          <w:rFonts w:ascii="Arial" w:cs="Arial" w:eastAsia="Arial" w:hAnsi="Arial"/>
          <w:sz w:val="17"/>
          <w:szCs w:val="17"/>
          <w:color w:val="auto"/>
        </w:rPr>
        <w:t>We also reported a net foreign exchange gain of RMB146.5 million (US$21.1 million) in 2016, compared to a net foreign exchange gain of RMB133.8 million in 2015, both of which are primarily due to the translation gains and losses arising from our U.S. dollar-denominated bank deposit and short-term loan balances as the exchange rate of the U.S. dollar against the RMB fluctuated over these periods.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222" w:lineRule="exact"/>
        <w:rPr>
          <w:sz w:val="20"/>
          <w:szCs w:val="20"/>
          <w:color w:val="auto"/>
        </w:rPr>
      </w:pPr>
    </w:p>
    <w:p>
      <w:pPr>
        <w:ind w:right="400" w:firstLine="617"/>
        <w:spacing w:after="0" w:line="265" w:lineRule="auto"/>
        <w:rPr>
          <w:sz w:val="20"/>
          <w:szCs w:val="20"/>
          <w:color w:val="auto"/>
        </w:rPr>
      </w:pPr>
      <w:r>
        <w:rPr>
          <w:rFonts w:ascii="Arial" w:cs="Arial" w:eastAsia="Arial" w:hAnsi="Arial"/>
          <w:sz w:val="17"/>
          <w:szCs w:val="17"/>
          <w:color w:val="auto"/>
        </w:rPr>
        <w:t>Income tax increased to RMB2,102.5 million (US$302.8 million) in 2016 from RMB1,273.4 million in 2015. Our effective tax rate in 2016 was 15.1% compared with 15.7% in 2015. The change in the effective tax rate was mainly due to the fact that certain subsidiaries of our company were approved as Key Software Enterprises and subject to a preferential tax rate of 10% for 2015. We recognized the related tax credits in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22" w:lineRule="exact"/>
        <w:rPr>
          <w:sz w:val="20"/>
          <w:szCs w:val="20"/>
          <w:color w:val="auto"/>
        </w:rPr>
      </w:pPr>
    </w:p>
    <w:p>
      <w:pPr>
        <w:ind w:right="300" w:firstLine="617"/>
        <w:spacing w:after="0" w:line="278" w:lineRule="auto"/>
        <w:rPr>
          <w:sz w:val="20"/>
          <w:szCs w:val="20"/>
          <w:color w:val="auto"/>
        </w:rPr>
      </w:pPr>
      <w:r>
        <w:rPr>
          <w:rFonts w:ascii="Arial" w:cs="Arial" w:eastAsia="Arial" w:hAnsi="Arial"/>
          <w:sz w:val="17"/>
          <w:szCs w:val="17"/>
          <w:color w:val="auto"/>
        </w:rPr>
        <w:t>As a result of the foregoing, net income attributable to our shareholders increased by 72.3% to RMB11,604.5 million (US$1,671.4 million) in 2016 from RMB6,735.1 million in 2015.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2015 Compared to Year Ended December 31, 2014</w:t>
      </w:r>
    </w:p>
    <w:p>
      <w:pPr>
        <w:spacing w:after="0" w:line="222" w:lineRule="exact"/>
        <w:rPr>
          <w:sz w:val="20"/>
          <w:szCs w:val="20"/>
          <w:color w:val="auto"/>
        </w:rPr>
      </w:pPr>
    </w:p>
    <w:p>
      <w:pPr>
        <w:jc w:val="both"/>
        <w:ind w:right="720" w:firstLine="617"/>
        <w:spacing w:after="0" w:line="265" w:lineRule="auto"/>
        <w:rPr>
          <w:sz w:val="20"/>
          <w:szCs w:val="20"/>
          <w:color w:val="auto"/>
        </w:rPr>
      </w:pPr>
      <w:r>
        <w:rPr>
          <w:rFonts w:ascii="Arial" w:cs="Arial" w:eastAsia="Arial" w:hAnsi="Arial"/>
          <w:sz w:val="17"/>
          <w:szCs w:val="17"/>
          <w:color w:val="auto"/>
        </w:rPr>
        <w:t>Net revenue from service and product sales represented 95.1% and 4.9% of our total net revenues in 2015, compared with 100.0% and nil in 2014, respectively. The following table sets forth the net revenues and cost of revenues by segments for the period presented as derived from our audited financial statements. See Item 18 of Part III, “Financial Statements—Note 25—Segment Information”.</w:t>
      </w:r>
    </w:p>
    <w:p>
      <w:pPr>
        <w:spacing w:after="0" w:line="162"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For the year ended December</w:t>
      </w:r>
    </w:p>
    <w:p>
      <w:pPr>
        <w:jc w:val="center"/>
        <w:ind w:left="7820"/>
        <w:spacing w:after="0" w:line="230" w:lineRule="auto"/>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5155565</wp:posOffset>
            </wp:positionH>
            <wp:positionV relativeFrom="paragraph">
              <wp:posOffset>-3175</wp:posOffset>
            </wp:positionV>
            <wp:extent cx="19196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ind w:left="8660"/>
        <w:spacing w:after="0" w:line="230" w:lineRule="auto"/>
        <w:tabs>
          <w:tab w:leader="none" w:pos="103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5155565</wp:posOffset>
            </wp:positionH>
            <wp:positionV relativeFrom="paragraph">
              <wp:posOffset>-3175</wp:posOffset>
            </wp:positionV>
            <wp:extent cx="1919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ind w:left="8640"/>
        <w:spacing w:after="0" w:line="223" w:lineRule="auto"/>
        <w:tabs>
          <w:tab w:leader="none" w:pos="1028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-635</wp:posOffset>
            </wp:positionV>
            <wp:extent cx="6664960" cy="1308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4960" cy="130810"/>
                    </a:xfrm>
                    <a:prstGeom prst="rect">
                      <a:avLst/>
                    </a:prstGeom>
                    <a:noFill/>
                  </pic:spPr>
                </pic:pic>
              </a:graphicData>
            </a:graphic>
          </wp:anchor>
        </w:drawing>
      </w:r>
    </w:p>
    <w:p>
      <w:pPr>
        <w:sectPr>
          <w:pgSz w:w="11900" w:h="16842" w:orient="portrait"/>
          <w:cols w:equalWidth="0" w:num="1">
            <w:col w:w="11400"/>
          </w:cols>
          <w:pgMar w:left="240" w:top="127" w:right="259" w:bottom="0" w:gutter="0" w:footer="0" w:header="0"/>
        </w:sectPr>
      </w:pPr>
    </w:p>
    <w:tbl>
      <w:tblPr>
        <w:tblLayout w:type="fixed"/>
        <w:tblInd w:w="740" w:type="dxa"/>
        <w:tblCellMar>
          <w:top w:w="0" w:type="dxa"/>
          <w:left w:w="0" w:type="dxa"/>
          <w:bottom w:w="0" w:type="dxa"/>
          <w:right w:w="0" w:type="dxa"/>
        </w:tblCellMar>
      </w:tblPr>
      <w:tr>
        <w:trPr>
          <w:trHeight w:val="192"/>
        </w:trPr>
        <w:tc>
          <w:tcPr>
            <w:tcW w:w="4800" w:type="dxa"/>
            <w:vAlign w:val="bottom"/>
          </w:tcPr>
          <w:p>
            <w:pPr>
              <w:spacing w:after="0" w:line="192" w:lineRule="exact"/>
              <w:rPr>
                <w:sz w:val="20"/>
                <w:szCs w:val="20"/>
                <w:color w:val="auto"/>
              </w:rPr>
            </w:pPr>
            <w:r>
              <w:rPr>
                <w:rFonts w:ascii="Arial" w:cs="Arial" w:eastAsia="Arial" w:hAnsi="Arial"/>
                <w:sz w:val="17"/>
                <w:szCs w:val="17"/>
                <w:color w:val="auto"/>
              </w:rPr>
              <w:t>Net revenues:</w:t>
            </w:r>
          </w:p>
        </w:tc>
        <w:tc>
          <w:tcPr>
            <w:tcW w:w="4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7"/>
                <w:szCs w:val="17"/>
                <w:color w:val="auto"/>
              </w:rPr>
              <w:t>Online games services</w:t>
            </w:r>
          </w:p>
        </w:tc>
        <w:tc>
          <w:tcPr>
            <w:tcW w:w="4380" w:type="dxa"/>
            <w:vAlign w:val="bottom"/>
          </w:tcPr>
          <w:p>
            <w:pPr>
              <w:jc w:val="right"/>
              <w:ind w:right="334"/>
              <w:spacing w:after="0"/>
              <w:rPr>
                <w:sz w:val="20"/>
                <w:szCs w:val="20"/>
                <w:color w:val="auto"/>
              </w:rPr>
            </w:pPr>
            <w:r>
              <w:rPr>
                <w:rFonts w:ascii="Arial" w:cs="Arial" w:eastAsia="Arial" w:hAnsi="Arial"/>
                <w:sz w:val="17"/>
                <w:szCs w:val="17"/>
                <w:color w:val="auto"/>
              </w:rPr>
              <w:t>9,266,158</w:t>
            </w:r>
          </w:p>
        </w:tc>
        <w:tc>
          <w:tcPr>
            <w:tcW w:w="1220" w:type="dxa"/>
            <w:vAlign w:val="bottom"/>
          </w:tcPr>
          <w:p>
            <w:pPr>
              <w:jc w:val="right"/>
              <w:spacing w:after="0"/>
              <w:rPr>
                <w:sz w:val="20"/>
                <w:szCs w:val="20"/>
                <w:color w:val="auto"/>
              </w:rPr>
            </w:pPr>
            <w:r>
              <w:rPr>
                <w:rFonts w:ascii="Arial" w:cs="Arial" w:eastAsia="Arial" w:hAnsi="Arial"/>
                <w:sz w:val="17"/>
                <w:szCs w:val="17"/>
                <w:color w:val="auto"/>
              </w:rPr>
              <w:t>17,314,148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635</wp:posOffset>
            </wp:positionV>
            <wp:extent cx="666496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4960" cy="36195"/>
                    </a:xfrm>
                    <a:prstGeom prst="rect">
                      <a:avLst/>
                    </a:prstGeom>
                    <a:noFill/>
                  </pic:spPr>
                </pic:pic>
              </a:graphicData>
            </a:graphic>
          </wp:anchor>
        </w:drawing>
      </w:r>
    </w:p>
    <w:p>
      <w:pPr>
        <w:sectPr>
          <w:pgSz w:w="11900" w:h="16842" w:orient="portrait"/>
          <w:cols w:equalWidth="0" w:num="1">
            <w:col w:w="11400"/>
          </w:cols>
          <w:pgMar w:left="240" w:top="127" w:right="259" w:bottom="0" w:gutter="0" w:footer="0" w:header="0"/>
          <w:type w:val="continuous"/>
        </w:sectPr>
      </w:pPr>
    </w:p>
    <w:bookmarkStart w:id="49" w:name="page50"/>
    <w:bookmarkEnd w:id="49"/>
    <w:tbl>
      <w:tblPr>
        <w:tblLayout w:type="fixed"/>
        <w:tblInd w:w="7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1,344,829</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1,789,377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E-mail, e-commerce and others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1,101,847</w:t>
            </w: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3,699,370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Total net revenues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11,712,834</w:t>
            </w:r>
          </w:p>
        </w:tc>
        <w:tc>
          <w:tcPr>
            <w:tcW w:w="2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22,802,895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60" w:type="dxa"/>
            <w:vAlign w:val="bottom"/>
            <w:gridSpan w:val="2"/>
          </w:tcPr>
          <w:p>
            <w:pPr>
              <w:jc w:val="right"/>
              <w:ind w:right="202"/>
              <w:spacing w:after="0"/>
              <w:rPr>
                <w:sz w:val="20"/>
                <w:szCs w:val="20"/>
                <w:color w:val="auto"/>
              </w:rPr>
            </w:pPr>
            <w:r>
              <w:rPr>
                <w:rFonts w:ascii="Arial" w:cs="Arial" w:eastAsia="Arial" w:hAnsi="Arial"/>
                <w:sz w:val="17"/>
                <w:szCs w:val="17"/>
                <w:color w:val="auto"/>
              </w:rPr>
              <w:t>(2,111,701)</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(5,393,555)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60" w:type="dxa"/>
            <w:vAlign w:val="bottom"/>
            <w:gridSpan w:val="2"/>
            <w:shd w:val="clear" w:color="auto" w:fill="CCEEFF"/>
          </w:tcPr>
          <w:p>
            <w:pPr>
              <w:jc w:val="right"/>
              <w:ind w:right="202"/>
              <w:spacing w:after="0"/>
              <w:rPr>
                <w:sz w:val="20"/>
                <w:szCs w:val="20"/>
                <w:color w:val="auto"/>
              </w:rPr>
            </w:pPr>
            <w:r>
              <w:rPr>
                <w:rFonts w:ascii="Arial" w:cs="Arial" w:eastAsia="Arial" w:hAnsi="Arial"/>
                <w:sz w:val="17"/>
                <w:szCs w:val="17"/>
                <w:color w:val="auto"/>
              </w:rPr>
              <w:t>(518,691)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(599,032)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60" w:type="dxa"/>
            <w:vAlign w:val="bottom"/>
            <w:gridSpan w:val="2"/>
          </w:tcPr>
          <w:p>
            <w:pPr>
              <w:jc w:val="right"/>
              <w:ind w:right="202"/>
              <w:spacing w:after="0"/>
              <w:rPr>
                <w:sz w:val="20"/>
                <w:szCs w:val="20"/>
                <w:color w:val="auto"/>
              </w:rPr>
            </w:pPr>
            <w:r>
              <w:rPr>
                <w:rFonts w:ascii="Arial" w:cs="Arial" w:eastAsia="Arial" w:hAnsi="Arial"/>
                <w:sz w:val="17"/>
                <w:szCs w:val="17"/>
                <w:color w:val="auto"/>
              </w:rPr>
              <w:t>(631,152)</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(3,406,673)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(3,261,544</w:t>
            </w:r>
          </w:p>
        </w:tc>
        <w:tc>
          <w:tcPr>
            <w:tcW w:w="280" w:type="dxa"/>
            <w:vAlign w:val="bottom"/>
            <w:tcBorders>
              <w:top w:val="single" w:sz="8" w:color="CCEEFF"/>
            </w:tcBorders>
            <w:shd w:val="clear" w:color="auto" w:fill="CCEEFF"/>
          </w:tcPr>
          <w:p>
            <w:pPr>
              <w:jc w:val="right"/>
              <w:ind w:right="202"/>
              <w:spacing w:after="0"/>
              <w:rPr>
                <w:sz w:val="20"/>
                <w:szCs w:val="20"/>
                <w:color w:val="auto"/>
              </w:rPr>
            </w:pPr>
            <w:r>
              <w:rPr>
                <w:rFonts w:ascii="Arial" w:cs="Arial" w:eastAsia="Arial" w:hAnsi="Arial"/>
                <w:sz w:val="8"/>
                <w:szCs w:val="8"/>
                <w:color w:val="auto"/>
                <w:w w:val="7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(9,399,260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w:t>
      </w:r>
    </w:p>
    <w:p>
      <w:pPr>
        <w:spacing w:after="0" w:line="222" w:lineRule="exact"/>
        <w:rPr>
          <w:sz w:val="20"/>
          <w:szCs w:val="20"/>
          <w:color w:val="auto"/>
        </w:rPr>
      </w:pPr>
    </w:p>
    <w:p>
      <w:pPr>
        <w:ind w:right="380" w:firstLine="617"/>
        <w:spacing w:after="0" w:line="293" w:lineRule="auto"/>
        <w:rPr>
          <w:sz w:val="20"/>
          <w:szCs w:val="20"/>
          <w:color w:val="auto"/>
        </w:rPr>
      </w:pPr>
      <w:r>
        <w:rPr>
          <w:rFonts w:ascii="Arial" w:cs="Arial" w:eastAsia="Arial" w:hAnsi="Arial"/>
          <w:sz w:val="15"/>
          <w:szCs w:val="15"/>
          <w:color w:val="auto"/>
        </w:rPr>
        <w:t>Total net revenues increased by 94.7% to RMB22,802.9 million in 2015 from RMB11,712.8 million in 2014. Net revenues from online games services, advertising services, and e-mail, e-commerce and others constituted 76.0%, 7.8% and 16.2%, respectively, of our total net revenues in 2015. This compares with</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79.1%, 11.5% and 9.4%, respectively, in 2014. Net revenues generated from licensed games represented 12.1% and 12.9% of our total net revenues in 2015 and 2014, respectively.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right="200" w:firstLine="617"/>
        <w:spacing w:after="0" w:line="290" w:lineRule="auto"/>
        <w:rPr>
          <w:sz w:val="20"/>
          <w:szCs w:val="20"/>
          <w:color w:val="auto"/>
        </w:rPr>
      </w:pPr>
      <w:r>
        <w:rPr>
          <w:rFonts w:ascii="Arial" w:cs="Arial" w:eastAsia="Arial" w:hAnsi="Arial"/>
          <w:sz w:val="15"/>
          <w:szCs w:val="15"/>
          <w:color w:val="auto"/>
        </w:rPr>
        <w:t>Net revenues from online games services increased by 86.9% to RMB17,314.1 million in 2015 from RMB9,266.2 million in 2014. The increase was principally attributable to higher net revenues from mobile games which totaled RMB7,590.7 million in 2015 compared to RMB666.2 million in 2014, excluding mobile games licensed from Blizzard Entertainment which are discussed below. The growth in net revenues from mobile games mainly resulted from the launch of new mobile games which quickly gained popularity, particularly the mobile versions of our self-developed games Fantasy Westward Journey (launched in</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March 2015) and Westward Journey Online (launched in September 2015), which were two of the highest grossing games in China’s iOS app store in 2015 following their release. The increase also resulted to a lesser extent from increased popularity of other self-developed mobile games such as Battle to the West and licensed mobile games such as Fairy Tales and Kai-ri-sei Million Arthur.</w:t>
      </w:r>
    </w:p>
    <w:p>
      <w:pPr>
        <w:spacing w:after="0" w:line="179" w:lineRule="exact"/>
        <w:rPr>
          <w:sz w:val="20"/>
          <w:szCs w:val="20"/>
          <w:color w:val="auto"/>
        </w:rPr>
      </w:pPr>
    </w:p>
    <w:p>
      <w:pPr>
        <w:ind w:right="300" w:firstLine="617"/>
        <w:spacing w:after="0" w:line="278" w:lineRule="auto"/>
        <w:rPr>
          <w:sz w:val="20"/>
          <w:szCs w:val="20"/>
          <w:color w:val="auto"/>
        </w:rPr>
      </w:pPr>
      <w:r>
        <w:rPr>
          <w:rFonts w:ascii="Arial" w:cs="Arial" w:eastAsia="Arial" w:hAnsi="Arial"/>
          <w:sz w:val="17"/>
          <w:szCs w:val="17"/>
          <w:color w:val="auto"/>
        </w:rPr>
        <w:t>Our self-developed PC-client games, such as Revelation which was released in early 2015, also delivered solid performances in 2015. Total net revenues from self-developed PC-client games increased by 3.2% to RMB7,424.4 million in 2015 from RMB7,195.9 million in 2014.</w:t>
      </w:r>
    </w:p>
    <w:p>
      <w:pPr>
        <w:spacing w:after="0" w:line="165" w:lineRule="exact"/>
        <w:rPr>
          <w:sz w:val="20"/>
          <w:szCs w:val="20"/>
          <w:color w:val="auto"/>
        </w:rPr>
      </w:pPr>
    </w:p>
    <w:p>
      <w:pPr>
        <w:ind w:right="200" w:firstLine="617"/>
        <w:spacing w:after="0" w:line="234" w:lineRule="auto"/>
        <w:rPr>
          <w:sz w:val="20"/>
          <w:szCs w:val="20"/>
          <w:color w:val="auto"/>
        </w:rPr>
      </w:pPr>
      <w:r>
        <w:rPr>
          <w:rFonts w:ascii="Arial" w:cs="Arial" w:eastAsia="Arial" w:hAnsi="Arial"/>
          <w:sz w:val="17"/>
          <w:szCs w:val="17"/>
          <w:color w:val="auto"/>
        </w:rPr>
        <w:t>In addition, the increased popularity of online games licensed from Blizzard Entertainment, including Hearthstone and Diablo III: Reaper of Souls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were commercially launched in January 2014 and May 2015, respectively, contributed to net revenue growth. Net revenues from games licensed by Blizzard Entertainment increased 63.7% to RMB2,299.0 million in 2015 compared to RMB1,404.1 million in 2014.</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65" w:lineRule="auto"/>
        <w:rPr>
          <w:sz w:val="20"/>
          <w:szCs w:val="20"/>
          <w:color w:val="auto"/>
        </w:rPr>
      </w:pPr>
      <w:r>
        <w:rPr>
          <w:rFonts w:ascii="Arial" w:cs="Arial" w:eastAsia="Arial" w:hAnsi="Arial"/>
          <w:sz w:val="17"/>
          <w:szCs w:val="17"/>
          <w:color w:val="auto"/>
        </w:rPr>
        <w:t>Net revenues from mobile games (excluding the mobile game licensed from Blizzard Entertainment), self-developed PC-client games and Blizzard Entertainment licensed games represented 43.8%, 42.9% and 13.3% of total net revenues from online games services in 2015, respectively, compared to 7.2%, 77.7% and 15.1% in 2014, respectively.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60" w:firstLine="617"/>
        <w:spacing w:after="0" w:line="259" w:lineRule="auto"/>
        <w:rPr>
          <w:sz w:val="20"/>
          <w:szCs w:val="20"/>
          <w:color w:val="auto"/>
        </w:rPr>
      </w:pPr>
      <w:r>
        <w:rPr>
          <w:rFonts w:ascii="Arial" w:cs="Arial" w:eastAsia="Arial" w:hAnsi="Arial"/>
          <w:sz w:val="17"/>
          <w:szCs w:val="17"/>
          <w:color w:val="auto"/>
        </w:rPr>
        <w:t>Net revenues from advertising services increased by 33.1% to RMB1,789.4 million in 2015 from RMB1,344.8 million in 2014. The increase in advertising services revenue in 2015 was driven by increased market demand, mainly from the automobile, Internet services and telecommunication services sectors, which in turn is mainly due to our introduction of new online content and use of various promotional activities to increase our general brand awareness, both of which increased our site traffic and in turn increased the attractiveness of our advertising services. The greater monetization of our mobile news application also contributed to this increase.</w:t>
      </w:r>
    </w:p>
    <w:p>
      <w:pPr>
        <w:spacing w:after="0" w:line="180" w:lineRule="exact"/>
        <w:rPr>
          <w:sz w:val="20"/>
          <w:szCs w:val="20"/>
          <w:color w:val="auto"/>
        </w:rPr>
      </w:pPr>
    </w:p>
    <w:p>
      <w:pPr>
        <w:jc w:val="both"/>
        <w:ind w:right="40" w:firstLine="617"/>
        <w:spacing w:after="0" w:line="261" w:lineRule="auto"/>
        <w:rPr>
          <w:sz w:val="20"/>
          <w:szCs w:val="20"/>
          <w:color w:val="auto"/>
        </w:rPr>
      </w:pPr>
      <w:r>
        <w:rPr>
          <w:rFonts w:ascii="Arial" w:cs="Arial" w:eastAsia="Arial" w:hAnsi="Arial"/>
          <w:sz w:val="17"/>
          <w:szCs w:val="17"/>
          <w:color w:val="auto"/>
        </w:rPr>
        <w:t>Average net revenue per traditional advertiser (i.e., customers which do not advertise through our search services), which provide the substantial portion of our advertising revenue, increased to approximately RMB1.8 million in 2015 from RMB1.6 million in 2014. The number of traditional advertisers using the NetEase websites increased to 1,002 in 2015 from 784 in 2014 with revenues from our top ten advertisers comprising 28.2% of our total advertising services revenues in 2015 as compared to 28.7% in 2014.</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 -commerce and Others</w:t>
      </w:r>
    </w:p>
    <w:p>
      <w:pPr>
        <w:spacing w:after="0" w:line="216" w:lineRule="exact"/>
        <w:rPr>
          <w:sz w:val="20"/>
          <w:szCs w:val="20"/>
          <w:color w:val="auto"/>
        </w:rPr>
      </w:pPr>
    </w:p>
    <w:p>
      <w:pPr>
        <w:ind w:right="20" w:firstLine="617"/>
        <w:spacing w:after="0" w:line="290" w:lineRule="auto"/>
        <w:rPr>
          <w:sz w:val="20"/>
          <w:szCs w:val="20"/>
          <w:color w:val="auto"/>
        </w:rPr>
      </w:pPr>
      <w:r>
        <w:rPr>
          <w:rFonts w:ascii="Arial" w:cs="Arial" w:eastAsia="Arial" w:hAnsi="Arial"/>
          <w:sz w:val="15"/>
          <w:szCs w:val="15"/>
          <w:color w:val="auto"/>
        </w:rPr>
        <w:t>Net revenues from the e-mail, e-commerce and others segment increased by 235.7% to RMB3,699.4 million in 2015 from RMB1,101.8 million in 2014. The increase resulted from rapid growth in the popularity among consumers in China of our newly launched e-commerce businesses, namely, our Kaola platform which is a cross-border e-commerce platform that enables users to purchase mainly imported consumer goods through an online platform, and our Duobao platform which is an e-commerce platform that allows users to exchange a virtual currency for products. Duobao and Kaola were commercially launched in June 2014 and</w:t>
      </w:r>
    </w:p>
    <w:p>
      <w:pPr>
        <w:spacing w:after="0" w:line="1"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January 2015, respectively, and they represented 72.1% of our total net revenues from the e-mail, e-commerce and others segment in 2015, compared to 3.9% in 2014.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w:t>
      </w:r>
    </w:p>
    <w:p>
      <w:pPr>
        <w:spacing w:after="0" w:line="222" w:lineRule="exact"/>
        <w:rPr>
          <w:sz w:val="20"/>
          <w:szCs w:val="20"/>
          <w:color w:val="auto"/>
        </w:rPr>
      </w:pPr>
    </w:p>
    <w:p>
      <w:pPr>
        <w:ind w:right="140" w:firstLine="617"/>
        <w:spacing w:after="0" w:line="282" w:lineRule="auto"/>
        <w:rPr>
          <w:sz w:val="20"/>
          <w:szCs w:val="20"/>
          <w:color w:val="auto"/>
        </w:rPr>
      </w:pPr>
      <w:r>
        <w:rPr>
          <w:rFonts w:ascii="Arial" w:cs="Arial" w:eastAsia="Arial" w:hAnsi="Arial"/>
          <w:sz w:val="16"/>
          <w:szCs w:val="16"/>
          <w:color w:val="auto"/>
        </w:rPr>
        <w:t>Our cost of revenues increased by 188.2% to RMB9,399.3 million in 2015 from RMB3,261.5 million in 2014. The year-over-year increase was mainly due to an increase in cost of merchandise sold by our e-commerce business, costs of revenue sharing with distributors, developers and other third parties, staff-related costs and technology costs. In 2015, costs relating to online games services, advertising services and e-mail, e-commerce and others represented 57.4%, 6.4% and 36.2% of total cost of revenues, respectively, as compared with 64.7%, 15.9% and 19.4% of the cost of revenues, respectively, in 2014.</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Online Games Services</w:t>
      </w:r>
    </w:p>
    <w:p>
      <w:pPr>
        <w:spacing w:after="0" w:line="216"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Cost of revenues from our online games services increased by 155.4% to RMB5,393.6 million in 2015 from RMB2,111.7 million in 2014. The increase in cost of revenues in 2015 was primarily due to a combination of the following factors:</w:t>
      </w:r>
    </w:p>
    <w:p>
      <w:pPr>
        <w:spacing w:after="0" w:line="165" w:lineRule="exact"/>
        <w:rPr>
          <w:sz w:val="20"/>
          <w:szCs w:val="20"/>
          <w:color w:val="auto"/>
        </w:rPr>
      </w:pPr>
    </w:p>
    <w:p>
      <w:pPr>
        <w:ind w:left="620" w:right="20" w:hanging="308"/>
        <w:spacing w:after="0" w:line="311" w:lineRule="auto"/>
        <w:tabs>
          <w:tab w:leader="none" w:pos="5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Revenue sharing costs with distributors, developers and other third parties related to mobile games increased by RMB2,239.8 million to RMB2,428.6 million in 2015 from RMB188.8 million in 2014 primarily due to the launch of our self-developed and licensed mobile games in 2015.</w:t>
      </w:r>
    </w:p>
    <w:p>
      <w:pPr>
        <w:sectPr>
          <w:pgSz w:w="11900" w:h="16838" w:orient="portrait"/>
          <w:cols w:equalWidth="0" w:num="1">
            <w:col w:w="11400"/>
          </w:cols>
          <w:pgMar w:left="240" w:top="140" w:right="259" w:bottom="0" w:gutter="0" w:footer="0" w:header="0"/>
        </w:sectPr>
      </w:pPr>
    </w:p>
    <w:bookmarkStart w:id="50" w:name="page51"/>
    <w:bookmarkEnd w:id="50"/>
    <w:p>
      <w:pPr>
        <w:ind w:left="620" w:right="120" w:hanging="308"/>
        <w:spacing w:after="0" w:line="261" w:lineRule="auto"/>
        <w:tabs>
          <w:tab w:leader="none" w:pos="5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Staff-related costs increased by RMB518.1 million to RMB1,292.4 million in 2015 from RMB774.3 million in 2014, mainly as a result of an increase in the level of salaries and other compensation payments and an increase in the number of employees. The number of full time employees in our online games business increased to 7,024 as of December 31, 2015 from 5,673 as of December 31, 2014, including 568 employees in the customer service function to support the operation of games licensed from Blizzard.</w:t>
      </w:r>
    </w:p>
    <w:p>
      <w:pPr>
        <w:spacing w:after="0" w:line="178" w:lineRule="exact"/>
        <w:rPr>
          <w:rFonts w:ascii="Arial" w:cs="Arial" w:eastAsia="Arial" w:hAnsi="Arial"/>
          <w:sz w:val="17"/>
          <w:szCs w:val="17"/>
          <w:color w:val="auto"/>
        </w:rPr>
      </w:pPr>
    </w:p>
    <w:p>
      <w:pPr>
        <w:ind w:left="620" w:right="100" w:hanging="308"/>
        <w:spacing w:after="0" w:line="278" w:lineRule="auto"/>
        <w:tabs>
          <w:tab w:leader="none" w:pos="58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Technology costs increased by RMB416.7 million to RMB1,378.5 million in 2015 from RMB961.8 million in 2014, mainly due to an increase in royalty fee payments of RMB384.2 million in line with the revenue contribution from Blizzard’s Diablo III and Hearthstone.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Advertising Services</w:t>
      </w:r>
    </w:p>
    <w:p>
      <w:pPr>
        <w:spacing w:after="0" w:line="216"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Cost of revenues from our advertising services increased by 15.5% to RMB599.0 million in 2015 from RMB518.7 million in 2014. The increase in cost of revenues in 2015 was primarily due to a combination of the following factors: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40" w:hanging="308"/>
        <w:spacing w:after="0" w:line="278" w:lineRule="auto"/>
        <w:tabs>
          <w:tab w:leader="none" w:pos="5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Staff-related costs increased by RMB67.9 million to RMB334.0 million in 2015 from RMB266.1 million in 2014, mainly as a result of an increase in salaries and other compensation payments, such as bonuses and welfare benefits, and also due to an expansion of the business.</w:t>
      </w:r>
    </w:p>
    <w:p>
      <w:pPr>
        <w:spacing w:after="0" w:line="164" w:lineRule="exact"/>
        <w:rPr>
          <w:rFonts w:ascii="Arial" w:cs="Arial" w:eastAsia="Arial" w:hAnsi="Arial"/>
          <w:sz w:val="17"/>
          <w:szCs w:val="17"/>
          <w:color w:val="auto"/>
        </w:rPr>
      </w:pPr>
    </w:p>
    <w:p>
      <w:pPr>
        <w:ind w:left="620" w:right="300" w:hanging="308"/>
        <w:spacing w:after="0" w:line="278" w:lineRule="auto"/>
        <w:tabs>
          <w:tab w:leader="none" w:pos="5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Revenue sharing costs related to our performance-based advertising business increased by RMB12.3 million to RMB57.8 million in 2015 from RMB45.5 million in 2014 primarily due to an expansion of the business.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E-mail, E-commerce and Others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Cost of revenues from our e-mail, e-commerce and other services increased by 439.8% to RMB3,406.7 million in 2015 from RMB631.2 million in 2014.</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cost of revenues in 2015 was primarily due to a combination of the following factors:</w:t>
      </w:r>
    </w:p>
    <w:p>
      <w:pPr>
        <w:spacing w:after="0" w:line="205" w:lineRule="exact"/>
        <w:rPr>
          <w:sz w:val="20"/>
          <w:szCs w:val="20"/>
          <w:color w:val="auto"/>
        </w:rPr>
      </w:pPr>
    </w:p>
    <w:p>
      <w:pPr>
        <w:ind w:left="620" w:right="320" w:hanging="308"/>
        <w:spacing w:after="0" w:line="278" w:lineRule="auto"/>
        <w:tabs>
          <w:tab w:leader="none" w:pos="5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 of merchandise sold increased by RMB2,265.1 million to RMB2,392.3 million in 2015 from RMB127.2 million in 2014, which was in line with the revenue growth of our e-commerce business.</w:t>
      </w:r>
    </w:p>
    <w:p>
      <w:pPr>
        <w:spacing w:after="0" w:line="164" w:lineRule="exact"/>
        <w:rPr>
          <w:rFonts w:ascii="Arial" w:cs="Arial" w:eastAsia="Arial" w:hAnsi="Arial"/>
          <w:sz w:val="17"/>
          <w:szCs w:val="17"/>
          <w:color w:val="auto"/>
        </w:rPr>
      </w:pPr>
    </w:p>
    <w:p>
      <w:pPr>
        <w:ind w:left="620" w:right="140" w:hanging="308"/>
        <w:spacing w:after="0" w:line="278" w:lineRule="auto"/>
        <w:tabs>
          <w:tab w:leader="none" w:pos="5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Information cost increased by RMB195.5 million to RMB235.7 million in 2015 from RMB40.2 million in 2014 primarily due to the amortization of license fees related to Cloud Music.</w:t>
      </w:r>
    </w:p>
    <w:p>
      <w:pPr>
        <w:spacing w:after="0" w:line="164" w:lineRule="exact"/>
        <w:rPr>
          <w:rFonts w:ascii="Arial" w:cs="Arial" w:eastAsia="Arial" w:hAnsi="Arial"/>
          <w:sz w:val="17"/>
          <w:szCs w:val="17"/>
          <w:color w:val="auto"/>
        </w:rPr>
      </w:pPr>
    </w:p>
    <w:p>
      <w:pPr>
        <w:ind w:left="620" w:right="20" w:hanging="308"/>
        <w:spacing w:after="0" w:line="278" w:lineRule="auto"/>
        <w:tabs>
          <w:tab w:leader="none" w:pos="5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Staff-related cost increased by RMB195.1 million to RMB414.3 million in 2015 from RMB219.2 million in 2014, mainly as a result of an increase in salaries and bonuses and an increase in the number of employees due to business expansion.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gross profit increased by 58.6% to RMB13,403.6 million in 2015 from RMB8,451.3 million in 2014.</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The following table sets forth the consolidated gross profits and gross profit margins of our business activities for the periods indicated as derived from our audited financial statements. The gross profit margins in 2014 and 2015 were calculated by dividing our gross profits over our net revenues for the corresponding type of services.</w:t>
      </w:r>
    </w:p>
    <w:p>
      <w:pPr>
        <w:spacing w:after="0" w:line="166"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7580" w:type="dxa"/>
            <w:vAlign w:val="bottom"/>
          </w:tcPr>
          <w:p>
            <w:pPr>
              <w:spacing w:after="0"/>
              <w:rPr>
                <w:sz w:val="14"/>
                <w:szCs w:val="14"/>
                <w:color w:val="auto"/>
              </w:rPr>
            </w:pPr>
          </w:p>
        </w:tc>
        <w:tc>
          <w:tcPr>
            <w:tcW w:w="31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Year Ended December 31,</w:t>
            </w:r>
          </w:p>
        </w:tc>
      </w:tr>
      <w:tr>
        <w:trPr>
          <w:trHeight w:val="134"/>
        </w:trPr>
        <w:tc>
          <w:tcPr>
            <w:tcW w:w="758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right"/>
              <w:ind w:right="462"/>
              <w:spacing w:after="0" w:line="13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ind w:right="460"/>
              <w:spacing w:after="0" w:line="13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r>
      <w:tr>
        <w:trPr>
          <w:trHeight w:val="134"/>
        </w:trPr>
        <w:tc>
          <w:tcPr>
            <w:tcW w:w="75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RMB’000</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RMB’000</w:t>
            </w:r>
          </w:p>
        </w:tc>
        <w:tc>
          <w:tcPr>
            <w:tcW w:w="140" w:type="dxa"/>
            <w:vAlign w:val="bottom"/>
          </w:tcPr>
          <w:p>
            <w:pPr>
              <w:spacing w:after="0"/>
              <w:rPr>
                <w:sz w:val="11"/>
                <w:szCs w:val="11"/>
                <w:color w:val="auto"/>
              </w:rPr>
            </w:pP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758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7,154,457</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11,920,593</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826,138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1,190,345</w:t>
            </w:r>
          </w:p>
        </w:tc>
      </w:tr>
      <w:tr>
        <w:trPr>
          <w:trHeight w:val="206"/>
        </w:trPr>
        <w:tc>
          <w:tcPr>
            <w:tcW w:w="758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470,695</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292,697</w:t>
            </w:r>
          </w:p>
        </w:tc>
      </w:tr>
      <w:tr>
        <w:trPr>
          <w:trHeight w:val="19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8,451,290</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13,403,635</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 margin:</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7580" w:type="dxa"/>
            <w:vAlign w:val="bottom"/>
          </w:tcPr>
          <w:p>
            <w:pPr>
              <w:spacing w:after="0"/>
              <w:rPr>
                <w:sz w:val="20"/>
                <w:szCs w:val="20"/>
                <w:color w:val="auto"/>
              </w:rPr>
            </w:pPr>
            <w:r>
              <w:rPr>
                <w:rFonts w:ascii="Arial" w:cs="Arial" w:eastAsia="Arial" w:hAnsi="Arial"/>
                <w:sz w:val="17"/>
                <w:szCs w:val="17"/>
                <w:color w:val="auto"/>
              </w:rPr>
              <w:t>Online games services</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77.2%</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68.8%</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61.4%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06"/>
        </w:trPr>
        <w:tc>
          <w:tcPr>
            <w:tcW w:w="758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40" w:type="dxa"/>
            <w:vAlign w:val="bottom"/>
            <w:gridSpan w:val="2"/>
          </w:tcPr>
          <w:p>
            <w:pPr>
              <w:jc w:val="right"/>
              <w:ind w:right="54"/>
              <w:spacing w:after="0"/>
              <w:rPr>
                <w:sz w:val="20"/>
                <w:szCs w:val="20"/>
                <w:color w:val="auto"/>
              </w:rPr>
            </w:pPr>
            <w:r>
              <w:rPr>
                <w:rFonts w:ascii="Arial" w:cs="Arial" w:eastAsia="Arial" w:hAnsi="Arial"/>
                <w:sz w:val="17"/>
                <w:szCs w:val="17"/>
                <w:color w:val="auto"/>
              </w:rPr>
              <w:t>42.7%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7.9%</w:t>
            </w:r>
          </w:p>
        </w:tc>
      </w:tr>
      <w:tr>
        <w:trPr>
          <w:trHeight w:val="19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280" w:type="dxa"/>
            <w:vAlign w:val="bottom"/>
            <w:tcBorders>
              <w:top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bl>
    <w:p>
      <w:pPr>
        <w:spacing w:after="0" w:line="193" w:lineRule="exact"/>
        <w:rPr>
          <w:sz w:val="20"/>
          <w:szCs w:val="20"/>
          <w:color w:val="auto"/>
        </w:rPr>
      </w:pPr>
    </w:p>
    <w:p>
      <w:pPr>
        <w:ind w:right="100" w:firstLine="617"/>
        <w:spacing w:after="0" w:line="306" w:lineRule="auto"/>
        <w:rPr>
          <w:sz w:val="20"/>
          <w:szCs w:val="20"/>
          <w:color w:val="auto"/>
        </w:rPr>
      </w:pPr>
      <w:r>
        <w:rPr>
          <w:rFonts w:ascii="Arial" w:cs="Arial" w:eastAsia="Arial" w:hAnsi="Arial"/>
          <w:sz w:val="15"/>
          <w:szCs w:val="15"/>
          <w:color w:val="auto"/>
        </w:rPr>
        <w:t>The decrease of gross profit margin for online games services was mainly due to the increased revenues contribution from mobile games, which have relatively lower gross profit margin, as a percentage of NetEase’s total online game revenues. The increase in gross profit margin for advertising services was mainly due to the enhanced economies of scale driven by revenue growth in our Internet media business. The decrease in gross profit margin for e-mail, e-commerce and others business was mainly due to the suspension of higher margin e-commerce services related to third-party lottery products since late February 2015.</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22" w:lineRule="exact"/>
        <w:rPr>
          <w:sz w:val="20"/>
          <w:szCs w:val="20"/>
          <w:color w:val="auto"/>
        </w:rPr>
      </w:pPr>
    </w:p>
    <w:p>
      <w:pPr>
        <w:ind w:right="380" w:firstLine="617"/>
        <w:spacing w:after="0" w:line="278" w:lineRule="auto"/>
        <w:rPr>
          <w:sz w:val="20"/>
          <w:szCs w:val="20"/>
          <w:color w:val="auto"/>
        </w:rPr>
      </w:pPr>
      <w:r>
        <w:rPr>
          <w:rFonts w:ascii="Arial" w:cs="Arial" w:eastAsia="Arial" w:hAnsi="Arial"/>
          <w:sz w:val="17"/>
          <w:szCs w:val="17"/>
          <w:color w:val="auto"/>
        </w:rPr>
        <w:t>Total operating expenses increased by 66.3% to RMB6,131.5 million in 2015 from RMB3,686.2 million in 2014 as a result of an increase in selling and marketing expenses, research and development expenses and general and administrative expenses.</w:t>
      </w:r>
    </w:p>
    <w:p>
      <w:pPr>
        <w:spacing w:after="0" w:line="165" w:lineRule="exact"/>
        <w:rPr>
          <w:sz w:val="20"/>
          <w:szCs w:val="20"/>
          <w:color w:val="auto"/>
        </w:rPr>
      </w:pPr>
    </w:p>
    <w:p>
      <w:pPr>
        <w:ind w:right="200" w:firstLine="617"/>
        <w:spacing w:after="0" w:line="278" w:lineRule="auto"/>
        <w:rPr>
          <w:sz w:val="20"/>
          <w:szCs w:val="20"/>
          <w:color w:val="auto"/>
        </w:rPr>
      </w:pPr>
      <w:r>
        <w:rPr>
          <w:rFonts w:ascii="Arial" w:cs="Arial" w:eastAsia="Arial" w:hAnsi="Arial"/>
          <w:sz w:val="17"/>
          <w:szCs w:val="17"/>
          <w:color w:val="auto"/>
        </w:rPr>
        <w:t>Selling and marketing expenses increased by 56.1% to RMB2,958.2 million in 2015 from RMB1,895.0 million in 2014, primarily due to a combination of the following factors: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333" w:right="239" w:bottom="0" w:gutter="0" w:footer="0" w:header="0"/>
        </w:sectPr>
      </w:pPr>
    </w:p>
    <w:bookmarkStart w:id="51" w:name="page52"/>
    <w:bookmarkEnd w:id="51"/>
    <w:p>
      <w:pPr>
        <w:spacing w:after="0" w:line="105" w:lineRule="exact"/>
        <w:rPr>
          <w:sz w:val="20"/>
          <w:szCs w:val="20"/>
          <w:color w:val="auto"/>
        </w:rPr>
      </w:pPr>
    </w:p>
    <w:p>
      <w:pPr>
        <w:ind w:left="620" w:right="240" w:hanging="308"/>
        <w:spacing w:after="0" w:line="265" w:lineRule="auto"/>
        <w:tabs>
          <w:tab w:leader="none" w:pos="58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in marketing costs of approximately RMB737.4 million in 2015 resulting from increased marketing spending on our various online games, including our self-developed mobile games, PC-client games and games licensed from Blizzard, as well as media and outdoor branding promotion for our advertising services and email, e-commerce and other services.</w:t>
      </w:r>
    </w:p>
    <w:p>
      <w:pPr>
        <w:spacing w:after="0" w:line="175" w:lineRule="exact"/>
        <w:rPr>
          <w:rFonts w:ascii="Arial" w:cs="Arial" w:eastAsia="Arial" w:hAnsi="Arial"/>
          <w:sz w:val="17"/>
          <w:szCs w:val="17"/>
          <w:color w:val="auto"/>
        </w:rPr>
      </w:pPr>
    </w:p>
    <w:p>
      <w:pPr>
        <w:ind w:left="620" w:right="620" w:hanging="308"/>
        <w:spacing w:after="0" w:line="278" w:lineRule="auto"/>
        <w:tabs>
          <w:tab w:leader="none" w:pos="58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in staff-related costs of our sales team of approximately RMB144.7 million in 2015, primarily driven by increased headcount and higher compensation levels and performance-related bonus accruals, particularly for our online game promotion teams.</w:t>
      </w:r>
    </w:p>
    <w:p>
      <w:pPr>
        <w:spacing w:after="0" w:line="165" w:lineRule="exact"/>
        <w:rPr>
          <w:sz w:val="20"/>
          <w:szCs w:val="20"/>
          <w:color w:val="auto"/>
        </w:rPr>
      </w:pPr>
    </w:p>
    <w:p>
      <w:pPr>
        <w:ind w:right="140" w:firstLine="617"/>
        <w:spacing w:after="0" w:line="265" w:lineRule="auto"/>
        <w:rPr>
          <w:sz w:val="20"/>
          <w:szCs w:val="20"/>
          <w:color w:val="auto"/>
        </w:rPr>
      </w:pPr>
      <w:r>
        <w:rPr>
          <w:rFonts w:ascii="Arial" w:cs="Arial" w:eastAsia="Arial" w:hAnsi="Arial"/>
          <w:sz w:val="17"/>
          <w:szCs w:val="17"/>
          <w:color w:val="auto"/>
        </w:rPr>
        <w:t>General and administrative expenses increased by 116.9% to RMB1,014.4 million in 2015 from RMB467.7 million in 2014, primarily due to an increase in staff-related costs of approximately RMB470.4 million in 2015 primarily driven by increased headcount, higher compensation levels and an increase in other miscellaneous costs of approximately RMB37.7 million such as facility costs due to increased business expansion.</w:t>
      </w:r>
    </w:p>
    <w:p>
      <w:pPr>
        <w:spacing w:after="0" w:line="176" w:lineRule="exact"/>
        <w:rPr>
          <w:sz w:val="20"/>
          <w:szCs w:val="20"/>
          <w:color w:val="auto"/>
        </w:rPr>
      </w:pPr>
    </w:p>
    <w:p>
      <w:pPr>
        <w:ind w:right="60" w:firstLine="617"/>
        <w:spacing w:after="0" w:line="278" w:lineRule="auto"/>
        <w:rPr>
          <w:sz w:val="20"/>
          <w:szCs w:val="20"/>
          <w:color w:val="auto"/>
        </w:rPr>
      </w:pPr>
      <w:r>
        <w:rPr>
          <w:rFonts w:ascii="Arial" w:cs="Arial" w:eastAsia="Arial" w:hAnsi="Arial"/>
          <w:sz w:val="17"/>
          <w:szCs w:val="17"/>
          <w:color w:val="auto"/>
        </w:rPr>
        <w:t>Research and development expenses increased by 63.1% to RMB2,158.9 million in 2015 from RMB1,323.5 million in 2014, primarily due to a combination of the following factors:</w:t>
      </w:r>
    </w:p>
    <w:p>
      <w:pPr>
        <w:spacing w:after="0" w:line="165" w:lineRule="exact"/>
        <w:rPr>
          <w:sz w:val="20"/>
          <w:szCs w:val="20"/>
          <w:color w:val="auto"/>
        </w:rPr>
      </w:pPr>
    </w:p>
    <w:p>
      <w:pPr>
        <w:ind w:left="620" w:right="200" w:hanging="308"/>
        <w:spacing w:after="0" w:line="265" w:lineRule="auto"/>
        <w:tabs>
          <w:tab w:leader="none" w:pos="5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in staff-related costs of approximately RMB643.3 million in 2015, mainly as a result of increased headcount for our online games services and email, e-commerce and other services and higher salaries, bonuses and other benefits paid to our research and development team during 2015, including share based compensation.</w:t>
      </w:r>
    </w:p>
    <w:p>
      <w:pPr>
        <w:spacing w:after="0" w:line="175" w:lineRule="exact"/>
        <w:rPr>
          <w:rFonts w:ascii="Arial" w:cs="Arial" w:eastAsia="Arial" w:hAnsi="Arial"/>
          <w:sz w:val="17"/>
          <w:szCs w:val="17"/>
          <w:color w:val="auto"/>
        </w:rPr>
      </w:pPr>
    </w:p>
    <w:p>
      <w:pPr>
        <w:ind w:left="580" w:hanging="268"/>
        <w:spacing w:after="0"/>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in technology costs of approximately RMB115.0 million, mainly for game content design.</w:t>
      </w:r>
    </w:p>
    <w:p>
      <w:pPr>
        <w:spacing w:after="0" w:line="216" w:lineRule="exact"/>
        <w:rPr>
          <w:rFonts w:ascii="Arial" w:cs="Arial" w:eastAsia="Arial" w:hAnsi="Arial"/>
          <w:sz w:val="17"/>
          <w:szCs w:val="17"/>
          <w:color w:val="auto"/>
        </w:rPr>
      </w:pPr>
    </w:p>
    <w:p>
      <w:pPr>
        <w:ind w:left="620" w:right="80" w:hanging="308"/>
        <w:spacing w:after="0" w:line="278" w:lineRule="auto"/>
        <w:tabs>
          <w:tab w:leader="none" w:pos="5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in other miscellaneous cost of approximately RMB55.2 million such as rental and utilities, mainly for development of our online games services as well as our email, e-commerce and other services.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Allowances for Doubtful Accounts</w:t>
      </w:r>
    </w:p>
    <w:p>
      <w:pPr>
        <w:spacing w:after="0" w:line="222" w:lineRule="exact"/>
        <w:rPr>
          <w:sz w:val="20"/>
          <w:szCs w:val="20"/>
          <w:color w:val="auto"/>
        </w:rPr>
      </w:pPr>
    </w:p>
    <w:p>
      <w:pPr>
        <w:ind w:right="220" w:firstLine="617"/>
        <w:spacing w:after="0" w:line="261" w:lineRule="auto"/>
        <w:rPr>
          <w:sz w:val="20"/>
          <w:szCs w:val="20"/>
          <w:color w:val="auto"/>
        </w:rPr>
      </w:pPr>
      <w:r>
        <w:rPr>
          <w:rFonts w:ascii="Arial" w:cs="Arial" w:eastAsia="Arial" w:hAnsi="Arial"/>
          <w:sz w:val="17"/>
          <w:szCs w:val="17"/>
          <w:color w:val="auto"/>
        </w:rPr>
        <w:t>As of December 31, 2015, the gross accounts receivable balance before any allowance for bad and doubtful accounts was RMB2,628.3 million. After providing for doubtful accounts in the amount of RMB14.2 million, the net balance of accounts receivable was RMB2,614.1 million as of December 31, 2015. The allowances for doubtful accounts represented the provisions of RMB14.2 million as of December 31 2015, as compared to the provision of RMB11.2 million as of December 31, 2014.</w:t>
      </w:r>
    </w:p>
    <w:p>
      <w:pPr>
        <w:spacing w:after="0" w:line="179" w:lineRule="exact"/>
        <w:rPr>
          <w:sz w:val="20"/>
          <w:szCs w:val="20"/>
          <w:color w:val="auto"/>
        </w:rPr>
      </w:pPr>
    </w:p>
    <w:p>
      <w:pPr>
        <w:ind w:right="340" w:firstLine="617"/>
        <w:spacing w:after="0" w:line="347" w:lineRule="auto"/>
        <w:rPr>
          <w:sz w:val="20"/>
          <w:szCs w:val="20"/>
          <w:color w:val="auto"/>
        </w:rPr>
      </w:pPr>
      <w:r>
        <w:rPr>
          <w:rFonts w:ascii="Arial" w:cs="Arial" w:eastAsia="Arial" w:hAnsi="Arial"/>
          <w:sz w:val="15"/>
          <w:szCs w:val="15"/>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19"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No significant allowance for bad and doubtful accounts was provided in 2015. As of December 31, 2015, we had one distribution channel with a receivable balance exceeding 10% of our total accounts receivable balance.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(Expenses)</w:t>
      </w:r>
    </w:p>
    <w:p>
      <w:pPr>
        <w:spacing w:after="0" w:line="222" w:lineRule="exact"/>
        <w:rPr>
          <w:sz w:val="20"/>
          <w:szCs w:val="20"/>
          <w:color w:val="auto"/>
        </w:rPr>
      </w:pPr>
    </w:p>
    <w:p>
      <w:pPr>
        <w:ind w:right="360" w:firstLine="617"/>
        <w:spacing w:after="0" w:line="347" w:lineRule="auto"/>
        <w:rPr>
          <w:sz w:val="20"/>
          <w:szCs w:val="20"/>
          <w:color w:val="auto"/>
        </w:rPr>
      </w:pPr>
      <w:r>
        <w:rPr>
          <w:rFonts w:ascii="Arial" w:cs="Arial" w:eastAsia="Arial" w:hAnsi="Arial"/>
          <w:sz w:val="15"/>
          <w:szCs w:val="15"/>
          <w:color w:val="auto"/>
        </w:rPr>
        <w:t>Other income in 2015 mainly consisted of interest income, investment income related to short-term investments, foreign exchange gain and government incentives, offset in part by the net investment loss in associated companies and the investment impairment loss related to certain equity investments.</w:t>
      </w:r>
    </w:p>
    <w:p>
      <w:pPr>
        <w:spacing w:after="0" w:line="119" w:lineRule="exact"/>
        <w:rPr>
          <w:sz w:val="20"/>
          <w:szCs w:val="20"/>
          <w:color w:val="auto"/>
        </w:rPr>
      </w:pPr>
    </w:p>
    <w:p>
      <w:pPr>
        <w:ind w:right="200" w:firstLine="617"/>
        <w:spacing w:after="0" w:line="289" w:lineRule="auto"/>
        <w:rPr>
          <w:sz w:val="20"/>
          <w:szCs w:val="20"/>
          <w:color w:val="auto"/>
        </w:rPr>
      </w:pPr>
      <w:r>
        <w:rPr>
          <w:rFonts w:ascii="Arial" w:cs="Arial" w:eastAsia="Arial" w:hAnsi="Arial"/>
          <w:sz w:val="16"/>
          <w:szCs w:val="16"/>
          <w:color w:val="auto"/>
        </w:rPr>
        <w:t>Interest income decreased to RMB 596.9 million in 2015 from RMB601.5 million in 2014, primarily due to a decrease in interest rates, offset in part by an increase in our total cash and cash equivalents and time deposit balance, which increased by 2.8% to RMB21.8 billion as of December 31, 2015 from RMB21.2 billion as of December 31, 2014. We incurred interest expense of RMB19.0 million in 2015 related to our short-term borrowings.</w:t>
      </w:r>
    </w:p>
    <w:p>
      <w:pPr>
        <w:spacing w:after="0" w:line="159"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Investment income related to short-term investments, which consisted of held-to-maturity investments of fixed-rate corporate bonds and other short-term investments of financial products issued by commercial banks with a maturity date within one year when purchased, was RMB143.1 million in 2015, compared to RMB64.2 million in 2014. As of December 31, 2015, our short-term investments totaled approximately RMB5,013.5 million, compared to RMB2,058.6 million as of December 31, 2014.</w:t>
      </w:r>
    </w:p>
    <w:p>
      <w:pPr>
        <w:spacing w:after="0" w:line="179"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We also reported a net foreign exchange gain of RMB133.8 million in 2015, compared to a net foreign exchange loss of RMB18.0 million in 2014, both of which are primarily due to the translation gains and losses arising from our U.S. dollar-denominated bank deposit and short-term loan balances as the exchange rate of the U.S. dollar against the RMB fluctuated over these periods.</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In 2015, we received and recognized unconditional government incentives of approximately RMB45.1 million, compared to RMB82.5 million in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ind w:right="380" w:firstLine="617"/>
        <w:spacing w:after="0" w:line="265" w:lineRule="auto"/>
        <w:rPr>
          <w:sz w:val="20"/>
          <w:szCs w:val="20"/>
          <w:color w:val="auto"/>
        </w:rPr>
      </w:pPr>
      <w:r>
        <w:rPr>
          <w:rFonts w:ascii="Arial" w:cs="Arial" w:eastAsia="Arial" w:hAnsi="Arial"/>
          <w:sz w:val="17"/>
          <w:szCs w:val="17"/>
          <w:color w:val="auto"/>
        </w:rPr>
        <w:t>In 2015, we recognized a net investment loss in associated companies of RMB76.1 million, compared to the equity share of loss of RMB33.6 million in 2014. We also recognized an investment impairment provision of RMB12.0 million related to certain equity investments in 2015, compared to RMB24.0 million related to equity investments in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222"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Income tax increased to RMB 1,273.4 million in 2015 from RMB662.7 million in 2014. Our effective tax rate in 2015 was 15.7% compared with 12.1% in 2014. The change in the effective tax rate was mainly due to the fact that certain subsidiaries of our company were approved as Key Software Enterprises and subject to a preferential tax rate of 10% for 2014. Those subsidiaries were subject to a tax rate of 15% in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a result of the foregoing, net income attributable to our shareholders increased by 41.6% to RMB6,735.1 million in 2015 from RMB4,756.6 million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199" w:lineRule="exact"/>
        <w:rPr>
          <w:sz w:val="20"/>
          <w:szCs w:val="20"/>
          <w:color w:val="auto"/>
        </w:rPr>
      </w:pPr>
    </w:p>
    <w:p>
      <w:pPr>
        <w:ind w:left="620" w:hanging="617"/>
        <w:spacing w:after="0"/>
        <w:tabs>
          <w:tab w:leader="none" w:pos="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ind w:right="520" w:firstLine="617"/>
        <w:spacing w:after="0" w:line="347" w:lineRule="auto"/>
        <w:rPr>
          <w:sz w:val="20"/>
          <w:szCs w:val="20"/>
          <w:color w:val="auto"/>
        </w:rPr>
      </w:pPr>
      <w:r>
        <w:rPr>
          <w:rFonts w:ascii="Arial" w:cs="Arial" w:eastAsia="Arial" w:hAnsi="Arial"/>
          <w:sz w:val="15"/>
          <w:szCs w:val="15"/>
          <w:color w:val="auto"/>
        </w:rPr>
        <w:t>To date, we have financed our operations primarily through operating cash flows and existing capital resources. As of December 31, 2016, we had RMB5,439.5 million (US$783.5 million) in cash and cash equivalents, RMB19,911.1 million (US$2,867.8 million) in time deposits and RMB11,582.1 million</w:t>
      </w:r>
    </w:p>
    <w:p>
      <w:pPr>
        <w:sectPr>
          <w:pgSz w:w="11900" w:h="16943" w:orient="portrait"/>
          <w:cols w:equalWidth="0" w:num="1">
            <w:col w:w="11420"/>
          </w:cols>
          <w:pgMar w:left="240" w:top="127" w:right="239" w:bottom="0" w:gutter="0" w:footer="0" w:header="0"/>
        </w:sectPr>
      </w:pPr>
    </w:p>
    <w:bookmarkStart w:id="52" w:name="page53"/>
    <w:bookmarkEnd w:id="52"/>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(US$1,668.2 million) in short-term investments. We had short-term borrowings of RMB3,815.7 million (US$549.6 million) as of December 31, 2016.</w:t>
      </w:r>
    </w:p>
    <w:p>
      <w:pPr>
        <w:spacing w:after="0" w:line="216" w:lineRule="exact"/>
        <w:rPr>
          <w:sz w:val="20"/>
          <w:szCs w:val="20"/>
          <w:color w:val="auto"/>
        </w:rPr>
      </w:pPr>
    </w:p>
    <w:p>
      <w:pPr>
        <w:ind w:firstLine="617"/>
        <w:spacing w:after="0" w:line="275" w:lineRule="auto"/>
        <w:rPr>
          <w:sz w:val="20"/>
          <w:szCs w:val="20"/>
          <w:color w:val="auto"/>
        </w:rPr>
      </w:pPr>
      <w:r>
        <w:rPr>
          <w:rFonts w:ascii="Arial" w:cs="Arial" w:eastAsia="Arial" w:hAnsi="Arial"/>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Activities</w:t>
      </w:r>
    </w:p>
    <w:p>
      <w:pPr>
        <w:spacing w:after="0" w:line="216" w:lineRule="exact"/>
        <w:rPr>
          <w:sz w:val="20"/>
          <w:szCs w:val="20"/>
          <w:color w:val="auto"/>
        </w:rPr>
      </w:pPr>
    </w:p>
    <w:p>
      <w:pPr>
        <w:ind w:right="220" w:firstLine="617"/>
        <w:spacing w:after="0" w:line="278" w:lineRule="auto"/>
        <w:rPr>
          <w:sz w:val="20"/>
          <w:szCs w:val="20"/>
          <w:color w:val="auto"/>
        </w:rPr>
      </w:pPr>
      <w:r>
        <w:rPr>
          <w:rFonts w:ascii="Arial" w:cs="Arial" w:eastAsia="Arial" w:hAnsi="Arial"/>
          <w:sz w:val="17"/>
          <w:szCs w:val="17"/>
          <w:color w:val="auto"/>
        </w:rPr>
        <w:t>Cash provided by operating activities was RMB15,488.3 million (US$2,230.8 million), RMB8,076.9 million and RMB5,873.0 million for the years ended December 31, 2016, 2015 and 2014, respectively.</w:t>
      </w:r>
    </w:p>
    <w:p>
      <w:pPr>
        <w:spacing w:after="0" w:line="165" w:lineRule="exact"/>
        <w:rPr>
          <w:sz w:val="20"/>
          <w:szCs w:val="20"/>
          <w:color w:val="auto"/>
        </w:rPr>
      </w:pPr>
    </w:p>
    <w:p>
      <w:pPr>
        <w:ind w:right="40" w:firstLine="617"/>
        <w:spacing w:after="0" w:line="274" w:lineRule="auto"/>
        <w:rPr>
          <w:sz w:val="20"/>
          <w:szCs w:val="20"/>
          <w:color w:val="auto"/>
        </w:rPr>
      </w:pPr>
      <w:r>
        <w:rPr>
          <w:rFonts w:ascii="Arial" w:cs="Arial" w:eastAsia="Arial" w:hAnsi="Arial"/>
          <w:sz w:val="16"/>
          <w:szCs w:val="16"/>
          <w:color w:val="auto"/>
        </w:rPr>
        <w:t>For the year ended December 31, 2016, cash provided by operating activities consisted primarily of (i) our net income of RMB11,792.9 million (US$1,698.5 million), (ii) an increase in deferred revenue of RMB2,879.5 million (US$414.7 million), (iii) an increase in accounts payable and other liabilities of RMB2,245.8 million (US$323.5 million), such as content fees, bandwidth cost, bonuses, marketing expenses and sales of game cards, (iv) share-based compensation cost of RMB990.1 million (US$142.6 million), (v) an increase in tax payable of RMB986.4 million (US$142.1 million), (vi) depreciation and amortization charges of RMB327.5 million (US$47.2 million), and (vii) impairment loss for investment of RMB278.9 million (US$40.2 million), partially offset by (A) an increase in accounts receivable, prepayments and other current assets of RMB2,710.9 million (US$390.4 million), (B) an increase in inventories of RMB760.4 million (US$109.5 million), (C) fair value changes in short-term investments of RMB304.6 million (US$43.9 million), (D) gain on disposal of long-term investment of RMB234.1 million (US$33.7 million) and (E) unrealized exchange gains of RMB166.6 million (US$24.0 million).</w:t>
      </w:r>
    </w:p>
    <w:p>
      <w:pPr>
        <w:spacing w:after="0" w:line="172" w:lineRule="exact"/>
        <w:rPr>
          <w:sz w:val="20"/>
          <w:szCs w:val="20"/>
          <w:color w:val="auto"/>
        </w:rPr>
      </w:pPr>
    </w:p>
    <w:p>
      <w:pPr>
        <w:ind w:right="140" w:firstLine="617"/>
        <w:spacing w:after="0" w:line="277" w:lineRule="auto"/>
        <w:rPr>
          <w:sz w:val="20"/>
          <w:szCs w:val="20"/>
          <w:color w:val="auto"/>
        </w:rPr>
      </w:pPr>
      <w:r>
        <w:rPr>
          <w:rFonts w:ascii="Arial" w:cs="Arial" w:eastAsia="Arial" w:hAnsi="Arial"/>
          <w:sz w:val="16"/>
          <w:szCs w:val="16"/>
          <w:color w:val="auto"/>
        </w:rPr>
        <w:t>For the year ended December 31, 2015, cash provided by operating activities consisted primarily of (i) our net income of RMB 6,836.9 million, (ii) an increase in deferred revenue of RMB2,684.0 million, (iii) an increase in accounts payable and other liabilities of RMB1,376.4 million, such as content fees, bandwidth cost, bonuses, marketing expenses and sales of game cards, (iv) share-based compensation cost of RMB684.5 million, (v) an increase in tax payable of RMB401.9 million and (vi) depreciation and amortization charges of RMB182.5 million, partially offset by (A) an increase in accounts receivable, prepayments and other current assets of RMB2,993.6 million, (B) an increase in inventories of RMB789.5 million, (C) deferred income taxes of RMB147.3 million, (D) fair value changes in short-term investments of RMB140.1 million and (E) unrealized exchange gains of RMB116.8 million.</w:t>
      </w:r>
    </w:p>
    <w:p>
      <w:pPr>
        <w:spacing w:after="0" w:line="167" w:lineRule="exact"/>
        <w:rPr>
          <w:sz w:val="20"/>
          <w:szCs w:val="20"/>
          <w:color w:val="auto"/>
        </w:rPr>
      </w:pPr>
    </w:p>
    <w:p>
      <w:pPr>
        <w:ind w:right="180" w:firstLine="617"/>
        <w:spacing w:after="0" w:line="293" w:lineRule="auto"/>
        <w:rPr>
          <w:sz w:val="20"/>
          <w:szCs w:val="20"/>
          <w:color w:val="auto"/>
        </w:rPr>
      </w:pPr>
      <w:r>
        <w:rPr>
          <w:rFonts w:ascii="Arial" w:cs="Arial" w:eastAsia="Arial" w:hAnsi="Arial"/>
          <w:sz w:val="15"/>
          <w:szCs w:val="15"/>
          <w:color w:val="auto"/>
        </w:rPr>
        <w:t>For the year ended December 31, 2014, cash provided by operating activities consisted primarily of (i) our net income of RMB4,795.7 million, (ii) an increase in accounts payable and other liabilities of RMB658.4 million, such as content fees, bandwidth cost, bonuses, marketing expenses and sales of game cards,</w:t>
      </w:r>
    </w:p>
    <w:p>
      <w:pPr>
        <w:spacing w:after="0" w:line="1" w:lineRule="exact"/>
        <w:rPr>
          <w:sz w:val="20"/>
          <w:szCs w:val="20"/>
          <w:color w:val="auto"/>
        </w:rPr>
      </w:pPr>
    </w:p>
    <w:p>
      <w:pPr>
        <w:ind w:left="300" w:hanging="297"/>
        <w:spacing w:after="0"/>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deferred revenue of RMB486.7 million, (iv) share-based compensation cost of RMB349.3 million, (v) an increase in tax payable of RMB259.8</w:t>
      </w:r>
    </w:p>
    <w:p>
      <w:pPr>
        <w:spacing w:after="0" w:line="21" w:lineRule="exact"/>
        <w:rPr>
          <w:rFonts w:ascii="Arial" w:cs="Arial" w:eastAsia="Arial" w:hAnsi="Arial"/>
          <w:sz w:val="16"/>
          <w:szCs w:val="16"/>
          <w:color w:val="auto"/>
        </w:rPr>
      </w:pPr>
    </w:p>
    <w:p>
      <w:pPr>
        <w:ind w:right="20"/>
        <w:spacing w:after="0" w:line="296" w:lineRule="auto"/>
        <w:rPr>
          <w:rFonts w:ascii="Arial" w:cs="Arial" w:eastAsia="Arial" w:hAnsi="Arial"/>
          <w:sz w:val="16"/>
          <w:szCs w:val="16"/>
          <w:color w:val="auto"/>
        </w:rPr>
      </w:pPr>
      <w:r>
        <w:rPr>
          <w:rFonts w:ascii="Arial" w:cs="Arial" w:eastAsia="Arial" w:hAnsi="Arial"/>
          <w:sz w:val="16"/>
          <w:szCs w:val="16"/>
          <w:color w:val="auto"/>
        </w:rPr>
        <w:t>million and (vi) depreciation and amortization charges of RMB174.5 million, partially offset by (A) an increase in accounts receivable, prepayments and other current assets of RMB766.8 million, (B) deferred income taxes of RMB117.3 million and (C) fair value changes in short-term investments of RMB64.2 million.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Investing Activities</w:t>
      </w:r>
    </w:p>
    <w:p>
      <w:pPr>
        <w:spacing w:after="0" w:line="216" w:lineRule="exact"/>
        <w:rPr>
          <w:sz w:val="20"/>
          <w:szCs w:val="20"/>
          <w:color w:val="auto"/>
        </w:rPr>
      </w:pPr>
    </w:p>
    <w:p>
      <w:pPr>
        <w:ind w:right="560" w:firstLine="617"/>
        <w:spacing w:after="0" w:line="278" w:lineRule="auto"/>
        <w:rPr>
          <w:sz w:val="20"/>
          <w:szCs w:val="20"/>
          <w:color w:val="auto"/>
        </w:rPr>
      </w:pPr>
      <w:r>
        <w:rPr>
          <w:rFonts w:ascii="Arial" w:cs="Arial" w:eastAsia="Arial" w:hAnsi="Arial"/>
          <w:sz w:val="17"/>
          <w:szCs w:val="17"/>
          <w:color w:val="auto"/>
        </w:rPr>
        <w:t>Cash used in investing activities was RMB14,001.8 million (US$2,016.7 million), RMB2,536.5 million and RMB4,520.2 million for the years ended December 31, 2016, 2015 and 2014, respectively.</w:t>
      </w:r>
    </w:p>
    <w:p>
      <w:pPr>
        <w:spacing w:after="0" w:line="165" w:lineRule="exact"/>
        <w:rPr>
          <w:sz w:val="20"/>
          <w:szCs w:val="20"/>
          <w:color w:val="auto"/>
        </w:rPr>
      </w:pPr>
    </w:p>
    <w:p>
      <w:pPr>
        <w:ind w:right="180" w:firstLine="617"/>
        <w:spacing w:after="0" w:line="290" w:lineRule="auto"/>
        <w:rPr>
          <w:sz w:val="20"/>
          <w:szCs w:val="20"/>
          <w:color w:val="auto"/>
        </w:rPr>
      </w:pPr>
      <w:r>
        <w:rPr>
          <w:rFonts w:ascii="Arial" w:cs="Arial" w:eastAsia="Arial" w:hAnsi="Arial"/>
          <w:sz w:val="15"/>
          <w:szCs w:val="15"/>
          <w:color w:val="auto"/>
        </w:rPr>
        <w:t>For the year ended December 31, 2016, cash used in investing activities mainly consisted of (i) placement/rollover of matured time deposits of RMB20,367.4 million (US$2,933.5 million), (ii) purchase of short-term investments of RMB12,439.0 million (US$1,791.6 million), (iii) net change in short-term investments with terms of three months or less of RMB3,704.3 million (US$533.5 million), (iv) transfer of cash deposited by customers with our Wangyibao online payment platform to restricted cash pursuant to relevant PBOC regulations and cash deposited for our short-term loan of RMB2,140.4 million (US$308.3 million),</w:t>
      </w:r>
    </w:p>
    <w:p>
      <w:pPr>
        <w:spacing w:after="0" w:line="1" w:lineRule="exact"/>
        <w:rPr>
          <w:sz w:val="20"/>
          <w:szCs w:val="20"/>
          <w:color w:val="auto"/>
        </w:rPr>
      </w:pPr>
    </w:p>
    <w:p>
      <w:pPr>
        <w:ind w:right="20" w:firstLine="3"/>
        <w:spacing w:after="0" w:line="255" w:lineRule="auto"/>
        <w:tabs>
          <w:tab w:leader="none" w:pos="2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purchase of property, equipment, software and land use rights of RMB1,140.0 million (US$164.2 million), (vi) investment in associated companies of RMB364.5 million (US$52.5 million), (vii) acquisitions of other long-term investments of RMB181.1 million (US$26.1 million) and (viii) change in other assets of RMB173.4 million (US$25.0 million), partially offset by (A) proceeds from maturity of time deposits of RMB16,377.4 million (US$2,358.8 million), (B) proceeds from maturity of short-term investments of RMB9,879.3 million (US$1,422.9 million), and (C) proceeds from disposal of long-term investments of RMB249.6 million (US$35.9 million).</w:t>
      </w:r>
    </w:p>
    <w:p>
      <w:pPr>
        <w:spacing w:after="0" w:line="18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For the year ended December 31, 2015, cash used in investing activities mainly consisted of (i) placement/rollover of matured time deposits of</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RMB19,017.8 million, (ii) purchase of short-term investments of RMB5,687.0 million, (iii) acquisitions of other long-term investments of RMB1,178.9 million,</w:t>
      </w:r>
    </w:p>
    <w:p>
      <w:pPr>
        <w:spacing w:after="0" w:line="22" w:lineRule="exact"/>
        <w:rPr>
          <w:sz w:val="20"/>
          <w:szCs w:val="20"/>
          <w:color w:val="auto"/>
        </w:rPr>
      </w:pPr>
    </w:p>
    <w:p>
      <w:pPr>
        <w:ind w:right="80" w:firstLine="3"/>
        <w:spacing w:after="0" w:line="255" w:lineRule="auto"/>
        <w:tabs>
          <w:tab w:leader="none" w:pos="29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purchase of property, equipment, software and land use rights of RMB1,030.7 million, (v) transfer of cash deposited by customers with our Wangyibao online payment platform to restricted cash pursuant to relevant PBOC regulations and cash deposited for our short-term loan of RMB763.5 million, (vi) net change in short-term investments with terms of three months or less of RMB231.3 million, (vii) investment in associated companies of RMB187.5 million and (viii) change in other assets of RMB127.0 million, partially offset by (A) proceeds from maturity of time deposits of RMB22,582.5 million and (B) proceeds from maturity of short-term investments of RMB3,103.5 million.</w:t>
      </w:r>
    </w:p>
    <w:p>
      <w:pPr>
        <w:spacing w:after="0" w:line="185" w:lineRule="exact"/>
        <w:rPr>
          <w:sz w:val="20"/>
          <w:szCs w:val="20"/>
          <w:color w:val="auto"/>
        </w:rPr>
      </w:pPr>
    </w:p>
    <w:p>
      <w:pPr>
        <w:ind w:right="520" w:firstLine="617"/>
        <w:spacing w:after="0" w:line="293" w:lineRule="auto"/>
        <w:rPr>
          <w:sz w:val="20"/>
          <w:szCs w:val="20"/>
          <w:color w:val="auto"/>
        </w:rPr>
      </w:pPr>
      <w:r>
        <w:rPr>
          <w:rFonts w:ascii="Arial" w:cs="Arial" w:eastAsia="Arial" w:hAnsi="Arial"/>
          <w:sz w:val="15"/>
          <w:szCs w:val="15"/>
          <w:color w:val="auto"/>
        </w:rPr>
        <w:t>For the year ended December 31, 2014, cash used in investing activities mainly consisted of (i) placement/rollover of matured time deposits of RMB 21,955.0 million, (ii) purchase of short-term investments of RMB2,358.1 million, (iii) purchase of property, equipment and software of RMB537.4 million and</w:t>
      </w:r>
    </w:p>
    <w:p>
      <w:pPr>
        <w:spacing w:after="0" w:line="1" w:lineRule="exact"/>
        <w:rPr>
          <w:sz w:val="20"/>
          <w:szCs w:val="20"/>
          <w:color w:val="auto"/>
        </w:rPr>
      </w:pPr>
    </w:p>
    <w:p>
      <w:pPr>
        <w:jc w:val="both"/>
        <w:ind w:firstLine="3"/>
        <w:spacing w:after="0" w:line="282" w:lineRule="auto"/>
        <w:tabs>
          <w:tab w:leader="none" w:pos="2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transfer of cash deposited by customers with our Wangyibao online payment platform to restricted cash pursuant to relevant PBOC regulations and cash deposited for our short-term loan of RMB492.1 million, partially offset by (A) proceeds from maturity of time deposits of RMB19,905.0 million, (B) proceeds from maturity of short-term investments of RMB1,017.6 million and (C) net change in short-term investments with terms of three months or less of RMB247.4 million.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Financing Activities</w:t>
      </w:r>
    </w:p>
    <w:p>
      <w:pPr>
        <w:spacing w:after="0" w:line="216" w:lineRule="exact"/>
        <w:rPr>
          <w:sz w:val="20"/>
          <w:szCs w:val="20"/>
          <w:color w:val="auto"/>
        </w:rPr>
      </w:pPr>
    </w:p>
    <w:p>
      <w:pPr>
        <w:ind w:right="900" w:firstLine="617"/>
        <w:spacing w:after="0" w:line="278" w:lineRule="auto"/>
        <w:rPr>
          <w:sz w:val="20"/>
          <w:szCs w:val="20"/>
          <w:color w:val="auto"/>
        </w:rPr>
      </w:pPr>
      <w:r>
        <w:rPr>
          <w:rFonts w:ascii="Arial" w:cs="Arial" w:eastAsia="Arial" w:hAnsi="Arial"/>
          <w:sz w:val="17"/>
          <w:szCs w:val="17"/>
          <w:color w:val="auto"/>
        </w:rPr>
        <w:t>Cash used in financing activities was RMB2,250.5 million (US$324.1 million), RMB1,632.7 million and RMB778.4 million for the years ended December 31, 2016, 2015 and 2014, respectively.</w:t>
      </w:r>
    </w:p>
    <w:p>
      <w:pPr>
        <w:spacing w:after="0" w:line="165" w:lineRule="exact"/>
        <w:rPr>
          <w:sz w:val="20"/>
          <w:szCs w:val="20"/>
          <w:color w:val="auto"/>
        </w:rPr>
      </w:pPr>
    </w:p>
    <w:p>
      <w:pPr>
        <w:ind w:right="20" w:firstLine="617"/>
        <w:spacing w:after="0" w:line="347" w:lineRule="auto"/>
        <w:rPr>
          <w:sz w:val="20"/>
          <w:szCs w:val="20"/>
          <w:color w:val="auto"/>
        </w:rPr>
      </w:pPr>
      <w:r>
        <w:rPr>
          <w:rFonts w:ascii="Arial" w:cs="Arial" w:eastAsia="Arial" w:hAnsi="Arial"/>
          <w:sz w:val="15"/>
          <w:szCs w:val="15"/>
          <w:color w:val="auto"/>
        </w:rPr>
        <w:t>For the year ended December 31, 2016, cash used in financing activities resulted from payment of short-term bank loan of RMB9,860.1 million (US$1,420.2 million), dividends paid in the amount of RMB2,546.2 million (US$366.7 million) and repurchase of shares of RMB1,199.1 million (US$172.7 million), partially</w:t>
      </w:r>
    </w:p>
    <w:p>
      <w:pPr>
        <w:sectPr>
          <w:pgSz w:w="11900" w:h="16943" w:orient="portrait"/>
          <w:cols w:equalWidth="0" w:num="1">
            <w:col w:w="11420"/>
          </w:cols>
          <w:pgMar w:left="240" w:top="127" w:right="239" w:bottom="0" w:gutter="0" w:footer="0" w:header="0"/>
        </w:sectPr>
      </w:pPr>
    </w:p>
    <w:bookmarkStart w:id="53" w:name="page54"/>
    <w:bookmarkEnd w:id="53"/>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offset by proceeds from bank loan of RMB11,354.9 million (US$1,635.4 million).</w:t>
      </w:r>
    </w:p>
    <w:p>
      <w:pPr>
        <w:spacing w:after="0" w:line="216" w:lineRule="exact"/>
        <w:rPr>
          <w:sz w:val="20"/>
          <w:szCs w:val="20"/>
          <w:color w:val="auto"/>
        </w:rPr>
      </w:pPr>
    </w:p>
    <w:p>
      <w:pPr>
        <w:ind w:right="60" w:firstLine="617"/>
        <w:spacing w:after="0" w:line="265" w:lineRule="auto"/>
        <w:rPr>
          <w:sz w:val="20"/>
          <w:szCs w:val="20"/>
          <w:color w:val="auto"/>
        </w:rPr>
      </w:pPr>
      <w:r>
        <w:rPr>
          <w:rFonts w:ascii="Arial" w:cs="Arial" w:eastAsia="Arial" w:hAnsi="Arial"/>
          <w:sz w:val="17"/>
          <w:szCs w:val="17"/>
          <w:color w:val="auto"/>
        </w:rPr>
        <w:t>For the year ended December 31, 2015, cash used in financing activities resulted from payment of short-term bank loan of RMB5,741.6 million, dividends paid in the amount of RMB1,468.0 million, repurchase of mezzanine classified noncontrolling interests of RMB134.7 million and repurchase of shares of RMB132.2 million, partially offset by proceeds from bank loan of RMB5,828.8 million.</w:t>
      </w:r>
    </w:p>
    <w:p>
      <w:pPr>
        <w:spacing w:after="0" w:line="176"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For the year ended December 31, 2014, cash used in financing activities resulted from dividends paid in the amount of RMB1,983.0 million and payment of short-term bank loan of RMB975.5 million, partially offset by proceeds from bank loan of RMB2,046.7 million and capital contribution from mezzanine classified noncontrolling interests of RMB130.4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of Capital Resources</w:t>
      </w:r>
    </w:p>
    <w:p>
      <w:pPr>
        <w:spacing w:after="0" w:line="222" w:lineRule="exact"/>
        <w:rPr>
          <w:sz w:val="20"/>
          <w:szCs w:val="20"/>
          <w:color w:val="auto"/>
        </w:rPr>
      </w:pPr>
    </w:p>
    <w:p>
      <w:pPr>
        <w:ind w:firstLine="617"/>
        <w:spacing w:after="0" w:line="275"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variable interest entities in our consolidated financial statements, we do not have direct access to the cash and cash equivalents or future earnings of our subsidiaries and variable interest entities. As of December 31, 2016, these subsidiaries and variable interest entities had RMB25.2 billion (US$3.6 billion) in cash and cash equivalents, demand deposits and short-term and long-term time deposits. Our cash and cash equivalents, demand deposits, time deposits and short-term investments held outside of China are mainly denominated in U.S. dollars, Renminbi and Euro.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296" w:lineRule="auto"/>
        <w:rPr>
          <w:sz w:val="20"/>
          <w:szCs w:val="20"/>
          <w:color w:val="auto"/>
        </w:rPr>
      </w:pPr>
      <w:r>
        <w:rPr>
          <w:rFonts w:ascii="Arial" w:cs="Arial" w:eastAsia="Arial" w:hAnsi="Arial"/>
          <w:sz w:val="15"/>
          <w:szCs w:val="15"/>
          <w:color w:val="auto"/>
        </w:rPr>
        <w:t>To fund any cash requirements we may have, we may need to rely on dividends and other distributions on equity paid by our subsidiaries. Since substantially all of our operations are conducted through our PRC subsidiaries and variable interest entities, our subsidiaries may need to rely on dividends, loans or advances made by another PRC subsidiary or variable interest entity. Certain of these payments are subject to PRC taxes, including sales taxes, which effectively reduce the received amount. In addition, the PRC government could impose restrictions on such payments or change the tax rates applicable to such payments. As of December 31, 2016, we had accrued an aggregate of RMB404.8 million (US$58.3 million) for withholding tax liabilities associated with the cash expected to be distributed from our PRC subsidiaries offshore to our company for the payment of quarterly dividends and for general corporate purposes. For the foreseeable future, we intend to reinvest all remaining undistributed earnings as at December 31, 2016 in our PRC subsidiaries, and accordingly no other withholding tax is expected to be incurred.</w:t>
      </w:r>
    </w:p>
    <w:p>
      <w:pPr>
        <w:spacing w:after="0" w:line="157" w:lineRule="exact"/>
        <w:rPr>
          <w:sz w:val="20"/>
          <w:szCs w:val="20"/>
          <w:color w:val="auto"/>
        </w:rPr>
      </w:pPr>
    </w:p>
    <w:p>
      <w:pPr>
        <w:ind w:right="60" w:firstLine="617"/>
        <w:spacing w:after="0" w:line="274" w:lineRule="auto"/>
        <w:rPr>
          <w:sz w:val="20"/>
          <w:szCs w:val="20"/>
          <w:color w:val="auto"/>
        </w:rPr>
      </w:pPr>
      <w:r>
        <w:rPr>
          <w:rFonts w:ascii="Arial" w:cs="Arial" w:eastAsia="Arial" w:hAnsi="Arial"/>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RMB4.5 billion, or 12% of our total consolidated net assets, as of December 31, 2016. In addition, if any of our PRC subsidiaries incurs debt on its own behalf in the future, the instruments governing the debt may restrict its ability to pay dividends or make other distributions to us.</w:t>
      </w:r>
    </w:p>
    <w:p>
      <w:pPr>
        <w:spacing w:after="0" w:line="172" w:lineRule="exact"/>
        <w:rPr>
          <w:sz w:val="20"/>
          <w:szCs w:val="20"/>
          <w:color w:val="auto"/>
        </w:rPr>
      </w:pPr>
    </w:p>
    <w:p>
      <w:pPr>
        <w:ind w:right="140" w:firstLine="617"/>
        <w:spacing w:after="0" w:line="298" w:lineRule="auto"/>
        <w:rPr>
          <w:sz w:val="20"/>
          <w:szCs w:val="20"/>
          <w:color w:val="auto"/>
        </w:rPr>
      </w:pPr>
      <w:r>
        <w:rPr>
          <w:rFonts w:ascii="Arial" w:cs="Arial" w:eastAsia="Arial" w:hAnsi="Arial"/>
          <w:sz w:val="15"/>
          <w:szCs w:val="15"/>
          <w:color w:val="auto"/>
        </w:rPr>
        <w:t>Furthermore,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 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56" w:lineRule="exact"/>
        <w:rPr>
          <w:sz w:val="20"/>
          <w:szCs w:val="20"/>
          <w:color w:val="auto"/>
        </w:rPr>
      </w:pPr>
    </w:p>
    <w:p>
      <w:pPr>
        <w:ind w:right="280" w:firstLine="617"/>
        <w:spacing w:after="0" w:line="261" w:lineRule="auto"/>
        <w:rPr>
          <w:sz w:val="20"/>
          <w:szCs w:val="20"/>
          <w:color w:val="auto"/>
        </w:rPr>
      </w:pPr>
      <w:r>
        <w:rPr>
          <w:rFonts w:ascii="Arial" w:cs="Arial" w:eastAsia="Arial" w:hAnsi="Arial"/>
          <w:sz w:val="17"/>
          <w:szCs w:val="17"/>
          <w:color w:val="auto"/>
        </w:rPr>
        <w:t>For additional information, see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capital requirements relate primarily to financing:</w:t>
      </w:r>
    </w:p>
    <w:p>
      <w:pPr>
        <w:spacing w:after="0" w:line="216" w:lineRule="exact"/>
        <w:rPr>
          <w:sz w:val="20"/>
          <w:szCs w:val="20"/>
          <w:color w:val="auto"/>
        </w:rPr>
      </w:pPr>
    </w:p>
    <w:p>
      <w:pPr>
        <w:ind w:left="620" w:right="600" w:hanging="308"/>
        <w:spacing w:after="0" w:line="278" w:lineRule="auto"/>
        <w:tabs>
          <w:tab w:leader="none" w:pos="586" w:val="left"/>
        </w:tabs>
        <w:numPr>
          <w:ilvl w:val="1"/>
          <w:numId w:val="49"/>
        </w:numPr>
        <w:rPr>
          <w:rFonts w:ascii="Arial" w:cs="Arial" w:eastAsia="Arial" w:hAnsi="Arial"/>
          <w:sz w:val="17"/>
          <w:szCs w:val="17"/>
          <w:color w:val="auto"/>
        </w:rPr>
      </w:pPr>
      <w:r>
        <w:rPr>
          <w:rFonts w:ascii="Arial" w:cs="Arial" w:eastAsia="Arial" w:hAnsi="Arial"/>
          <w:sz w:val="17"/>
          <w:szCs w:val="17"/>
          <w:color w:val="auto"/>
        </w:rPr>
        <w:t>our working capital requirements, such as bandwidth and server custody fees, inventory purchase costs, staff costs, sales and marketing expenses and research and development costs, and</w:t>
      </w:r>
    </w:p>
    <w:p>
      <w:pPr>
        <w:spacing w:after="0" w:line="164" w:lineRule="exact"/>
        <w:rPr>
          <w:rFonts w:ascii="Arial" w:cs="Arial" w:eastAsia="Arial" w:hAnsi="Arial"/>
          <w:sz w:val="17"/>
          <w:szCs w:val="17"/>
          <w:color w:val="auto"/>
        </w:rPr>
      </w:pPr>
    </w:p>
    <w:p>
      <w:pPr>
        <w:ind w:left="620" w:right="680" w:hanging="308"/>
        <w:spacing w:after="0" w:line="278" w:lineRule="auto"/>
        <w:tabs>
          <w:tab w:leader="none" w:pos="586" w:val="left"/>
        </w:tabs>
        <w:numPr>
          <w:ilvl w:val="1"/>
          <w:numId w:val="49"/>
        </w:numPr>
        <w:rPr>
          <w:rFonts w:ascii="Arial" w:cs="Arial" w:eastAsia="Arial" w:hAnsi="Arial"/>
          <w:sz w:val="17"/>
          <w:szCs w:val="17"/>
          <w:color w:val="auto"/>
        </w:rPr>
      </w:pPr>
      <w:r>
        <w:rPr>
          <w:rFonts w:ascii="Arial" w:cs="Arial" w:eastAsia="Arial" w:hAnsi="Arial"/>
          <w:sz w:val="17"/>
          <w:szCs w:val="17"/>
          <w:color w:val="auto"/>
        </w:rPr>
        <w:t>costs associated with the expansion of our business, such as the purchase of servers, office renovations and construction of new office buildings and warehouses in Beijing, Guangzhou, Hangzhou, Zhoushan and Ningbo.</w:t>
      </w:r>
    </w:p>
    <w:p>
      <w:pPr>
        <w:spacing w:after="0" w:line="158" w:lineRule="exact"/>
        <w:rPr>
          <w:rFonts w:ascii="Arial" w:cs="Arial" w:eastAsia="Arial" w:hAnsi="Arial"/>
          <w:sz w:val="17"/>
          <w:szCs w:val="17"/>
          <w:color w:val="auto"/>
        </w:rPr>
      </w:pPr>
    </w:p>
    <w:p>
      <w:pPr>
        <w:ind w:left="640" w:hanging="637"/>
        <w:spacing w:after="0"/>
        <w:tabs>
          <w:tab w:leader="none" w:pos="6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PATENTS AND LICENSES, ETC.</w:t>
      </w:r>
    </w:p>
    <w:p>
      <w:pPr>
        <w:spacing w:after="0" w:line="222" w:lineRule="exact"/>
        <w:rPr>
          <w:sz w:val="20"/>
          <w:szCs w:val="20"/>
          <w:color w:val="auto"/>
        </w:rPr>
      </w:pPr>
    </w:p>
    <w:p>
      <w:pPr>
        <w:ind w:right="220" w:firstLine="617"/>
        <w:spacing w:after="0" w:line="311" w:lineRule="auto"/>
        <w:rPr>
          <w:sz w:val="20"/>
          <w:szCs w:val="20"/>
          <w:color w:val="auto"/>
        </w:rPr>
      </w:pPr>
      <w:r>
        <w:rPr>
          <w:rFonts w:ascii="Arial" w:cs="Arial" w:eastAsia="Arial" w:hAnsi="Arial"/>
          <w:sz w:val="16"/>
          <w:szCs w:val="16"/>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41" w:lineRule="exact"/>
        <w:rPr>
          <w:sz w:val="20"/>
          <w:szCs w:val="20"/>
          <w:color w:val="auto"/>
        </w:rPr>
      </w:pPr>
    </w:p>
    <w:p>
      <w:pPr>
        <w:ind w:right="100" w:firstLine="617"/>
        <w:spacing w:after="0" w:line="301" w:lineRule="auto"/>
        <w:rPr>
          <w:sz w:val="20"/>
          <w:szCs w:val="20"/>
          <w:color w:val="auto"/>
        </w:rPr>
      </w:pPr>
      <w:r>
        <w:rPr>
          <w:rFonts w:ascii="Arial" w:cs="Arial" w:eastAsia="Arial" w:hAnsi="Arial"/>
          <w:sz w:val="15"/>
          <w:szCs w:val="15"/>
          <w:color w:val="auto"/>
        </w:rPr>
        <w:t>We have utilized and will continue to utilize the products and services of third parties to enhance our platform of technologies and services to provide competitive and diverse Internet and e-commerce services to our users. In addition, we plan to continue to expand our technologies, products and services and registered user base through diverse online community products and services developed internally, particularly with respect to our online games services. We will seek to continually improve and enhance our existing services to respond to rapidly evolving competitive and technological conditions. For the years 2016, 2015 and 2014, we spent RMB3,047.0 million (US$438.9 million), RMB2,158.9 million and RMB1,323.5 million, respectively, on research and development activities.</w:t>
      </w:r>
    </w:p>
    <w:p>
      <w:pPr>
        <w:spacing w:after="0" w:line="147" w:lineRule="exact"/>
        <w:rPr>
          <w:sz w:val="20"/>
          <w:szCs w:val="20"/>
          <w:color w:val="auto"/>
        </w:rPr>
      </w:pPr>
    </w:p>
    <w:p>
      <w:pPr>
        <w:ind w:left="640" w:hanging="637"/>
        <w:spacing w:after="0"/>
        <w:tabs>
          <w:tab w:leader="none" w:pos="64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TREND INFORMATION</w:t>
      </w:r>
    </w:p>
    <w:p>
      <w:pPr>
        <w:spacing w:after="0" w:line="222" w:lineRule="exact"/>
        <w:rPr>
          <w:sz w:val="20"/>
          <w:szCs w:val="20"/>
          <w:color w:val="auto"/>
        </w:rPr>
      </w:pPr>
    </w:p>
    <w:p>
      <w:pPr>
        <w:ind w:right="160" w:firstLine="617"/>
        <w:spacing w:after="0" w:line="265" w:lineRule="auto"/>
        <w:rPr>
          <w:sz w:val="20"/>
          <w:szCs w:val="20"/>
          <w:color w:val="auto"/>
        </w:rPr>
      </w:pPr>
      <w:r>
        <w:rPr>
          <w:rFonts w:ascii="Arial" w:cs="Arial" w:eastAsia="Arial" w:hAnsi="Arial"/>
          <w:sz w:val="17"/>
          <w:szCs w:val="17"/>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ectPr>
          <w:pgSz w:w="11900" w:h="16886" w:orient="portrait"/>
          <w:cols w:equalWidth="0" w:num="1">
            <w:col w:w="11420"/>
          </w:cols>
          <w:pgMar w:left="240" w:top="127" w:right="239" w:bottom="0" w:gutter="0" w:footer="0" w:header="0"/>
        </w:sectPr>
      </w:pPr>
    </w:p>
    <w:bookmarkStart w:id="54" w:name="page55"/>
    <w:bookmarkEnd w:id="54"/>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hanging="617"/>
        <w:spacing w:after="0"/>
        <w:tabs>
          <w:tab w:leader="none" w:pos="62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OFF-BALANCE SHEET ARRANGEMENTS</w:t>
      </w:r>
    </w:p>
    <w:p>
      <w:pPr>
        <w:spacing w:after="0" w:line="222" w:lineRule="exact"/>
        <w:rPr>
          <w:sz w:val="20"/>
          <w:szCs w:val="20"/>
          <w:color w:val="auto"/>
        </w:rPr>
      </w:pPr>
    </w:p>
    <w:p>
      <w:pPr>
        <w:ind w:right="260" w:firstLine="617"/>
        <w:spacing w:after="0" w:line="278" w:lineRule="auto"/>
        <w:rPr>
          <w:sz w:val="20"/>
          <w:szCs w:val="20"/>
          <w:color w:val="auto"/>
        </w:rPr>
      </w:pPr>
      <w:r>
        <w:rPr>
          <w:rFonts w:ascii="Arial" w:cs="Arial" w:eastAsia="Arial" w:hAnsi="Arial"/>
          <w:sz w:val="17"/>
          <w:szCs w:val="17"/>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59" w:lineRule="exact"/>
        <w:rPr>
          <w:sz w:val="20"/>
          <w:szCs w:val="20"/>
          <w:color w:val="auto"/>
        </w:rPr>
      </w:pPr>
    </w:p>
    <w:p>
      <w:pPr>
        <w:ind w:left="620" w:hanging="617"/>
        <w:spacing w:after="0"/>
        <w:tabs>
          <w:tab w:leader="none" w:pos="6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TABULAR DISCLOSURE OF CONTRACTUAL OBLIGATIONS</w:t>
      </w:r>
    </w:p>
    <w:p>
      <w:pPr>
        <w:spacing w:after="0" w:line="222" w:lineRule="exact"/>
        <w:rPr>
          <w:sz w:val="20"/>
          <w:szCs w:val="20"/>
          <w:color w:val="auto"/>
        </w:rPr>
      </w:pPr>
    </w:p>
    <w:p>
      <w:pPr>
        <w:ind w:right="20" w:firstLine="617"/>
        <w:spacing w:after="0" w:line="277" w:lineRule="auto"/>
        <w:rPr>
          <w:sz w:val="20"/>
          <w:szCs w:val="20"/>
          <w:color w:val="auto"/>
        </w:rPr>
      </w:pPr>
      <w:r>
        <w:rPr>
          <w:rFonts w:ascii="Arial" w:cs="Arial" w:eastAsia="Arial" w:hAnsi="Arial"/>
          <w:sz w:val="16"/>
          <w:szCs w:val="16"/>
          <w:color w:val="auto"/>
        </w:rPr>
        <w:t>We have entered into leasing arrangements relating to our office premises. We also have contractual obligations in respect of the construction of new office buildings and warehouse facilities in Hangzhou, Guangzhou, Zhoushan and Ningbo, office rental and capital expenditures related to computer equipment and server custody fees. In addition, we have contractual obligations in connection with the licensing of World of Warcraft, StarCraft II series, Heroes of the Storm, Hearthstone, Diablo III and Overwatch from Blizzard, as described below. The following sets forth our contractual obligations for operating leases, server custody fees, long-term payables, capital expenditures and office machine and other obligations related to content and services purchases, other than our obligations in connection with the online games licensed by Blizzard, as of December 31, 2016:</w:t>
      </w:r>
    </w:p>
    <w:p>
      <w:pPr>
        <w:spacing w:after="0" w:line="13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Rental</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Server Custody</w:t>
            </w: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Office Machines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78"/>
              </w:rPr>
              <w:t>fee</w:t>
            </w:r>
          </w:p>
        </w:tc>
        <w:tc>
          <w:tcPr>
            <w:tcW w:w="1760" w:type="dxa"/>
            <w:vAlign w:val="bottom"/>
            <w:gridSpan w:val="2"/>
            <w:vMerge w:val="continue"/>
          </w:tcPr>
          <w:p>
            <w:pPr>
              <w:spacing w:after="0"/>
              <w:rPr>
                <w:sz w:val="12"/>
                <w:szCs w:val="12"/>
                <w:color w:val="auto"/>
              </w:rPr>
            </w:pPr>
          </w:p>
        </w:tc>
        <w:tc>
          <w:tcPr>
            <w:tcW w:w="17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and other</w:t>
            </w:r>
          </w:p>
        </w:tc>
        <w:tc>
          <w:tcPr>
            <w:tcW w:w="15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Commitments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Commitments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Commitments</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Commitments</w:t>
            </w: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46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144,159</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56,687</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774,530</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442,123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7"/>
                <w:szCs w:val="17"/>
                <w:color w:val="auto"/>
              </w:rPr>
              <w:t>2018</w:t>
            </w:r>
          </w:p>
        </w:tc>
        <w:tc>
          <w:tcPr>
            <w:tcW w:w="1780" w:type="dxa"/>
            <w:vAlign w:val="bottom"/>
            <w:gridSpan w:val="2"/>
          </w:tcPr>
          <w:p>
            <w:pPr>
              <w:jc w:val="right"/>
              <w:ind w:right="300"/>
              <w:spacing w:after="0"/>
              <w:rPr>
                <w:sz w:val="20"/>
                <w:szCs w:val="20"/>
                <w:color w:val="auto"/>
              </w:rPr>
            </w:pPr>
            <w:r>
              <w:rPr>
                <w:rFonts w:ascii="Arial" w:cs="Arial" w:eastAsia="Arial" w:hAnsi="Arial"/>
                <w:sz w:val="17"/>
                <w:szCs w:val="17"/>
                <w:color w:val="auto"/>
              </w:rPr>
              <w:t>96,133</w:t>
            </w:r>
          </w:p>
        </w:tc>
        <w:tc>
          <w:tcPr>
            <w:tcW w:w="1480" w:type="dxa"/>
            <w:vAlign w:val="bottom"/>
          </w:tcPr>
          <w:p>
            <w:pPr>
              <w:jc w:val="right"/>
              <w:spacing w:after="0"/>
              <w:rPr>
                <w:sz w:val="20"/>
                <w:szCs w:val="20"/>
                <w:color w:val="auto"/>
              </w:rPr>
            </w:pPr>
            <w:r>
              <w:rPr>
                <w:rFonts w:ascii="Arial" w:cs="Arial" w:eastAsia="Arial" w:hAnsi="Arial"/>
                <w:sz w:val="17"/>
                <w:szCs w:val="17"/>
                <w:color w:val="auto"/>
              </w:rPr>
              <w:t>8,892</w:t>
            </w:r>
          </w:p>
        </w:tc>
        <w:tc>
          <w:tcPr>
            <w:tcW w:w="280" w:type="dxa"/>
            <w:vAlign w:val="bottom"/>
          </w:tcPr>
          <w:p>
            <w:pPr>
              <w:spacing w:after="0"/>
              <w:rPr>
                <w:sz w:val="17"/>
                <w:szCs w:val="17"/>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341,295</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122,401</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568,721</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30,425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4,254</w:t>
            </w:r>
          </w:p>
        </w:tc>
        <w:tc>
          <w:tcPr>
            <w:tcW w:w="2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17,695</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152,015</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204,389</w:t>
            </w:r>
          </w:p>
        </w:tc>
        <w:tc>
          <w:tcPr>
            <w:tcW w:w="0" w:type="dxa"/>
            <w:vAlign w:val="bottom"/>
          </w:tcPr>
          <w:p>
            <w:pPr>
              <w:spacing w:after="0"/>
              <w:rPr>
                <w:sz w:val="1"/>
                <w:szCs w:val="1"/>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7"/>
                <w:szCs w:val="17"/>
                <w:color w:val="auto"/>
              </w:rPr>
              <w:t>2020</w:t>
            </w:r>
          </w:p>
        </w:tc>
        <w:tc>
          <w:tcPr>
            <w:tcW w:w="1780" w:type="dxa"/>
            <w:vAlign w:val="bottom"/>
            <w:gridSpan w:val="2"/>
          </w:tcPr>
          <w:p>
            <w:pPr>
              <w:jc w:val="right"/>
              <w:ind w:right="300"/>
              <w:spacing w:after="0"/>
              <w:rPr>
                <w:sz w:val="20"/>
                <w:szCs w:val="20"/>
                <w:color w:val="auto"/>
              </w:rPr>
            </w:pPr>
            <w:r>
              <w:rPr>
                <w:rFonts w:ascii="Arial" w:cs="Arial" w:eastAsia="Arial" w:hAnsi="Arial"/>
                <w:sz w:val="17"/>
                <w:szCs w:val="17"/>
                <w:color w:val="auto"/>
              </w:rPr>
              <w:t>20,274</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15,682</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151,967</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187,923</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Beyond 2020</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23,237</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183,990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207,227</w:t>
            </w:r>
          </w:p>
        </w:tc>
        <w:tc>
          <w:tcPr>
            <w:tcW w:w="0" w:type="dxa"/>
            <w:vAlign w:val="bottom"/>
          </w:tcPr>
          <w:p>
            <w:pPr>
              <w:spacing w:after="0"/>
              <w:rPr>
                <w:sz w:val="1"/>
                <w:szCs w:val="1"/>
                <w:color w:val="auto"/>
              </w:rPr>
            </w:pPr>
          </w:p>
        </w:tc>
      </w:tr>
      <w:tr>
        <w:trPr>
          <w:trHeight w:val="199"/>
        </w:trPr>
        <w:tc>
          <w:tcPr>
            <w:tcW w:w="20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314,228</w:t>
            </w:r>
          </w:p>
        </w:tc>
        <w:tc>
          <w:tcPr>
            <w:tcW w:w="3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69,833</w:t>
            </w:r>
          </w:p>
        </w:tc>
        <w:tc>
          <w:tcPr>
            <w:tcW w:w="2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1,149,202</w:t>
            </w:r>
          </w:p>
        </w:tc>
        <w:tc>
          <w:tcPr>
            <w:tcW w:w="28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1,052,496</w:t>
            </w:r>
          </w:p>
        </w:tc>
        <w:tc>
          <w:tcPr>
            <w:tcW w:w="28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2,585,759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firstLine="617"/>
        <w:spacing w:after="0" w:line="259" w:lineRule="auto"/>
        <w:rPr>
          <w:sz w:val="20"/>
          <w:szCs w:val="20"/>
          <w:color w:val="auto"/>
        </w:rPr>
      </w:pPr>
      <w:r>
        <w:rPr>
          <w:rFonts w:ascii="Arial" w:cs="Arial" w:eastAsia="Arial" w:hAnsi="Arial"/>
          <w:sz w:val="17"/>
          <w:szCs w:val="17"/>
          <w:color w:val="auto"/>
        </w:rPr>
        <w:t>Under certain license agreements entered into in 2008, 2009, 2012, 2013, 2014 and 2015 pursuant to which Blizzard licensed to Shanghai EaseNet the exclusive right to operate StarCraft II series, World of Warcraft, Heroes of the Storm, Hearthstone, Diablo III and Overwatch in the PRC, Shanghai EaseNet was required to pay license fees (excluding Hearthstone, Hero of the Storm and Diablo III for which no license fee was required to be paid) royalties and consultancy fees (except Hearthstone, Heroes of the Storm and Diablo III for which no consultancy fee was required to be paid) to Blizzard for the games. The license agreements also include minimum marketing expenditure commitments.</w:t>
      </w:r>
    </w:p>
    <w:p>
      <w:pPr>
        <w:spacing w:after="0" w:line="180"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In September 2016, Shanghai EaseNet renewed its license and joint venture agreement with Blizzard, extending its collaboration with Blizzard in mainland China to January 2020. The renewed license and joint venture agreement includes licenses for Blizzard’s World of Warcraft, StarCraft II series, Diablo III, Hearthstone, Heroes of the Storm and Overwatch, as well as new content for these games during the agreement period. Under the new license agreements, Shanghai EaseNet is required to pay royalties and make a minimum marketing expenditure commitment for the games. For more information, Item 4.B. “Business Overview— Our Services—Online Games—Game Licensing and Joint Venture with Blizzard.”</w:t>
      </w:r>
    </w:p>
    <w:p>
      <w:pPr>
        <w:spacing w:after="0" w:line="180" w:lineRule="exact"/>
        <w:rPr>
          <w:sz w:val="20"/>
          <w:szCs w:val="20"/>
          <w:color w:val="auto"/>
        </w:rPr>
      </w:pPr>
    </w:p>
    <w:p>
      <w:pPr>
        <w:jc w:val="both"/>
        <w:ind w:right="540" w:firstLine="617"/>
        <w:spacing w:after="0" w:line="265" w:lineRule="auto"/>
        <w:rPr>
          <w:sz w:val="20"/>
          <w:szCs w:val="20"/>
          <w:color w:val="auto"/>
        </w:rPr>
      </w:pPr>
      <w:r>
        <w:rPr>
          <w:rFonts w:ascii="Arial" w:cs="Arial" w:eastAsia="Arial" w:hAnsi="Arial"/>
          <w:sz w:val="17"/>
          <w:szCs w:val="17"/>
          <w:color w:val="auto"/>
        </w:rPr>
        <w:t>In accordance with such license agreements, we have incurred an overall commitment totaling approximately RMB7.4 billion (US$1.1 billion). As of December 31, 2016, our outstanding commitments under the license agreements with respect to the games licensed from Blizzard totaled RMB3,458.5 million (US$498.1 million) which can be summarized as follows:</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29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RMB (in millions)</w:t>
            </w:r>
          </w:p>
        </w:tc>
      </w:tr>
      <w:tr>
        <w:trPr>
          <w:trHeight w:val="19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2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7"/>
                <w:szCs w:val="17"/>
                <w:color w:val="auto"/>
              </w:rPr>
              <w:t>2018</w:t>
            </w:r>
          </w:p>
        </w:tc>
        <w:tc>
          <w:tcPr>
            <w:tcW w:w="2940" w:type="dxa"/>
            <w:vAlign w:val="bottom"/>
            <w:gridSpan w:val="2"/>
          </w:tcPr>
          <w:p>
            <w:pPr>
              <w:jc w:val="right"/>
              <w:ind w:right="100"/>
              <w:spacing w:after="0"/>
              <w:rPr>
                <w:sz w:val="20"/>
                <w:szCs w:val="20"/>
                <w:color w:val="auto"/>
              </w:rPr>
            </w:pPr>
            <w:r>
              <w:rPr>
                <w:rFonts w:ascii="Arial" w:cs="Arial" w:eastAsia="Arial" w:hAnsi="Arial"/>
                <w:sz w:val="17"/>
                <w:szCs w:val="17"/>
                <w:color w:val="auto"/>
              </w:rPr>
              <w:t>1,058</w:t>
            </w: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984</w:t>
            </w:r>
          </w:p>
        </w:tc>
      </w:tr>
      <w:tr>
        <w:trPr>
          <w:trHeight w:val="206"/>
        </w:trPr>
        <w:tc>
          <w:tcPr>
            <w:tcW w:w="5400" w:type="dxa"/>
            <w:vAlign w:val="bottom"/>
          </w:tcPr>
          <w:p>
            <w:pPr>
              <w:spacing w:after="0"/>
              <w:rPr>
                <w:sz w:val="20"/>
                <w:szCs w:val="20"/>
                <w:color w:val="auto"/>
              </w:rPr>
            </w:pPr>
            <w:r>
              <w:rPr>
                <w:rFonts w:ascii="Arial" w:cs="Arial" w:eastAsia="Arial" w:hAnsi="Arial"/>
                <w:sz w:val="17"/>
                <w:szCs w:val="17"/>
                <w:color w:val="auto"/>
              </w:rPr>
              <w:t>2020</w:t>
            </w:r>
          </w:p>
        </w:tc>
        <w:tc>
          <w:tcPr>
            <w:tcW w:w="2940" w:type="dxa"/>
            <w:vAlign w:val="bottom"/>
            <w:gridSpan w:val="2"/>
          </w:tcPr>
          <w:p>
            <w:pPr>
              <w:jc w:val="right"/>
              <w:ind w:right="100"/>
              <w:spacing w:after="0"/>
              <w:rPr>
                <w:sz w:val="20"/>
                <w:szCs w:val="20"/>
                <w:color w:val="auto"/>
              </w:rPr>
            </w:pPr>
            <w:r>
              <w:rPr>
                <w:rFonts w:ascii="Arial" w:cs="Arial" w:eastAsia="Arial" w:hAnsi="Arial"/>
                <w:sz w:val="17"/>
                <w:szCs w:val="17"/>
                <w:color w:val="auto"/>
              </w:rPr>
              <w:t>945</w:t>
            </w:r>
          </w:p>
        </w:tc>
      </w:tr>
      <w:tr>
        <w:trPr>
          <w:trHeight w:val="19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20" w:type="dxa"/>
            <w:vAlign w:val="bottom"/>
            <w:tcBorders>
              <w:top w:val="single" w:sz="8" w:color="CCEEFF"/>
            </w:tcBorders>
            <w:shd w:val="clear" w:color="auto" w:fill="CCEEFF"/>
          </w:tcPr>
          <w:p>
            <w:pPr>
              <w:spacing w:after="0"/>
              <w:rPr>
                <w:sz w:val="17"/>
                <w:szCs w:val="17"/>
                <w:color w:val="auto"/>
              </w:rPr>
            </w:pPr>
          </w:p>
        </w:tc>
      </w:tr>
    </w:tbl>
    <w:p>
      <w:pPr>
        <w:spacing w:after="0" w:line="193" w:lineRule="exact"/>
        <w:rPr>
          <w:sz w:val="20"/>
          <w:szCs w:val="20"/>
          <w:color w:val="auto"/>
        </w:rPr>
      </w:pPr>
    </w:p>
    <w:p>
      <w:pPr>
        <w:ind w:right="60" w:firstLine="617"/>
        <w:spacing w:after="0" w:line="282" w:lineRule="auto"/>
        <w:rPr>
          <w:sz w:val="20"/>
          <w:szCs w:val="20"/>
          <w:color w:val="auto"/>
        </w:rPr>
      </w:pPr>
      <w:r>
        <w:rPr>
          <w:rFonts w:ascii="Arial" w:cs="Arial" w:eastAsia="Arial" w:hAnsi="Arial"/>
          <w:sz w:val="16"/>
          <w:szCs w:val="16"/>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RMB195.0 million (US$28.1 million) over the remaining term of each license as of December 31, 2016. This amount represents the maximum expenditure Shanghai EaseNet would have to make for the prescribed hardware, but it may not be required to spend this amount in order to satisfy its obligations with respect to such hardware.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306" w:lineRule="auto"/>
        <w:rPr>
          <w:sz w:val="20"/>
          <w:szCs w:val="20"/>
          <w:color w:val="auto"/>
        </w:rPr>
      </w:pPr>
      <w:r>
        <w:rPr>
          <w:rFonts w:ascii="Arial" w:cs="Arial" w:eastAsia="Arial" w:hAnsi="Arial"/>
          <w:sz w:val="15"/>
          <w:szCs w:val="15"/>
          <w:color w:val="auto"/>
        </w:rPr>
        <w:t>With respect to the above commitments related to Blizzard licensed games, we have guaranteed the foregoing amounts if and to the extent Shanghai EaseNet has insufficient funds to make such payments. We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our company and the joint venture with Blizzard which provides technical services to Shanghai EaseNet.</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refer to Item 4.B. “Business Overview — Our Services — Game Licensing and Joint Venture with Blizzard” for further details.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than the obligations set forth above, we do not have any long-term commitments.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Rate Risk</w:t>
      </w:r>
    </w:p>
    <w:p>
      <w:pPr>
        <w:spacing w:after="0" w:line="216" w:lineRule="exact"/>
        <w:rPr>
          <w:sz w:val="20"/>
          <w:szCs w:val="20"/>
          <w:color w:val="auto"/>
        </w:rPr>
      </w:pPr>
    </w:p>
    <w:p>
      <w:pPr>
        <w:ind w:firstLine="617"/>
        <w:spacing w:after="0" w:line="347" w:lineRule="auto"/>
        <w:rPr>
          <w:sz w:val="20"/>
          <w:szCs w:val="20"/>
          <w:color w:val="auto"/>
        </w:rPr>
      </w:pPr>
      <w:r>
        <w:rPr>
          <w:rFonts w:ascii="Arial" w:cs="Arial" w:eastAsia="Arial" w:hAnsi="Arial"/>
          <w:sz w:val="15"/>
          <w:szCs w:val="15"/>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as well as interest expenses payable on our short-term bank</w:t>
      </w:r>
    </w:p>
    <w:p>
      <w:pPr>
        <w:sectPr>
          <w:pgSz w:w="11900" w:h="16838" w:orient="portrait"/>
          <w:cols w:equalWidth="0" w:num="1">
            <w:col w:w="11420"/>
          </w:cols>
          <w:pgMar w:left="240" w:top="333" w:right="239" w:bottom="0" w:gutter="0" w:footer="0" w:header="0"/>
        </w:sectPr>
      </w:pPr>
    </w:p>
    <w:bookmarkStart w:id="55" w:name="page56"/>
    <w:bookmarkEnd w:id="55"/>
    <w:p>
      <w:pPr>
        <w:ind w:right="60"/>
        <w:spacing w:after="0" w:line="301" w:lineRule="auto"/>
        <w:rPr>
          <w:sz w:val="20"/>
          <w:szCs w:val="20"/>
          <w:color w:val="auto"/>
        </w:rPr>
      </w:pPr>
      <w:r>
        <w:rPr>
          <w:rFonts w:ascii="Arial" w:cs="Arial" w:eastAsia="Arial" w:hAnsi="Arial"/>
          <w:sz w:val="15"/>
          <w:szCs w:val="15"/>
          <w:color w:val="auto"/>
        </w:rPr>
        <w:t>borrowings. All of our short-term bank borrowings as of December 31, 2016 were at fixed rates. From time to time, we use derivatives, such as interest rate swaps, to manage our interest rate exposure. 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2016, a 10% change in the interest rate would result in an increase or decrease of RMB54.2 million (US$7.8 million) of our total amount of net interest income or of RMB30.3million (US$4.4 million) of our total amount of investment income from short-term investments in 2016.</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Foreign Currency Risk</w:t>
      </w:r>
    </w:p>
    <w:p>
      <w:pPr>
        <w:spacing w:after="0" w:line="216" w:lineRule="exact"/>
        <w:rPr>
          <w:sz w:val="20"/>
          <w:szCs w:val="20"/>
          <w:color w:val="auto"/>
        </w:rPr>
      </w:pPr>
    </w:p>
    <w:p>
      <w:pPr>
        <w:ind w:right="100" w:firstLine="617"/>
        <w:spacing w:after="0" w:line="277" w:lineRule="auto"/>
        <w:rPr>
          <w:sz w:val="20"/>
          <w:szCs w:val="20"/>
          <w:color w:val="auto"/>
        </w:rPr>
      </w:pPr>
      <w:r>
        <w:rPr>
          <w:rFonts w:ascii="Arial" w:cs="Arial" w:eastAsia="Arial" w:hAnsi="Arial"/>
          <w:sz w:val="16"/>
          <w:szCs w:val="16"/>
          <w:color w:val="auto"/>
        </w:rPr>
        <w:t>Substantially all our revenues and expenses are denominated in Renminbi, but as noted above, a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 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67" w:lineRule="exact"/>
        <w:rPr>
          <w:sz w:val="20"/>
          <w:szCs w:val="20"/>
          <w:color w:val="auto"/>
        </w:rPr>
      </w:pPr>
    </w:p>
    <w:p>
      <w:pPr>
        <w:ind w:right="100" w:firstLine="617"/>
        <w:spacing w:after="0" w:line="295" w:lineRule="auto"/>
        <w:rPr>
          <w:sz w:val="20"/>
          <w:szCs w:val="20"/>
          <w:color w:val="auto"/>
        </w:rPr>
      </w:pPr>
      <w:r>
        <w:rPr>
          <w:rFonts w:ascii="Arial" w:cs="Arial" w:eastAsia="Arial" w:hAnsi="Arial"/>
          <w:sz w:val="15"/>
          <w:szCs w:val="15"/>
          <w:color w:val="auto"/>
        </w:rPr>
        <w:t>In July 2005, the Chinese government announced that it is pegging the exchange rate of the Chinese Renminbi against a number of currencies, rather than just the US dollar. This change in policy resulted in an overall appreciation in the value of the Renminbi against the US dollar, although more recently the Renminbi has depreciated against the US dollar. We translate our monetary assets and liabilities which are denominated in currencies other than Renminbi into Renminbi as of each accounting period end, in accordance with applicable accounting standards. As a result of this foreign currency translation, we reported a net foreign exchange gain of RMB146.5 million (US$21.1 million) in 2016, compared to a net foreign exchange gain of RMB133.8 million in 2015.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56" w:lineRule="exact"/>
        <w:rPr>
          <w:sz w:val="20"/>
          <w:szCs w:val="20"/>
          <w:color w:val="auto"/>
        </w:rPr>
      </w:pPr>
    </w:p>
    <w:p>
      <w:pPr>
        <w:ind w:right="400" w:firstLine="617"/>
        <w:spacing w:after="0" w:line="311" w:lineRule="auto"/>
        <w:rPr>
          <w:sz w:val="20"/>
          <w:szCs w:val="20"/>
          <w:color w:val="auto"/>
        </w:rPr>
      </w:pPr>
      <w:r>
        <w:rPr>
          <w:rFonts w:ascii="Arial" w:cs="Arial" w:eastAsia="Arial" w:hAnsi="Arial"/>
          <w:sz w:val="16"/>
          <w:szCs w:val="16"/>
          <w:color w:val="auto"/>
        </w:rPr>
        <w:t>As of December 31, 2016, we had U.S. dollar-denominated debt outstanding of US450.0 million. If the U.S. dollar had appreciated/depreciated by 10% against the Renminbi, our interest payments on this debt in Renminbi terms would have increased/decreased by RMB3.8 million (US$0.5 million).</w:t>
      </w:r>
    </w:p>
    <w:p>
      <w:pPr>
        <w:spacing w:after="0" w:line="141" w:lineRule="exact"/>
        <w:rPr>
          <w:sz w:val="20"/>
          <w:szCs w:val="20"/>
          <w:color w:val="auto"/>
        </w:rPr>
      </w:pPr>
    </w:p>
    <w:p>
      <w:pPr>
        <w:ind w:right="20" w:firstLine="617"/>
        <w:spacing w:after="0" w:line="265" w:lineRule="auto"/>
        <w:rPr>
          <w:sz w:val="20"/>
          <w:szCs w:val="20"/>
          <w:color w:val="auto"/>
        </w:rPr>
      </w:pPr>
      <w:r>
        <w:rPr>
          <w:rFonts w:ascii="Arial" w:cs="Arial" w:eastAsia="Arial" w:hAnsi="Arial"/>
          <w:sz w:val="17"/>
          <w:szCs w:val="17"/>
          <w:color w:val="auto"/>
        </w:rPr>
        <w:t>As of December 31, 2016, we had U.S. dollar-denominated cash and cash equivalents and time deposits of US$1,145.0 million. If the U.S. dollar had appreciated/depreciated by 10% against the Renminbi, our U.S. dollar-denominated cash and cash equivalents and time deposits as of December 31, 2016 would have increased/decreased by RMB795.0 million in Renminbi terms.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2" w:lineRule="exact"/>
        <w:rPr>
          <w:sz w:val="20"/>
          <w:szCs w:val="20"/>
          <w:color w:val="auto"/>
        </w:rPr>
      </w:pPr>
    </w:p>
    <w:p>
      <w:pPr>
        <w:ind w:right="20" w:firstLine="617"/>
        <w:spacing w:after="0" w:line="273" w:lineRule="auto"/>
        <w:rPr>
          <w:sz w:val="20"/>
          <w:szCs w:val="20"/>
          <w:color w:val="auto"/>
        </w:rPr>
      </w:pPr>
      <w:r>
        <w:rPr>
          <w:rFonts w:ascii="Arial" w:cs="Arial" w:eastAsia="Arial" w:hAnsi="Arial"/>
          <w:sz w:val="16"/>
          <w:szCs w:val="16"/>
          <w:color w:val="auto"/>
        </w:rPr>
        <w:t>In May 2014, the FASB issued ASU No. 2014-09 “Revenue from Contracts with Customers (Topic 606).” This guidance supersedes current guidance on revenue recognition in Topic 605 ‘‘Revenue Recognition.’’ In addition, Topic 606 requires disclosure related to the nature, amount, timing, and uncertainty of revenue recognition. In August 2015, the FASB issued ASU No.2015-14 to defer the effective date of ASU No. 2014-09 for all entities by one year. For public entities that follow U.S. GAAP, this deferral means that new revenue standard will only be effective for fiscal years and interim periods within those fiscal years beginning after December 15, 2017, with early adoption permitted for interim and annual periods beginning after December 15, 2016. The FASB has also issued several amendments and updates to this new revenue standard, including ASU 2016-08 “Principal versus Agent Considerations (Reporting Revenue Gross versus Net),” ASU 2016-10 “Identifying Performance Obligations and Licensing,” ASU 2016-12 “Narrow-Scope Improvements and Practical Expedients” and ASU 2016-20 “Technical Corrections and Improvements.” We have assembled an implementation team that is currently in the process of analyzing each of our revenue streams in accordance with the new revenue standard to determine its impact on our consolidated financial statements. We intend to apply the new revenue standard starting from January 1, 2018 and adopt the modified retrospective method when applying the new standard.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40" w:firstLine="617"/>
        <w:spacing w:after="0" w:line="279" w:lineRule="auto"/>
        <w:rPr>
          <w:sz w:val="20"/>
          <w:szCs w:val="20"/>
          <w:color w:val="auto"/>
        </w:rPr>
      </w:pPr>
      <w:r>
        <w:rPr>
          <w:rFonts w:ascii="Arial" w:cs="Arial" w:eastAsia="Arial" w:hAnsi="Arial"/>
          <w:sz w:val="16"/>
          <w:szCs w:val="16"/>
          <w:color w:val="auto"/>
        </w:rPr>
        <w:t>In July 2015, the FASB issued ASU 2015-11 “Simplifying the Measurement of Inventory” to reduce the complexity and cost of the subsequent measurement of inventory, in particular when using the first-in, first-out (FIFO) or average cost methods. The provisions of ASU 2015-11 specifically exclude inventory that is measured using the last-in, first-out (LIFO) or the retail inventory method. Entities should measure inventory within the scope of ASU 2015-11 at the lower of cost and net realizable value. ASU 2015-11 is effective for fiscal years and interim periods beginning after December 15, 2016. Early adoption is permitted. The implementation of this update is not expected to have any material impact on our consolidated financial statements.</w:t>
      </w:r>
    </w:p>
    <w:p>
      <w:pPr>
        <w:spacing w:after="0" w:line="165" w:lineRule="exact"/>
        <w:rPr>
          <w:sz w:val="20"/>
          <w:szCs w:val="20"/>
          <w:color w:val="auto"/>
        </w:rPr>
      </w:pPr>
    </w:p>
    <w:p>
      <w:pPr>
        <w:ind w:firstLine="617"/>
        <w:spacing w:after="0" w:line="28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We adopted this ASU in the first quarter of 2017 and will retrospectively adjust prior periods. After adoption of this ASU, current deferred tax assets of RMB536.3 million and current deferred tax liabilities of RMB358.5 million in our December 31, 2016 consolidated balance sheet will be reclassified as non-current.</w:t>
      </w:r>
    </w:p>
    <w:p>
      <w:pPr>
        <w:spacing w:after="0" w:line="164" w:lineRule="exact"/>
        <w:rPr>
          <w:sz w:val="20"/>
          <w:szCs w:val="20"/>
          <w:color w:val="auto"/>
        </w:rPr>
      </w:pPr>
    </w:p>
    <w:p>
      <w:pPr>
        <w:ind w:right="120" w:firstLine="617"/>
        <w:spacing w:after="0" w:line="277" w:lineRule="auto"/>
        <w:rPr>
          <w:sz w:val="20"/>
          <w:szCs w:val="20"/>
          <w:color w:val="auto"/>
        </w:rPr>
      </w:pPr>
      <w:r>
        <w:rPr>
          <w:rFonts w:ascii="Arial" w:cs="Arial" w:eastAsia="Arial" w:hAnsi="Arial"/>
          <w:sz w:val="16"/>
          <w:szCs w:val="16"/>
          <w:color w:val="auto"/>
        </w:rPr>
        <w:t>In January 2016, the FASB issued Accounting Standards Update No. 2016-01 (ASU 2016-01) “Financial Instruments-Overall (Subtopic 825-10): Recognition and Measurement of Financial Assets and Financial Liabilities.” ASU 2016-01 amends various aspects of the recognition, measurement, presentation, and disclosure for financial instruments. With respect to our consolidated financial statements, the most significant impact relates to the accounting for equity investments. This update will impact the disclosure and presentation of financial assets and liabilities. ASU 2016-01 is effective for annual reporting periods, and interim periods within those years, beginning after December 15, 2017. Early adoption by public entities is permitted only for certain provisions. We are currently in the process of evaluating the impact of the adoption of this standard on our consolidated financial statements.</w:t>
      </w:r>
    </w:p>
    <w:p>
      <w:pPr>
        <w:spacing w:after="0" w:line="167"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 provisions contained in ASU 2014-09 (see above). ASU 2016-02 is effective for fiscal years and interim periods beginning after December 15, 2018. Early adoption is permitted. We are currently assessing the impact of ASU 2016-02 on our consolidated financial statements.</w:t>
      </w:r>
    </w:p>
    <w:p>
      <w:pPr>
        <w:spacing w:after="0" w:line="185" w:lineRule="exact"/>
        <w:rPr>
          <w:sz w:val="20"/>
          <w:szCs w:val="20"/>
          <w:color w:val="auto"/>
        </w:rPr>
      </w:pPr>
    </w:p>
    <w:p>
      <w:pPr>
        <w:jc w:val="both"/>
        <w:ind w:right="80" w:firstLine="617"/>
        <w:spacing w:after="0" w:line="301" w:lineRule="auto"/>
        <w:rPr>
          <w:sz w:val="20"/>
          <w:szCs w:val="20"/>
          <w:color w:val="auto"/>
        </w:rPr>
      </w:pPr>
      <w:r>
        <w:rPr>
          <w:rFonts w:ascii="Arial" w:cs="Arial" w:eastAsia="Arial" w:hAnsi="Arial"/>
          <w:sz w:val="15"/>
          <w:szCs w:val="15"/>
          <w:color w:val="auto"/>
        </w:rPr>
        <w:t>In March 2016, the FASB issued ASU 2016-07 “Investments—Equity method and joint ventures (Topic 323),” to simplify the accounting for equity method investments, which eliminates the requirement in ASC 323 “Investments — equity method and joint ventures”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fiscal years and interim</w:t>
      </w:r>
    </w:p>
    <w:p>
      <w:pPr>
        <w:sectPr>
          <w:pgSz w:w="11900" w:h="16838" w:orient="portrait"/>
          <w:cols w:equalWidth="0" w:num="1">
            <w:col w:w="11420"/>
          </w:cols>
          <w:pgMar w:left="240" w:top="127" w:right="239" w:bottom="0" w:gutter="0" w:footer="0" w:header="0"/>
        </w:sectPr>
      </w:pPr>
    </w:p>
    <w:bookmarkStart w:id="56" w:name="page57"/>
    <w:bookmarkEnd w:id="56"/>
    <w:p>
      <w:pPr>
        <w:ind w:right="500"/>
        <w:spacing w:after="0" w:line="278" w:lineRule="auto"/>
        <w:rPr>
          <w:sz w:val="20"/>
          <w:szCs w:val="20"/>
          <w:color w:val="auto"/>
        </w:rPr>
      </w:pPr>
      <w:r>
        <w:rPr>
          <w:rFonts w:ascii="Arial" w:cs="Arial" w:eastAsia="Arial" w:hAnsi="Arial"/>
          <w:sz w:val="17"/>
          <w:szCs w:val="17"/>
          <w:color w:val="auto"/>
        </w:rPr>
        <w:t>periods beginning after December 15, 2016. Early adoption is permitted. The implementation of this update is not expected to have any material impact on our consolidated financial statements.</w:t>
      </w:r>
    </w:p>
    <w:p>
      <w:pPr>
        <w:spacing w:after="0" w:line="165" w:lineRule="exact"/>
        <w:rPr>
          <w:sz w:val="20"/>
          <w:szCs w:val="20"/>
          <w:color w:val="auto"/>
        </w:rPr>
      </w:pPr>
    </w:p>
    <w:p>
      <w:pPr>
        <w:ind w:right="220" w:firstLine="617"/>
        <w:spacing w:after="0" w:line="291" w:lineRule="auto"/>
        <w:rPr>
          <w:sz w:val="20"/>
          <w:szCs w:val="20"/>
          <w:color w:val="auto"/>
        </w:rPr>
      </w:pPr>
      <w:r>
        <w:rPr>
          <w:rFonts w:ascii="Arial" w:cs="Arial" w:eastAsia="Arial" w:hAnsi="Arial"/>
          <w:sz w:val="15"/>
          <w:szCs w:val="15"/>
          <w:color w:val="auto"/>
        </w:rPr>
        <w:t>In March 2016, the FASB issued ASU 2016-09 “Compensation—Stock Compensation: Improvements to Employee Share-Based Payment Accounting,” which relates to accounting for employee share-based payments. This standard addresses several aspects of the accounting for share-based payment award transactions, including: (a) income tax consequences; (b) classification of awards as either equity or liabilities; (c) classification in the statement of cash flows; and</w:t>
      </w:r>
    </w:p>
    <w:p>
      <w:pPr>
        <w:spacing w:after="0" w:line="1" w:lineRule="exact"/>
        <w:rPr>
          <w:sz w:val="20"/>
          <w:szCs w:val="20"/>
          <w:color w:val="auto"/>
        </w:rPr>
      </w:pPr>
    </w:p>
    <w:p>
      <w:pPr>
        <w:jc w:val="both"/>
        <w:ind w:right="140" w:firstLine="3"/>
        <w:spacing w:after="0" w:line="259" w:lineRule="auto"/>
        <w:tabs>
          <w:tab w:leader="none" w:pos="2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accounting for forfeitures of share-based payments. This standard will be effective for fiscal years beginning after December 15, 2016, including interim periods within those fiscal years. We will continue to estimate expected forfeitures and the implementation of this update is not expected to have any material impact on our consolidated financial statements.</w:t>
      </w:r>
    </w:p>
    <w:p>
      <w:pPr>
        <w:spacing w:after="0" w:line="179" w:lineRule="exact"/>
        <w:rPr>
          <w:sz w:val="20"/>
          <w:szCs w:val="20"/>
          <w:color w:val="auto"/>
        </w:rPr>
      </w:pPr>
    </w:p>
    <w:p>
      <w:pPr>
        <w:ind w:firstLine="617"/>
        <w:spacing w:after="0" w:line="257"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are currently evaluating the impact this standard will have on our consolidated financial statements and related disclosures.</w:t>
      </w:r>
    </w:p>
    <w:p>
      <w:pPr>
        <w:spacing w:after="0" w:line="185" w:lineRule="exact"/>
        <w:rPr>
          <w:sz w:val="20"/>
          <w:szCs w:val="20"/>
          <w:color w:val="auto"/>
        </w:rPr>
      </w:pPr>
    </w:p>
    <w:p>
      <w:pPr>
        <w:ind w:right="60" w:firstLine="617"/>
        <w:spacing w:after="0" w:line="261" w:lineRule="auto"/>
        <w:rPr>
          <w:sz w:val="20"/>
          <w:szCs w:val="20"/>
          <w:color w:val="auto"/>
        </w:rPr>
      </w:pPr>
      <w:r>
        <w:rPr>
          <w:rFonts w:ascii="Arial" w:cs="Arial" w:eastAsia="Arial" w:hAnsi="Arial"/>
          <w:sz w:val="17"/>
          <w:szCs w:val="17"/>
          <w:color w:val="auto"/>
        </w:rPr>
        <w:t>In August 2016, the FASB issued ASU 2016-15 “Statement of Cash Flows—Classification of Certain Cash Receipts and Cash Payments,”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We are currently evaluating the impact that this standard will have on our consolidated financial statements and related disclosures.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98" w:lineRule="auto"/>
        <w:rPr>
          <w:sz w:val="20"/>
          <w:szCs w:val="20"/>
          <w:color w:val="auto"/>
        </w:rPr>
      </w:pPr>
      <w:r>
        <w:rPr>
          <w:rFonts w:ascii="Arial" w:cs="Arial" w:eastAsia="Arial" w:hAnsi="Arial"/>
          <w:sz w:val="15"/>
          <w:szCs w:val="15"/>
          <w:color w:val="auto"/>
        </w:rPr>
        <w:t>In November 2016, the FASB issued ASU 2016-18 “Statement of Cash Flows (Topic 230): Restricted Cash.” The guidance requires that a statement of cash flows explain the change during the period in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in the statement of cash flows. The standard will be effective for fiscal years beginning after December 15, 2017 and interim period within those fiscal years. Early adoption is permitted, including adoption in an interim period. This standard shall be applied using a retrospective transition method to each period presented. We are currently evaluating the impact of adopting this standard on our consolidated financial statements.</w:t>
      </w:r>
    </w:p>
    <w:p>
      <w:pPr>
        <w:spacing w:after="0" w:line="15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216" w:lineRule="exact"/>
        <w:rPr>
          <w:sz w:val="20"/>
          <w:szCs w:val="20"/>
          <w:color w:val="auto"/>
        </w:rPr>
      </w:pPr>
    </w:p>
    <w:p>
      <w:pPr>
        <w:ind w:left="640" w:hanging="637"/>
        <w:spacing w:after="0"/>
        <w:tabs>
          <w:tab w:leader="none" w:pos="6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Senior Management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names of our directors and executive officers, their ages as of April 1, 2017 and the principal positions with NetEase held by them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 w:type="dxa"/>
            <w:vAlign w:val="bottom"/>
          </w:tcPr>
          <w:p>
            <w:pPr>
              <w:spacing w:after="0"/>
              <w:rPr>
                <w:sz w:val="14"/>
                <w:szCs w:val="14"/>
                <w:color w:val="auto"/>
              </w:rPr>
            </w:pPr>
          </w:p>
        </w:tc>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Age</w:t>
            </w:r>
          </w:p>
        </w:tc>
        <w:tc>
          <w:tcPr>
            <w:tcW w:w="3500" w:type="dxa"/>
            <w:vAlign w:val="bottom"/>
            <w:gridSpan w:val="2"/>
          </w:tcPr>
          <w:p>
            <w:pPr>
              <w:ind w:left="1460"/>
              <w:spacing w:after="0"/>
              <w:rPr>
                <w:sz w:val="20"/>
                <w:szCs w:val="20"/>
                <w:color w:val="auto"/>
              </w:rPr>
            </w:pPr>
            <w:r>
              <w:rPr>
                <w:rFonts w:ascii="Arial" w:cs="Arial" w:eastAsia="Arial" w:hAnsi="Arial"/>
                <w:sz w:val="14"/>
                <w:szCs w:val="14"/>
                <w:b w:val="1"/>
                <w:bCs w:val="1"/>
                <w:color w:val="auto"/>
              </w:rPr>
              <w:t>Position</w:t>
            </w:r>
          </w:p>
        </w:tc>
      </w:tr>
      <w:tr>
        <w:trPr>
          <w:trHeight w:val="199"/>
        </w:trPr>
        <w:tc>
          <w:tcPr>
            <w:tcW w:w="620" w:type="dxa"/>
            <w:vAlign w:val="bottom"/>
          </w:tcPr>
          <w:p>
            <w:pPr>
              <w:spacing w:after="0"/>
              <w:rPr>
                <w:sz w:val="17"/>
                <w:szCs w:val="17"/>
                <w:color w:val="auto"/>
              </w:rPr>
            </w:pPr>
          </w:p>
        </w:tc>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William Lei Ding</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ind w:right="816"/>
              <w:spacing w:after="0"/>
              <w:rPr>
                <w:sz w:val="20"/>
                <w:szCs w:val="20"/>
                <w:color w:val="auto"/>
              </w:rPr>
            </w:pPr>
            <w:r>
              <w:rPr>
                <w:rFonts w:ascii="Arial" w:cs="Arial" w:eastAsia="Arial" w:hAnsi="Arial"/>
                <w:sz w:val="17"/>
                <w:szCs w:val="17"/>
                <w:color w:val="auto"/>
                <w:w w:val="94"/>
              </w:rPr>
              <w:t>45</w:t>
            </w:r>
          </w:p>
        </w:tc>
        <w:tc>
          <w:tcPr>
            <w:tcW w:w="28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Director and Chief Executive Officer</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4640" w:type="dxa"/>
            <w:vAlign w:val="bottom"/>
            <w:gridSpan w:val="4"/>
          </w:tcPr>
          <w:p>
            <w:pPr>
              <w:spacing w:after="0"/>
              <w:rPr>
                <w:sz w:val="20"/>
                <w:szCs w:val="20"/>
                <w:color w:val="auto"/>
              </w:rPr>
            </w:pPr>
            <w:r>
              <w:rPr>
                <w:rFonts w:ascii="Arial" w:cs="Arial" w:eastAsia="Arial" w:hAnsi="Arial"/>
                <w:sz w:val="17"/>
                <w:szCs w:val="17"/>
                <w:color w:val="auto"/>
              </w:rPr>
              <w:t>Onward Choi</w:t>
            </w:r>
          </w:p>
        </w:tc>
        <w:tc>
          <w:tcPr>
            <w:tcW w:w="1400" w:type="dxa"/>
            <w:vAlign w:val="bottom"/>
          </w:tcPr>
          <w:p>
            <w:pPr>
              <w:jc w:val="center"/>
              <w:ind w:right="816"/>
              <w:spacing w:after="0"/>
              <w:rPr>
                <w:sz w:val="20"/>
                <w:szCs w:val="20"/>
                <w:color w:val="auto"/>
              </w:rPr>
            </w:pPr>
            <w:r>
              <w:rPr>
                <w:rFonts w:ascii="Arial" w:cs="Arial" w:eastAsia="Arial" w:hAnsi="Arial"/>
                <w:sz w:val="17"/>
                <w:szCs w:val="17"/>
                <w:color w:val="auto"/>
                <w:w w:val="94"/>
              </w:rPr>
              <w:t>46</w:t>
            </w:r>
          </w:p>
        </w:tc>
        <w:tc>
          <w:tcPr>
            <w:tcW w:w="28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7"/>
                <w:szCs w:val="17"/>
                <w:color w:val="auto"/>
              </w:rPr>
              <w:t>Acting Chief Financial Officer</w:t>
            </w:r>
          </w:p>
        </w:tc>
      </w:tr>
      <w:tr>
        <w:trPr>
          <w:trHeight w:val="206"/>
        </w:trPr>
        <w:tc>
          <w:tcPr>
            <w:tcW w:w="620" w:type="dxa"/>
            <w:vAlign w:val="bottom"/>
          </w:tcPr>
          <w:p>
            <w:pPr>
              <w:spacing w:after="0"/>
              <w:rPr>
                <w:sz w:val="17"/>
                <w:szCs w:val="17"/>
                <w:color w:val="auto"/>
              </w:rPr>
            </w:pPr>
          </w:p>
        </w:tc>
        <w:tc>
          <w:tcPr>
            <w:tcW w:w="4640" w:type="dxa"/>
            <w:vAlign w:val="bottom"/>
            <w:gridSpan w:val="4"/>
            <w:shd w:val="clear" w:color="auto" w:fill="CCEEFF"/>
          </w:tcPr>
          <w:p>
            <w:pPr>
              <w:spacing w:after="0" w:line="206" w:lineRule="exact"/>
              <w:rPr>
                <w:sz w:val="20"/>
                <w:szCs w:val="20"/>
                <w:color w:val="auto"/>
              </w:rPr>
            </w:pPr>
            <w:r>
              <w:rPr>
                <w:rFonts w:ascii="Arial" w:cs="Arial" w:eastAsia="Arial" w:hAnsi="Arial"/>
                <w:sz w:val="17"/>
                <w:szCs w:val="17"/>
                <w:color w:val="auto"/>
              </w:rPr>
              <w:t xml:space="preserve">Alice Cheng </w:t>
            </w:r>
            <w:r>
              <w:rPr>
                <w:rFonts w:ascii="Arial" w:cs="Arial" w:eastAsia="Arial" w:hAnsi="Arial"/>
                <w:sz w:val="22"/>
                <w:szCs w:val="22"/>
                <w:color w:val="auto"/>
                <w:vertAlign w:val="superscript"/>
              </w:rPr>
              <w:t>(1)</w:t>
            </w:r>
          </w:p>
        </w:tc>
        <w:tc>
          <w:tcPr>
            <w:tcW w:w="1400" w:type="dxa"/>
            <w:vAlign w:val="bottom"/>
            <w:shd w:val="clear" w:color="auto" w:fill="CCEEFF"/>
          </w:tcPr>
          <w:p>
            <w:pPr>
              <w:jc w:val="center"/>
              <w:ind w:right="816"/>
              <w:spacing w:after="0"/>
              <w:rPr>
                <w:sz w:val="20"/>
                <w:szCs w:val="20"/>
                <w:color w:val="auto"/>
              </w:rPr>
            </w:pPr>
            <w:r>
              <w:rPr>
                <w:rFonts w:ascii="Arial" w:cs="Arial" w:eastAsia="Arial" w:hAnsi="Arial"/>
                <w:sz w:val="17"/>
                <w:szCs w:val="17"/>
                <w:color w:val="auto"/>
                <w:w w:val="94"/>
              </w:rPr>
              <w:t>55</w:t>
            </w:r>
          </w:p>
        </w:tc>
        <w:tc>
          <w:tcPr>
            <w:tcW w:w="28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6"/>
        </w:trPr>
        <w:tc>
          <w:tcPr>
            <w:tcW w:w="620" w:type="dxa"/>
            <w:vAlign w:val="bottom"/>
          </w:tcPr>
          <w:p>
            <w:pPr>
              <w:spacing w:after="0"/>
              <w:rPr>
                <w:sz w:val="17"/>
                <w:szCs w:val="17"/>
                <w:color w:val="auto"/>
              </w:rPr>
            </w:pPr>
          </w:p>
        </w:tc>
        <w:tc>
          <w:tcPr>
            <w:tcW w:w="4640" w:type="dxa"/>
            <w:vAlign w:val="bottom"/>
            <w:gridSpan w:val="4"/>
          </w:tcPr>
          <w:p>
            <w:pPr>
              <w:spacing w:after="0"/>
              <w:rPr>
                <w:sz w:val="20"/>
                <w:szCs w:val="20"/>
                <w:color w:val="auto"/>
              </w:rPr>
            </w:pPr>
            <w:r>
              <w:rPr>
                <w:rFonts w:ascii="Arial" w:cs="Arial" w:eastAsia="Arial" w:hAnsi="Arial"/>
                <w:sz w:val="17"/>
                <w:szCs w:val="17"/>
                <w:color w:val="auto"/>
              </w:rPr>
              <w:t>Denny Lee</w:t>
            </w:r>
          </w:p>
        </w:tc>
        <w:tc>
          <w:tcPr>
            <w:tcW w:w="1400" w:type="dxa"/>
            <w:vAlign w:val="bottom"/>
          </w:tcPr>
          <w:p>
            <w:pPr>
              <w:jc w:val="center"/>
              <w:ind w:right="816"/>
              <w:spacing w:after="0"/>
              <w:rPr>
                <w:sz w:val="20"/>
                <w:szCs w:val="20"/>
                <w:color w:val="auto"/>
              </w:rPr>
            </w:pPr>
            <w:r>
              <w:rPr>
                <w:rFonts w:ascii="Arial" w:cs="Arial" w:eastAsia="Arial" w:hAnsi="Arial"/>
                <w:sz w:val="17"/>
                <w:szCs w:val="17"/>
                <w:color w:val="auto"/>
                <w:w w:val="94"/>
              </w:rPr>
              <w:t>49</w:t>
            </w:r>
          </w:p>
        </w:tc>
        <w:tc>
          <w:tcPr>
            <w:tcW w:w="28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6"/>
        </w:trPr>
        <w:tc>
          <w:tcPr>
            <w:tcW w:w="620" w:type="dxa"/>
            <w:vAlign w:val="bottom"/>
          </w:tcPr>
          <w:p>
            <w:pPr>
              <w:spacing w:after="0"/>
              <w:rPr>
                <w:sz w:val="17"/>
                <w:szCs w:val="17"/>
                <w:color w:val="auto"/>
              </w:rPr>
            </w:pPr>
          </w:p>
        </w:tc>
        <w:tc>
          <w:tcPr>
            <w:tcW w:w="4640" w:type="dxa"/>
            <w:vAlign w:val="bottom"/>
            <w:gridSpan w:val="4"/>
            <w:shd w:val="clear" w:color="auto" w:fill="CCEEFF"/>
          </w:tcPr>
          <w:p>
            <w:pPr>
              <w:spacing w:after="0" w:line="206" w:lineRule="exact"/>
              <w:rPr>
                <w:sz w:val="20"/>
                <w:szCs w:val="20"/>
                <w:color w:val="auto"/>
              </w:rPr>
            </w:pPr>
            <w:r>
              <w:rPr>
                <w:rFonts w:ascii="Arial" w:cs="Arial" w:eastAsia="Arial" w:hAnsi="Arial"/>
                <w:sz w:val="17"/>
                <w:szCs w:val="17"/>
                <w:color w:val="auto"/>
              </w:rPr>
              <w:t xml:space="preserve">Joseph Tong </w:t>
            </w:r>
            <w:r>
              <w:rPr>
                <w:rFonts w:ascii="Arial" w:cs="Arial" w:eastAsia="Arial" w:hAnsi="Arial"/>
                <w:sz w:val="22"/>
                <w:szCs w:val="22"/>
                <w:color w:val="auto"/>
                <w:vertAlign w:val="superscript"/>
              </w:rPr>
              <w:t>(1)</w:t>
            </w:r>
          </w:p>
        </w:tc>
        <w:tc>
          <w:tcPr>
            <w:tcW w:w="1400" w:type="dxa"/>
            <w:vAlign w:val="bottom"/>
            <w:shd w:val="clear" w:color="auto" w:fill="CCEEFF"/>
          </w:tcPr>
          <w:p>
            <w:pPr>
              <w:jc w:val="center"/>
              <w:ind w:right="816"/>
              <w:spacing w:after="0"/>
              <w:rPr>
                <w:sz w:val="20"/>
                <w:szCs w:val="20"/>
                <w:color w:val="auto"/>
              </w:rPr>
            </w:pPr>
            <w:r>
              <w:rPr>
                <w:rFonts w:ascii="Arial" w:cs="Arial" w:eastAsia="Arial" w:hAnsi="Arial"/>
                <w:sz w:val="17"/>
                <w:szCs w:val="17"/>
                <w:color w:val="auto"/>
                <w:w w:val="94"/>
              </w:rPr>
              <w:t>54</w:t>
            </w:r>
          </w:p>
        </w:tc>
        <w:tc>
          <w:tcPr>
            <w:tcW w:w="28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6"/>
        </w:trPr>
        <w:tc>
          <w:tcPr>
            <w:tcW w:w="620" w:type="dxa"/>
            <w:vAlign w:val="bottom"/>
          </w:tcPr>
          <w:p>
            <w:pPr>
              <w:spacing w:after="0"/>
              <w:rPr>
                <w:sz w:val="17"/>
                <w:szCs w:val="17"/>
                <w:color w:val="auto"/>
              </w:rPr>
            </w:pPr>
          </w:p>
        </w:tc>
        <w:tc>
          <w:tcPr>
            <w:tcW w:w="4640" w:type="dxa"/>
            <w:vAlign w:val="bottom"/>
            <w:gridSpan w:val="4"/>
          </w:tcPr>
          <w:p>
            <w:pPr>
              <w:spacing w:after="0"/>
              <w:rPr>
                <w:sz w:val="20"/>
                <w:szCs w:val="20"/>
                <w:color w:val="auto"/>
              </w:rPr>
            </w:pPr>
            <w:r>
              <w:rPr>
                <w:rFonts w:ascii="Arial" w:cs="Arial" w:eastAsia="Arial" w:hAnsi="Arial"/>
                <w:sz w:val="17"/>
                <w:szCs w:val="17"/>
                <w:color w:val="auto"/>
              </w:rPr>
              <w:t>Lun Feng</w:t>
            </w:r>
          </w:p>
        </w:tc>
        <w:tc>
          <w:tcPr>
            <w:tcW w:w="1400" w:type="dxa"/>
            <w:vAlign w:val="bottom"/>
          </w:tcPr>
          <w:p>
            <w:pPr>
              <w:jc w:val="center"/>
              <w:ind w:right="816"/>
              <w:spacing w:after="0"/>
              <w:rPr>
                <w:sz w:val="20"/>
                <w:szCs w:val="20"/>
                <w:color w:val="auto"/>
              </w:rPr>
            </w:pPr>
            <w:r>
              <w:rPr>
                <w:rFonts w:ascii="Arial" w:cs="Arial" w:eastAsia="Arial" w:hAnsi="Arial"/>
                <w:sz w:val="17"/>
                <w:szCs w:val="17"/>
                <w:color w:val="auto"/>
                <w:w w:val="94"/>
              </w:rPr>
              <w:t>57</w:t>
            </w:r>
          </w:p>
        </w:tc>
        <w:tc>
          <w:tcPr>
            <w:tcW w:w="28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6"/>
        </w:trPr>
        <w:tc>
          <w:tcPr>
            <w:tcW w:w="620" w:type="dxa"/>
            <w:vAlign w:val="bottom"/>
          </w:tcPr>
          <w:p>
            <w:pPr>
              <w:spacing w:after="0"/>
              <w:rPr>
                <w:sz w:val="17"/>
                <w:szCs w:val="17"/>
                <w:color w:val="auto"/>
              </w:rPr>
            </w:pPr>
          </w:p>
        </w:tc>
        <w:tc>
          <w:tcPr>
            <w:tcW w:w="4640" w:type="dxa"/>
            <w:vAlign w:val="bottom"/>
            <w:gridSpan w:val="4"/>
            <w:shd w:val="clear" w:color="auto" w:fill="CCEEFF"/>
          </w:tcPr>
          <w:p>
            <w:pPr>
              <w:spacing w:after="0" w:line="206" w:lineRule="exact"/>
              <w:rPr>
                <w:sz w:val="20"/>
                <w:szCs w:val="20"/>
                <w:color w:val="auto"/>
              </w:rPr>
            </w:pPr>
            <w:r>
              <w:rPr>
                <w:rFonts w:ascii="Arial" w:cs="Arial" w:eastAsia="Arial" w:hAnsi="Arial"/>
                <w:sz w:val="17"/>
                <w:szCs w:val="17"/>
                <w:color w:val="auto"/>
              </w:rPr>
              <w:t xml:space="preserve">Michael Leung </w:t>
            </w:r>
            <w:r>
              <w:rPr>
                <w:rFonts w:ascii="Arial" w:cs="Arial" w:eastAsia="Arial" w:hAnsi="Arial"/>
                <w:sz w:val="22"/>
                <w:szCs w:val="22"/>
                <w:color w:val="auto"/>
                <w:vertAlign w:val="superscript"/>
              </w:rPr>
              <w:t>(1)</w:t>
            </w:r>
          </w:p>
        </w:tc>
        <w:tc>
          <w:tcPr>
            <w:tcW w:w="1400" w:type="dxa"/>
            <w:vAlign w:val="bottom"/>
            <w:shd w:val="clear" w:color="auto" w:fill="CCEEFF"/>
          </w:tcPr>
          <w:p>
            <w:pPr>
              <w:jc w:val="center"/>
              <w:ind w:right="816"/>
              <w:spacing w:after="0"/>
              <w:rPr>
                <w:sz w:val="20"/>
                <w:szCs w:val="20"/>
                <w:color w:val="auto"/>
              </w:rPr>
            </w:pPr>
            <w:r>
              <w:rPr>
                <w:rFonts w:ascii="Arial" w:cs="Arial" w:eastAsia="Arial" w:hAnsi="Arial"/>
                <w:sz w:val="17"/>
                <w:szCs w:val="17"/>
                <w:color w:val="auto"/>
                <w:w w:val="94"/>
              </w:rPr>
              <w:t>63</w:t>
            </w:r>
          </w:p>
        </w:tc>
        <w:tc>
          <w:tcPr>
            <w:tcW w:w="28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17"/>
        </w:trPr>
        <w:tc>
          <w:tcPr>
            <w:tcW w:w="620" w:type="dxa"/>
            <w:vAlign w:val="bottom"/>
          </w:tcPr>
          <w:p>
            <w:pPr>
              <w:spacing w:after="0"/>
              <w:rPr>
                <w:sz w:val="18"/>
                <w:szCs w:val="18"/>
                <w:color w:val="auto"/>
              </w:rPr>
            </w:pPr>
          </w:p>
        </w:tc>
        <w:tc>
          <w:tcPr>
            <w:tcW w:w="4640" w:type="dxa"/>
            <w:vAlign w:val="bottom"/>
            <w:gridSpan w:val="4"/>
          </w:tcPr>
          <w:p>
            <w:pPr>
              <w:spacing w:after="0"/>
              <w:rPr>
                <w:sz w:val="20"/>
                <w:szCs w:val="20"/>
                <w:color w:val="auto"/>
              </w:rPr>
            </w:pPr>
            <w:r>
              <w:rPr>
                <w:rFonts w:ascii="Arial" w:cs="Arial" w:eastAsia="Arial" w:hAnsi="Arial"/>
                <w:sz w:val="17"/>
                <w:szCs w:val="17"/>
                <w:color w:val="auto"/>
              </w:rPr>
              <w:t>Michael Tong</w:t>
            </w:r>
          </w:p>
        </w:tc>
        <w:tc>
          <w:tcPr>
            <w:tcW w:w="1400" w:type="dxa"/>
            <w:vAlign w:val="bottom"/>
          </w:tcPr>
          <w:p>
            <w:pPr>
              <w:jc w:val="center"/>
              <w:ind w:right="816"/>
              <w:spacing w:after="0"/>
              <w:rPr>
                <w:sz w:val="20"/>
                <w:szCs w:val="20"/>
                <w:color w:val="auto"/>
              </w:rPr>
            </w:pPr>
            <w:r>
              <w:rPr>
                <w:rFonts w:ascii="Arial" w:cs="Arial" w:eastAsia="Arial" w:hAnsi="Arial"/>
                <w:sz w:val="17"/>
                <w:szCs w:val="17"/>
                <w:color w:val="auto"/>
                <w:w w:val="94"/>
              </w:rPr>
              <w:t>45</w:t>
            </w:r>
          </w:p>
        </w:tc>
        <w:tc>
          <w:tcPr>
            <w:tcW w:w="2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98"/>
        </w:trPr>
        <w:tc>
          <w:tcPr>
            <w:tcW w:w="6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38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620" w:type="dxa"/>
            <w:vAlign w:val="bottom"/>
          </w:tcPr>
          <w:p>
            <w:pPr>
              <w:jc w:val="right"/>
              <w:ind w:right="334"/>
              <w:spacing w:after="0"/>
              <w:rPr>
                <w:sz w:val="20"/>
                <w:szCs w:val="20"/>
                <w:color w:val="auto"/>
              </w:rPr>
            </w:pPr>
            <w:r>
              <w:rPr>
                <w:rFonts w:ascii="Arial" w:cs="Arial" w:eastAsia="Arial" w:hAnsi="Arial"/>
                <w:sz w:val="17"/>
                <w:szCs w:val="17"/>
                <w:color w:val="auto"/>
                <w:w w:val="86"/>
              </w:rPr>
              <w:t>(1)</w:t>
            </w:r>
          </w:p>
        </w:tc>
        <w:tc>
          <w:tcPr>
            <w:tcW w:w="4640" w:type="dxa"/>
            <w:vAlign w:val="bottom"/>
            <w:gridSpan w:val="4"/>
          </w:tcPr>
          <w:p>
            <w:pPr>
              <w:ind w:left="60"/>
              <w:spacing w:after="0"/>
              <w:rPr>
                <w:sz w:val="20"/>
                <w:szCs w:val="20"/>
                <w:color w:val="auto"/>
              </w:rPr>
            </w:pPr>
            <w:r>
              <w:rPr>
                <w:rFonts w:ascii="Arial" w:cs="Arial" w:eastAsia="Arial" w:hAnsi="Arial"/>
                <w:sz w:val="17"/>
                <w:szCs w:val="17"/>
                <w:color w:val="auto"/>
                <w:w w:val="94"/>
              </w:rPr>
              <w:t>Member of the audit, compensation and nominating committees.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Biographical Information</w:t>
      </w:r>
    </w:p>
    <w:p>
      <w:pPr>
        <w:spacing w:after="0" w:line="222" w:lineRule="exact"/>
        <w:rPr>
          <w:sz w:val="20"/>
          <w:szCs w:val="20"/>
          <w:color w:val="auto"/>
        </w:rPr>
      </w:pPr>
    </w:p>
    <w:p>
      <w:pPr>
        <w:ind w:right="140" w:firstLine="617"/>
        <w:spacing w:after="0" w:line="277" w:lineRule="auto"/>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our founder, has served as a director since July 1999 and as our Chief Executive Officer since November 2005. From March 2001 until</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2005, Mr. Ding served as our Chief Architect, and, from June 2001 until September 2001, he served as our Acting Chief Executive Officer and Acting Chief Operating Officer. Mr. Ding stepped down as Chairman of the board of directors in September 2001 (we currently have no permanently appointed Chairman). From July 1999 until March 2001, Mr. Ding served as Co-Chief Technology Officer, and from July 1999 until April 2000, he also served as our interim Chief Executive Officer. Mr. Ding established Guangzhou NetEase and Shanghai EaseNet, our affiliates, in May 1997 and January 2008. Mr. Ding holds a Bachelor of Science degree in Communication Technology from the University of Electronic Science and Technology of China.</w:t>
      </w:r>
    </w:p>
    <w:p>
      <w:pPr>
        <w:spacing w:after="0" w:line="167" w:lineRule="exact"/>
        <w:rPr>
          <w:sz w:val="20"/>
          <w:szCs w:val="20"/>
          <w:color w:val="auto"/>
        </w:rPr>
      </w:pPr>
    </w:p>
    <w:p>
      <w:pPr>
        <w:ind w:firstLine="617"/>
        <w:spacing w:after="0" w:line="255" w:lineRule="auto"/>
        <w:rPr>
          <w:sz w:val="20"/>
          <w:szCs w:val="20"/>
          <w:color w:val="auto"/>
        </w:rPr>
      </w:pPr>
      <w:r>
        <w:rPr>
          <w:rFonts w:ascii="Arial" w:cs="Arial" w:eastAsia="Arial" w:hAnsi="Arial"/>
          <w:sz w:val="17"/>
          <w:szCs w:val="17"/>
          <w:i w:val="1"/>
          <w:iCs w:val="1"/>
          <w:color w:val="auto"/>
        </w:rPr>
        <w:t xml:space="preserve">Onward Choi </w:t>
      </w:r>
      <w:r>
        <w:rPr>
          <w:rFonts w:ascii="Arial" w:cs="Arial" w:eastAsia="Arial" w:hAnsi="Arial"/>
          <w:sz w:val="17"/>
          <w:szCs w:val="17"/>
          <w:color w:val="auto"/>
        </w:rPr>
        <w:t>has served as our Acting Chief Financial Officer since July 2007. Mr. Choi previously served as our Financial Controller from January 2005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2007 and as our Corporate Finance Director from November 2003 to December 2004. Prior to joining our company, Mr. Choi worked in the Beijing office of Ernst &amp; Young, the Hong Kong Trade Development Council and the Hong Kong office of KPMG for over ten years. Mr. Choi currently serves as the chairman of the audit committee and an independent non-executive director for Beijing Jingkelong Company Limited and China ITS (Holdings) Co., Ltd., which are listed on the Stock Exchange of Hong Kong Limited, and the chairman of the audit committee and an independent non-executive director for Tuniu Corporation, which is listed on the Nasdaq Global Market. Mr. Choi is a member of the Institute of Chartered Accountants in England and Wales, a fellow member of the Association of Chartered Certified Accountants, a fellow member of the CPA Australia, a fellow member of the Hong Kong Institute of Certified Public Accountants and a registered practicing Certified Public Accountant in Hong Kong. Mr. Choi holds a Bachelor of Arts degree in accountancy with honors from the Hong Kong Polytechnic University.</w:t>
      </w:r>
    </w:p>
    <w:p>
      <w:pPr>
        <w:spacing w:after="0" w:line="189" w:lineRule="exact"/>
        <w:rPr>
          <w:sz w:val="20"/>
          <w:szCs w:val="20"/>
          <w:color w:val="auto"/>
        </w:rPr>
      </w:pPr>
    </w:p>
    <w:p>
      <w:pPr>
        <w:ind w:right="180" w:firstLine="617"/>
        <w:spacing w:after="0" w:line="275" w:lineRule="auto"/>
        <w:rPr>
          <w:sz w:val="20"/>
          <w:szCs w:val="20"/>
          <w:color w:val="auto"/>
        </w:rPr>
      </w:pPr>
      <w:r>
        <w:rPr>
          <w:rFonts w:ascii="Arial" w:cs="Arial" w:eastAsia="Arial" w:hAnsi="Arial"/>
          <w:sz w:val="16"/>
          <w:szCs w:val="16"/>
          <w:i w:val="1"/>
          <w:iCs w:val="1"/>
          <w:color w:val="auto"/>
        </w:rPr>
        <w:t xml:space="preserve">Alice Cheng </w:t>
      </w:r>
      <w:r>
        <w:rPr>
          <w:rFonts w:ascii="Arial" w:cs="Arial" w:eastAsia="Arial" w:hAnsi="Arial"/>
          <w:sz w:val="16"/>
          <w:szCs w:val="16"/>
          <w:color w:val="auto"/>
        </w:rPr>
        <w:t>has served as a director since June 2007. Ms. Cheng has been the Chief Financial Officer of BBK Electronics Corp., Ltd., a PRC-based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of audio/visual equipment, since May 2005. From October 2010 to April 2013, she served as a supervisor of Wistron Information Technology 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ectPr>
          <w:pgSz w:w="11900" w:h="16838" w:orient="portrait"/>
          <w:cols w:equalWidth="0" w:num="1">
            <w:col w:w="11400"/>
          </w:cols>
          <w:pgMar w:left="240" w:top="127" w:right="259" w:bottom="0" w:gutter="0" w:footer="0" w:header="0"/>
        </w:sectPr>
      </w:pPr>
    </w:p>
    <w:bookmarkStart w:id="57" w:name="page58"/>
    <w:bookmarkEnd w:id="57"/>
    <w:p>
      <w:pPr>
        <w:ind w:firstLine="617"/>
        <w:spacing w:after="0" w:line="274" w:lineRule="auto"/>
        <w:rPr>
          <w:sz w:val="20"/>
          <w:szCs w:val="20"/>
          <w:color w:val="auto"/>
        </w:rPr>
      </w:pPr>
      <w:r>
        <w:rPr>
          <w:rFonts w:ascii="Arial" w:cs="Arial" w:eastAsia="Arial" w:hAnsi="Arial"/>
          <w:sz w:val="16"/>
          <w:szCs w:val="16"/>
          <w:i w:val="1"/>
          <w:iCs w:val="1"/>
          <w:color w:val="auto"/>
        </w:rPr>
        <w:t xml:space="preserve">Denny Lee </w:t>
      </w:r>
      <w:r>
        <w:rPr>
          <w:rFonts w:ascii="Arial" w:cs="Arial" w:eastAsia="Arial" w:hAnsi="Arial"/>
          <w:sz w:val="16"/>
          <w:szCs w:val="16"/>
          <w:color w:val="auto"/>
        </w:rPr>
        <w:t>has served as a director since April 2002. Mr. Lee previously served as our Chief Financial Officer from April 2002 until June 2007 and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Controller from November 2001 until April 2002. Prior to joining our company, Mr. Lee worked in the Hong Kong office of KPMG for more than ten years. Mr. Lee graduated from the Hong Kong Polytechnic University majoring in accounting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and Concord Medical Services Holdings Limited, which are listed on the New York Stock Exchange, and an independent non-executive director on the board of China Metal Resources Utilization Ltd., which is listed on the Hong Kong Stock Exchange. Mr. Lee served as the chairman of the audit committee and an independent non-executive director on the board of Qunar Cayman Islands Limited, which is listed on the Nasdaq Global Market, from June 2012 to January 2016.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60" w:firstLine="617"/>
        <w:spacing w:after="0" w:line="295" w:lineRule="auto"/>
        <w:rPr>
          <w:sz w:val="20"/>
          <w:szCs w:val="20"/>
          <w:color w:val="auto"/>
        </w:rPr>
      </w:pPr>
      <w:r>
        <w:rPr>
          <w:rFonts w:ascii="Arial" w:cs="Arial" w:eastAsia="Arial" w:hAnsi="Arial"/>
          <w:sz w:val="15"/>
          <w:szCs w:val="15"/>
          <w:i w:val="1"/>
          <w:iCs w:val="1"/>
          <w:color w:val="auto"/>
        </w:rPr>
        <w:t xml:space="preserve">Joseph Tong </w:t>
      </w:r>
      <w:r>
        <w:rPr>
          <w:rFonts w:ascii="Arial" w:cs="Arial" w:eastAsia="Arial" w:hAnsi="Arial"/>
          <w:sz w:val="15"/>
          <w:szCs w:val="15"/>
          <w:color w:val="auto"/>
        </w:rPr>
        <w:t>has been a director of Parworld Investment Management Limited, which provides financial and investment advisory services, since April 2004.</w:t>
      </w:r>
      <w:r>
        <w:rPr>
          <w:rFonts w:ascii="Arial" w:cs="Arial" w:eastAsia="Arial" w:hAnsi="Arial"/>
          <w:sz w:val="15"/>
          <w:szCs w:val="15"/>
          <w:i w:val="1"/>
          <w:iCs w:val="1"/>
          <w:color w:val="auto"/>
        </w:rPr>
        <w:t xml:space="preserve"> </w:t>
      </w:r>
      <w:r>
        <w:rPr>
          <w:rFonts w:ascii="Arial" w:cs="Arial" w:eastAsia="Arial" w:hAnsi="Arial"/>
          <w:sz w:val="15"/>
          <w:szCs w:val="15"/>
          <w:color w:val="auto"/>
        </w:rPr>
        <w:t>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 Music Limited where he was responsible for forming e-business development strategies and overseeing new promotional opportunities. Mr. Tong currently serves as the chairman of the audit committee and an independent director on the board of Crosby Capital Limited, which is listed on the Hong Kong Stock Exchange.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 and has served as a director since March 2003.</w:t>
      </w:r>
    </w:p>
    <w:p>
      <w:pPr>
        <w:spacing w:after="0" w:line="156" w:lineRule="exact"/>
        <w:rPr>
          <w:sz w:val="20"/>
          <w:szCs w:val="20"/>
          <w:color w:val="auto"/>
        </w:rPr>
      </w:pPr>
    </w:p>
    <w:p>
      <w:pPr>
        <w:ind w:right="320" w:firstLine="617"/>
        <w:spacing w:after="0" w:line="265" w:lineRule="auto"/>
        <w:rPr>
          <w:sz w:val="20"/>
          <w:szCs w:val="20"/>
          <w:color w:val="auto"/>
        </w:rPr>
      </w:pPr>
      <w:r>
        <w:rPr>
          <w:rFonts w:ascii="Arial" w:cs="Arial" w:eastAsia="Arial" w:hAnsi="Arial"/>
          <w:sz w:val="17"/>
          <w:szCs w:val="17"/>
          <w:i w:val="1"/>
          <w:iCs w:val="1"/>
          <w:color w:val="auto"/>
        </w:rPr>
        <w:t xml:space="preserve">Lun Feng </w:t>
      </w:r>
      <w:r>
        <w:rPr>
          <w:rFonts w:ascii="Arial" w:cs="Arial" w:eastAsia="Arial" w:hAnsi="Arial"/>
          <w:sz w:val="17"/>
          <w:szCs w:val="17"/>
          <w:color w:val="auto"/>
        </w:rPr>
        <w:t>has served as a director since July 2005. He has been the Chairman of Vantone Holdings Co., Ltd., a private real estate investment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China, since 1993. Mr. Feng has a Juris Doctor from the Chinese Academy of Social Sciences, a Masters of Law degree from the Party School of the Chinese Communist Party and a Bachelor of Arts in Economics from Northwest University.</w:t>
      </w:r>
    </w:p>
    <w:p>
      <w:pPr>
        <w:spacing w:after="0" w:line="176" w:lineRule="exact"/>
        <w:rPr>
          <w:sz w:val="20"/>
          <w:szCs w:val="20"/>
          <w:color w:val="auto"/>
        </w:rPr>
      </w:pPr>
    </w:p>
    <w:p>
      <w:pPr>
        <w:ind w:right="20" w:firstLine="617"/>
        <w:spacing w:after="0" w:line="255" w:lineRule="auto"/>
        <w:rPr>
          <w:sz w:val="20"/>
          <w:szCs w:val="20"/>
          <w:color w:val="auto"/>
        </w:rPr>
      </w:pPr>
      <w:r>
        <w:rPr>
          <w:rFonts w:ascii="Arial" w:cs="Arial" w:eastAsia="Arial" w:hAnsi="Arial"/>
          <w:sz w:val="17"/>
          <w:szCs w:val="17"/>
          <w:i w:val="1"/>
          <w:iCs w:val="1"/>
          <w:color w:val="auto"/>
        </w:rPr>
        <w:t xml:space="preserve">Michael Leung </w:t>
      </w:r>
      <w:r>
        <w:rPr>
          <w:rFonts w:ascii="Arial" w:cs="Arial" w:eastAsia="Arial" w:hAnsi="Arial"/>
          <w:sz w:val="17"/>
          <w:szCs w:val="17"/>
          <w:color w:val="auto"/>
        </w:rPr>
        <w:t>has served as a director since July 2002. Mr. Leung held senior positions with Peregrine Capital (China) Limited, SG Securities (HK)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and Junefield Department Store Group Limited, both of which are companies listed on the Stock Exchange of Hong Kong Limited. Mr. Leung currently serves as an independent non-executive director for China Ting Group Holdings Limited, Orange Sky Golden Harvest Entertainment (Holdings) Limited, China Huiyuan Juice Group Limited, Optics Valley Union Holding Company Limited and Luye Pharma Group Ltd. and as an executive director of Chanceton Financial Group Limited, all of which are companies listed on the Stock Exchange of Hong Kong Limited. Mr. Leung is also the responsible officer of Chanceton Capital Partners Limited, which provides advice on corporate finance. Mr. Leung received a Bachelor’s Degree in Social Sciences from the University of Hong Kong with a major in accounting, management and statistics.</w:t>
      </w:r>
    </w:p>
    <w:p>
      <w:pPr>
        <w:spacing w:after="0" w:line="187"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i w:val="1"/>
          <w:iCs w:val="1"/>
          <w:color w:val="auto"/>
        </w:rPr>
        <w:t xml:space="preserve">Michael Tong </w:t>
      </w:r>
      <w:r>
        <w:rPr>
          <w:rFonts w:ascii="Arial" w:cs="Arial" w:eastAsia="Arial" w:hAnsi="Arial"/>
          <w:sz w:val="17"/>
          <w:szCs w:val="17"/>
          <w:color w:val="auto"/>
        </w:rPr>
        <w:t>has served as a director of our company since December 1999. He joined our company as an executive in May 2003 and later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Co-Chief Operating Officer from July 2004 to March 2009. Before joining our company as an executive, Mr. Tong had approximately seven years of experience in the investment industry working in several venture capital and private equity firms, including Techpacific Venture Capital Limited, Softbank China Venture Investments Limited and Nomura China Venture Investment Limited. Mr. Tong also served as a director for Qunar.com, a Chinese travel website, from October 2007 to June 2011. Mr. Tong graduated with a Bachelor of Business Administration from the University of Wisconsin, Madison with a major in Accounting and an extra concentration in Computer Science in 1993.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Relationships Among Directors or Executive Officers; Right to Nominate Directors</w:t>
      </w:r>
    </w:p>
    <w:p>
      <w:pPr>
        <w:spacing w:after="0" w:line="222" w:lineRule="exact"/>
        <w:rPr>
          <w:sz w:val="20"/>
          <w:szCs w:val="20"/>
          <w:color w:val="auto"/>
        </w:rPr>
      </w:pPr>
    </w:p>
    <w:p>
      <w:pPr>
        <w:ind w:right="460" w:firstLine="617"/>
        <w:spacing w:after="0" w:line="278" w:lineRule="auto"/>
        <w:rPr>
          <w:sz w:val="20"/>
          <w:szCs w:val="20"/>
          <w:color w:val="auto"/>
        </w:rPr>
      </w:pPr>
      <w:r>
        <w:rPr>
          <w:rFonts w:ascii="Arial" w:cs="Arial" w:eastAsia="Arial" w:hAnsi="Arial"/>
          <w:sz w:val="17"/>
          <w:szCs w:val="17"/>
          <w:color w:val="auto"/>
        </w:rPr>
        <w:t>There are no family relationships among any of the directors or executive officers of our company. None of our directors were nominated pursuant to a contractual or other right.</w:t>
      </w:r>
    </w:p>
    <w:p>
      <w:pPr>
        <w:spacing w:after="0" w:line="159" w:lineRule="exact"/>
        <w:rPr>
          <w:sz w:val="20"/>
          <w:szCs w:val="20"/>
          <w:color w:val="auto"/>
        </w:rPr>
      </w:pPr>
    </w:p>
    <w:p>
      <w:pPr>
        <w:jc w:val="both"/>
        <w:ind w:right="9700" w:firstLine="3"/>
        <w:spacing w:after="0" w:line="576" w:lineRule="auto"/>
        <w:tabs>
          <w:tab w:leader="none" w:pos="62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Director Compensation</w:t>
      </w:r>
    </w:p>
    <w:p>
      <w:pPr>
        <w:spacing w:after="0" w:line="1" w:lineRule="exact"/>
        <w:rPr>
          <w:sz w:val="20"/>
          <w:szCs w:val="20"/>
          <w:color w:val="auto"/>
        </w:rPr>
      </w:pPr>
    </w:p>
    <w:p>
      <w:pPr>
        <w:ind w:right="160" w:firstLine="617"/>
        <w:spacing w:after="0" w:line="317" w:lineRule="auto"/>
        <w:rPr>
          <w:sz w:val="20"/>
          <w:szCs w:val="20"/>
          <w:color w:val="auto"/>
        </w:rPr>
      </w:pPr>
      <w:r>
        <w:rPr>
          <w:rFonts w:ascii="Arial" w:cs="Arial" w:eastAsia="Arial" w:hAnsi="Arial"/>
          <w:sz w:val="15"/>
          <w:szCs w:val="15"/>
          <w:color w:val="auto"/>
        </w:rPr>
        <w:t>In 2016, we paid an aggregate amount of RMB1.6 million (US$234,000) in compensation for the services of our independent non-executive directors. On March 1, 2016, we also granted restricted share unit awards under our RSU Plan (described below) to each of our independent non-executive directors which vested on March 1, 2017. ADRs, representing less than 1% of our total outstanding ordinary shares, were given to the directors in settlement of such awards upon vesting.</w:t>
      </w:r>
    </w:p>
    <w:p>
      <w:pPr>
        <w:spacing w:after="0" w:line="140" w:lineRule="exact"/>
        <w:rPr>
          <w:sz w:val="20"/>
          <w:szCs w:val="20"/>
          <w:color w:val="auto"/>
        </w:rPr>
      </w:pPr>
    </w:p>
    <w:p>
      <w:pPr>
        <w:ind w:right="60" w:firstLine="617"/>
        <w:spacing w:after="0" w:line="289" w:lineRule="auto"/>
        <w:rPr>
          <w:sz w:val="20"/>
          <w:szCs w:val="20"/>
          <w:color w:val="auto"/>
        </w:rPr>
      </w:pPr>
      <w:r>
        <w:rPr>
          <w:rFonts w:ascii="Arial" w:cs="Arial" w:eastAsia="Arial" w:hAnsi="Arial"/>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have service contracts with any of our directors which provide for benefits upon termination.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 Compensation</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2016, we paid our executive officers aggregate cash compensation of RMB7.6 million (US$1.1 million).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2" w:lineRule="exact"/>
        <w:rPr>
          <w:sz w:val="20"/>
          <w:szCs w:val="20"/>
          <w:color w:val="auto"/>
        </w:rPr>
      </w:pPr>
    </w:p>
    <w:p>
      <w:pPr>
        <w:jc w:val="both"/>
        <w:ind w:right="280" w:firstLine="617"/>
        <w:spacing w:after="0" w:line="282" w:lineRule="auto"/>
        <w:rPr>
          <w:sz w:val="20"/>
          <w:szCs w:val="20"/>
          <w:color w:val="auto"/>
        </w:rPr>
      </w:pPr>
      <w:r>
        <w:rPr>
          <w:rFonts w:ascii="Arial" w:cs="Arial" w:eastAsia="Arial" w:hAnsi="Arial"/>
          <w:sz w:val="16"/>
          <w:szCs w:val="16"/>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ectPr>
          <w:pgSz w:w="11900" w:h="16838" w:orient="portrait"/>
          <w:cols w:equalWidth="0" w:num="1">
            <w:col w:w="11420"/>
          </w:cols>
          <w:pgMar w:left="240" w:top="127" w:right="239" w:bottom="0" w:gutter="0" w:footer="0" w:header="0"/>
        </w:sectPr>
      </w:pPr>
    </w:p>
    <w:bookmarkStart w:id="58" w:name="page59"/>
    <w:bookmarkEnd w:id="58"/>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2009 Restricted Share Unit Plan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Our board approved the NetEase.com, Inc. 2009 Restricted Share Unit Plan, or the RSU Plan, in November 2009. The RSU Plan was adopted by our board as a replacement for our Amended and Restated 2000 Stock Incentive Plan, which expired in February 2010 under its terms.</w:t>
      </w:r>
    </w:p>
    <w:p>
      <w:pPr>
        <w:spacing w:after="0" w:line="165"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The purpose of the RSU Plan is to attract and retain the best available personnel, to provide additional incentive to employees, directors and consultants and to promote the success of our business. The RSU Plan provides for the granting of incentive awards of restricted share units, which may or may not be granted with dividend equivalent rights. Participants under the RSU Plan will not receive any account status reports.</w:t>
      </w:r>
    </w:p>
    <w:p>
      <w:pPr>
        <w:spacing w:after="0" w:line="176" w:lineRule="exact"/>
        <w:rPr>
          <w:sz w:val="20"/>
          <w:szCs w:val="20"/>
          <w:color w:val="auto"/>
        </w:rPr>
      </w:pPr>
    </w:p>
    <w:p>
      <w:pPr>
        <w:ind w:right="520" w:firstLine="617"/>
        <w:spacing w:after="0" w:line="278" w:lineRule="auto"/>
        <w:rPr>
          <w:sz w:val="20"/>
          <w:szCs w:val="20"/>
          <w:color w:val="auto"/>
        </w:rPr>
      </w:pPr>
      <w:r>
        <w:rPr>
          <w:rFonts w:ascii="Arial" w:cs="Arial" w:eastAsia="Arial" w:hAnsi="Arial"/>
          <w:sz w:val="17"/>
          <w:szCs w:val="17"/>
          <w:color w:val="auto"/>
        </w:rPr>
        <w:t>The RSU Plan is not subject to the Employee Retirement Income Security Act of 1974, as amended, nor is the RSU Plan a “qualified plan” within the meaning of Section 401(a) of the Internal Revenue Code of 1986, as amended.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Administration</w:t>
      </w:r>
    </w:p>
    <w:p>
      <w:pPr>
        <w:spacing w:after="0" w:line="222" w:lineRule="exact"/>
        <w:rPr>
          <w:sz w:val="20"/>
          <w:szCs w:val="20"/>
          <w:color w:val="auto"/>
        </w:rPr>
      </w:pPr>
    </w:p>
    <w:p>
      <w:pPr>
        <w:ind w:right="60" w:firstLine="617"/>
        <w:spacing w:after="0" w:line="278" w:lineRule="auto"/>
        <w:rPr>
          <w:sz w:val="20"/>
          <w:szCs w:val="20"/>
          <w:color w:val="auto"/>
        </w:rPr>
      </w:pPr>
      <w:r>
        <w:rPr>
          <w:rFonts w:ascii="Arial" w:cs="Arial" w:eastAsia="Arial" w:hAnsi="Arial"/>
          <w:sz w:val="17"/>
          <w:szCs w:val="17"/>
          <w:color w:val="auto"/>
        </w:rPr>
        <w:t>Our board has designated our compensation committee to administer the RSU Plan, and it may designate one or more of our officers to exercise its authority thereunder from time to time.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Subject to the RSU Plan</w:t>
      </w:r>
    </w:p>
    <w:p>
      <w:pPr>
        <w:spacing w:after="0" w:line="222" w:lineRule="exact"/>
        <w:rPr>
          <w:sz w:val="20"/>
          <w:szCs w:val="20"/>
          <w:color w:val="auto"/>
        </w:rPr>
      </w:pPr>
    </w:p>
    <w:p>
      <w:pPr>
        <w:ind w:right="100" w:firstLine="617"/>
        <w:spacing w:after="0" w:line="261" w:lineRule="auto"/>
        <w:rPr>
          <w:sz w:val="20"/>
          <w:szCs w:val="20"/>
          <w:color w:val="auto"/>
        </w:rPr>
      </w:pPr>
      <w:r>
        <w:rPr>
          <w:rFonts w:ascii="Arial" w:cs="Arial" w:eastAsia="Arial" w:hAnsi="Arial"/>
          <w:sz w:val="17"/>
          <w:szCs w:val="17"/>
          <w:color w:val="auto"/>
        </w:rPr>
        <w:t>The maximum aggregate number of our ordinary shares which may be issued pursuant to all awards under the RSU Plan is 323,694,050 ordinary shares. Such ordinary shares may, in whole or in part, be authorized but unissued shares or shares that will have been or may be reacquired by us. It is anticipated that all future awards to our employees, directors and consultants will be granted pursuant to the RSU Plan or any other future plan adopted by our board and, if appropriate, our shareholders.</w:t>
      </w:r>
    </w:p>
    <w:p>
      <w:pPr>
        <w:spacing w:after="0" w:line="179"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The RSU Plan provides that in the event of certain corporate transactions, including specified types of mergers and acquisition transactions, each outstanding award granted under the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RSU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Eligibility</w:t>
      </w:r>
    </w:p>
    <w:p>
      <w:pPr>
        <w:spacing w:after="0" w:line="222" w:lineRule="exact"/>
        <w:rPr>
          <w:sz w:val="20"/>
          <w:szCs w:val="20"/>
          <w:color w:val="auto"/>
        </w:rPr>
      </w:pPr>
    </w:p>
    <w:p>
      <w:pPr>
        <w:ind w:right="180" w:firstLine="617"/>
        <w:spacing w:after="0" w:line="278" w:lineRule="auto"/>
        <w:rPr>
          <w:sz w:val="20"/>
          <w:szCs w:val="20"/>
          <w:color w:val="auto"/>
        </w:rPr>
      </w:pPr>
      <w:r>
        <w:rPr>
          <w:rFonts w:ascii="Arial" w:cs="Arial" w:eastAsia="Arial" w:hAnsi="Arial"/>
          <w:sz w:val="17"/>
          <w:szCs w:val="17"/>
          <w:color w:val="auto"/>
        </w:rPr>
        <w:t>Under the RSU Plan, awards can be issued to participants in the RSU Plan, which include employees, directors or consultants of us, our subsidiaries or our variable interest entities.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Awards under the RSU Plan</w:t>
      </w:r>
    </w:p>
    <w:p>
      <w:pPr>
        <w:spacing w:after="0" w:line="222"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Awards under the RSU Plan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76" w:lineRule="exact"/>
        <w:rPr>
          <w:sz w:val="20"/>
          <w:szCs w:val="20"/>
          <w:color w:val="auto"/>
        </w:rPr>
      </w:pPr>
    </w:p>
    <w:p>
      <w:pPr>
        <w:ind w:right="80" w:firstLine="617"/>
        <w:spacing w:after="0" w:line="257"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purchase price, if any, for an award shall be determined by our board. The units can ultimately be paid in cash or ordinary shares, as our board determines.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of Awards</w:t>
      </w:r>
    </w:p>
    <w:p>
      <w:pPr>
        <w:spacing w:after="0" w:line="222" w:lineRule="exact"/>
        <w:rPr>
          <w:sz w:val="20"/>
          <w:szCs w:val="20"/>
          <w:color w:val="auto"/>
        </w:rPr>
      </w:pPr>
    </w:p>
    <w:p>
      <w:pPr>
        <w:ind w:right="80" w:firstLine="617"/>
        <w:spacing w:after="0" w:line="282" w:lineRule="auto"/>
        <w:rPr>
          <w:sz w:val="20"/>
          <w:szCs w:val="20"/>
          <w:color w:val="auto"/>
        </w:rPr>
      </w:pPr>
      <w:r>
        <w:rPr>
          <w:rFonts w:ascii="Arial" w:cs="Arial" w:eastAsia="Arial" w:hAnsi="Arial"/>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Service</w:t>
      </w:r>
    </w:p>
    <w:p>
      <w:pPr>
        <w:spacing w:after="0" w:line="222" w:lineRule="exact"/>
        <w:rPr>
          <w:sz w:val="20"/>
          <w:szCs w:val="20"/>
          <w:color w:val="auto"/>
        </w:rPr>
      </w:pPr>
    </w:p>
    <w:p>
      <w:pPr>
        <w:ind w:right="380" w:firstLine="617"/>
        <w:spacing w:after="0" w:line="289" w:lineRule="auto"/>
        <w:rPr>
          <w:sz w:val="20"/>
          <w:szCs w:val="20"/>
          <w:color w:val="auto"/>
        </w:rPr>
      </w:pPr>
      <w:r>
        <w:rPr>
          <w:rFonts w:ascii="Arial" w:cs="Arial" w:eastAsia="Arial" w:hAnsi="Arial"/>
          <w:sz w:val="16"/>
          <w:szCs w:val="16"/>
          <w:color w:val="auto"/>
        </w:rPr>
        <w:t>In the event of the termination of the participant’s employment or service with us for any reason prior to the vesting of any restricted share units, such unvested units held by the participant shall be automatically forfeited as of the date of termination. Neither the participant nor any of the participant’s successors, heirs, assigns or personal representatives shall have any rights or interests in any restricted share units that are so forfeited.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Termination</w:t>
      </w:r>
    </w:p>
    <w:p>
      <w:pPr>
        <w:spacing w:after="0" w:line="222" w:lineRule="exact"/>
        <w:rPr>
          <w:sz w:val="20"/>
          <w:szCs w:val="20"/>
          <w:color w:val="auto"/>
        </w:rPr>
      </w:pPr>
    </w:p>
    <w:p>
      <w:pPr>
        <w:ind w:right="80" w:firstLine="617"/>
        <w:spacing w:after="0" w:line="289" w:lineRule="auto"/>
        <w:rPr>
          <w:sz w:val="20"/>
          <w:szCs w:val="20"/>
          <w:color w:val="auto"/>
        </w:rPr>
      </w:pPr>
      <w:r>
        <w:rPr>
          <w:rFonts w:ascii="Arial" w:cs="Arial" w:eastAsia="Arial" w:hAnsi="Arial"/>
          <w:sz w:val="16"/>
          <w:szCs w:val="16"/>
          <w:color w:val="auto"/>
        </w:rPr>
        <w:t>Under the RSU Plan, our board may at any time terminate, suspend, or amend the RSU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RSU Plan will expire in November 2019.</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Non-transferability of Awards</w:t>
      </w:r>
    </w:p>
    <w:p>
      <w:pPr>
        <w:spacing w:after="0" w:line="222" w:lineRule="exact"/>
        <w:rPr>
          <w:sz w:val="20"/>
          <w:szCs w:val="20"/>
          <w:color w:val="auto"/>
        </w:rPr>
      </w:pPr>
    </w:p>
    <w:p>
      <w:pPr>
        <w:ind w:right="20" w:firstLine="617"/>
        <w:spacing w:after="0" w:line="347" w:lineRule="auto"/>
        <w:rPr>
          <w:sz w:val="20"/>
          <w:szCs w:val="20"/>
          <w:color w:val="auto"/>
        </w:rPr>
      </w:pPr>
      <w:r>
        <w:rPr>
          <w:rFonts w:ascii="Arial" w:cs="Arial" w:eastAsia="Arial" w:hAnsi="Arial"/>
          <w:sz w:val="15"/>
          <w:szCs w:val="15"/>
          <w:color w:val="auto"/>
        </w:rPr>
        <w:t>Under the RSU Plan, awards may not be sold, assigned, transferred, pledged, hypothecated or otherwise disposed of, except by will or by the laws of descent and distribution and during the lifetime of the participants, to the extent and in the manner provided in the award agreement. The RSU Plan permits the designation of</w:t>
      </w:r>
    </w:p>
    <w:p>
      <w:pPr>
        <w:sectPr>
          <w:pgSz w:w="11900" w:h="16944" w:orient="portrait"/>
          <w:cols w:equalWidth="0" w:num="1">
            <w:col w:w="11420"/>
          </w:cols>
          <w:pgMar w:left="240" w:top="327" w:right="239" w:bottom="0" w:gutter="0" w:footer="0" w:header="0"/>
        </w:sectPr>
      </w:pPr>
    </w:p>
    <w:bookmarkStart w:id="59" w:name="page60"/>
    <w:bookmarkEnd w:id="59"/>
    <w:p>
      <w:pPr>
        <w:ind w:right="640"/>
        <w:spacing w:after="0" w:line="278" w:lineRule="auto"/>
        <w:rPr>
          <w:sz w:val="20"/>
          <w:szCs w:val="20"/>
          <w:color w:val="auto"/>
        </w:rPr>
      </w:pPr>
      <w:r>
        <w:rPr>
          <w:rFonts w:ascii="Arial" w:cs="Arial" w:eastAsia="Arial" w:hAnsi="Arial"/>
          <w:sz w:val="17"/>
          <w:szCs w:val="17"/>
          <w:color w:val="auto"/>
        </w:rPr>
        <w:t>beneficiaries by holders of awards in the event of the participant’s death. After any such transfer, the original recipient shall continue to remain subject to the withholding tax requirements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Taxes</w:t>
      </w:r>
    </w:p>
    <w:p>
      <w:pPr>
        <w:spacing w:after="0" w:line="222" w:lineRule="exact"/>
        <w:rPr>
          <w:sz w:val="20"/>
          <w:szCs w:val="20"/>
          <w:color w:val="auto"/>
        </w:rPr>
      </w:pPr>
    </w:p>
    <w:p>
      <w:pPr>
        <w:ind w:right="180" w:firstLine="617"/>
        <w:spacing w:after="0" w:line="265" w:lineRule="auto"/>
        <w:rPr>
          <w:sz w:val="20"/>
          <w:szCs w:val="20"/>
          <w:color w:val="auto"/>
        </w:rPr>
      </w:pPr>
      <w:r>
        <w:rPr>
          <w:rFonts w:ascii="Arial" w:cs="Arial" w:eastAsia="Arial" w:hAnsi="Arial"/>
          <w:sz w:val="17"/>
          <w:szCs w:val="17"/>
          <w:color w:val="auto"/>
        </w:rPr>
        <w:t>No ordinary shares shall be delivered under the RSU Plan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Option Plans</w:t>
      </w:r>
    </w:p>
    <w:p>
      <w:pPr>
        <w:spacing w:after="0" w:line="222" w:lineRule="exact"/>
        <w:rPr>
          <w:sz w:val="20"/>
          <w:szCs w:val="20"/>
          <w:color w:val="auto"/>
        </w:rPr>
      </w:pPr>
    </w:p>
    <w:p>
      <w:pPr>
        <w:ind w:right="140" w:firstLine="617"/>
        <w:spacing w:after="0" w:line="261" w:lineRule="auto"/>
        <w:rPr>
          <w:sz w:val="20"/>
          <w:szCs w:val="20"/>
          <w:color w:val="auto"/>
        </w:rPr>
      </w:pPr>
      <w:r>
        <w:rPr>
          <w:rFonts w:ascii="Arial" w:cs="Arial" w:eastAsia="Arial" w:hAnsi="Arial"/>
          <w:sz w:val="17"/>
          <w:szCs w:val="17"/>
          <w:color w:val="auto"/>
        </w:rPr>
        <w:t>Certain of our subsidiaries have adopted their own option plans, which allow the relevant subsidiaries to grant options to certain of our employees. The options expire in five to seven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w:t>
      </w:r>
    </w:p>
    <w:p>
      <w:pPr>
        <w:spacing w:after="0" w:line="173" w:lineRule="exact"/>
        <w:rPr>
          <w:sz w:val="20"/>
          <w:szCs w:val="20"/>
          <w:color w:val="auto"/>
        </w:rPr>
      </w:pPr>
    </w:p>
    <w:p>
      <w:pPr>
        <w:ind w:left="640" w:hanging="637"/>
        <w:spacing w:after="0"/>
        <w:tabs>
          <w:tab w:leader="none" w:pos="6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Board Practices</w:t>
      </w:r>
    </w:p>
    <w:p>
      <w:pPr>
        <w:spacing w:after="0" w:line="222"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2, 2016.</w:t>
      </w:r>
    </w:p>
    <w:p>
      <w:pPr>
        <w:spacing w:after="0" w:line="180" w:lineRule="exact"/>
        <w:rPr>
          <w:sz w:val="20"/>
          <w:szCs w:val="20"/>
          <w:color w:val="auto"/>
        </w:rPr>
      </w:pPr>
    </w:p>
    <w:p>
      <w:pPr>
        <w:ind w:right="160" w:firstLine="617"/>
        <w:spacing w:after="0" w:line="278" w:lineRule="auto"/>
        <w:rPr>
          <w:sz w:val="20"/>
          <w:szCs w:val="20"/>
          <w:color w:val="auto"/>
        </w:rPr>
      </w:pPr>
      <w:r>
        <w:rPr>
          <w:rFonts w:ascii="Arial" w:cs="Arial" w:eastAsia="Arial" w:hAnsi="Arial"/>
          <w:sz w:val="17"/>
          <w:szCs w:val="17"/>
          <w:color w:val="auto"/>
        </w:rPr>
        <w:t>Our board has three committees, the audit committee, the compensation committee and the nominating committee. Alice Cheng, Joseph Tong and Michael Leung are currently the members of each of these committees.</w:t>
      </w:r>
    </w:p>
    <w:p>
      <w:pPr>
        <w:spacing w:after="0" w:line="165" w:lineRule="exact"/>
        <w:rPr>
          <w:sz w:val="20"/>
          <w:szCs w:val="20"/>
          <w:color w:val="auto"/>
        </w:rPr>
      </w:pPr>
    </w:p>
    <w:p>
      <w:pPr>
        <w:ind w:right="280" w:firstLine="617"/>
        <w:spacing w:after="0" w:line="306" w:lineRule="auto"/>
        <w:rPr>
          <w:sz w:val="20"/>
          <w:szCs w:val="20"/>
          <w:color w:val="auto"/>
        </w:rPr>
      </w:pPr>
      <w:r>
        <w:rPr>
          <w:rFonts w:ascii="Arial" w:cs="Arial" w:eastAsia="Arial" w:hAnsi="Arial"/>
          <w:sz w:val="15"/>
          <w:szCs w:val="15"/>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96" w:lineRule="auto"/>
        <w:rPr>
          <w:sz w:val="20"/>
          <w:szCs w:val="20"/>
          <w:color w:val="auto"/>
        </w:rPr>
      </w:pPr>
      <w:r>
        <w:rPr>
          <w:rFonts w:ascii="Arial" w:cs="Arial" w:eastAsia="Arial" w:hAnsi="Arial"/>
          <w:sz w:val="15"/>
          <w:szCs w:val="15"/>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57" w:lineRule="exact"/>
        <w:rPr>
          <w:sz w:val="20"/>
          <w:szCs w:val="20"/>
          <w:color w:val="auto"/>
        </w:rPr>
      </w:pPr>
    </w:p>
    <w:p>
      <w:pPr>
        <w:ind w:right="240" w:firstLine="617"/>
        <w:spacing w:after="0" w:line="265" w:lineRule="auto"/>
        <w:rPr>
          <w:sz w:val="20"/>
          <w:szCs w:val="20"/>
          <w:color w:val="auto"/>
        </w:rPr>
      </w:pPr>
      <w:r>
        <w:rPr>
          <w:rFonts w:ascii="Arial" w:cs="Arial" w:eastAsia="Arial" w:hAnsi="Arial"/>
          <w:sz w:val="17"/>
          <w:szCs w:val="17"/>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76" w:lineRule="exact"/>
        <w:rPr>
          <w:sz w:val="20"/>
          <w:szCs w:val="20"/>
          <w:color w:val="auto"/>
        </w:rPr>
      </w:pPr>
    </w:p>
    <w:p>
      <w:pPr>
        <w:ind w:right="140" w:firstLine="617"/>
        <w:spacing w:after="0" w:line="347" w:lineRule="auto"/>
        <w:rPr>
          <w:sz w:val="20"/>
          <w:szCs w:val="20"/>
          <w:color w:val="auto"/>
        </w:rPr>
      </w:pPr>
      <w:r>
        <w:rPr>
          <w:rFonts w:ascii="Arial" w:cs="Arial" w:eastAsia="Arial" w:hAnsi="Arial"/>
          <w:sz w:val="15"/>
          <w:szCs w:val="15"/>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w:t>
      </w:r>
    </w:p>
    <w:p>
      <w:pPr>
        <w:spacing w:after="0" w:line="222" w:lineRule="exact"/>
        <w:rPr>
          <w:sz w:val="20"/>
          <w:szCs w:val="20"/>
          <w:color w:val="auto"/>
        </w:rPr>
      </w:pPr>
    </w:p>
    <w:p>
      <w:pPr>
        <w:ind w:right="40" w:firstLine="617"/>
        <w:spacing w:after="0" w:line="278" w:lineRule="auto"/>
        <w:rPr>
          <w:sz w:val="20"/>
          <w:szCs w:val="20"/>
          <w:color w:val="auto"/>
        </w:rPr>
      </w:pPr>
      <w:r>
        <w:rPr>
          <w:rFonts w:ascii="Arial" w:cs="Arial" w:eastAsia="Arial" w:hAnsi="Arial"/>
          <w:sz w:val="17"/>
          <w:szCs w:val="17"/>
          <w:color w:val="auto"/>
        </w:rPr>
        <w:t>No interlocking relationships have existed between our board of directors or compensation committee and the board of directors or compensation committee of any other company.</w:t>
      </w:r>
    </w:p>
    <w:p>
      <w:pPr>
        <w:spacing w:after="0" w:line="159" w:lineRule="exact"/>
        <w:rPr>
          <w:sz w:val="20"/>
          <w:szCs w:val="20"/>
          <w:color w:val="auto"/>
        </w:rPr>
      </w:pPr>
    </w:p>
    <w:p>
      <w:pPr>
        <w:ind w:left="640" w:hanging="637"/>
        <w:spacing w:after="0"/>
        <w:tabs>
          <w:tab w:leader="none" w:pos="6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Employees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2014, 2015 and 2016, we had 10,004, 12,919 and 15,948 full-time employees, respectively.</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7"/>
                <w:szCs w:val="17"/>
                <w:color w:val="auto"/>
                <w:w w:val="94"/>
              </w:rPr>
              <w:t>The following table sets forth information regarding our staff as of December 31, 2016:</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6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Online game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5,495</w:t>
            </w:r>
          </w:p>
        </w:tc>
        <w:tc>
          <w:tcPr>
            <w:tcW w:w="80" w:type="dxa"/>
            <w:vAlign w:val="bottom"/>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Customer service</w:t>
            </w: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1,765</w:t>
            </w:r>
          </w:p>
        </w:tc>
        <w:tc>
          <w:tcPr>
            <w:tcW w:w="80" w:type="dxa"/>
            <w:vAlign w:val="bottom"/>
          </w:tcPr>
          <w:p>
            <w:pPr>
              <w:spacing w:after="0"/>
              <w:rPr>
                <w:sz w:val="17"/>
                <w:szCs w:val="17"/>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2,629</w:t>
            </w:r>
          </w:p>
        </w:tc>
        <w:tc>
          <w:tcPr>
            <w:tcW w:w="80" w:type="dxa"/>
            <w:vAlign w:val="bottom"/>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Product development</w:t>
            </w: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1,711</w:t>
            </w:r>
          </w:p>
        </w:tc>
        <w:tc>
          <w:tcPr>
            <w:tcW w:w="80" w:type="dxa"/>
            <w:vAlign w:val="bottom"/>
          </w:tcPr>
          <w:p>
            <w:pPr>
              <w:spacing w:after="0"/>
              <w:rPr>
                <w:sz w:val="17"/>
                <w:szCs w:val="17"/>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E-mail</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764</w:t>
            </w:r>
          </w:p>
        </w:tc>
        <w:tc>
          <w:tcPr>
            <w:tcW w:w="80" w:type="dxa"/>
            <w:vAlign w:val="bottom"/>
            <w:shd w:val="clear" w:color="auto" w:fill="CCEEFF"/>
          </w:tcPr>
          <w:p>
            <w:pPr>
              <w:spacing w:after="0"/>
              <w:rPr>
                <w:sz w:val="17"/>
                <w:szCs w:val="17"/>
                <w:color w:val="auto"/>
              </w:rPr>
            </w:pP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Marketing</w:t>
            </w:r>
          </w:p>
        </w:tc>
        <w:tc>
          <w:tcPr>
            <w:tcW w:w="2140" w:type="dxa"/>
            <w:vAlign w:val="bottom"/>
            <w:gridSpan w:val="2"/>
          </w:tcPr>
          <w:p>
            <w:pPr>
              <w:jc w:val="right"/>
              <w:ind w:right="20"/>
              <w:spacing w:after="0"/>
              <w:rPr>
                <w:sz w:val="20"/>
                <w:szCs w:val="20"/>
                <w:color w:val="auto"/>
              </w:rPr>
            </w:pPr>
            <w:r>
              <w:rPr>
                <w:rFonts w:ascii="Arial" w:cs="Arial" w:eastAsia="Arial" w:hAnsi="Arial"/>
                <w:sz w:val="17"/>
                <w:szCs w:val="17"/>
                <w:color w:val="auto"/>
              </w:rPr>
              <w:t>766</w:t>
            </w:r>
          </w:p>
        </w:tc>
        <w:tc>
          <w:tcPr>
            <w:tcW w:w="80" w:type="dxa"/>
            <w:vAlign w:val="bottom"/>
          </w:tcPr>
          <w:p>
            <w:pPr>
              <w:spacing w:after="0"/>
              <w:rPr>
                <w:sz w:val="17"/>
                <w:szCs w:val="17"/>
                <w:color w:val="auto"/>
              </w:rPr>
            </w:pPr>
          </w:p>
        </w:tc>
      </w:tr>
      <w:tr>
        <w:trPr>
          <w:trHeight w:val="206"/>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2,650</w:t>
            </w:r>
          </w:p>
        </w:tc>
        <w:tc>
          <w:tcPr>
            <w:tcW w:w="80" w:type="dxa"/>
            <w:vAlign w:val="bottom"/>
            <w:shd w:val="clear" w:color="auto" w:fill="CCEEFF"/>
          </w:tcPr>
          <w:p>
            <w:pPr>
              <w:spacing w:after="0"/>
              <w:rPr>
                <w:sz w:val="17"/>
                <w:szCs w:val="17"/>
                <w:color w:val="auto"/>
              </w:rPr>
            </w:pPr>
          </w:p>
        </w:tc>
      </w:tr>
      <w:tr>
        <w:trPr>
          <w:trHeight w:val="199"/>
        </w:trPr>
        <w:tc>
          <w:tcPr>
            <w:tcW w:w="6120" w:type="dxa"/>
            <w:vAlign w:val="bottom"/>
          </w:tcPr>
          <w:p>
            <w:pPr>
              <w:spacing w:after="0"/>
              <w:rPr>
                <w:sz w:val="17"/>
                <w:szCs w:val="17"/>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15,780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as of December 31, 2016, we had approximately 1,300 part-time employees.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 of our employees are represented by a labor union.</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ectPr>
          <w:pgSz w:w="11900" w:h="16838" w:orient="portrait"/>
          <w:cols w:equalWidth="0" w:num="1">
            <w:col w:w="11400"/>
          </w:cols>
          <w:pgMar w:left="240" w:top="127" w:right="259" w:bottom="0" w:gutter="0" w:footer="0" w:header="0"/>
        </w:sectPr>
      </w:pPr>
    </w:p>
    <w:bookmarkStart w:id="60" w:name="page61"/>
    <w:bookmarkEnd w:id="60"/>
    <w:p>
      <w:pPr>
        <w:ind w:left="620" w:hanging="617"/>
        <w:spacing w:after="0"/>
        <w:tabs>
          <w:tab w:leader="none" w:pos="62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Share Ownership</w:t>
      </w:r>
    </w:p>
    <w:p>
      <w:pPr>
        <w:spacing w:after="0" w:line="222" w:lineRule="exact"/>
        <w:rPr>
          <w:sz w:val="20"/>
          <w:szCs w:val="20"/>
          <w:color w:val="auto"/>
        </w:rPr>
      </w:pPr>
    </w:p>
    <w:p>
      <w:pPr>
        <w:ind w:right="460" w:firstLine="617"/>
        <w:spacing w:after="0" w:line="278" w:lineRule="auto"/>
        <w:rPr>
          <w:sz w:val="20"/>
          <w:szCs w:val="20"/>
          <w:color w:val="auto"/>
        </w:rPr>
      </w:pPr>
      <w:r>
        <w:rPr>
          <w:rFonts w:ascii="Arial" w:cs="Arial" w:eastAsia="Arial" w:hAnsi="Arial"/>
          <w:sz w:val="17"/>
          <w:szCs w:val="17"/>
          <w:color w:val="auto"/>
        </w:rPr>
        <w:t>The table in this section sets forth certain information known to us with respect to the beneficial ownership as of December 31, 2016 (unless otherwise indicated) by:</w:t>
      </w:r>
    </w:p>
    <w:p>
      <w:pPr>
        <w:spacing w:after="0" w:line="165" w:lineRule="exact"/>
        <w:rPr>
          <w:sz w:val="20"/>
          <w:szCs w:val="20"/>
          <w:color w:val="auto"/>
        </w:rPr>
      </w:pPr>
    </w:p>
    <w:p>
      <w:pPr>
        <w:ind w:left="580" w:hanging="268"/>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persons who are beneficial owners of five percent or more of our ordinary shares,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Chief Executive Officer and Acting Chief Financial Officer,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current directors and executive officers as a group.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40" w:firstLine="617"/>
        <w:spacing w:after="0" w:line="277" w:lineRule="auto"/>
        <w:rPr>
          <w:sz w:val="20"/>
          <w:szCs w:val="20"/>
          <w:color w:val="auto"/>
        </w:rPr>
      </w:pPr>
      <w:r>
        <w:rPr>
          <w:rFonts w:ascii="Arial" w:cs="Arial" w:eastAsia="Arial" w:hAnsi="Arial"/>
          <w:sz w:val="16"/>
          <w:szCs w:val="16"/>
          <w:color w:val="auto"/>
        </w:rPr>
        <w:t>As of December 31, 2016, 3,281,479,806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Number of Shares</w:t>
            </w:r>
          </w:p>
        </w:tc>
      </w:tr>
      <w:tr>
        <w:trPr>
          <w:trHeight w:val="164"/>
        </w:trPr>
        <w:tc>
          <w:tcPr>
            <w:tcW w:w="8260" w:type="dxa"/>
            <w:vAlign w:val="bottom"/>
          </w:tcPr>
          <w:p>
            <w:pPr>
              <w:spacing w:after="0"/>
              <w:rPr>
                <w:sz w:val="14"/>
                <w:szCs w:val="14"/>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Beneficially Owned</w:t>
            </w:r>
          </w:p>
        </w:tc>
      </w:tr>
      <w:tr>
        <w:trPr>
          <w:trHeight w:val="134"/>
        </w:trPr>
        <w:tc>
          <w:tcPr>
            <w:tcW w:w="8260" w:type="dxa"/>
            <w:vAlign w:val="bottom"/>
          </w:tcPr>
          <w:p>
            <w:pPr>
              <w:spacing w:after="0"/>
              <w:rPr>
                <w:sz w:val="11"/>
                <w:szCs w:val="11"/>
                <w:color w:val="auto"/>
              </w:rPr>
            </w:pPr>
          </w:p>
        </w:tc>
        <w:tc>
          <w:tcPr>
            <w:tcW w:w="1640" w:type="dxa"/>
            <w:vAlign w:val="bottom"/>
            <w:tcBorders>
              <w:top w:val="single" w:sz="8" w:color="auto"/>
            </w:tcBorders>
            <w:gridSpan w:val="2"/>
          </w:tcPr>
          <w:p>
            <w:pPr>
              <w:jc w:val="right"/>
              <w:ind w:right="720"/>
              <w:spacing w:after="0" w:line="135" w:lineRule="exact"/>
              <w:rPr>
                <w:sz w:val="20"/>
                <w:szCs w:val="20"/>
                <w:color w:val="auto"/>
              </w:rPr>
            </w:pPr>
            <w:r>
              <w:rPr>
                <w:rFonts w:ascii="Arial" w:cs="Arial" w:eastAsia="Arial" w:hAnsi="Arial"/>
                <w:sz w:val="14"/>
                <w:szCs w:val="14"/>
                <w:b w:val="1"/>
                <w:bCs w:val="1"/>
                <w:color w:val="auto"/>
              </w:rPr>
              <w:t>Number</w:t>
            </w:r>
          </w:p>
        </w:tc>
        <w:tc>
          <w:tcPr>
            <w:tcW w:w="1380" w:type="dxa"/>
            <w:vAlign w:val="bottom"/>
            <w:tcBorders>
              <w:top w:val="single" w:sz="8" w:color="auto"/>
            </w:tcBorders>
          </w:tcPr>
          <w:p>
            <w:pPr>
              <w:jc w:val="right"/>
              <w:ind w:right="277"/>
              <w:spacing w:after="0" w:line="135" w:lineRule="exact"/>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1"/>
                <w:szCs w:val="11"/>
                <w:color w:val="auto"/>
              </w:rPr>
            </w:pPr>
          </w:p>
        </w:tc>
      </w:tr>
      <w:tr>
        <w:trPr>
          <w:trHeight w:val="186"/>
        </w:trPr>
        <w:tc>
          <w:tcPr>
            <w:tcW w:w="82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5% Shareholder</w:t>
            </w: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3"/>
        </w:trPr>
        <w:tc>
          <w:tcPr>
            <w:tcW w:w="8260" w:type="dxa"/>
            <w:vAlign w:val="bottom"/>
          </w:tcPr>
          <w:p>
            <w:pPr>
              <w:spacing w:after="0" w:line="193" w:lineRule="exact"/>
              <w:rPr>
                <w:sz w:val="20"/>
                <w:szCs w:val="20"/>
                <w:color w:val="auto"/>
              </w:rPr>
            </w:pPr>
            <w:r>
              <w:rPr>
                <w:rFonts w:ascii="Arial" w:cs="Arial" w:eastAsia="Arial" w:hAnsi="Arial"/>
                <w:sz w:val="17"/>
                <w:szCs w:val="17"/>
                <w:color w:val="auto"/>
              </w:rPr>
              <w:t>Shining Globe International Limited/William Lei Ding</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c/o NetEase, Inc., Building No. 7, West Zone,</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8260" w:type="dxa"/>
            <w:vAlign w:val="bottom"/>
          </w:tcPr>
          <w:p>
            <w:pPr>
              <w:ind w:left="180"/>
              <w:spacing w:after="0"/>
              <w:rPr>
                <w:sz w:val="20"/>
                <w:szCs w:val="20"/>
                <w:color w:val="auto"/>
              </w:rPr>
            </w:pPr>
            <w:r>
              <w:rPr>
                <w:rFonts w:ascii="Arial" w:cs="Arial" w:eastAsia="Arial" w:hAnsi="Arial"/>
                <w:sz w:val="17"/>
                <w:szCs w:val="17"/>
                <w:color w:val="auto"/>
              </w:rPr>
              <w:t>Zhongguancun Software Park (Phase II), No. 10 Xibeiwang East Road, Haidian District, Beijing, People’s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8260" w:type="dxa"/>
            <w:vAlign w:val="bottom"/>
          </w:tcPr>
          <w:p>
            <w:pPr>
              <w:ind w:left="180"/>
              <w:spacing w:after="0"/>
              <w:rPr>
                <w:sz w:val="20"/>
                <w:szCs w:val="20"/>
                <w:color w:val="auto"/>
              </w:rPr>
            </w:pPr>
            <w:r>
              <w:rPr>
                <w:rFonts w:ascii="Arial" w:cs="Arial" w:eastAsia="Arial" w:hAnsi="Arial"/>
                <w:sz w:val="17"/>
                <w:szCs w:val="17"/>
                <w:color w:val="auto"/>
              </w:rPr>
              <w:t>Republic of China 100193.</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1,456,000,000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44.4%</w:t>
            </w:r>
          </w:p>
        </w:tc>
      </w:tr>
      <w:tr>
        <w:trPr>
          <w:trHeight w:val="326"/>
        </w:trPr>
        <w:tc>
          <w:tcPr>
            <w:tcW w:w="8260" w:type="dxa"/>
            <w:vAlign w:val="bottom"/>
          </w:tcPr>
          <w:p>
            <w:pPr>
              <w:spacing w:after="0"/>
              <w:rPr>
                <w:sz w:val="24"/>
                <w:szCs w:val="24"/>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Number of Shares</w:t>
            </w:r>
          </w:p>
        </w:tc>
      </w:tr>
      <w:tr>
        <w:trPr>
          <w:trHeight w:val="164"/>
        </w:trPr>
        <w:tc>
          <w:tcPr>
            <w:tcW w:w="8260" w:type="dxa"/>
            <w:vAlign w:val="bottom"/>
          </w:tcPr>
          <w:p>
            <w:pPr>
              <w:spacing w:after="0"/>
              <w:rPr>
                <w:sz w:val="14"/>
                <w:szCs w:val="14"/>
                <w:color w:val="auto"/>
              </w:rPr>
            </w:pPr>
          </w:p>
        </w:tc>
        <w:tc>
          <w:tcPr>
            <w:tcW w:w="3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Beneficially Owned</w:t>
            </w:r>
          </w:p>
        </w:tc>
      </w:tr>
      <w:tr>
        <w:trPr>
          <w:trHeight w:val="134"/>
        </w:trPr>
        <w:tc>
          <w:tcPr>
            <w:tcW w:w="8260" w:type="dxa"/>
            <w:vAlign w:val="bottom"/>
          </w:tcPr>
          <w:p>
            <w:pPr>
              <w:spacing w:after="0"/>
              <w:rPr>
                <w:sz w:val="11"/>
                <w:szCs w:val="11"/>
                <w:color w:val="auto"/>
              </w:rPr>
            </w:pPr>
          </w:p>
        </w:tc>
        <w:tc>
          <w:tcPr>
            <w:tcW w:w="1640" w:type="dxa"/>
            <w:vAlign w:val="bottom"/>
            <w:tcBorders>
              <w:top w:val="single" w:sz="8" w:color="auto"/>
            </w:tcBorders>
            <w:gridSpan w:val="2"/>
          </w:tcPr>
          <w:p>
            <w:pPr>
              <w:jc w:val="right"/>
              <w:ind w:right="720"/>
              <w:spacing w:after="0" w:line="135" w:lineRule="exact"/>
              <w:rPr>
                <w:sz w:val="20"/>
                <w:szCs w:val="20"/>
                <w:color w:val="auto"/>
              </w:rPr>
            </w:pPr>
            <w:r>
              <w:rPr>
                <w:rFonts w:ascii="Arial" w:cs="Arial" w:eastAsia="Arial" w:hAnsi="Arial"/>
                <w:sz w:val="14"/>
                <w:szCs w:val="14"/>
                <w:b w:val="1"/>
                <w:bCs w:val="1"/>
                <w:color w:val="auto"/>
              </w:rPr>
              <w:t>Number</w:t>
            </w:r>
          </w:p>
        </w:tc>
        <w:tc>
          <w:tcPr>
            <w:tcW w:w="1380" w:type="dxa"/>
            <w:vAlign w:val="bottom"/>
            <w:tcBorders>
              <w:top w:val="single" w:sz="8" w:color="auto"/>
            </w:tcBorders>
          </w:tcPr>
          <w:p>
            <w:pPr>
              <w:jc w:val="right"/>
              <w:ind w:right="277"/>
              <w:spacing w:after="0" w:line="135" w:lineRule="exact"/>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1"/>
                <w:szCs w:val="11"/>
                <w:color w:val="auto"/>
              </w:rPr>
            </w:pPr>
          </w:p>
        </w:tc>
      </w:tr>
      <w:tr>
        <w:trPr>
          <w:trHeight w:val="186"/>
        </w:trPr>
        <w:tc>
          <w:tcPr>
            <w:tcW w:w="826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6"/>
                <w:szCs w:val="16"/>
                <w:b w:val="1"/>
                <w:bCs w:val="1"/>
                <w:color w:val="auto"/>
              </w:rPr>
              <w:t>Executive Officers and Directors</w:t>
            </w:r>
            <w:r>
              <w:rPr>
                <w:rFonts w:ascii="Arial" w:cs="Arial" w:eastAsia="Arial" w:hAnsi="Arial"/>
                <w:sz w:val="21"/>
                <w:szCs w:val="21"/>
                <w:b w:val="1"/>
                <w:bCs w:val="1"/>
                <w:color w:val="auto"/>
                <w:vertAlign w:val="superscript"/>
              </w:rPr>
              <w:t>(2)</w:t>
            </w: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06"/>
        </w:trPr>
        <w:tc>
          <w:tcPr>
            <w:tcW w:w="8260" w:type="dxa"/>
            <w:vAlign w:val="bottom"/>
          </w:tcPr>
          <w:p>
            <w:pPr>
              <w:spacing w:after="0"/>
              <w:rPr>
                <w:sz w:val="20"/>
                <w:szCs w:val="20"/>
                <w:color w:val="auto"/>
              </w:rPr>
            </w:pPr>
            <w:r>
              <w:rPr>
                <w:rFonts w:ascii="Arial" w:cs="Arial" w:eastAsia="Arial" w:hAnsi="Arial"/>
                <w:sz w:val="17"/>
                <w:szCs w:val="17"/>
                <w:color w:val="auto"/>
              </w:rPr>
              <w:t>Onward Choi</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Alice Cheng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tcPr>
          <w:p>
            <w:pPr>
              <w:spacing w:after="0"/>
              <w:rPr>
                <w:sz w:val="20"/>
                <w:szCs w:val="20"/>
                <w:color w:val="auto"/>
              </w:rPr>
            </w:pPr>
            <w:r>
              <w:rPr>
                <w:rFonts w:ascii="Arial" w:cs="Arial" w:eastAsia="Arial" w:hAnsi="Arial"/>
                <w:sz w:val="17"/>
                <w:szCs w:val="17"/>
                <w:color w:val="auto"/>
              </w:rPr>
              <w:t>Denny Lee</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Joseph Tong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tcPr>
          <w:p>
            <w:pPr>
              <w:spacing w:after="0"/>
              <w:rPr>
                <w:sz w:val="20"/>
                <w:szCs w:val="20"/>
                <w:color w:val="auto"/>
              </w:rPr>
            </w:pPr>
            <w:r>
              <w:rPr>
                <w:rFonts w:ascii="Arial" w:cs="Arial" w:eastAsia="Arial" w:hAnsi="Arial"/>
                <w:sz w:val="17"/>
                <w:szCs w:val="17"/>
                <w:color w:val="auto"/>
              </w:rPr>
              <w:t>Lun Feng</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Michael Leung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tcPr>
          <w:p>
            <w:pPr>
              <w:spacing w:after="0"/>
              <w:rPr>
                <w:sz w:val="20"/>
                <w:szCs w:val="20"/>
                <w:color w:val="auto"/>
              </w:rPr>
            </w:pPr>
            <w:r>
              <w:rPr>
                <w:rFonts w:ascii="Arial" w:cs="Arial" w:eastAsia="Arial" w:hAnsi="Arial"/>
                <w:sz w:val="17"/>
                <w:szCs w:val="17"/>
                <w:color w:val="auto"/>
              </w:rPr>
              <w:t>Michael Tong</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8260" w:type="dxa"/>
            <w:vAlign w:val="bottom"/>
            <w:shd w:val="clear" w:color="auto" w:fill="CCEEFF"/>
          </w:tcPr>
          <w:p>
            <w:pPr>
              <w:spacing w:after="0" w:line="206" w:lineRule="exact"/>
              <w:rPr>
                <w:sz w:val="20"/>
                <w:szCs w:val="20"/>
                <w:color w:val="auto"/>
              </w:rPr>
            </w:pPr>
            <w:r>
              <w:rPr>
                <w:rFonts w:ascii="Arial" w:cs="Arial" w:eastAsia="Arial" w:hAnsi="Arial"/>
                <w:sz w:val="17"/>
                <w:szCs w:val="17"/>
                <w:color w:val="auto"/>
              </w:rPr>
              <w:t>All current directors and executive officers as a group (8 persons)</w:t>
            </w:r>
            <w:r>
              <w:rPr>
                <w:rFonts w:ascii="Arial" w:cs="Arial" w:eastAsia="Arial" w:hAnsi="Arial"/>
                <w:sz w:val="22"/>
                <w:szCs w:val="22"/>
                <w:color w:val="auto"/>
                <w:vertAlign w:val="superscript"/>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1,458,145,725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196215</wp:posOffset>
            </wp:positionV>
            <wp:extent cx="17564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56410" cy="8255"/>
                    </a:xfrm>
                    <a:prstGeom prst="rect">
                      <a:avLst/>
                    </a:prstGeom>
                    <a:noFill/>
                  </pic:spPr>
                </pic:pic>
              </a:graphicData>
            </a:graphic>
          </wp:anchor>
        </w:drawing>
      </w:r>
    </w:p>
    <w:p>
      <w:pPr>
        <w:spacing w:after="0" w:line="392" w:lineRule="exact"/>
        <w:rPr>
          <w:sz w:val="20"/>
          <w:szCs w:val="20"/>
          <w:color w:val="auto"/>
        </w:rPr>
      </w:pPr>
    </w:p>
    <w:p>
      <w:pPr>
        <w:ind w:left="420" w:hanging="417"/>
        <w:spacing w:after="0"/>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16" w:lineRule="exact"/>
        <w:rPr>
          <w:sz w:val="20"/>
          <w:szCs w:val="20"/>
          <w:color w:val="auto"/>
        </w:rPr>
      </w:pPr>
    </w:p>
    <w:p>
      <w:pPr>
        <w:ind w:left="620" w:right="260" w:hanging="617"/>
        <w:spacing w:after="0" w:line="278" w:lineRule="auto"/>
        <w:tabs>
          <w:tab w:leader="none" w:pos="6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Shining Globe International Limited is 100% owned by William Lei Ding, our founder, Chief Executive Officer and a director, and its holdings consist of 1,406,000,000 ordinary shares and 2,000,000 ADSs.</w:t>
      </w:r>
    </w:p>
    <w:p>
      <w:pPr>
        <w:spacing w:after="0" w:line="164" w:lineRule="exact"/>
        <w:rPr>
          <w:rFonts w:ascii="Arial" w:cs="Arial" w:eastAsia="Arial" w:hAnsi="Arial"/>
          <w:sz w:val="17"/>
          <w:szCs w:val="17"/>
          <w:color w:val="auto"/>
        </w:rPr>
      </w:pPr>
    </w:p>
    <w:p>
      <w:pPr>
        <w:ind w:left="620" w:right="300" w:hanging="617"/>
        <w:spacing w:after="0" w:line="278" w:lineRule="auto"/>
        <w:tabs>
          <w:tab w:leader="none" w:pos="6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address of our current executive officers and directors is c/o Building No. 7, West Zone, Zhongguancun Software Park (Phase II), No. 10 Xibeiwang East Road, Haidian District, Beijing, People’s Republic of China 100193.</w:t>
      </w:r>
    </w:p>
    <w:p>
      <w:pPr>
        <w:spacing w:after="0" w:line="164" w:lineRule="exact"/>
        <w:rPr>
          <w:rFonts w:ascii="Arial" w:cs="Arial" w:eastAsia="Arial" w:hAnsi="Arial"/>
          <w:sz w:val="17"/>
          <w:szCs w:val="17"/>
          <w:color w:val="auto"/>
        </w:rPr>
      </w:pPr>
    </w:p>
    <w:p>
      <w:pPr>
        <w:ind w:left="620" w:right="580" w:hanging="617"/>
        <w:spacing w:after="0" w:line="311" w:lineRule="auto"/>
        <w:tabs>
          <w:tab w:leader="none" w:pos="627"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Shares owned by all of our current directors and executive officers as a group includes shares beneficially owned by William Lei Ding. Such amount includes ordinary shares and ordinary shares issuable upon vesting of RSUs held by our directors and executive officers as a group.</w:t>
      </w:r>
    </w:p>
    <w:p>
      <w:pPr>
        <w:spacing w:after="0" w:line="141" w:lineRule="exact"/>
        <w:rPr>
          <w:sz w:val="20"/>
          <w:szCs w:val="20"/>
          <w:color w:val="auto"/>
        </w:rPr>
      </w:pPr>
    </w:p>
    <w:p>
      <w:pPr>
        <w:ind w:right="580" w:firstLine="617"/>
        <w:spacing w:after="0" w:line="278" w:lineRule="auto"/>
        <w:rPr>
          <w:sz w:val="20"/>
          <w:szCs w:val="20"/>
          <w:color w:val="auto"/>
        </w:rPr>
      </w:pPr>
      <w:r>
        <w:rPr>
          <w:rFonts w:ascii="Arial" w:cs="Arial" w:eastAsia="Arial" w:hAnsi="Arial"/>
          <w:sz w:val="17"/>
          <w:szCs w:val="17"/>
          <w:color w:val="auto"/>
        </w:rPr>
        <w:t>As of December 31, 2016, based on public filings with the SEC, there are no major shareholders holding 5% or more of our ordinary shares or ADSs representing ordinary shares, except as described above.</w:t>
      </w:r>
    </w:p>
    <w:p>
      <w:pPr>
        <w:spacing w:after="0" w:line="165" w:lineRule="exact"/>
        <w:rPr>
          <w:sz w:val="20"/>
          <w:szCs w:val="20"/>
          <w:color w:val="auto"/>
        </w:rPr>
      </w:pPr>
    </w:p>
    <w:p>
      <w:pPr>
        <w:ind w:right="260" w:firstLine="617"/>
        <w:spacing w:after="0" w:line="278" w:lineRule="auto"/>
        <w:rPr>
          <w:sz w:val="20"/>
          <w:szCs w:val="20"/>
          <w:color w:val="auto"/>
        </w:rPr>
      </w:pPr>
      <w:r>
        <w:rPr>
          <w:rFonts w:ascii="Arial" w:cs="Arial" w:eastAsia="Arial" w:hAnsi="Arial"/>
          <w:sz w:val="17"/>
          <w:szCs w:val="17"/>
          <w:color w:val="auto"/>
        </w:rPr>
        <w:t>As of December 31, 2016, there were five ordinary shareholders of record with an address in the United States, including The Bank of New York Mellon, depositary of our ADS program, which held 1,875,903,840 ordinary shares as of that date.</w:t>
      </w:r>
    </w:p>
    <w:p>
      <w:pPr>
        <w:spacing w:after="0" w:line="165"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our knowledge, there are no arrangements the operation of which may at a subsequent date result in us undergoing a change in control.</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major shareholders do not have different voting rights than any of our other shareholders.</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216" w:lineRule="exact"/>
        <w:rPr>
          <w:sz w:val="20"/>
          <w:szCs w:val="20"/>
          <w:color w:val="auto"/>
        </w:rPr>
      </w:pPr>
    </w:p>
    <w:p>
      <w:pPr>
        <w:ind w:left="640" w:hanging="637"/>
        <w:spacing w:after="0"/>
        <w:tabs>
          <w:tab w:leader="none" w:pos="6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Major Shareholders</w:t>
      </w:r>
    </w:p>
    <w:p>
      <w:pPr>
        <w:spacing w:after="0" w:line="22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Please refer to Item 6.E. “Directors, Senior Management and Employees—Share Ownership.”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61" w:name="page62"/>
    <w:bookmarkEnd w:id="61"/>
    <w:p>
      <w:pPr>
        <w:ind w:left="620" w:hanging="617"/>
        <w:spacing w:after="0"/>
        <w:tabs>
          <w:tab w:leader="none" w:pos="62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2" w:lineRule="exact"/>
        <w:rPr>
          <w:sz w:val="20"/>
          <w:szCs w:val="20"/>
          <w:color w:val="auto"/>
        </w:rPr>
      </w:pPr>
    </w:p>
    <w:p>
      <w:pPr>
        <w:ind w:right="40" w:firstLine="617"/>
        <w:spacing w:after="0" w:line="275" w:lineRule="auto"/>
        <w:rPr>
          <w:sz w:val="20"/>
          <w:szCs w:val="20"/>
          <w:color w:val="auto"/>
        </w:rPr>
      </w:pPr>
      <w:r>
        <w:rPr>
          <w:rFonts w:ascii="Arial" w:cs="Arial" w:eastAsia="Arial" w:hAnsi="Arial"/>
          <w:sz w:val="16"/>
          <w:szCs w:val="16"/>
          <w:color w:val="auto"/>
        </w:rPr>
        <w:t>NetEase, Inc. and certain of its wholly owned subsidiaries have entered into a series of agreements with Guangzhou NetEase, NetEase Advertising, Hangzhou Leihuo and Youdao Computer and the shareholders of these entities under which we provide our Internet and e-commerce applications, services and technologies and advertising services to Guangzhou NetEase, NetEase Advertising, Hangzhou Leihuo and Youdao Computer, and they in turn provide certain of our online games and operate the NetEase websites, our online advertising business and e-mail and certain of our e-commerce and other fee-based premium services. We believe that the terms of each agreement are no less favorable than the terms that we could obtain from disinterested third parties and that the shareholders of Guangzhou NetEase, NetEase Advertising, Hangzhou Leihuo and Youdao Computer will not receive material benefits from these agreements except as shareholders of NetEase. These agreements are described below.</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Agreements relating to Guangzhou NetEase</w:t>
      </w:r>
    </w:p>
    <w:p>
      <w:pPr>
        <w:spacing w:after="0" w:line="216" w:lineRule="exact"/>
        <w:rPr>
          <w:sz w:val="20"/>
          <w:szCs w:val="20"/>
          <w:color w:val="auto"/>
        </w:rPr>
      </w:pPr>
    </w:p>
    <w:p>
      <w:pPr>
        <w:ind w:right="300" w:firstLine="617"/>
        <w:spacing w:after="0" w:line="278" w:lineRule="auto"/>
        <w:rPr>
          <w:sz w:val="20"/>
          <w:szCs w:val="20"/>
          <w:color w:val="auto"/>
        </w:rPr>
      </w:pPr>
      <w:r>
        <w:rPr>
          <w:rFonts w:ascii="Arial" w:cs="Arial" w:eastAsia="Arial" w:hAnsi="Arial"/>
          <w:sz w:val="17"/>
          <w:szCs w:val="17"/>
          <w:color w:val="auto"/>
        </w:rPr>
        <w:t>William Lei Ding, our Chief Executive Officer, and Xiaojun Hui, our vice president of game development, own 99.0% and 1.0% of the equity interest in Guangzhou NetEase, respectively.</w:t>
      </w:r>
    </w:p>
    <w:p>
      <w:pPr>
        <w:spacing w:after="0" w:line="165" w:lineRule="exact"/>
        <w:rPr>
          <w:sz w:val="20"/>
          <w:szCs w:val="20"/>
          <w:color w:val="auto"/>
        </w:rPr>
      </w:pPr>
    </w:p>
    <w:p>
      <w:pPr>
        <w:ind w:left="620" w:right="80" w:hanging="308"/>
        <w:spacing w:after="0" w:line="265" w:lineRule="auto"/>
        <w:tabs>
          <w:tab w:leader="none" w:pos="586"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Domain Name License Agreement between NetEase and Guangzhou NetEase. </w:t>
      </w:r>
      <w:r>
        <w:rPr>
          <w:rFonts w:ascii="Arial" w:cs="Arial" w:eastAsia="Arial" w:hAnsi="Arial"/>
          <w:sz w:val="17"/>
          <w:szCs w:val="17"/>
          <w:color w:val="auto"/>
        </w:rPr>
        <w:t>NetEase granted Guangzhou NetEase the right to use the domain names</w:t>
      </w:r>
      <w:r>
        <w:rPr>
          <w:rFonts w:ascii="Arial" w:cs="Arial" w:eastAsia="Arial" w:hAnsi="Arial"/>
          <w:sz w:val="17"/>
          <w:szCs w:val="17"/>
          <w:i w:val="1"/>
          <w:iCs w:val="1"/>
          <w:color w:val="auto"/>
        </w:rPr>
        <w:t xml:space="preserve"> </w:t>
      </w:r>
      <w:r>
        <w:rPr>
          <w:rFonts w:ascii="Arial" w:cs="Arial" w:eastAsia="Arial" w:hAnsi="Arial"/>
          <w:sz w:val="17"/>
          <w:szCs w:val="17"/>
          <w:color w:val="auto"/>
        </w:rPr>
        <w:t>“netease.com,” “163.com,” “126.com,” “yeah.net” and “nease.net” on the NetEase websites in China for license fees of RMB10,000 per year. NetEase may waive this fee at any time.</w:t>
      </w:r>
    </w:p>
    <w:p>
      <w:pPr>
        <w:spacing w:after="0" w:line="175" w:lineRule="exact"/>
        <w:rPr>
          <w:rFonts w:ascii="Arial" w:cs="Arial" w:eastAsia="Arial" w:hAnsi="Arial"/>
          <w:sz w:val="17"/>
          <w:szCs w:val="17"/>
          <w:color w:val="auto"/>
        </w:rPr>
      </w:pPr>
    </w:p>
    <w:p>
      <w:pPr>
        <w:ind w:left="620" w:right="360" w:hanging="308"/>
        <w:spacing w:after="0" w:line="278" w:lineRule="auto"/>
        <w:tabs>
          <w:tab w:leader="none" w:pos="586"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Copyright License Agreement between NetEase Beijing and Guangzhou NetEase. </w:t>
      </w:r>
      <w:r>
        <w:rPr>
          <w:rFonts w:ascii="Arial" w:cs="Arial" w:eastAsia="Arial" w:hAnsi="Arial"/>
          <w:sz w:val="17"/>
          <w:szCs w:val="17"/>
          <w:color w:val="auto"/>
        </w:rPr>
        <w:t>NetEase Beijing granted Guangzhou NetEase the right to use NetEase</w:t>
      </w:r>
      <w:r>
        <w:rPr>
          <w:rFonts w:ascii="Arial" w:cs="Arial" w:eastAsia="Arial" w:hAnsi="Arial"/>
          <w:sz w:val="17"/>
          <w:szCs w:val="17"/>
          <w:i w:val="1"/>
          <w:iCs w:val="1"/>
          <w:color w:val="auto"/>
        </w:rPr>
        <w:t xml:space="preserve"> </w:t>
      </w:r>
      <w:r>
        <w:rPr>
          <w:rFonts w:ascii="Arial" w:cs="Arial" w:eastAsia="Arial" w:hAnsi="Arial"/>
          <w:sz w:val="17"/>
          <w:szCs w:val="17"/>
          <w:color w:val="auto"/>
        </w:rPr>
        <w:t>Beijing’s web page layout in China for a royalty of RMB10,000 per year. NetEase Beijing may waive this fee at any time.</w:t>
      </w:r>
    </w:p>
    <w:p>
      <w:pPr>
        <w:spacing w:after="0" w:line="164" w:lineRule="exact"/>
        <w:rPr>
          <w:rFonts w:ascii="Arial" w:cs="Arial" w:eastAsia="Arial" w:hAnsi="Arial"/>
          <w:sz w:val="17"/>
          <w:szCs w:val="17"/>
          <w:color w:val="auto"/>
        </w:rPr>
      </w:pPr>
    </w:p>
    <w:p>
      <w:pPr>
        <w:ind w:left="620" w:right="140" w:hanging="308"/>
        <w:spacing w:after="0" w:line="347" w:lineRule="auto"/>
        <w:tabs>
          <w:tab w:leader="none" w:pos="586"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Trademark License Agreement between NetEase Beijing and Guangzhou NetEase. </w:t>
      </w:r>
      <w:r>
        <w:rPr>
          <w:rFonts w:ascii="Arial" w:cs="Arial" w:eastAsia="Arial" w:hAnsi="Arial"/>
          <w:sz w:val="15"/>
          <w:szCs w:val="15"/>
          <w:color w:val="auto"/>
        </w:rPr>
        <w:t>NetEase Beijing granted Guangzhou NetEase a license to use NetEase</w:t>
      </w:r>
      <w:r>
        <w:rPr>
          <w:rFonts w:ascii="Arial" w:cs="Arial" w:eastAsia="Arial" w:hAnsi="Arial"/>
          <w:sz w:val="15"/>
          <w:szCs w:val="15"/>
          <w:i w:val="1"/>
          <w:iCs w:val="1"/>
          <w:color w:val="auto"/>
        </w:rPr>
        <w:t xml:space="preserve"> </w:t>
      </w:r>
      <w:r>
        <w:rPr>
          <w:rFonts w:ascii="Arial" w:cs="Arial" w:eastAsia="Arial" w:hAnsi="Arial"/>
          <w:sz w:val="15"/>
          <w:szCs w:val="15"/>
          <w:color w:val="auto"/>
        </w:rPr>
        <w:t>Beijing’s registered trademarks on the NetEase websites in China for license fees of RMB10,000 per year. NetEase Beijing may waive this fee at any time.</w:t>
      </w:r>
    </w:p>
    <w:p>
      <w:pPr>
        <w:spacing w:after="0" w:line="118" w:lineRule="exact"/>
        <w:rPr>
          <w:rFonts w:ascii="Arial" w:cs="Arial" w:eastAsia="Arial" w:hAnsi="Arial"/>
          <w:sz w:val="15"/>
          <w:szCs w:val="15"/>
          <w:color w:val="auto"/>
        </w:rPr>
      </w:pPr>
    </w:p>
    <w:p>
      <w:pPr>
        <w:ind w:left="620" w:right="460" w:hanging="308"/>
        <w:spacing w:after="0" w:line="278" w:lineRule="auto"/>
        <w:tabs>
          <w:tab w:leader="none" w:pos="586"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Cooperative Agreements. </w:t>
      </w:r>
      <w:r>
        <w:rPr>
          <w:rFonts w:ascii="Arial" w:cs="Arial" w:eastAsia="Arial" w:hAnsi="Arial"/>
          <w:sz w:val="17"/>
          <w:szCs w:val="17"/>
          <w:color w:val="auto"/>
        </w:rPr>
        <w:t>Guangzhou NetEase has entered into cooperative agreements with each of NetEase Beijing, Boguan, and NetEase Hangzhou</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such subsidiaries have agreed to provide the following services:</w:t>
      </w:r>
    </w:p>
    <w:p>
      <w:pPr>
        <w:spacing w:after="0" w:line="164" w:lineRule="exact"/>
        <w:rPr>
          <w:rFonts w:ascii="Arial" w:cs="Arial" w:eastAsia="Arial" w:hAnsi="Arial"/>
          <w:sz w:val="17"/>
          <w:szCs w:val="17"/>
          <w:color w:val="auto"/>
        </w:rPr>
      </w:pPr>
    </w:p>
    <w:p>
      <w:pPr>
        <w:ind w:left="1240" w:right="60" w:hanging="311"/>
        <w:spacing w:after="0" w:line="278" w:lineRule="auto"/>
        <w:tabs>
          <w:tab w:leader="none" w:pos="1206"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research and development of computer software (including but not limited to online games software) and technical support and maintenance for the operation of computer software;</w:t>
      </w:r>
    </w:p>
    <w:p>
      <w:pPr>
        <w:spacing w:after="0" w:line="164" w:lineRule="exact"/>
        <w:rPr>
          <w:rFonts w:ascii="Arial" w:cs="Arial" w:eastAsia="Arial" w:hAnsi="Arial"/>
          <w:sz w:val="17"/>
          <w:szCs w:val="17"/>
          <w:color w:val="auto"/>
        </w:rPr>
      </w:pPr>
    </w:p>
    <w:p>
      <w:pPr>
        <w:ind w:left="1240" w:right="180" w:hanging="311"/>
        <w:spacing w:after="0" w:line="278" w:lineRule="auto"/>
        <w:tabs>
          <w:tab w:leader="none" w:pos="1206" w:val="left"/>
        </w:tabs>
        <w:numPr>
          <w:ilvl w:val="1"/>
          <w:numId w:val="64"/>
        </w:numPr>
        <w:rPr>
          <w:rFonts w:ascii="Arial" w:cs="Arial" w:eastAsia="Arial" w:hAnsi="Arial"/>
          <w:sz w:val="17"/>
          <w:szCs w:val="17"/>
          <w:color w:val="auto"/>
        </w:rPr>
      </w:pPr>
      <w:r>
        <w:rPr>
          <w:rFonts w:ascii="Arial" w:cs="Arial" w:eastAsia="Arial" w:hAnsi="Arial"/>
          <w:sz w:val="17"/>
          <w:szCs w:val="17"/>
          <w:color w:val="auto"/>
        </w:rPr>
        <w:t>technical service for Internet media, including but not limited to server maintenance and development, update and upgrade of relevant application software; and</w:t>
      </w:r>
    </w:p>
    <w:p>
      <w:pPr>
        <w:spacing w:after="0" w:line="164" w:lineRule="exact"/>
        <w:rPr>
          <w:rFonts w:ascii="Arial" w:cs="Arial" w:eastAsia="Arial" w:hAnsi="Arial"/>
          <w:sz w:val="17"/>
          <w:szCs w:val="17"/>
          <w:color w:val="auto"/>
        </w:rPr>
      </w:pPr>
    </w:p>
    <w:p>
      <w:pPr>
        <w:ind w:left="1200" w:hanging="271"/>
        <w:spacing w:after="0"/>
        <w:tabs>
          <w:tab w:leader="none" w:pos="12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research and development of electronic publishing technology and relevant technical assistance and support.</w:t>
      </w:r>
    </w:p>
    <w:p>
      <w:pPr>
        <w:spacing w:after="0" w:line="216" w:lineRule="exact"/>
        <w:rPr>
          <w:sz w:val="20"/>
          <w:szCs w:val="20"/>
          <w:color w:val="auto"/>
        </w:rPr>
      </w:pPr>
    </w:p>
    <w:p>
      <w:pPr>
        <w:ind w:left="620" w:right="280"/>
        <w:spacing w:after="0" w:line="261" w:lineRule="auto"/>
        <w:rPr>
          <w:sz w:val="20"/>
          <w:szCs w:val="20"/>
          <w:color w:val="auto"/>
        </w:rPr>
      </w:pPr>
      <w:r>
        <w:rPr>
          <w:rFonts w:ascii="Arial" w:cs="Arial" w:eastAsia="Arial" w:hAnsi="Arial"/>
          <w:sz w:val="17"/>
          <w:szCs w:val="17"/>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79" w:lineRule="exact"/>
        <w:rPr>
          <w:sz w:val="20"/>
          <w:szCs w:val="20"/>
          <w:color w:val="auto"/>
        </w:rPr>
      </w:pPr>
    </w:p>
    <w:p>
      <w:pPr>
        <w:ind w:left="620" w:right="140" w:hanging="308"/>
        <w:spacing w:after="0" w:line="265" w:lineRule="auto"/>
        <w:tabs>
          <w:tab w:leader="none" w:pos="586"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Exclusive Advertising Agency Agreement between NetEase and Guangzhou NetEase. </w:t>
      </w:r>
      <w:r>
        <w:rPr>
          <w:rFonts w:ascii="Arial" w:cs="Arial" w:eastAsia="Arial" w:hAnsi="Arial"/>
          <w:sz w:val="17"/>
          <w:szCs w:val="17"/>
          <w:color w:val="auto"/>
        </w:rPr>
        <w:t>Guangzhou NetEase appointed NetEase as its advertising agent to</w:t>
      </w:r>
      <w:r>
        <w:rPr>
          <w:rFonts w:ascii="Arial" w:cs="Arial" w:eastAsia="Arial" w:hAnsi="Arial"/>
          <w:sz w:val="17"/>
          <w:szCs w:val="17"/>
          <w:i w:val="1"/>
          <w:iCs w:val="1"/>
          <w:color w:val="auto"/>
        </w:rPr>
        <w:t xml:space="preserve"> </w:t>
      </w:r>
      <w:r>
        <w:rPr>
          <w:rFonts w:ascii="Arial" w:cs="Arial" w:eastAsia="Arial" w:hAnsi="Arial"/>
          <w:sz w:val="17"/>
          <w:szCs w:val="17"/>
          <w:color w:val="auto"/>
        </w:rPr>
        <w:t>solicit advertising customers on behalf of Guangzhou NetEase in markets outside of China. NetEase pays Guangzhou NetEase 10% of the total advertising revenue under this agreement per month.</w:t>
      </w:r>
    </w:p>
    <w:p>
      <w:pPr>
        <w:spacing w:after="0" w:line="175" w:lineRule="exact"/>
        <w:rPr>
          <w:rFonts w:ascii="Arial" w:cs="Arial" w:eastAsia="Arial" w:hAnsi="Arial"/>
          <w:sz w:val="17"/>
          <w:szCs w:val="17"/>
          <w:color w:val="auto"/>
        </w:rPr>
      </w:pPr>
    </w:p>
    <w:p>
      <w:pPr>
        <w:ind w:left="620" w:right="20" w:hanging="308"/>
        <w:spacing w:after="0" w:line="289" w:lineRule="auto"/>
        <w:tabs>
          <w:tab w:leader="none" w:pos="586"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Online Advertising Agreement between Guangzhou NetEase and NetEase Advertising. </w:t>
      </w:r>
      <w:r>
        <w:rPr>
          <w:rFonts w:ascii="Arial" w:cs="Arial" w:eastAsia="Arial" w:hAnsi="Arial"/>
          <w:sz w:val="16"/>
          <w:szCs w:val="16"/>
          <w:color w:val="auto"/>
        </w:rPr>
        <w:t>Guangzhou NetEase sells all of the banner space on the NetEase</w:t>
      </w:r>
      <w:r>
        <w:rPr>
          <w:rFonts w:ascii="Arial" w:cs="Arial" w:eastAsia="Arial" w:hAnsi="Arial"/>
          <w:sz w:val="16"/>
          <w:szCs w:val="16"/>
          <w:i w:val="1"/>
          <w:iCs w:val="1"/>
          <w:color w:val="auto"/>
        </w:rPr>
        <w:t xml:space="preserve"> </w:t>
      </w:r>
      <w:r>
        <w:rPr>
          <w:rFonts w:ascii="Arial" w:cs="Arial" w:eastAsia="Arial" w:hAnsi="Arial"/>
          <w:sz w:val="16"/>
          <w:szCs w:val="16"/>
          <w:color w:val="auto"/>
        </w:rPr>
        <w:t>websites to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59" w:lineRule="exact"/>
        <w:rPr>
          <w:sz w:val="20"/>
          <w:szCs w:val="20"/>
          <w:color w:val="auto"/>
        </w:rPr>
      </w:pPr>
    </w:p>
    <w:p>
      <w:pPr>
        <w:ind w:right="540" w:firstLine="617"/>
        <w:spacing w:after="0" w:line="311" w:lineRule="auto"/>
        <w:rPr>
          <w:sz w:val="20"/>
          <w:szCs w:val="20"/>
          <w:color w:val="auto"/>
        </w:rPr>
      </w:pPr>
      <w:r>
        <w:rPr>
          <w:rFonts w:ascii="Arial" w:cs="Arial" w:eastAsia="Arial" w:hAnsi="Arial"/>
          <w:sz w:val="16"/>
          <w:szCs w:val="16"/>
          <w:color w:val="auto"/>
        </w:rPr>
        <w:t>The respective terms of the foregoing two agreements are automatically renewable for successive one year terms, unless, in the case of the Exclusive Advertising Agency Agreement, NetEase, or in the case of the Online Advertising Agreement, Guangzhou NetEase, objects to such renewal.</w:t>
      </w:r>
    </w:p>
    <w:p>
      <w:pPr>
        <w:spacing w:after="0" w:line="141" w:lineRule="exact"/>
        <w:rPr>
          <w:sz w:val="20"/>
          <w:szCs w:val="20"/>
          <w:color w:val="auto"/>
        </w:rPr>
      </w:pPr>
    </w:p>
    <w:p>
      <w:pPr>
        <w:ind w:left="620" w:right="380" w:hanging="308"/>
        <w:spacing w:after="0" w:line="278" w:lineRule="auto"/>
        <w:tabs>
          <w:tab w:leader="none" w:pos="586"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Trademark Transfer Agreement between Guangzhou NetEase and NetEase Beijing. </w:t>
      </w:r>
      <w:r>
        <w:rPr>
          <w:rFonts w:ascii="Arial" w:cs="Arial" w:eastAsia="Arial" w:hAnsi="Arial"/>
          <w:sz w:val="17"/>
          <w:szCs w:val="17"/>
          <w:color w:val="auto"/>
        </w:rPr>
        <w:t>Under this agreement, Guangzhou NetEase transferred its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to NetEase Beijing.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240" w:hanging="308"/>
        <w:spacing w:after="0" w:line="311" w:lineRule="auto"/>
        <w:tabs>
          <w:tab w:leader="none" w:pos="586"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Agreement between NetEase Beijing and Guangzhou NetEase. </w:t>
      </w:r>
      <w:r>
        <w:rPr>
          <w:rFonts w:ascii="Arial" w:cs="Arial" w:eastAsia="Arial" w:hAnsi="Arial"/>
          <w:sz w:val="16"/>
          <w:szCs w:val="16"/>
          <w:color w:val="auto"/>
        </w:rPr>
        <w:t>NetEase Beijing may not grant the license to use its domain name, copyright</w:t>
      </w:r>
      <w:r>
        <w:rPr>
          <w:rFonts w:ascii="Arial" w:cs="Arial" w:eastAsia="Arial" w:hAnsi="Arial"/>
          <w:sz w:val="16"/>
          <w:szCs w:val="16"/>
          <w:i w:val="1"/>
          <w:iCs w:val="1"/>
          <w:color w:val="auto"/>
        </w:rPr>
        <w:t xml:space="preserve"> </w:t>
      </w:r>
      <w:r>
        <w:rPr>
          <w:rFonts w:ascii="Arial" w:cs="Arial" w:eastAsia="Arial" w:hAnsi="Arial"/>
          <w:sz w:val="16"/>
          <w:szCs w:val="16"/>
          <w:color w:val="auto"/>
        </w:rPr>
        <w:t>and trademark to any third-party without Guangzhou NetEase’s consent and may not provide technical service to any third-party.</w:t>
      </w:r>
    </w:p>
    <w:p>
      <w:pPr>
        <w:spacing w:after="0" w:line="140" w:lineRule="exact"/>
        <w:rPr>
          <w:rFonts w:ascii="Arial" w:cs="Arial" w:eastAsia="Arial" w:hAnsi="Arial"/>
          <w:sz w:val="16"/>
          <w:szCs w:val="16"/>
          <w:color w:val="auto"/>
        </w:rPr>
      </w:pPr>
    </w:p>
    <w:p>
      <w:pPr>
        <w:ind w:left="620" w:right="100" w:hanging="308"/>
        <w:spacing w:after="0" w:line="291" w:lineRule="auto"/>
        <w:tabs>
          <w:tab w:leader="none" w:pos="586"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Shareholder Voting Rights Trust Agreement among NetEase Beijing and the Individual Shareholders of Guangzhou NetEase. </w:t>
      </w:r>
      <w:r>
        <w:rPr>
          <w:rFonts w:ascii="Arial" w:cs="Arial" w:eastAsia="Arial" w:hAnsi="Arial"/>
          <w:sz w:val="15"/>
          <w:szCs w:val="15"/>
          <w:color w:val="auto"/>
        </w:rPr>
        <w:t>William Lei Ding and Xiaojun</w:t>
      </w:r>
      <w:r>
        <w:rPr>
          <w:rFonts w:ascii="Arial" w:cs="Arial" w:eastAsia="Arial" w:hAnsi="Arial"/>
          <w:sz w:val="15"/>
          <w:szCs w:val="15"/>
          <w:i w:val="1"/>
          <w:iCs w:val="1"/>
          <w:color w:val="auto"/>
        </w:rPr>
        <w:t xml:space="preserve"> </w:t>
      </w:r>
      <w:r>
        <w:rPr>
          <w:rFonts w:ascii="Arial" w:cs="Arial" w:eastAsia="Arial" w:hAnsi="Arial"/>
          <w:sz w:val="15"/>
          <w:szCs w:val="15"/>
          <w:color w:val="auto"/>
        </w:rPr>
        <w:t>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w:t>
      </w:r>
    </w:p>
    <w:p>
      <w:pPr>
        <w:ind w:left="620" w:right="400"/>
        <w:spacing w:after="0" w:line="265" w:lineRule="auto"/>
        <w:rPr>
          <w:rFonts w:ascii="Arial" w:cs="Arial" w:eastAsia="Arial" w:hAnsi="Arial"/>
          <w:sz w:val="15"/>
          <w:szCs w:val="15"/>
          <w:color w:val="auto"/>
        </w:rPr>
      </w:pPr>
      <w:r>
        <w:rPr>
          <w:rFonts w:ascii="Arial" w:cs="Arial" w:eastAsia="Arial" w:hAnsi="Arial"/>
          <w:sz w:val="17"/>
          <w:szCs w:val="17"/>
          <w:color w:val="auto"/>
        </w:rPr>
        <w:t>Mr. Hui’s acquisition of his equity interest in Guangzhou NetEase from a prior shareholder and further amended and restated on November 30, 2015 in connection with the equity transfer of NetEase Advertising to William Lei Ding and Li Li.</w:t>
      </w:r>
    </w:p>
    <w:p>
      <w:pPr>
        <w:spacing w:after="0" w:line="174" w:lineRule="exact"/>
        <w:rPr>
          <w:rFonts w:ascii="Arial" w:cs="Arial" w:eastAsia="Arial" w:hAnsi="Arial"/>
          <w:sz w:val="15"/>
          <w:szCs w:val="15"/>
          <w:color w:val="auto"/>
        </w:rPr>
      </w:pPr>
    </w:p>
    <w:p>
      <w:pPr>
        <w:ind w:left="580" w:hanging="268"/>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Agreement between NetEase Beijing and Guangzhou NetEase. </w:t>
      </w:r>
      <w:r>
        <w:rPr>
          <w:rFonts w:ascii="Arial" w:cs="Arial" w:eastAsia="Arial" w:hAnsi="Arial"/>
          <w:sz w:val="17"/>
          <w:szCs w:val="17"/>
          <w:color w:val="auto"/>
        </w:rPr>
        <w:t>NetEase Beijing agrees to pay the operating costs of Guangzhou NetEase.</w:t>
      </w:r>
    </w:p>
    <w:p>
      <w:pPr>
        <w:spacing w:after="0" w:line="216" w:lineRule="exact"/>
        <w:rPr>
          <w:rFonts w:ascii="Arial" w:cs="Arial" w:eastAsia="Arial" w:hAnsi="Arial"/>
          <w:sz w:val="17"/>
          <w:szCs w:val="17"/>
          <w:color w:val="auto"/>
        </w:rPr>
      </w:pPr>
    </w:p>
    <w:p>
      <w:pPr>
        <w:ind w:left="620" w:hanging="308"/>
        <w:spacing w:after="0" w:line="296" w:lineRule="auto"/>
        <w:tabs>
          <w:tab w:leader="none" w:pos="586"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Letter of Agreement. </w:t>
      </w:r>
      <w:r>
        <w:rPr>
          <w:rFonts w:ascii="Arial" w:cs="Arial" w:eastAsia="Arial" w:hAnsi="Arial"/>
          <w:sz w:val="15"/>
          <w:szCs w:val="15"/>
          <w:color w:val="auto"/>
        </w:rPr>
        <w:t>Each of William Lei Ding and Xiaojun Hui have agreed that any amendments to be made to the Shareholder Voting Rights Trust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the Equity Pledge Agreement (described below) and the Loan Agreement (described below), as well as all other agreements to which our company, NetEase Beijing and/or their respective affiliates is a party, on the one hand, and any of their variable interest entities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w:t>
      </w:r>
    </w:p>
    <w:p>
      <w:pPr>
        <w:sectPr>
          <w:pgSz w:w="11900" w:h="16838" w:orient="portrait"/>
          <w:cols w:equalWidth="0" w:num="1">
            <w:col w:w="11380"/>
          </w:cols>
          <w:pgMar w:left="240" w:top="327" w:right="279" w:bottom="0" w:gutter="0" w:footer="0" w:header="0"/>
        </w:sectPr>
      </w:pPr>
    </w:p>
    <w:bookmarkStart w:id="62" w:name="page63"/>
    <w:bookmarkEnd w:id="62"/>
    <w:p>
      <w:pPr>
        <w:spacing w:after="0" w:line="8" w:lineRule="exact"/>
        <w:rPr>
          <w:sz w:val="20"/>
          <w:szCs w:val="20"/>
          <w:color w:val="auto"/>
        </w:rPr>
      </w:pPr>
    </w:p>
    <w:p>
      <w:pPr>
        <w:ind w:left="620" w:right="440"/>
        <w:spacing w:after="0" w:line="278" w:lineRule="auto"/>
        <w:rPr>
          <w:sz w:val="20"/>
          <w:szCs w:val="20"/>
          <w:color w:val="auto"/>
        </w:rPr>
      </w:pPr>
      <w:r>
        <w:rPr>
          <w:rFonts w:ascii="Arial" w:cs="Arial" w:eastAsia="Arial" w:hAnsi="Arial"/>
          <w:sz w:val="17"/>
          <w:szCs w:val="17"/>
          <w:color w:val="auto"/>
        </w:rPr>
        <w:t>Mr. Hui’s acquisition of his equity interest in Guangzhou NetEase from a prior shareholder and further amended and restated on November 30, 2015 in connection with the equity transfer of NetEase Advertising to William Lei Ding and Li Li.</w:t>
      </w:r>
    </w:p>
    <w:p>
      <w:pPr>
        <w:spacing w:after="0" w:line="165" w:lineRule="exact"/>
        <w:rPr>
          <w:sz w:val="20"/>
          <w:szCs w:val="20"/>
          <w:color w:val="auto"/>
        </w:rPr>
      </w:pPr>
    </w:p>
    <w:p>
      <w:pPr>
        <w:ind w:left="620" w:right="60" w:hanging="308"/>
        <w:spacing w:after="0" w:line="273" w:lineRule="auto"/>
        <w:tabs>
          <w:tab w:leader="none" w:pos="586"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w:t>
      </w:r>
      <w:r>
        <w:rPr>
          <w:rFonts w:ascii="Arial" w:cs="Arial" w:eastAsia="Arial" w:hAnsi="Arial"/>
          <w:sz w:val="16"/>
          <w:szCs w:val="16"/>
          <w:color w:val="auto"/>
        </w:rPr>
        <w:t>. Concurrent with Mr. Hui’s acquisition of his equity interest in Guangzhou NetEase from a prior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Mr. Hui entered into a Loan Agreement and Equity Pledge Agreement with NetEase Beijing, each dated May 1, 2014. Under the Loan Agreement, NetEase Beijing provided Mr. Hui with an interest-free loan in the principal amount of RMB0.2 million (US$32,000)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ten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Agreements relating to NetEase Advertising</w:t>
      </w:r>
    </w:p>
    <w:p>
      <w:pPr>
        <w:spacing w:after="0" w:line="216" w:lineRule="exact"/>
        <w:rPr>
          <w:sz w:val="20"/>
          <w:szCs w:val="20"/>
          <w:color w:val="auto"/>
        </w:rPr>
      </w:pPr>
    </w:p>
    <w:p>
      <w:pPr>
        <w:ind w:right="220" w:firstLine="617"/>
        <w:spacing w:after="0" w:line="278" w:lineRule="auto"/>
        <w:rPr>
          <w:sz w:val="20"/>
          <w:szCs w:val="20"/>
          <w:color w:val="auto"/>
        </w:rPr>
      </w:pPr>
      <w:r>
        <w:rPr>
          <w:rFonts w:ascii="Arial" w:cs="Arial" w:eastAsia="Arial" w:hAnsi="Arial"/>
          <w:sz w:val="17"/>
          <w:szCs w:val="17"/>
          <w:color w:val="auto"/>
        </w:rPr>
        <w:t>William Lei Ding and Li Li, the chief executive officer of our Internet media business, own 99.0% and 1.0% of the equity interest in NetEase Advertising, respectively.</w:t>
      </w:r>
    </w:p>
    <w:p>
      <w:pPr>
        <w:spacing w:after="0" w:line="165" w:lineRule="exact"/>
        <w:rPr>
          <w:sz w:val="20"/>
          <w:szCs w:val="20"/>
          <w:color w:val="auto"/>
        </w:rPr>
      </w:pPr>
    </w:p>
    <w:p>
      <w:pPr>
        <w:ind w:left="620" w:right="20" w:hanging="308"/>
        <w:spacing w:after="0" w:line="272" w:lineRule="auto"/>
        <w:tabs>
          <w:tab w:leader="none" w:pos="586"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Media Beijing and each of the ultimate shareholders of NetEase Advertising</w:t>
      </w:r>
      <w:r>
        <w:rPr>
          <w:rFonts w:ascii="Arial" w:cs="Arial" w:eastAsia="Arial" w:hAnsi="Arial"/>
          <w:sz w:val="16"/>
          <w:szCs w:val="16"/>
          <w:color w:val="auto"/>
        </w:rPr>
        <w:t>. Each of Mr. 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Ms. Li has entered into a Loan Agreement and an Equity Pledge Agreement with Media Beijing, each dated November 30, 2015. Under the Loan Agreements, Media Beijing provided each of Mr. Ding and Ms. Li with an interest-free loan in the principal amount of approximately RMB7.7 million (US$1.2 million) and RMB98,000 (US$15,100), which funds were used by each of Mr. Ding and Ms. Li to pay the consideration to acquire their 79.0% and 1.0% of the equity interests in NetEase Advertising, respectively. Each loan can be repaid by transferring the ultimate shareholder’s equity interest in NetEase Advertising to Media Beijing or its designee or through such other method as Media Beijing shall determine. The term of each Loan Agreement is 10 years from the date of the agreement and will be automatically extended for further 10 year terms unless otherwise decided by Media Beijing. Under the Equity Pledge Agreements, each of Mr. Ding and Ms. Li pledges his/her equity interest in NetEase Advertising to Media Beijing to secure his/her respective obligations under the Loan Agreement as well as the Exclusive Purchase Option Agreement, the Shareholder Voting Rights Trust Agreement and the Operating Agreement. Each of Mr. Ding and Ms. Li agrees he/she shall not transfer, assign or pledge his/her equity interest in NetEase Advertising without the prior written consent of Media Beijing. The Equity Pledge Agreements will remain binding until the pledgor discharges all his/her obligations under the above-mentioned agreements.</w:t>
      </w:r>
    </w:p>
    <w:p>
      <w:pPr>
        <w:spacing w:after="0" w:line="173" w:lineRule="exact"/>
        <w:rPr>
          <w:rFonts w:ascii="Arial" w:cs="Arial" w:eastAsia="Arial" w:hAnsi="Arial"/>
          <w:sz w:val="16"/>
          <w:szCs w:val="16"/>
          <w:color w:val="auto"/>
        </w:rPr>
      </w:pPr>
    </w:p>
    <w:p>
      <w:pPr>
        <w:ind w:left="620" w:right="40" w:hanging="308"/>
        <w:spacing w:after="0" w:line="255" w:lineRule="auto"/>
        <w:tabs>
          <w:tab w:leader="none" w:pos="586"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Exclusive Purchase Option Agreements among Media Beijing, NetEase Advertising and each of the ultimate shareholders of NetEase Advertising</w:t>
      </w:r>
      <w:r>
        <w:rPr>
          <w:rFonts w:ascii="Arial" w:cs="Arial" w:eastAsia="Arial" w:hAnsi="Arial"/>
          <w:sz w:val="17"/>
          <w:szCs w:val="17"/>
          <w:color w:val="auto"/>
        </w:rPr>
        <w: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Purchase Option Agreements, each dated November 30, 2015, each of Mr. Ding and Ms. Li has granted Media Beijing an option to purchase all or a portion of his/her equity interest in NetEase Advertising at a price equal to the original paid-in capital paid by the ultimate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ultimate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40" w:hanging="308"/>
        <w:spacing w:after="0" w:line="282" w:lineRule="auto"/>
        <w:tabs>
          <w:tab w:leader="none" w:pos="58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between Media Beijing and each of the Individual Shareholders of NetEase Advertising. </w:t>
      </w:r>
      <w:r>
        <w:rPr>
          <w:rFonts w:ascii="Arial" w:cs="Arial" w:eastAsia="Arial" w:hAnsi="Arial"/>
          <w:sz w:val="16"/>
          <w:szCs w:val="16"/>
          <w:color w:val="auto"/>
        </w:rPr>
        <w:t>Each of Mr. 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Ms. Li agreed to irrevocably entrust a person designated by Media Beijing to represent him or her to exercise all the voting rights and other shareholders’ rights to which he/she is entitled as a shareholder of NetEase Advertising. Each agreement shall remain effective for as long as Mr. Ding or Ms. Li remains a shareholder of NetEase Advertising unless Media Beijing unilaterally terminates the agreement by written notice.</w:t>
      </w:r>
    </w:p>
    <w:p>
      <w:pPr>
        <w:spacing w:after="0" w:line="164" w:lineRule="exact"/>
        <w:rPr>
          <w:rFonts w:ascii="Arial" w:cs="Arial" w:eastAsia="Arial" w:hAnsi="Arial"/>
          <w:sz w:val="16"/>
          <w:szCs w:val="16"/>
          <w:color w:val="auto"/>
        </w:rPr>
      </w:pPr>
    </w:p>
    <w:p>
      <w:pPr>
        <w:ind w:left="620" w:hanging="308"/>
        <w:spacing w:after="0" w:line="274" w:lineRule="auto"/>
        <w:tabs>
          <w:tab w:leader="none" w:pos="586"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Media Beijing, NetEase Advertising and the ultimate shareholders of NetEase Advertising.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NetEase Advertising and its ultimate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ultimate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71" w:lineRule="exact"/>
        <w:rPr>
          <w:rFonts w:ascii="Arial" w:cs="Arial" w:eastAsia="Arial" w:hAnsi="Arial"/>
          <w:sz w:val="16"/>
          <w:szCs w:val="16"/>
          <w:color w:val="auto"/>
        </w:rPr>
      </w:pPr>
    </w:p>
    <w:p>
      <w:pPr>
        <w:ind w:left="620" w:right="600" w:hanging="308"/>
        <w:spacing w:after="0" w:line="278" w:lineRule="auto"/>
        <w:tabs>
          <w:tab w:leader="none" w:pos="586"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Cooperative Agreement between Media Beijing and NetEase Advertising. </w:t>
      </w:r>
      <w:r>
        <w:rPr>
          <w:rFonts w:ascii="Arial" w:cs="Arial" w:eastAsia="Arial" w:hAnsi="Arial"/>
          <w:sz w:val="17"/>
          <w:szCs w:val="17"/>
          <w:color w:val="auto"/>
        </w:rPr>
        <w:t>Under this cooperative agreement, Media Beijing has agreed to provide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services:</w:t>
      </w:r>
    </w:p>
    <w:p>
      <w:pPr>
        <w:spacing w:after="0" w:line="164" w:lineRule="exact"/>
        <w:rPr>
          <w:rFonts w:ascii="Arial" w:cs="Arial" w:eastAsia="Arial" w:hAnsi="Arial"/>
          <w:sz w:val="17"/>
          <w:szCs w:val="17"/>
          <w:color w:val="auto"/>
        </w:rPr>
      </w:pPr>
    </w:p>
    <w:p>
      <w:pPr>
        <w:ind w:left="1240" w:right="160" w:hanging="311"/>
        <w:spacing w:after="0" w:line="278" w:lineRule="auto"/>
        <w:tabs>
          <w:tab w:leader="none" w:pos="12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64" w:lineRule="exact"/>
        <w:rPr>
          <w:rFonts w:ascii="Arial" w:cs="Arial" w:eastAsia="Arial" w:hAnsi="Arial"/>
          <w:sz w:val="17"/>
          <w:szCs w:val="17"/>
          <w:color w:val="auto"/>
        </w:rPr>
      </w:pPr>
    </w:p>
    <w:p>
      <w:pPr>
        <w:ind w:left="1200" w:hanging="271"/>
        <w:spacing w:after="0"/>
        <w:tabs>
          <w:tab w:leader="none" w:pos="12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 development, update and upgrade of advertisement distribution platform;</w:t>
      </w:r>
    </w:p>
    <w:p>
      <w:pPr>
        <w:spacing w:after="0" w:line="216" w:lineRule="exact"/>
        <w:rPr>
          <w:rFonts w:ascii="Arial" w:cs="Arial" w:eastAsia="Arial" w:hAnsi="Arial"/>
          <w:sz w:val="17"/>
          <w:szCs w:val="17"/>
          <w:color w:val="auto"/>
        </w:rPr>
      </w:pPr>
    </w:p>
    <w:p>
      <w:pPr>
        <w:ind w:left="1240" w:right="220" w:hanging="311"/>
        <w:spacing w:after="0" w:line="278" w:lineRule="auto"/>
        <w:tabs>
          <w:tab w:leader="none" w:pos="1206" w:val="left"/>
        </w:tabs>
        <w:numPr>
          <w:ilvl w:val="1"/>
          <w:numId w:val="70"/>
        </w:numPr>
        <w:rPr>
          <w:rFonts w:ascii="Arial" w:cs="Arial" w:eastAsia="Arial" w:hAnsi="Arial"/>
          <w:sz w:val="17"/>
          <w:szCs w:val="17"/>
          <w:color w:val="auto"/>
        </w:rPr>
      </w:pPr>
      <w:r>
        <w:rPr>
          <w:rFonts w:ascii="Arial" w:cs="Arial" w:eastAsia="Arial" w:hAnsi="Arial"/>
          <w:sz w:val="17"/>
          <w:szCs w:val="17"/>
          <w:color w:val="auto"/>
        </w:rPr>
        <w:t>technical service for Internet media, including but not limited to server maintenance and development, update and upgrade of relevant application software; and</w:t>
      </w:r>
    </w:p>
    <w:p>
      <w:pPr>
        <w:spacing w:after="0" w:line="164" w:lineRule="exact"/>
        <w:rPr>
          <w:rFonts w:ascii="Arial" w:cs="Arial" w:eastAsia="Arial" w:hAnsi="Arial"/>
          <w:sz w:val="17"/>
          <w:szCs w:val="17"/>
          <w:color w:val="auto"/>
        </w:rPr>
      </w:pPr>
    </w:p>
    <w:p>
      <w:pPr>
        <w:ind w:left="1200" w:hanging="271"/>
        <w:spacing w:after="0"/>
        <w:tabs>
          <w:tab w:leader="none" w:pos="12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research and development of electronic publishing technology and relevant technical assistance and support.</w:t>
      </w:r>
    </w:p>
    <w:p>
      <w:pPr>
        <w:spacing w:after="0" w:line="216" w:lineRule="exact"/>
        <w:rPr>
          <w:sz w:val="20"/>
          <w:szCs w:val="20"/>
          <w:color w:val="auto"/>
        </w:rPr>
      </w:pPr>
    </w:p>
    <w:p>
      <w:pPr>
        <w:ind w:left="620" w:right="100"/>
        <w:spacing w:after="0" w:line="347" w:lineRule="auto"/>
        <w:rPr>
          <w:sz w:val="20"/>
          <w:szCs w:val="20"/>
          <w:color w:val="auto"/>
        </w:rPr>
      </w:pPr>
      <w:r>
        <w:rPr>
          <w:rFonts w:ascii="Arial" w:cs="Arial" w:eastAsia="Arial" w:hAnsi="Arial"/>
          <w:sz w:val="15"/>
          <w:szCs w:val="15"/>
          <w:color w:val="auto"/>
        </w:rPr>
        <w:t>NetEase Advertising has agreed to pay a monthly service fee to Media Beijing in accordance with a formula based on its expenses incurred. This agreement was effective from October 1, 2013 and will continue to be effective unless any one of the two parties terminates such agreement by written notice.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Agreements relating to Hangzhou Leihuo</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Zhipeng Hu and Tianlei Hu, two of our employees, each own 50.0% of the equity interest in Hangzhou Leihuo.</w:t>
      </w:r>
    </w:p>
    <w:p>
      <w:pPr>
        <w:sectPr>
          <w:pgSz w:w="11900" w:h="16846" w:orient="portrait"/>
          <w:cols w:equalWidth="0" w:num="1">
            <w:col w:w="11420"/>
          </w:cols>
          <w:pgMar w:left="240" w:top="127" w:right="239" w:bottom="0" w:gutter="0" w:footer="0" w:header="0"/>
        </w:sectPr>
      </w:pPr>
    </w:p>
    <w:bookmarkStart w:id="63" w:name="page64"/>
    <w:bookmarkEnd w:id="63"/>
    <w:p>
      <w:pPr>
        <w:ind w:left="620" w:right="80" w:hanging="308"/>
        <w:spacing w:after="0" w:line="272" w:lineRule="auto"/>
        <w:tabs>
          <w:tab w:leader="none" w:pos="58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NetEase Hangzhou and each of the ultimate shareholders of Hangzhou Leihuo</w:t>
      </w:r>
      <w:r>
        <w:rPr>
          <w:rFonts w:ascii="Arial" w:cs="Arial" w:eastAsia="Arial" w:hAnsi="Arial"/>
          <w:sz w:val="16"/>
          <w:szCs w:val="16"/>
          <w:color w:val="auto"/>
        </w:rPr>
        <w:t>.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(US$0.8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 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40" w:hanging="308"/>
        <w:spacing w:after="0" w:line="273" w:lineRule="auto"/>
        <w:tabs>
          <w:tab w:leader="none" w:pos="586"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Exclusive Purchase Option Agreements among NetEase Hangzhou, Hangzhou Leihuo and each of the ultimate shareholders of Hangzhou Leihuo</w:t>
      </w:r>
      <w:r>
        <w:rPr>
          <w:rFonts w:ascii="Arial" w:cs="Arial" w:eastAsia="Arial" w:hAnsi="Arial"/>
          <w:sz w:val="16"/>
          <w:szCs w:val="16"/>
          <w:color w:val="auto"/>
        </w:rPr>
        <w: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Purchase Option Agreements, each dated December 1, 2015, each of the ultimate shareholders of Hangzhou Leihuo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74" w:lineRule="exact"/>
        <w:rPr>
          <w:rFonts w:ascii="Arial" w:cs="Arial" w:eastAsia="Arial" w:hAnsi="Arial"/>
          <w:sz w:val="16"/>
          <w:szCs w:val="16"/>
          <w:color w:val="auto"/>
        </w:rPr>
      </w:pPr>
    </w:p>
    <w:p>
      <w:pPr>
        <w:ind w:left="620" w:right="40" w:hanging="308"/>
        <w:spacing w:after="0" w:line="259" w:lineRule="auto"/>
        <w:tabs>
          <w:tab w:leader="none" w:pos="58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Shareholder Voting Rights Trust Agreement between NetEase Hangzhou and each of the ultimate shareholders of Hangzhou Leihuo</w:t>
      </w:r>
      <w:r>
        <w:rPr>
          <w:rFonts w:ascii="Arial" w:cs="Arial" w:eastAsia="Arial" w:hAnsi="Arial"/>
          <w:sz w:val="17"/>
          <w:szCs w:val="17"/>
          <w:color w:val="auto"/>
        </w:rPr>
        <w:t>. Under these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80" w:lineRule="exact"/>
        <w:rPr>
          <w:rFonts w:ascii="Arial" w:cs="Arial" w:eastAsia="Arial" w:hAnsi="Arial"/>
          <w:sz w:val="17"/>
          <w:szCs w:val="17"/>
          <w:color w:val="auto"/>
        </w:rPr>
      </w:pPr>
    </w:p>
    <w:p>
      <w:pPr>
        <w:ind w:left="620" w:hanging="308"/>
        <w:spacing w:after="0" w:line="274" w:lineRule="auto"/>
        <w:tabs>
          <w:tab w:leader="none" w:pos="586"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Hangzhou, Hangzhou Leihuo and the ultimate shareholders of Hangzhou Leihuo.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71" w:lineRule="exact"/>
        <w:rPr>
          <w:rFonts w:ascii="Arial" w:cs="Arial" w:eastAsia="Arial" w:hAnsi="Arial"/>
          <w:sz w:val="16"/>
          <w:szCs w:val="16"/>
          <w:color w:val="auto"/>
        </w:rPr>
      </w:pPr>
    </w:p>
    <w:p>
      <w:pPr>
        <w:ind w:left="620" w:right="240" w:hanging="308"/>
        <w:spacing w:after="0" w:line="278" w:lineRule="auto"/>
        <w:tabs>
          <w:tab w:leader="none" w:pos="586"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Cooperation Agreement between NetEase Hangzhou and Hangzhou Leihuo. </w:t>
      </w:r>
      <w:r>
        <w:rPr>
          <w:rFonts w:ascii="Arial" w:cs="Arial" w:eastAsia="Arial" w:hAnsi="Arial"/>
          <w:sz w:val="17"/>
          <w:szCs w:val="17"/>
          <w:color w:val="auto"/>
        </w:rPr>
        <w:t>Under this Cooperation Agreement, NetEase Hangzhou has agreed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services:</w:t>
      </w:r>
    </w:p>
    <w:p>
      <w:pPr>
        <w:spacing w:after="0" w:line="164" w:lineRule="exact"/>
        <w:rPr>
          <w:rFonts w:ascii="Arial" w:cs="Arial" w:eastAsia="Arial" w:hAnsi="Arial"/>
          <w:sz w:val="17"/>
          <w:szCs w:val="17"/>
          <w:color w:val="auto"/>
        </w:rPr>
      </w:pPr>
    </w:p>
    <w:p>
      <w:pPr>
        <w:ind w:left="1240" w:right="300" w:hanging="311"/>
        <w:spacing w:after="0" w:line="278" w:lineRule="auto"/>
        <w:tabs>
          <w:tab w:leader="none" w:pos="1206"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development of computer software (including but not limited to online games) and technical support and maintenance for computer software operation;</w:t>
      </w:r>
    </w:p>
    <w:p>
      <w:pPr>
        <w:spacing w:after="0" w:line="164" w:lineRule="exact"/>
        <w:rPr>
          <w:rFonts w:ascii="Arial" w:cs="Arial" w:eastAsia="Arial" w:hAnsi="Arial"/>
          <w:sz w:val="17"/>
          <w:szCs w:val="17"/>
          <w:color w:val="auto"/>
        </w:rPr>
      </w:pPr>
    </w:p>
    <w:p>
      <w:pPr>
        <w:ind w:left="1200" w:hanging="271"/>
        <w:spacing w:after="0"/>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provision of broadband Internet access and other operational support; and</w:t>
      </w:r>
    </w:p>
    <w:p>
      <w:pPr>
        <w:spacing w:after="0" w:line="216" w:lineRule="exact"/>
        <w:rPr>
          <w:rFonts w:ascii="Arial" w:cs="Arial" w:eastAsia="Arial" w:hAnsi="Arial"/>
          <w:sz w:val="17"/>
          <w:szCs w:val="17"/>
          <w:color w:val="auto"/>
        </w:rPr>
      </w:pPr>
    </w:p>
    <w:p>
      <w:pPr>
        <w:ind w:left="1240" w:right="460" w:hanging="311"/>
        <w:spacing w:after="0" w:line="278" w:lineRule="auto"/>
        <w:tabs>
          <w:tab w:leader="none" w:pos="1206" w:val="left"/>
        </w:tabs>
        <w:numPr>
          <w:ilvl w:val="1"/>
          <w:numId w:val="72"/>
        </w:numPr>
        <w:rPr>
          <w:rFonts w:ascii="Arial" w:cs="Arial" w:eastAsia="Arial" w:hAnsi="Arial"/>
          <w:sz w:val="17"/>
          <w:szCs w:val="17"/>
          <w:color w:val="auto"/>
        </w:rPr>
      </w:pPr>
      <w:r>
        <w:rPr>
          <w:rFonts w:ascii="Arial" w:cs="Arial" w:eastAsia="Arial" w:hAnsi="Arial"/>
          <w:sz w:val="17"/>
          <w:szCs w:val="17"/>
          <w:color w:val="auto"/>
        </w:rPr>
        <w:t>jointly with Hangzhou Leihuo, the provision of value-added telecommunication and other services to users of the Leihuo website and relevant products.</w:t>
      </w:r>
    </w:p>
    <w:p>
      <w:pPr>
        <w:spacing w:after="0" w:line="165" w:lineRule="exact"/>
        <w:rPr>
          <w:sz w:val="20"/>
          <w:szCs w:val="20"/>
          <w:color w:val="auto"/>
        </w:rPr>
      </w:pPr>
    </w:p>
    <w:p>
      <w:pPr>
        <w:ind w:right="60" w:firstLine="617"/>
        <w:spacing w:after="0" w:line="265" w:lineRule="auto"/>
        <w:rPr>
          <w:sz w:val="20"/>
          <w:szCs w:val="20"/>
          <w:color w:val="auto"/>
        </w:rPr>
      </w:pPr>
      <w:r>
        <w:rPr>
          <w:rFonts w:ascii="Arial" w:cs="Arial" w:eastAsia="Arial" w:hAnsi="Arial"/>
          <w:sz w:val="17"/>
          <w:szCs w:val="17"/>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Agreements relating to Youdao Computer</w:t>
      </w:r>
    </w:p>
    <w:p>
      <w:pPr>
        <w:spacing w:after="0" w:line="216" w:lineRule="exact"/>
        <w:rPr>
          <w:sz w:val="20"/>
          <w:szCs w:val="20"/>
          <w:color w:val="auto"/>
        </w:rPr>
      </w:pPr>
    </w:p>
    <w:p>
      <w:pPr>
        <w:ind w:right="500" w:firstLine="617"/>
        <w:spacing w:after="0" w:line="278" w:lineRule="auto"/>
        <w:rPr>
          <w:sz w:val="20"/>
          <w:szCs w:val="20"/>
          <w:color w:val="auto"/>
        </w:rPr>
      </w:pPr>
      <w:r>
        <w:rPr>
          <w:rFonts w:ascii="Arial" w:cs="Arial" w:eastAsia="Arial" w:hAnsi="Arial"/>
          <w:sz w:val="17"/>
          <w:szCs w:val="17"/>
          <w:color w:val="auto"/>
        </w:rPr>
        <w:t>William Lei Ding and certain employees or former employees of Youdao Computer own 71.1% and 28.9% of the equity interest in Youdao Computer, respectively.</w:t>
      </w:r>
    </w:p>
    <w:p>
      <w:pPr>
        <w:spacing w:after="0" w:line="165" w:lineRule="exact"/>
        <w:rPr>
          <w:sz w:val="20"/>
          <w:szCs w:val="20"/>
          <w:color w:val="auto"/>
        </w:rPr>
      </w:pPr>
    </w:p>
    <w:p>
      <w:pPr>
        <w:ind w:left="620" w:right="20" w:hanging="308"/>
        <w:spacing w:after="0" w:line="272" w:lineRule="auto"/>
        <w:tabs>
          <w:tab w:leader="none" w:pos="586"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 between Youdao Information and William Lei Ding as shareholder of Youdao Computer</w:t>
      </w:r>
      <w:r>
        <w:rPr>
          <w:rFonts w:ascii="Arial" w:cs="Arial" w:eastAsia="Arial" w:hAnsi="Arial"/>
          <w:sz w:val="16"/>
          <w:szCs w:val="16"/>
          <w:color w:val="auto"/>
        </w:rPr>
        <w:t>. William Lei Ding</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Loan Agreement and an Equity Pledge Agreement with Youdao Information, each dated September 26, 2016. Under this Loan Agreement, Youdao Computer provided William Lei Ding with an interest-free loan in the principal amount of approximately RMB3.6 million (US$50,000.0), which funds were used by William Lei Ding to pay the consideration to acquire his 71.1% equity interest in Youdao Computer. Such loan can be repaid by transferring William Lei Ding’s equity interest in Youdao Computer to Youdao Information or its designee or through such other method as Youdao Information shall determine. The term of the Loan Agreement is 10 years from the date of the agreement and will be automatically extended for a further 10-year term unless otherwise decided by Youdao Information. Under the Equity Pledge Agreement, William Lei Ding pledges his 71.1% equity interest in Youdao Computer to Youdao Information to secure his obligations under the Loan Agreement as well as the Exclusive Purchase Option Agreement, the Shareholder Voting Rights Trust Agreement and the Operating Agreement. William Lei Ding further agrees to not transfer or pledge his equity interest in Youdao Computer without the prior written consent of Youdao Information. The Equity Pledge Agreement will remain binding until the pledgor William Lei Ding discharges all his obligations under the above-mentioned agreements.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333" w:right="239" w:bottom="245"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hanging="308"/>
        <w:spacing w:after="0" w:line="274" w:lineRule="auto"/>
        <w:tabs>
          <w:tab w:leader="none" w:pos="586"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Exclusive Purchase Option Agreement</w:t>
      </w:r>
      <w:r>
        <w:rPr>
          <w:rFonts w:ascii="Arial" w:cs="Arial" w:eastAsia="Arial" w:hAnsi="Arial"/>
          <w:sz w:val="16"/>
          <w:szCs w:val="16"/>
          <w:color w:val="auto"/>
        </w:rPr>
        <w:t>. Under the Exclusive Purchase Option Agreement entered into by Youdao Information, Youdao Computer and William</w:t>
      </w:r>
      <w:r>
        <w:rPr>
          <w:rFonts w:ascii="Arial" w:cs="Arial" w:eastAsia="Arial" w:hAnsi="Arial"/>
          <w:sz w:val="16"/>
          <w:szCs w:val="16"/>
          <w:i w:val="1"/>
          <w:iCs w:val="1"/>
          <w:color w:val="auto"/>
        </w:rPr>
        <w:t xml:space="preserve"> </w:t>
      </w:r>
      <w:r>
        <w:rPr>
          <w:rFonts w:ascii="Arial" w:cs="Arial" w:eastAsia="Arial" w:hAnsi="Arial"/>
          <w:sz w:val="16"/>
          <w:szCs w:val="16"/>
          <w:color w:val="auto"/>
        </w:rPr>
        <w:t>Lei Ding dated September 26, 2016, William Lei Ding has granted Youdao Information an option to purchase all or a portion of his equity interest in Youdao Computer at a price equal to the original and any additional paid-in capital paid by him. In addition, Youdao Computer has granted Youdao Information an option under the Exclusive Purchase Option Agreements to purchase all or a portion of the assets held by Youdao Computer or its subsidiaries at a price equal to the net book value of such assets. Each of Youdao Computer and William Lei Ding agrees not to transfer, mortgage or permit any security interest to be created on any equity interest in or assets of Youdao Computer without the prior written consent of Youdao Information. The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71" w:lineRule="exact"/>
        <w:rPr>
          <w:rFonts w:ascii="Arial" w:cs="Arial" w:eastAsia="Arial" w:hAnsi="Arial"/>
          <w:sz w:val="16"/>
          <w:szCs w:val="16"/>
          <w:color w:val="auto"/>
        </w:rPr>
      </w:pPr>
    </w:p>
    <w:p>
      <w:pPr>
        <w:ind w:left="620" w:hanging="308"/>
        <w:spacing w:after="0" w:line="306" w:lineRule="auto"/>
        <w:tabs>
          <w:tab w:leader="none" w:pos="586"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Shareholder Voting Rights Trust Agreement between Youdao Information and William Lei Ding</w:t>
      </w:r>
      <w:r>
        <w:rPr>
          <w:rFonts w:ascii="Arial" w:cs="Arial" w:eastAsia="Arial" w:hAnsi="Arial"/>
          <w:sz w:val="15"/>
          <w:szCs w:val="15"/>
          <w:color w:val="auto"/>
        </w:rPr>
        <w:t>. Under this agreement dated September 26, 2016, William Lei</w:t>
      </w:r>
      <w:r>
        <w:rPr>
          <w:rFonts w:ascii="Arial" w:cs="Arial" w:eastAsia="Arial" w:hAnsi="Arial"/>
          <w:sz w:val="15"/>
          <w:szCs w:val="15"/>
          <w:i w:val="1"/>
          <w:iCs w:val="1"/>
          <w:color w:val="auto"/>
        </w:rPr>
        <w:t xml:space="preserve"> </w:t>
      </w:r>
      <w:r>
        <w:rPr>
          <w:rFonts w:ascii="Arial" w:cs="Arial" w:eastAsia="Arial" w:hAnsi="Arial"/>
          <w:sz w:val="15"/>
          <w:szCs w:val="15"/>
          <w:color w:val="auto"/>
        </w:rPr>
        <w:t>Ding, as shareholder of Youdao Computer, has agreed to irrevocably entrust a person designated by Youdao Information to represent him to exercise all the voting rights and other shareholders’ rights to which he is entitled as a shareholder of Youdao Computer. This agreement shall remain effective for as long as William Lei Ding remains a shareholder of Youdao Computer unless Youdao Information unilaterally terminates the agreement by written notice.</w:t>
      </w:r>
    </w:p>
    <w:p>
      <w:pPr>
        <w:spacing w:after="0" w:line="149" w:lineRule="exact"/>
        <w:rPr>
          <w:rFonts w:ascii="Arial" w:cs="Arial" w:eastAsia="Arial" w:hAnsi="Arial"/>
          <w:sz w:val="15"/>
          <w:szCs w:val="15"/>
          <w:color w:val="auto"/>
        </w:rPr>
      </w:pPr>
    </w:p>
    <w:p>
      <w:pPr>
        <w:ind w:left="620" w:right="120" w:hanging="308"/>
        <w:spacing w:after="0" w:line="256" w:lineRule="auto"/>
        <w:tabs>
          <w:tab w:leader="none" w:pos="586"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Operating Agreement among Youdao Computer, Youdao Information and William Lei Ding. </w:t>
      </w:r>
      <w:r>
        <w:rPr>
          <w:rFonts w:ascii="Arial" w:cs="Arial" w:eastAsia="Arial" w:hAnsi="Arial"/>
          <w:sz w:val="17"/>
          <w:szCs w:val="17"/>
          <w:color w:val="auto"/>
        </w:rPr>
        <w:t>To ensure the successful performance of the various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parties, each of Youdao Computer and William Lei Ding has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has also agreed that it will provide performance guarantees and, at Youdao Information’s discretion, guarantee loans for working capital purposes to the extent required by Youdao Computer for its operations. Furthermore, William Lei Ding has agreed that, upon instruction from Youdao Information, he will appoint Youdao Computer’s board members, president, chief financial officer and other senior executive officers. The term of this agreement is 20 years from September 26, 2016 and can be extended with the written consent of Youdao Information.</w:t>
      </w:r>
    </w:p>
    <w:p>
      <w:pPr>
        <w:spacing w:after="0" w:line="184" w:lineRule="exact"/>
        <w:rPr>
          <w:rFonts w:ascii="Arial" w:cs="Arial" w:eastAsia="Arial" w:hAnsi="Arial"/>
          <w:sz w:val="17"/>
          <w:szCs w:val="17"/>
          <w:color w:val="auto"/>
        </w:rPr>
      </w:pPr>
    </w:p>
    <w:p>
      <w:pPr>
        <w:ind w:left="620" w:right="100" w:hanging="308"/>
        <w:spacing w:after="0" w:line="278" w:lineRule="auto"/>
        <w:tabs>
          <w:tab w:leader="none" w:pos="586"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Cooperation Agreement between Youdao Information and Youdao Computer</w:t>
      </w:r>
      <w:r>
        <w:rPr>
          <w:rFonts w:ascii="Arial" w:cs="Arial" w:eastAsia="Arial" w:hAnsi="Arial"/>
          <w:sz w:val="17"/>
          <w:szCs w:val="17"/>
          <w:color w:val="auto"/>
        </w:rPr>
        <w:t>. Under this Cooperation Agreement, Youdao Information has agreed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services:</w:t>
      </w:r>
    </w:p>
    <w:p>
      <w:pPr>
        <w:spacing w:after="0" w:line="164" w:lineRule="exact"/>
        <w:rPr>
          <w:rFonts w:ascii="Arial" w:cs="Arial" w:eastAsia="Arial" w:hAnsi="Arial"/>
          <w:sz w:val="17"/>
          <w:szCs w:val="17"/>
          <w:color w:val="auto"/>
        </w:rPr>
      </w:pPr>
    </w:p>
    <w:p>
      <w:pPr>
        <w:ind w:left="1240" w:right="340" w:hanging="311"/>
        <w:spacing w:after="0" w:line="278" w:lineRule="auto"/>
        <w:tabs>
          <w:tab w:leader="none" w:pos="120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64" w:lineRule="exact"/>
        <w:rPr>
          <w:rFonts w:ascii="Arial" w:cs="Arial" w:eastAsia="Arial" w:hAnsi="Arial"/>
          <w:sz w:val="17"/>
          <w:szCs w:val="17"/>
          <w:color w:val="auto"/>
        </w:rPr>
      </w:pPr>
    </w:p>
    <w:p>
      <w:pPr>
        <w:ind w:left="1240" w:right="200" w:hanging="311"/>
        <w:spacing w:after="0" w:line="278" w:lineRule="auto"/>
        <w:tabs>
          <w:tab w:leader="none" w:pos="120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development of computer software related to generating online advertisement, establishment of platforms for online advertisement and related updates and operational support; and</w:t>
      </w:r>
    </w:p>
    <w:p>
      <w:pPr>
        <w:spacing w:after="0" w:line="164" w:lineRule="exact"/>
        <w:rPr>
          <w:rFonts w:ascii="Arial" w:cs="Arial" w:eastAsia="Arial" w:hAnsi="Arial"/>
          <w:sz w:val="17"/>
          <w:szCs w:val="17"/>
          <w:color w:val="auto"/>
        </w:rPr>
      </w:pPr>
    </w:p>
    <w:p>
      <w:pPr>
        <w:ind w:left="1240" w:right="180" w:hanging="311"/>
        <w:spacing w:after="0" w:line="278" w:lineRule="auto"/>
        <w:tabs>
          <w:tab w:leader="none" w:pos="120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provision of technology support, including but not limited to server maintenance, development of server software and related maintenance and updates.</w:t>
      </w:r>
    </w:p>
    <w:p>
      <w:pPr>
        <w:spacing w:after="0" w:line="165" w:lineRule="exact"/>
        <w:rPr>
          <w:sz w:val="20"/>
          <w:szCs w:val="20"/>
          <w:color w:val="auto"/>
        </w:rPr>
      </w:pPr>
    </w:p>
    <w:p>
      <w:pPr>
        <w:ind w:right="20" w:firstLine="617"/>
        <w:spacing w:after="0" w:line="289" w:lineRule="auto"/>
        <w:rPr>
          <w:sz w:val="20"/>
          <w:szCs w:val="20"/>
          <w:color w:val="auto"/>
        </w:rPr>
      </w:pPr>
      <w:r>
        <w:rPr>
          <w:rFonts w:ascii="Arial" w:cs="Arial" w:eastAsia="Arial" w:hAnsi="Arial"/>
          <w:sz w:val="16"/>
          <w:szCs w:val="16"/>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159" w:lineRule="exact"/>
        <w:rPr>
          <w:sz w:val="20"/>
          <w:szCs w:val="20"/>
          <w:color w:val="auto"/>
        </w:rPr>
      </w:pPr>
    </w:p>
    <w:p>
      <w:pPr>
        <w:ind w:firstLine="617"/>
        <w:spacing w:after="0" w:line="296" w:lineRule="auto"/>
        <w:rPr>
          <w:sz w:val="20"/>
          <w:szCs w:val="20"/>
          <w:color w:val="auto"/>
        </w:rPr>
      </w:pPr>
      <w:r>
        <w:rPr>
          <w:rFonts w:ascii="Arial" w:cs="Arial" w:eastAsia="Arial" w:hAnsi="Arial"/>
          <w:sz w:val="15"/>
          <w:szCs w:val="15"/>
          <w:color w:val="auto"/>
        </w:rPr>
        <w:t>In addition, in connection with the licensing of certain online games by Blizzard to Shanghai EaseNet for operation in the PRC starting in August 2008, there are certain contractual arrangements among Shanghai EaseNet, the joint venture established between Blizzard and us, and us. As a result of these arrangements, Shanghai EaseNet is a controlled variable interest entity,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2014, 2015 and 2016. 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 — Our Corporate Structure.”</w:t>
      </w:r>
    </w:p>
    <w:p>
      <w:pPr>
        <w:spacing w:after="0" w:line="157" w:lineRule="exact"/>
        <w:rPr>
          <w:sz w:val="20"/>
          <w:szCs w:val="20"/>
          <w:color w:val="auto"/>
        </w:rPr>
      </w:pPr>
    </w:p>
    <w:p>
      <w:pPr>
        <w:ind w:right="260" w:firstLine="617"/>
        <w:spacing w:after="0" w:line="278" w:lineRule="auto"/>
        <w:rPr>
          <w:sz w:val="20"/>
          <w:szCs w:val="20"/>
          <w:color w:val="auto"/>
        </w:rPr>
      </w:pPr>
      <w:r>
        <w:rPr>
          <w:rFonts w:ascii="Arial" w:cs="Arial" w:eastAsia="Arial" w:hAnsi="Arial"/>
          <w:sz w:val="17"/>
          <w:szCs w:val="17"/>
          <w:color w:val="auto"/>
        </w:rPr>
        <w:t>In the year ended December 31, 2016, we also entered into two guarantee agreements in the aggregate amount of $78.0 million in respect of certain credit facilities taken by our subsidiaries. As at December 31, 2016, neither of such credit facilities had been utilized.</w:t>
      </w:r>
    </w:p>
    <w:p>
      <w:pPr>
        <w:spacing w:after="0" w:line="159" w:lineRule="exact"/>
        <w:rPr>
          <w:sz w:val="20"/>
          <w:szCs w:val="20"/>
          <w:color w:val="auto"/>
        </w:rPr>
      </w:pPr>
    </w:p>
    <w:p>
      <w:pPr>
        <w:ind w:left="620" w:right="8400" w:hanging="617"/>
        <w:spacing w:after="0" w:line="505" w:lineRule="auto"/>
        <w:tabs>
          <w:tab w:leader="none" w:pos="632"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Interests of Experts and Counsel </w:t>
      </w:r>
      <w:r>
        <w:rPr>
          <w:rFonts w:ascii="Arial" w:cs="Arial" w:eastAsia="Arial" w:hAnsi="Arial"/>
          <w:sz w:val="17"/>
          <w:szCs w:val="17"/>
          <w:color w:val="auto"/>
        </w:rPr>
        <w:t>Not applicable.</w:t>
      </w:r>
    </w:p>
    <w:p>
      <w:pPr>
        <w:spacing w:after="0" w:line="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216" w:lineRule="exact"/>
        <w:rPr>
          <w:sz w:val="20"/>
          <w:szCs w:val="20"/>
          <w:color w:val="auto"/>
        </w:rPr>
      </w:pPr>
    </w:p>
    <w:p>
      <w:pPr>
        <w:ind w:left="640" w:hanging="637"/>
        <w:spacing w:after="0"/>
        <w:tabs>
          <w:tab w:leader="none" w:pos="6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Statements and Other Financial Information</w:t>
      </w:r>
    </w:p>
    <w:p>
      <w:pPr>
        <w:spacing w:after="0" w:line="22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See Item 18. “Financial Statements” for our audited consolidated financial statements filed as part of this annual report.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A.7</w:t>
      </w:r>
      <w:r>
        <w:rPr>
          <w:sz w:val="20"/>
          <w:szCs w:val="20"/>
          <w:color w:val="auto"/>
        </w:rPr>
        <w:tab/>
      </w:r>
      <w:r>
        <w:rPr>
          <w:rFonts w:ascii="Arial" w:cs="Arial" w:eastAsia="Arial" w:hAnsi="Arial"/>
          <w:sz w:val="17"/>
          <w:szCs w:val="17"/>
          <w:b w:val="1"/>
          <w:bCs w:val="1"/>
          <w:color w:val="auto"/>
        </w:rPr>
        <w:t>Legal Proceedings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no material legal proceedings pending or, to our knowledge, threatened against us.</w:t>
      </w:r>
    </w:p>
    <w:p>
      <w:pPr>
        <w:spacing w:after="0" w:line="152"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A.8</w:t>
      </w:r>
      <w:r>
        <w:rPr>
          <w:sz w:val="20"/>
          <w:szCs w:val="20"/>
          <w:color w:val="auto"/>
        </w:rPr>
        <w:tab/>
      </w:r>
      <w:r>
        <w:rPr>
          <w:rFonts w:ascii="Arial" w:cs="Arial" w:eastAsia="Arial" w:hAnsi="Arial"/>
          <w:sz w:val="17"/>
          <w:szCs w:val="17"/>
          <w:b w:val="1"/>
          <w:bCs w:val="1"/>
          <w:color w:val="auto"/>
        </w:rPr>
        <w:t>Dividend Policy</w:t>
      </w:r>
    </w:p>
    <w:p>
      <w:pPr>
        <w:spacing w:after="0" w:line="158" w:lineRule="exact"/>
        <w:rPr>
          <w:sz w:val="20"/>
          <w:szCs w:val="20"/>
          <w:color w:val="auto"/>
        </w:rPr>
      </w:pPr>
    </w:p>
    <w:p>
      <w:pPr>
        <w:jc w:val="both"/>
        <w:ind w:right="180" w:firstLine="617"/>
        <w:spacing w:after="0" w:line="317" w:lineRule="auto"/>
        <w:rPr>
          <w:sz w:val="20"/>
          <w:szCs w:val="20"/>
          <w:color w:val="auto"/>
        </w:rPr>
      </w:pPr>
      <w:r>
        <w:rPr>
          <w:rFonts w:ascii="Arial" w:cs="Arial" w:eastAsia="Arial" w:hAnsi="Arial"/>
          <w:sz w:val="15"/>
          <w:szCs w:val="15"/>
          <w:color w:val="auto"/>
        </w:rPr>
        <w:t>In May 2014, our board of directors approved a quarterly dividend policy commencing in 2016. Under this policy, quarterly dividends are set at an amount equivalent to approximately 25%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w:t>
      </w:r>
    </w:p>
    <w:p>
      <w:pPr>
        <w:sectPr>
          <w:pgSz w:w="11900" w:h="16838" w:orient="portrait"/>
          <w:cols w:equalWidth="0" w:num="1">
            <w:col w:w="11420"/>
          </w:cols>
          <w:pgMar w:left="240" w:top="127" w:right="239" w:bottom="0" w:gutter="0" w:footer="0" w:header="0"/>
        </w:sectPr>
      </w:pPr>
    </w:p>
    <w:bookmarkStart w:id="65" w:name="page66"/>
    <w:bookmarkEnd w:id="65"/>
    <w:p>
      <w:pPr>
        <w:ind w:right="80"/>
        <w:spacing w:after="0" w:line="278" w:lineRule="auto"/>
        <w:rPr>
          <w:sz w:val="20"/>
          <w:szCs w:val="20"/>
          <w:color w:val="auto"/>
        </w:rPr>
      </w:pPr>
      <w:r>
        <w:rPr>
          <w:rFonts w:ascii="Arial" w:cs="Arial" w:eastAsia="Arial" w:hAnsi="Arial"/>
          <w:sz w:val="17"/>
          <w:szCs w:val="17"/>
          <w:color w:val="auto"/>
        </w:rPr>
        <w:t>financial condition and other relevant factors. Our board of directors declared dividends of US$0.73, US$0.78, US$0.78 and US$1.01 per ADS for the first, second, third and fourth quarters of 2016, respectively.</w:t>
      </w:r>
    </w:p>
    <w:p>
      <w:pPr>
        <w:spacing w:after="0" w:line="100" w:lineRule="exact"/>
        <w:rPr>
          <w:sz w:val="20"/>
          <w:szCs w:val="20"/>
          <w:color w:val="auto"/>
        </w:rPr>
      </w:pPr>
    </w:p>
    <w:p>
      <w:pPr>
        <w:ind w:right="260" w:firstLine="617"/>
        <w:spacing w:after="0" w:line="261" w:lineRule="auto"/>
        <w:rPr>
          <w:sz w:val="20"/>
          <w:szCs w:val="20"/>
          <w:color w:val="auto"/>
        </w:rPr>
      </w:pPr>
      <w:r>
        <w:rPr>
          <w:rFonts w:ascii="Arial" w:cs="Arial" w:eastAsia="Arial" w:hAnsi="Arial"/>
          <w:sz w:val="17"/>
          <w:szCs w:val="17"/>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14" w:lineRule="exact"/>
        <w:rPr>
          <w:sz w:val="20"/>
          <w:szCs w:val="20"/>
          <w:color w:val="auto"/>
        </w:rPr>
      </w:pPr>
    </w:p>
    <w:p>
      <w:pPr>
        <w:ind w:right="140" w:firstLine="617"/>
        <w:spacing w:after="0" w:line="261" w:lineRule="auto"/>
        <w:rPr>
          <w:sz w:val="20"/>
          <w:szCs w:val="20"/>
          <w:color w:val="auto"/>
        </w:rPr>
      </w:pPr>
      <w:r>
        <w:rPr>
          <w:rFonts w:ascii="Arial" w:cs="Arial" w:eastAsia="Arial" w:hAnsi="Arial"/>
          <w:sz w:val="17"/>
          <w:szCs w:val="17"/>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08" w:lineRule="exact"/>
        <w:rPr>
          <w:sz w:val="20"/>
          <w:szCs w:val="20"/>
          <w:color w:val="auto"/>
        </w:rPr>
      </w:pPr>
    </w:p>
    <w:p>
      <w:pPr>
        <w:ind w:left="620" w:hanging="617"/>
        <w:spacing w:after="0"/>
        <w:tabs>
          <w:tab w:leader="none" w:pos="62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Changes</w:t>
      </w:r>
    </w:p>
    <w:p>
      <w:pPr>
        <w:spacing w:after="0" w:line="157"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6"/>
          <w:szCs w:val="16"/>
          <w:color w:val="auto"/>
        </w:rPr>
        <w:t>We have not experienced any significant changes since the date of our audited consolidated financial statements included in this annual report.</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The Offer and Listing</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 except for Item 9.A.4. and Item 9.C.</w:t>
      </w:r>
    </w:p>
    <w:p>
      <w:pPr>
        <w:spacing w:after="0" w:line="152"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Our ADSs have been listed on the NASDAQ Global Select Market (formerly the NASDAQ National Market) since June 30, 2000. Our ADSs trade under the symbol “NTES.”</w:t>
      </w:r>
    </w:p>
    <w:p>
      <w:pPr>
        <w:spacing w:after="0" w:line="100" w:lineRule="exact"/>
        <w:rPr>
          <w:sz w:val="20"/>
          <w:szCs w:val="20"/>
          <w:color w:val="auto"/>
        </w:rPr>
      </w:pPr>
    </w:p>
    <w:p>
      <w:pPr>
        <w:ind w:right="300" w:firstLine="617"/>
        <w:spacing w:after="0" w:line="278" w:lineRule="auto"/>
        <w:rPr>
          <w:sz w:val="20"/>
          <w:szCs w:val="20"/>
          <w:color w:val="auto"/>
        </w:rPr>
      </w:pPr>
      <w:r>
        <w:rPr>
          <w:rFonts w:ascii="Arial" w:cs="Arial" w:eastAsia="Arial" w:hAnsi="Arial"/>
          <w:sz w:val="17"/>
          <w:szCs w:val="17"/>
          <w:color w:val="auto"/>
        </w:rPr>
        <w:t>The following table provides the high and low prices for our ADSs on the NASDAQ Global Select Market for (1) each of the most recent five financial years, (2) each quarter in the two most recent financial years and the most recent quarter and (3) each of the most recent six months.</w:t>
      </w:r>
    </w:p>
    <w:p>
      <w:pPr>
        <w:spacing w:after="0" w:line="9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6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Sales Price</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gridSpan w:val="2"/>
          </w:tcPr>
          <w:p>
            <w:pPr>
              <w:jc w:val="right"/>
              <w:ind w:right="980"/>
              <w:spacing w:after="0" w:line="135" w:lineRule="exact"/>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1"/>
                <w:szCs w:val="11"/>
                <w:color w:val="auto"/>
              </w:rPr>
            </w:pPr>
          </w:p>
        </w:tc>
        <w:tc>
          <w:tcPr>
            <w:tcW w:w="1260" w:type="dxa"/>
            <w:vAlign w:val="bottom"/>
          </w:tcPr>
          <w:p>
            <w:pPr>
              <w:jc w:val="right"/>
              <w:ind w:right="635"/>
              <w:spacing w:after="0" w:line="135"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1"/>
                <w:szCs w:val="11"/>
                <w:color w:val="auto"/>
              </w:rPr>
            </w:pPr>
          </w:p>
        </w:tc>
      </w:tr>
      <w:tr>
        <w:trPr>
          <w:trHeight w:val="186"/>
        </w:trPr>
        <w:tc>
          <w:tcPr>
            <w:tcW w:w="60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Annual highs and lows</w:t>
            </w:r>
          </w:p>
        </w:tc>
        <w:tc>
          <w:tcPr>
            <w:tcW w:w="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2012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63.81</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37.15</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78.60</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42.41</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2014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105.82</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63.35</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184.73</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94.83</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269.60</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133.07</w:t>
            </w:r>
          </w:p>
        </w:tc>
      </w:tr>
      <w:tr>
        <w:trPr>
          <w:trHeight w:val="206"/>
        </w:trPr>
        <w:tc>
          <w:tcPr>
            <w:tcW w:w="6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b w:val="1"/>
                <w:bCs w:val="1"/>
                <w:color w:val="auto"/>
              </w:rPr>
              <w:t>Quarterly highs and lows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First Quarter 2015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116.53</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94.83</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Second Quarter 2015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151.27</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107.06</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Third Quarter 2015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151.05</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107.14</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Fourth Quarter 2015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184.73</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117.41</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First Quarter 2016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173.86</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133.13</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Second Quarter 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193.22</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133.07</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Third Quarter 2016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252.05</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184.57</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Fourth Quarter 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269.60</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213.05</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First Quarter 2017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302.58</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218.16</w:t>
            </w:r>
          </w:p>
        </w:tc>
      </w:tr>
      <w:tr>
        <w:trPr>
          <w:trHeight w:val="206"/>
        </w:trPr>
        <w:tc>
          <w:tcPr>
            <w:tcW w:w="6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Monthly highs and lows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October 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269.60</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244.86</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November 2016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251.86</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217.91</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December 2016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226.17</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213.05</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January 2017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254.45</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218.16</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February 2017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265.52</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253.82</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March 2017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302.58</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282.35</w:t>
            </w:r>
          </w:p>
        </w:tc>
      </w:tr>
      <w:tr>
        <w:trPr>
          <w:trHeight w:val="217"/>
        </w:trPr>
        <w:tc>
          <w:tcPr>
            <w:tcW w:w="6040" w:type="dxa"/>
            <w:vAlign w:val="bottom"/>
          </w:tcPr>
          <w:p>
            <w:pPr>
              <w:spacing w:after="0"/>
              <w:rPr>
                <w:sz w:val="20"/>
                <w:szCs w:val="20"/>
                <w:color w:val="auto"/>
              </w:rPr>
            </w:pPr>
            <w:r>
              <w:rPr>
                <w:rFonts w:ascii="Arial" w:cs="Arial" w:eastAsia="Arial" w:hAnsi="Arial"/>
                <w:sz w:val="17"/>
                <w:szCs w:val="17"/>
                <w:color w:val="auto"/>
              </w:rPr>
              <w:t>April 2017 (through April 20, 2017)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285.22</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262.88</w:t>
            </w:r>
          </w:p>
        </w:tc>
      </w:tr>
    </w:tbl>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216" w:lineRule="exact"/>
        <w:rPr>
          <w:sz w:val="20"/>
          <w:szCs w:val="20"/>
          <w:color w:val="auto"/>
        </w:rPr>
      </w:pPr>
    </w:p>
    <w:p>
      <w:pPr>
        <w:jc w:val="both"/>
        <w:ind w:left="620" w:right="9660" w:hanging="617"/>
        <w:spacing w:after="0" w:line="572" w:lineRule="auto"/>
        <w:tabs>
          <w:tab w:leader="none" w:pos="632"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Capital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620" w:hanging="617"/>
        <w:spacing w:after="0"/>
        <w:tabs>
          <w:tab w:leader="none" w:pos="62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Memorandum and Articles of Association</w:t>
      </w:r>
    </w:p>
    <w:p>
      <w:pPr>
        <w:spacing w:after="0" w:line="222" w:lineRule="exact"/>
        <w:rPr>
          <w:rFonts w:ascii="Arial" w:cs="Arial" w:eastAsia="Arial" w:hAnsi="Arial"/>
          <w:sz w:val="17"/>
          <w:szCs w:val="17"/>
          <w:b w:val="1"/>
          <w:bCs w:val="1"/>
          <w:color w:val="auto"/>
        </w:rPr>
      </w:pPr>
    </w:p>
    <w:p>
      <w:pPr>
        <w:ind w:left="620" w:right="2400"/>
        <w:spacing w:after="0" w:line="50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following presents a description of the terms and provisions of our restated memorandum and articles of association. </w:t>
      </w:r>
      <w:r>
        <w:rPr>
          <w:rFonts w:ascii="Arial" w:cs="Arial" w:eastAsia="Arial" w:hAnsi="Arial"/>
          <w:sz w:val="17"/>
          <w:szCs w:val="17"/>
          <w:i w:val="1"/>
          <w:iCs w:val="1"/>
          <w:color w:val="auto"/>
        </w:rPr>
        <w:t>General</w:t>
      </w:r>
    </w:p>
    <w:p>
      <w:pPr>
        <w:spacing w:after="0" w:line="1" w:lineRule="exact"/>
        <w:rPr>
          <w:sz w:val="20"/>
          <w:szCs w:val="20"/>
          <w:color w:val="auto"/>
        </w:rPr>
      </w:pPr>
    </w:p>
    <w:p>
      <w:pPr>
        <w:ind w:right="480" w:firstLine="617"/>
        <w:spacing w:after="0" w:line="278" w:lineRule="auto"/>
        <w:rPr>
          <w:sz w:val="20"/>
          <w:szCs w:val="20"/>
          <w:color w:val="auto"/>
        </w:rPr>
      </w:pPr>
      <w:r>
        <w:rPr>
          <w:rFonts w:ascii="Arial" w:cs="Arial" w:eastAsia="Arial" w:hAnsi="Arial"/>
          <w:sz w:val="17"/>
          <w:szCs w:val="17"/>
          <w:color w:val="auto"/>
        </w:rPr>
        <w:t>We were incorporated in the Cayman Islands on July 6, 1999 and operate under the Cayman Islands Companies Law (2016 Revision), as revised and amended from time to time, or the Companies Law. Our corporate objectives and purpose are unrestricted.</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Directors</w:t>
      </w:r>
    </w:p>
    <w:p>
      <w:pPr>
        <w:spacing w:after="0" w:line="216"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ectPr>
          <w:pgSz w:w="11900" w:h="16838" w:orient="portrait"/>
          <w:cols w:equalWidth="0" w:num="1">
            <w:col w:w="11320"/>
          </w:cols>
          <w:pgMar w:left="240" w:top="127" w:right="339" w:bottom="0" w:gutter="0" w:footer="0" w:header="0"/>
        </w:sectPr>
      </w:pPr>
    </w:p>
    <w:bookmarkStart w:id="66" w:name="page67"/>
    <w:bookmarkEnd w:id="66"/>
    <w:p>
      <w:pPr>
        <w:jc w:val="both"/>
        <w:ind w:right="320" w:firstLine="617"/>
        <w:spacing w:after="0" w:line="265" w:lineRule="auto"/>
        <w:rPr>
          <w:sz w:val="20"/>
          <w:szCs w:val="20"/>
          <w:color w:val="auto"/>
        </w:rPr>
      </w:pPr>
      <w:r>
        <w:rPr>
          <w:rFonts w:ascii="Arial" w:cs="Arial" w:eastAsia="Arial" w:hAnsi="Arial"/>
          <w:sz w:val="17"/>
          <w:szCs w:val="17"/>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third-party.</w:t>
      </w:r>
    </w:p>
    <w:p>
      <w:pPr>
        <w:spacing w:after="0" w:line="176" w:lineRule="exact"/>
        <w:rPr>
          <w:sz w:val="20"/>
          <w:szCs w:val="20"/>
          <w:color w:val="auto"/>
        </w:rPr>
      </w:pPr>
    </w:p>
    <w:p>
      <w:pPr>
        <w:ind w:right="140" w:firstLine="617"/>
        <w:spacing w:after="0" w:line="278" w:lineRule="auto"/>
        <w:rPr>
          <w:sz w:val="20"/>
          <w:szCs w:val="20"/>
          <w:color w:val="auto"/>
        </w:rPr>
      </w:pPr>
      <w:r>
        <w:rPr>
          <w:rFonts w:ascii="Arial" w:cs="Arial" w:eastAsia="Arial" w:hAnsi="Arial"/>
          <w:sz w:val="17"/>
          <w:szCs w:val="17"/>
          <w:color w:val="auto"/>
        </w:rPr>
        <w:t>There are no membership qualifications for directors. Further, there are no age limitations or retirement requirements and no share ownership qualifications for directors unless so fixed by shareholders in a general meeting.</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Preferences and Restrictions of Ordinary Shares</w:t>
      </w:r>
    </w:p>
    <w:p>
      <w:pPr>
        <w:spacing w:after="0" w:line="216" w:lineRule="exact"/>
        <w:rPr>
          <w:sz w:val="20"/>
          <w:szCs w:val="20"/>
          <w:color w:val="auto"/>
        </w:rPr>
      </w:pPr>
    </w:p>
    <w:p>
      <w:pPr>
        <w:jc w:val="both"/>
        <w:ind w:right="100" w:firstLine="617"/>
        <w:spacing w:after="0" w:line="278"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All of our outstanding shares are fully paid and non-assessable. Certificates representing the shares are issued in registered form. Our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who are nonresidents of the Cayman Islands may freely hold and vote their shares.</w:t>
      </w:r>
    </w:p>
    <w:p>
      <w:pPr>
        <w:spacing w:after="0" w:line="165" w:lineRule="exact"/>
        <w:rPr>
          <w:sz w:val="20"/>
          <w:szCs w:val="20"/>
          <w:color w:val="auto"/>
        </w:rPr>
      </w:pPr>
    </w:p>
    <w:p>
      <w:pPr>
        <w:jc w:val="both"/>
        <w:ind w:right="80" w:firstLine="617"/>
        <w:spacing w:after="0" w:line="289"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shares are entitled to such dividends as may be declared by our board of directors. Under Cayman Islands law, dividends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9" w:lineRule="exact"/>
        <w:rPr>
          <w:sz w:val="20"/>
          <w:szCs w:val="20"/>
          <w:color w:val="auto"/>
        </w:rPr>
      </w:pPr>
    </w:p>
    <w:p>
      <w:pPr>
        <w:jc w:val="both"/>
        <w:ind w:right="240" w:firstLine="617"/>
        <w:spacing w:after="0" w:line="289"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share is entitled to one vote on all matters upon which the shares are entitled to vote, including the election of directors. Voting at any</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shareholders is by show of hands unless a poll is demanded. A poll may be demanded by the Chairman or any other shareholder present in person or by proxy. A quorum required for a meeting of shareholders consists of at least two shareholders present or by proxy.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306" w:lineRule="auto"/>
        <w:rPr>
          <w:sz w:val="20"/>
          <w:szCs w:val="20"/>
          <w:color w:val="auto"/>
        </w:rPr>
      </w:pPr>
      <w:r>
        <w:rPr>
          <w:rFonts w:ascii="Arial" w:cs="Arial" w:eastAsia="Arial" w:hAnsi="Arial"/>
          <w:sz w:val="15"/>
          <w:szCs w:val="15"/>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49"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shares) assets available for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76" w:lineRule="exact"/>
        <w:rPr>
          <w:sz w:val="20"/>
          <w:szCs w:val="20"/>
          <w:color w:val="auto"/>
        </w:rPr>
      </w:pPr>
    </w:p>
    <w:p>
      <w:pPr>
        <w:ind w:right="20" w:firstLine="617"/>
        <w:spacing w:after="0" w:line="265" w:lineRule="auto"/>
        <w:rPr>
          <w:sz w:val="20"/>
          <w:szCs w:val="20"/>
          <w:color w:val="auto"/>
        </w:rPr>
      </w:pPr>
      <w:r>
        <w:rPr>
          <w:rFonts w:ascii="Arial" w:cs="Arial" w:eastAsia="Arial" w:hAnsi="Arial"/>
          <w:sz w:val="17"/>
          <w:szCs w:val="17"/>
          <w:i w:val="1"/>
          <w:iCs w:val="1"/>
          <w:color w:val="auto"/>
        </w:rPr>
        <w:t>Calls on Shares and Forfeiture of Shares</w:t>
      </w:r>
      <w:r>
        <w:rPr>
          <w:rFonts w:ascii="Arial" w:cs="Arial" w:eastAsia="Arial" w:hAnsi="Arial"/>
          <w:sz w:val="17"/>
          <w:szCs w:val="17"/>
          <w:color w:val="auto"/>
        </w:rPr>
        <w:t>. Our board of directors may from time to time make calls upon shareholders for any amounts unpaid on their shares</w:t>
      </w:r>
      <w:r>
        <w:rPr>
          <w:rFonts w:ascii="Arial" w:cs="Arial" w:eastAsia="Arial" w:hAnsi="Arial"/>
          <w:sz w:val="17"/>
          <w:szCs w:val="17"/>
          <w:i w:val="1"/>
          <w:iCs w:val="1"/>
          <w:color w:val="auto"/>
        </w:rPr>
        <w:t xml:space="preserve"> </w:t>
      </w:r>
      <w:r>
        <w:rPr>
          <w:rFonts w:ascii="Arial" w:cs="Arial" w:eastAsia="Arial" w:hAnsi="Arial"/>
          <w:sz w:val="17"/>
          <w:szCs w:val="17"/>
          <w:color w:val="auto"/>
        </w:rPr>
        <w:t>in a notice served to such shareholders at least 14 days prior to the specified time or times of payment. The shares that have been called upon and remain unpaid are subject to forfeiture.</w:t>
      </w:r>
    </w:p>
    <w:p>
      <w:pPr>
        <w:spacing w:after="0" w:line="176" w:lineRule="exact"/>
        <w:rPr>
          <w:sz w:val="20"/>
          <w:szCs w:val="20"/>
          <w:color w:val="auto"/>
        </w:rPr>
      </w:pPr>
    </w:p>
    <w:p>
      <w:pPr>
        <w:ind w:firstLine="617"/>
        <w:spacing w:after="0" w:line="273"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Subject to the provisions of the Companies Law and the memorandum and articles of association,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Variations of Rights of Shares</w:t>
      </w:r>
    </w:p>
    <w:p>
      <w:pPr>
        <w:spacing w:after="0" w:line="216" w:lineRule="exact"/>
        <w:rPr>
          <w:sz w:val="20"/>
          <w:szCs w:val="20"/>
          <w:color w:val="auto"/>
        </w:rPr>
      </w:pPr>
    </w:p>
    <w:p>
      <w:pPr>
        <w:ind w:right="280" w:firstLine="617"/>
        <w:spacing w:after="0" w:line="265" w:lineRule="auto"/>
        <w:rPr>
          <w:sz w:val="20"/>
          <w:szCs w:val="20"/>
          <w:color w:val="auto"/>
        </w:rPr>
      </w:pPr>
      <w:r>
        <w:rPr>
          <w:rFonts w:ascii="Arial" w:cs="Arial" w:eastAsia="Arial" w:hAnsi="Arial"/>
          <w:sz w:val="17"/>
          <w:szCs w:val="17"/>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General Meetings of Shareholders</w:t>
      </w:r>
    </w:p>
    <w:p>
      <w:pPr>
        <w:spacing w:after="0" w:line="216" w:lineRule="exact"/>
        <w:rPr>
          <w:sz w:val="20"/>
          <w:szCs w:val="20"/>
          <w:color w:val="auto"/>
        </w:rPr>
      </w:pPr>
    </w:p>
    <w:p>
      <w:pPr>
        <w:ind w:right="40" w:firstLine="617"/>
        <w:spacing w:after="0" w:line="257"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at the date of the deposit of the requisition not less than one-tenth of our paid-up capital as at the date of the deposit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Limitations on the Right to Own Shares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no limitations on the right to own our shares.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Limitations on Transfer of Shares</w:t>
      </w:r>
    </w:p>
    <w:p>
      <w:pPr>
        <w:spacing w:after="0" w:line="216" w:lineRule="exact"/>
        <w:rPr>
          <w:sz w:val="20"/>
          <w:szCs w:val="20"/>
          <w:color w:val="auto"/>
        </w:rPr>
      </w:pPr>
    </w:p>
    <w:p>
      <w:pPr>
        <w:ind w:right="360" w:firstLine="617"/>
        <w:spacing w:after="0" w:line="278" w:lineRule="auto"/>
        <w:rPr>
          <w:sz w:val="20"/>
          <w:szCs w:val="20"/>
          <w:color w:val="auto"/>
        </w:rPr>
      </w:pPr>
      <w:r>
        <w:rPr>
          <w:rFonts w:ascii="Arial" w:cs="Arial" w:eastAsia="Arial" w:hAnsi="Arial"/>
          <w:sz w:val="17"/>
          <w:szCs w:val="17"/>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Disclosure of Shareholder Ownership</w:t>
      </w:r>
    </w:p>
    <w:p>
      <w:pPr>
        <w:spacing w:after="0" w:line="216" w:lineRule="exact"/>
        <w:rPr>
          <w:sz w:val="20"/>
          <w:szCs w:val="20"/>
          <w:color w:val="auto"/>
        </w:rPr>
      </w:pPr>
    </w:p>
    <w:p>
      <w:pPr>
        <w:ind w:right="120" w:firstLine="617"/>
        <w:spacing w:after="0" w:line="278" w:lineRule="auto"/>
        <w:rPr>
          <w:sz w:val="20"/>
          <w:szCs w:val="20"/>
          <w:color w:val="auto"/>
        </w:rPr>
      </w:pPr>
      <w:r>
        <w:rPr>
          <w:rFonts w:ascii="Arial" w:cs="Arial" w:eastAsia="Arial" w:hAnsi="Arial"/>
          <w:sz w:val="17"/>
          <w:szCs w:val="17"/>
          <w:color w:val="auto"/>
        </w:rPr>
        <w:t>There are no provisions in our restated memorandum or articles of association governing the ownership threshold above which shareholder ownership must be disclosed.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Changes in Capital</w:t>
      </w:r>
    </w:p>
    <w:p>
      <w:pPr>
        <w:spacing w:after="0" w:line="216" w:lineRule="exact"/>
        <w:rPr>
          <w:sz w:val="20"/>
          <w:szCs w:val="20"/>
          <w:color w:val="auto"/>
        </w:rPr>
      </w:pPr>
    </w:p>
    <w:p>
      <w:pPr>
        <w:jc w:val="both"/>
        <w:ind w:right="240" w:firstLine="617"/>
        <w:spacing w:after="0" w:line="265" w:lineRule="auto"/>
        <w:rPr>
          <w:sz w:val="20"/>
          <w:szCs w:val="20"/>
          <w:color w:val="auto"/>
        </w:rPr>
      </w:pPr>
      <w:r>
        <w:rPr>
          <w:rFonts w:ascii="Arial" w:cs="Arial" w:eastAsia="Arial" w:hAnsi="Arial"/>
          <w:sz w:val="17"/>
          <w:szCs w:val="17"/>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76" w:lineRule="exact"/>
        <w:rPr>
          <w:sz w:val="20"/>
          <w:szCs w:val="20"/>
          <w:color w:val="auto"/>
        </w:rPr>
      </w:pPr>
    </w:p>
    <w:p>
      <w:pPr>
        <w:ind w:left="960" w:hanging="349"/>
        <w:spacing w:after="0"/>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consolidate and divide all or any of our share capital into shares of larger amount than our existing shares;</w:t>
      </w:r>
    </w:p>
    <w:p>
      <w:pPr>
        <w:spacing w:after="0" w:line="216" w:lineRule="exact"/>
        <w:rPr>
          <w:rFonts w:ascii="Arial" w:cs="Arial" w:eastAsia="Arial" w:hAnsi="Arial"/>
          <w:sz w:val="17"/>
          <w:szCs w:val="17"/>
          <w:color w:val="auto"/>
        </w:rPr>
      </w:pPr>
    </w:p>
    <w:p>
      <w:pPr>
        <w:ind w:left="980" w:right="300" w:hanging="369"/>
        <w:spacing w:after="0" w:line="278" w:lineRule="auto"/>
        <w:tabs>
          <w:tab w:leader="none" w:pos="983"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sub-divide our existing shares, or any of them into shares of smaller amount than is fixed by our restated memorandum of association or into shares without nominal or par value; and</w:t>
      </w:r>
    </w:p>
    <w:p>
      <w:pPr>
        <w:spacing w:after="0" w:line="164" w:lineRule="exact"/>
        <w:rPr>
          <w:rFonts w:ascii="Arial" w:cs="Arial" w:eastAsia="Arial" w:hAnsi="Arial"/>
          <w:sz w:val="17"/>
          <w:szCs w:val="17"/>
          <w:color w:val="auto"/>
        </w:rPr>
      </w:pPr>
    </w:p>
    <w:p>
      <w:pPr>
        <w:ind w:left="980" w:hanging="369"/>
        <w:spacing w:after="0"/>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Differences in Corporate Law</w:t>
      </w:r>
    </w:p>
    <w:p>
      <w:pPr>
        <w:spacing w:after="0" w:line="216" w:lineRule="exact"/>
        <w:rPr>
          <w:sz w:val="20"/>
          <w:szCs w:val="20"/>
          <w:color w:val="auto"/>
        </w:rPr>
      </w:pPr>
    </w:p>
    <w:p>
      <w:pPr>
        <w:ind w:right="120" w:firstLine="617"/>
        <w:spacing w:after="0" w:line="265" w:lineRule="auto"/>
        <w:rPr>
          <w:sz w:val="20"/>
          <w:szCs w:val="20"/>
          <w:color w:val="auto"/>
        </w:rPr>
      </w:pPr>
      <w:r>
        <w:rPr>
          <w:rFonts w:ascii="Arial" w:cs="Arial" w:eastAsia="Arial" w:hAnsi="Arial"/>
          <w:sz w:val="17"/>
          <w:szCs w:val="17"/>
          <w:color w:val="auto"/>
        </w:rPr>
        <w:t>The Companies Law is modeled after that of the United Kingdom but does not follow recent United Kingdom statutory enactments and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6" w:lineRule="exact"/>
        <w:rPr>
          <w:sz w:val="20"/>
          <w:szCs w:val="20"/>
          <w:color w:val="auto"/>
        </w:rPr>
      </w:pPr>
    </w:p>
    <w:p>
      <w:pPr>
        <w:ind w:right="40" w:firstLine="617"/>
        <w:spacing w:after="0" w:line="271"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 Cayman</w:t>
      </w:r>
      <w:r>
        <w:rPr>
          <w:rFonts w:ascii="Arial" w:cs="Arial" w:eastAsia="Arial" w:hAnsi="Arial"/>
          <w:sz w:val="16"/>
          <w:szCs w:val="16"/>
          <w:i w:val="1"/>
          <w:iCs w:val="1"/>
          <w:color w:val="auto"/>
        </w:rPr>
        <w:t xml:space="preserve"> </w:t>
      </w:r>
      <w:r>
        <w:rPr>
          <w:rFonts w:ascii="Arial" w:cs="Arial" w:eastAsia="Arial" w:hAnsi="Arial"/>
          <w:sz w:val="16"/>
          <w:szCs w:val="16"/>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subject to certain exceptions. Court approval is not required for a merger or consolidation which is effected in compliance with these statutory procedures.</w:t>
      </w:r>
    </w:p>
    <w:p>
      <w:pPr>
        <w:spacing w:after="0" w:line="179" w:lineRule="exact"/>
        <w:rPr>
          <w:sz w:val="20"/>
          <w:szCs w:val="20"/>
          <w:color w:val="auto"/>
        </w:rPr>
      </w:pPr>
    </w:p>
    <w:p>
      <w:pPr>
        <w:ind w:right="100" w:firstLine="617"/>
        <w:spacing w:after="0" w:line="257"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5" w:lineRule="exact"/>
        <w:rPr>
          <w:sz w:val="20"/>
          <w:szCs w:val="20"/>
          <w:color w:val="auto"/>
        </w:rPr>
      </w:pPr>
    </w:p>
    <w:p>
      <w:pPr>
        <w:ind w:left="580" w:hanging="268"/>
        <w:spacing w:after="0"/>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statutory provisions as to majority vote have been complied with;</w:t>
      </w:r>
    </w:p>
    <w:p>
      <w:pPr>
        <w:spacing w:after="0" w:line="216" w:lineRule="exact"/>
        <w:rPr>
          <w:rFonts w:ascii="Arial" w:cs="Arial" w:eastAsia="Arial" w:hAnsi="Arial"/>
          <w:sz w:val="17"/>
          <w:szCs w:val="17"/>
          <w:color w:val="auto"/>
        </w:rPr>
      </w:pPr>
    </w:p>
    <w:p>
      <w:pPr>
        <w:ind w:left="620" w:right="240" w:hanging="308"/>
        <w:spacing w:after="0" w:line="278" w:lineRule="auto"/>
        <w:tabs>
          <w:tab w:leader="none" w:pos="58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shareholders have been fairly represented at the meeting in question and the statutory majority are acting bona fide without coercion of the minority to promote interests adverse to those of the class;</w:t>
      </w:r>
    </w:p>
    <w:p>
      <w:pPr>
        <w:spacing w:after="0" w:line="164" w:lineRule="exact"/>
        <w:rPr>
          <w:rFonts w:ascii="Arial" w:cs="Arial" w:eastAsia="Arial" w:hAnsi="Arial"/>
          <w:sz w:val="17"/>
          <w:szCs w:val="17"/>
          <w:color w:val="auto"/>
        </w:rPr>
      </w:pPr>
    </w:p>
    <w:p>
      <w:pPr>
        <w:ind w:left="580" w:hanging="268"/>
        <w:spacing w:after="0"/>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arrangement is such that may be reasonably approved by an intelligent and honest man of that class acting in respect of his interest;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arrangement is not one that would more properly be sanctioned under some other provision of the Companies Law.</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When a take-over offer is made and accepted by holders of 90% of the affected shares within four months, the offeror may, within a two month period after expiry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20" w:firstLine="617"/>
        <w:spacing w:after="0" w:line="265" w:lineRule="auto"/>
        <w:rPr>
          <w:sz w:val="20"/>
          <w:szCs w:val="20"/>
          <w:color w:val="auto"/>
        </w:rPr>
      </w:pPr>
      <w:r>
        <w:rPr>
          <w:rFonts w:ascii="Arial" w:cs="Arial" w:eastAsia="Arial" w:hAnsi="Arial"/>
          <w:sz w:val="17"/>
          <w:szCs w:val="17"/>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6" w:lineRule="exact"/>
        <w:rPr>
          <w:sz w:val="20"/>
          <w:szCs w:val="20"/>
          <w:color w:val="auto"/>
        </w:rPr>
      </w:pPr>
    </w:p>
    <w:p>
      <w:pPr>
        <w:ind w:right="260" w:firstLine="617"/>
        <w:spacing w:after="0" w:line="259"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In principle, we will normally be the proper plaintiff and as a general rule a derivative action may not be brought by a minority</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0" w:lineRule="exact"/>
        <w:rPr>
          <w:sz w:val="20"/>
          <w:szCs w:val="20"/>
          <w:color w:val="auto"/>
        </w:rPr>
      </w:pPr>
    </w:p>
    <w:p>
      <w:pPr>
        <w:ind w:right="240" w:firstLine="617"/>
        <w:spacing w:after="0" w:line="306" w:lineRule="auto"/>
        <w:rPr>
          <w:sz w:val="20"/>
          <w:szCs w:val="20"/>
          <w:color w:val="auto"/>
        </w:rPr>
      </w:pPr>
      <w:r>
        <w:rPr>
          <w:rFonts w:ascii="Arial" w:cs="Arial" w:eastAsia="Arial" w:hAnsi="Arial"/>
          <w:sz w:val="15"/>
          <w:szCs w:val="15"/>
          <w:i w:val="1"/>
          <w:iCs w:val="1"/>
          <w:color w:val="auto"/>
        </w:rPr>
        <w:t>Indemnification</w:t>
      </w:r>
      <w:r>
        <w:rPr>
          <w:rFonts w:ascii="Arial" w:cs="Arial" w:eastAsia="Arial" w:hAnsi="Arial"/>
          <w:sz w:val="15"/>
          <w:szCs w:val="15"/>
          <w:color w:val="auto"/>
        </w:rPr>
        <w:t>. Cayman Islands law does not (other than as set forth hereafter) limit the extent to which a company’s organizational documents may</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ectPr>
          <w:pgSz w:w="11900" w:h="16838" w:orient="portrait"/>
          <w:cols w:equalWidth="0" w:num="1">
            <w:col w:w="11400"/>
          </w:cols>
          <w:pgMar w:left="240" w:top="359" w:right="259" w:bottom="0" w:gutter="0" w:footer="0" w:header="0"/>
        </w:sectPr>
      </w:pPr>
    </w:p>
    <w:bookmarkStart w:id="68" w:name="page69"/>
    <w:bookmarkEnd w:id="68"/>
    <w:p>
      <w:pPr>
        <w:ind w:right="300" w:firstLine="617"/>
        <w:spacing w:after="0" w:line="265" w:lineRule="auto"/>
        <w:rPr>
          <w:sz w:val="20"/>
          <w:szCs w:val="20"/>
          <w:color w:val="auto"/>
        </w:rPr>
      </w:pPr>
      <w:r>
        <w:rPr>
          <w:rFonts w:ascii="Arial" w:cs="Arial" w:eastAsia="Arial" w:hAnsi="Arial"/>
          <w:sz w:val="17"/>
          <w:szCs w:val="17"/>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70" w:lineRule="exact"/>
        <w:rPr>
          <w:sz w:val="20"/>
          <w:szCs w:val="20"/>
          <w:color w:val="auto"/>
        </w:rPr>
      </w:pPr>
    </w:p>
    <w:p>
      <w:pPr>
        <w:ind w:left="640" w:hanging="637"/>
        <w:spacing w:after="0"/>
        <w:tabs>
          <w:tab w:leader="none" w:pos="64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Material Contracts</w:t>
      </w:r>
    </w:p>
    <w:p>
      <w:pPr>
        <w:spacing w:after="0" w:line="222" w:lineRule="exact"/>
        <w:rPr>
          <w:sz w:val="20"/>
          <w:szCs w:val="20"/>
          <w:color w:val="auto"/>
        </w:rPr>
      </w:pPr>
    </w:p>
    <w:p>
      <w:pPr>
        <w:ind w:right="220" w:firstLine="617"/>
        <w:spacing w:after="0" w:line="278" w:lineRule="auto"/>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4. “Information on the Company” or elsewhere in this annual report.</w:t>
      </w:r>
    </w:p>
    <w:p>
      <w:pPr>
        <w:spacing w:after="0" w:line="159" w:lineRule="exact"/>
        <w:rPr>
          <w:sz w:val="20"/>
          <w:szCs w:val="20"/>
          <w:color w:val="auto"/>
        </w:rPr>
      </w:pPr>
    </w:p>
    <w:p>
      <w:pPr>
        <w:ind w:left="640" w:hanging="637"/>
        <w:spacing w:after="0"/>
        <w:tabs>
          <w:tab w:leader="none" w:pos="64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Exchange Controls</w:t>
      </w:r>
    </w:p>
    <w:p>
      <w:pPr>
        <w:spacing w:after="0" w:line="222"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176" w:lineRule="exact"/>
        <w:rPr>
          <w:sz w:val="20"/>
          <w:szCs w:val="20"/>
          <w:color w:val="auto"/>
        </w:rPr>
      </w:pPr>
    </w:p>
    <w:p>
      <w:pPr>
        <w:ind w:right="240" w:firstLine="617"/>
        <w:spacing w:after="0" w:line="289"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59" w:lineRule="exact"/>
        <w:rPr>
          <w:sz w:val="20"/>
          <w:szCs w:val="20"/>
          <w:color w:val="auto"/>
        </w:rPr>
      </w:pPr>
    </w:p>
    <w:p>
      <w:pPr>
        <w:ind w:right="100" w:firstLine="617"/>
        <w:spacing w:after="0" w:line="259" w:lineRule="auto"/>
        <w:rPr>
          <w:sz w:val="20"/>
          <w:szCs w:val="20"/>
          <w:color w:val="auto"/>
        </w:rPr>
      </w:pPr>
      <w:r>
        <w:rPr>
          <w:rFonts w:ascii="Arial" w:cs="Arial" w:eastAsia="Arial" w:hAnsi="Arial"/>
          <w:sz w:val="17"/>
          <w:szCs w:val="17"/>
          <w:color w:val="auto"/>
        </w:rPr>
        <w:t>Under the Regulations of Settlement, Sale and Payment of Foreign Exchange, foreign invested enterprises including wholly foreign owned enterprises, may buy, sell or remit foreign currencies only at those banks that are authorized to conduct foreign exchange business after providing such banks with valid commercial supporting documents and, in the case of capital account item transactions, after obtaining approvals from SAFE. Capital investments by foreign invested enterprises outside the PRC are also subject to limitations, which include approvals by the Ministry of Commerce, SAFE and the National Development and Reform Commission.</w:t>
      </w:r>
    </w:p>
    <w:p>
      <w:pPr>
        <w:spacing w:after="0" w:line="180" w:lineRule="exact"/>
        <w:rPr>
          <w:sz w:val="20"/>
          <w:szCs w:val="20"/>
          <w:color w:val="auto"/>
        </w:rPr>
      </w:pPr>
    </w:p>
    <w:p>
      <w:pPr>
        <w:ind w:right="80" w:firstLine="617"/>
        <w:spacing w:after="0" w:line="289" w:lineRule="auto"/>
        <w:rPr>
          <w:sz w:val="20"/>
          <w:szCs w:val="20"/>
          <w:color w:val="auto"/>
        </w:rPr>
      </w:pPr>
      <w:r>
        <w:rPr>
          <w:rFonts w:ascii="Arial" w:cs="Arial" w:eastAsia="Arial" w:hAnsi="Arial"/>
          <w:sz w:val="15"/>
          <w:szCs w:val="15"/>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circular also stipulates that FIEs’ usage of capital and settled foreign exchange capital shall comply with relevant provisions concerning foreign exchange control and be subject to the management of a negative list. The FIEs’ capital and Renminbi capital gained from the settlement of foreign exchange capital may not be directly or indirectly used for expenditure beyond the business scope of the FIEs or as prohibited by laws and regulations of the PRC. Such capital also may not be directly or indirectly used for issuing Renminbi entrusted loans except as permitted by the business scope of the FIE, for repaying inter-enterprise borrowings including any third 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foreign-invested enterprise elects the conversion-at-will system for foreign currency settlement, it may convert, in part or in whole, the amount of the foreign currency in its capital account into Renminbi at any time. The converted Renminbi will be kept in a designated account labeled as settled but pending payment, and if such FIE needs to make payment from such designated account, it does not need to go through a lengthy approval process, but instead is only required to declare its intended use for such converted Renminbi. Although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No.3), or the Notice of No.3, released by SAFE on January 26, 2017, requires a domestic company to provide explanations to the banks through which it seeks to exchange currency of the sources of funds for investment and the intended use of such funds. Under Notice No.3, submission of relevant corporate documents, including board resolutions and relevant contracts is also required to support a domestic company’s claim of intended use.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85" w:lineRule="exact"/>
        <w:rPr>
          <w:sz w:val="20"/>
          <w:szCs w:val="20"/>
          <w:color w:val="auto"/>
        </w:rPr>
      </w:pPr>
    </w:p>
    <w:p>
      <w:pPr>
        <w:ind w:right="80" w:firstLine="617"/>
        <w:spacing w:after="0" w:line="317" w:lineRule="auto"/>
        <w:rPr>
          <w:sz w:val="20"/>
          <w:szCs w:val="20"/>
          <w:color w:val="auto"/>
        </w:rPr>
      </w:pPr>
      <w:r>
        <w:rPr>
          <w:rFonts w:ascii="Arial" w:cs="Arial" w:eastAsia="Arial" w:hAnsi="Arial"/>
          <w:sz w:val="15"/>
          <w:szCs w:val="15"/>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required SAFE registrations.</w:t>
      </w:r>
    </w:p>
    <w:p>
      <w:pPr>
        <w:spacing w:after="0" w:line="140" w:lineRule="exact"/>
        <w:rPr>
          <w:sz w:val="20"/>
          <w:szCs w:val="20"/>
          <w:color w:val="auto"/>
        </w:rPr>
      </w:pPr>
    </w:p>
    <w:p>
      <w:pPr>
        <w:ind w:right="260" w:firstLine="617"/>
        <w:spacing w:after="0" w:line="261" w:lineRule="auto"/>
        <w:rPr>
          <w:sz w:val="20"/>
          <w:szCs w:val="20"/>
          <w:color w:val="auto"/>
        </w:rPr>
      </w:pPr>
      <w:r>
        <w:rPr>
          <w:rFonts w:ascii="Arial" w:cs="Arial" w:eastAsia="Arial" w:hAnsi="Arial"/>
          <w:sz w:val="17"/>
          <w:szCs w:val="17"/>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79" w:lineRule="exact"/>
        <w:rPr>
          <w:sz w:val="20"/>
          <w:szCs w:val="20"/>
          <w:color w:val="auto"/>
        </w:rPr>
      </w:pPr>
    </w:p>
    <w:p>
      <w:pPr>
        <w:ind w:right="140" w:firstLine="617"/>
        <w:spacing w:after="0" w:line="279" w:lineRule="auto"/>
        <w:rPr>
          <w:sz w:val="20"/>
          <w:szCs w:val="20"/>
          <w:color w:val="auto"/>
        </w:rPr>
      </w:pPr>
      <w:r>
        <w:rPr>
          <w:rFonts w:ascii="Arial" w:cs="Arial" w:eastAsia="Arial" w:hAnsi="Arial"/>
          <w:sz w:val="16"/>
          <w:szCs w:val="16"/>
          <w:color w:val="auto"/>
        </w:rPr>
        <w:t>Moreover, to discourage the outflow of capital from China, the overall current regulatory environment relating to foreign exchange controls in China suggests that, as a matter of practice, SAFE has been making it increasingly difficult to exchange Renmibi into foreign currencies for offshore dividend payments or capital account settlement.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5" w:lineRule="exact"/>
        <w:rPr>
          <w:sz w:val="20"/>
          <w:szCs w:val="20"/>
          <w:color w:val="auto"/>
        </w:rPr>
      </w:pPr>
    </w:p>
    <w:p>
      <w:pPr>
        <w:jc w:val="both"/>
        <w:ind w:right="220" w:firstLine="617"/>
        <w:spacing w:after="0" w:line="261" w:lineRule="auto"/>
        <w:rPr>
          <w:sz w:val="20"/>
          <w:szCs w:val="20"/>
          <w:color w:val="auto"/>
        </w:rPr>
      </w:pPr>
      <w:r>
        <w:rPr>
          <w:rFonts w:ascii="Arial" w:cs="Arial" w:eastAsia="Arial" w:hAnsi="Arial"/>
          <w:sz w:val="17"/>
          <w:szCs w:val="17"/>
          <w:color w:val="auto"/>
        </w:rPr>
        <w:t>For more information about foreign exchange control, see Item 3.D. “Risk Factors—Risks Related to Our Company—Our corporate structure may restrict our ability to receive dividends, loans or advances from, and transfer funds to, our PRC subsidiaries and variable interest entities, which could restrict our ability to act in response to changing market conditions and reallocate funds internally in a timely manner.” and “Risk Factors—Risks Related to Doing Business in China— Restrictions on currency exchange may limit our ability to utilize our revenues effectively.”</w:t>
      </w:r>
    </w:p>
    <w:p>
      <w:pPr>
        <w:sectPr>
          <w:pgSz w:w="11900" w:h="16838" w:orient="portrait"/>
          <w:cols w:equalWidth="0" w:num="1">
            <w:col w:w="11420"/>
          </w:cols>
          <w:pgMar w:left="240" w:top="127" w:right="239" w:bottom="0" w:gutter="0" w:footer="0" w:header="0"/>
        </w:sectPr>
      </w:pPr>
    </w:p>
    <w:bookmarkStart w:id="69" w:name="page70"/>
    <w:bookmarkEnd w:id="69"/>
    <w:p>
      <w:pPr>
        <w:spacing w:after="0" w:line="105" w:lineRule="exact"/>
        <w:rPr>
          <w:sz w:val="20"/>
          <w:szCs w:val="20"/>
          <w:color w:val="auto"/>
        </w:rPr>
      </w:pPr>
    </w:p>
    <w:p>
      <w:pPr>
        <w:ind w:left="620" w:hanging="617"/>
        <w:spacing w:after="0"/>
        <w:tabs>
          <w:tab w:leader="none" w:pos="62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Taxation</w:t>
      </w:r>
    </w:p>
    <w:p>
      <w:pPr>
        <w:spacing w:after="0" w:line="222" w:lineRule="exact"/>
        <w:rPr>
          <w:sz w:val="20"/>
          <w:szCs w:val="20"/>
          <w:color w:val="auto"/>
        </w:rPr>
      </w:pPr>
    </w:p>
    <w:p>
      <w:pPr>
        <w:ind w:right="40" w:firstLine="617"/>
        <w:spacing w:after="0" w:line="261" w:lineRule="auto"/>
        <w:rPr>
          <w:sz w:val="20"/>
          <w:szCs w:val="20"/>
          <w:color w:val="auto"/>
        </w:rPr>
      </w:pPr>
      <w:r>
        <w:rPr>
          <w:rFonts w:ascii="Arial" w:cs="Arial" w:eastAsia="Arial" w:hAnsi="Arial"/>
          <w:sz w:val="17"/>
          <w:szCs w:val="17"/>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or Maples and Calder, our Cayman Islands counsel.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Cayman Islands Taxation</w:t>
      </w:r>
    </w:p>
    <w:p>
      <w:pPr>
        <w:spacing w:after="0" w:line="222" w:lineRule="exact"/>
        <w:rPr>
          <w:sz w:val="20"/>
          <w:szCs w:val="20"/>
          <w:color w:val="auto"/>
        </w:rPr>
      </w:pPr>
    </w:p>
    <w:p>
      <w:pPr>
        <w:ind w:right="40" w:firstLine="617"/>
        <w:spacing w:after="0" w:line="259"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Federal Income Taxation</w:t>
      </w:r>
    </w:p>
    <w:p>
      <w:pPr>
        <w:spacing w:after="0" w:line="222" w:lineRule="exact"/>
        <w:rPr>
          <w:sz w:val="20"/>
          <w:szCs w:val="20"/>
          <w:color w:val="auto"/>
        </w:rPr>
      </w:pPr>
    </w:p>
    <w:p>
      <w:pPr>
        <w:ind w:right="100" w:firstLine="617"/>
        <w:spacing w:after="0" w:line="275" w:lineRule="auto"/>
        <w:rPr>
          <w:sz w:val="20"/>
          <w:szCs w:val="20"/>
          <w:color w:val="auto"/>
        </w:rPr>
      </w:pPr>
      <w:r>
        <w:rPr>
          <w:rFonts w:ascii="Arial" w:cs="Arial" w:eastAsia="Arial" w:hAnsi="Arial"/>
          <w:sz w:val="16"/>
          <w:szCs w:val="16"/>
          <w:color w:val="auto"/>
        </w:rPr>
        <w:t>The following discussion is a summary of certain United States federal income tax considerations applicable to the ownership and disposition of shares or ADSs by a U.S. Holder (as defined below) who holds such shares or ADSs as capital assets as defined under the Internal Revenue Code of 1986, as amended (the “Code”). This summary does not purport to be a complete analysis of all potential United States federal income tax effects. This summary is based on the Code, United States Treasury regulations promulgated thereunder, Internal Revenue Service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80" w:firstLine="617"/>
        <w:spacing w:after="0" w:line="265" w:lineRule="auto"/>
        <w:rPr>
          <w:sz w:val="20"/>
          <w:szCs w:val="20"/>
          <w:color w:val="auto"/>
        </w:rPr>
      </w:pPr>
      <w:r>
        <w:rPr>
          <w:rFonts w:ascii="Arial" w:cs="Arial" w:eastAsia="Arial" w:hAnsi="Arial"/>
          <w:sz w:val="17"/>
          <w:szCs w:val="17"/>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76" w:lineRule="exact"/>
        <w:rPr>
          <w:sz w:val="20"/>
          <w:szCs w:val="20"/>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dealers in stocks, securities or currencies;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securities traders that use a mark-to-market accounting method;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banks and financial institutions;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regulated investment companies;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real estate investment trusts;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holding shares or ADSs as part of a hedging or conversion transaction or a straddle;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deemed to sell shares or ADSs under the constructive sale provisions of the Code;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who or that are, or may become, subject to the expatriation provisions of the Code;</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whose functional currency is not the United States dollar;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direct, indirect or constructive owners of 10% or more of the total combined voting power of all classes of our voting stock.</w:t>
      </w:r>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 is:</w:t>
      </w:r>
    </w:p>
    <w:p>
      <w:pPr>
        <w:spacing w:after="0" w:line="228" w:lineRule="exact"/>
        <w:rPr>
          <w:sz w:val="20"/>
          <w:szCs w:val="20"/>
          <w:color w:val="auto"/>
        </w:rPr>
      </w:pPr>
    </w:p>
    <w:p>
      <w:pPr>
        <w:ind w:left="580" w:hanging="268"/>
        <w:spacing w:after="0"/>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16" w:lineRule="exact"/>
        <w:rPr>
          <w:rFonts w:ascii="Arial" w:cs="Arial" w:eastAsia="Arial" w:hAnsi="Arial"/>
          <w:sz w:val="17"/>
          <w:szCs w:val="17"/>
          <w:color w:val="auto"/>
        </w:rPr>
      </w:pPr>
    </w:p>
    <w:p>
      <w:pPr>
        <w:ind w:left="620" w:hanging="308"/>
        <w:spacing w:after="0" w:line="278" w:lineRule="auto"/>
        <w:tabs>
          <w:tab w:leader="none" w:pos="586"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corporation (or other entity classified as a corporation for United States federal income tax purposes) created or organized in or under the laws of the United States, any state thereof or the District of Columbia;</w:t>
      </w:r>
    </w:p>
    <w:p>
      <w:pPr>
        <w:spacing w:after="0" w:line="164" w:lineRule="exact"/>
        <w:rPr>
          <w:rFonts w:ascii="Arial" w:cs="Arial" w:eastAsia="Arial" w:hAnsi="Arial"/>
          <w:sz w:val="17"/>
          <w:szCs w:val="17"/>
          <w:color w:val="auto"/>
        </w:rPr>
      </w:pPr>
    </w:p>
    <w:p>
      <w:pPr>
        <w:ind w:left="580" w:hanging="268"/>
        <w:spacing w:after="0"/>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6" w:lineRule="exact"/>
        <w:rPr>
          <w:rFonts w:ascii="Arial" w:cs="Arial" w:eastAsia="Arial" w:hAnsi="Arial"/>
          <w:sz w:val="17"/>
          <w:szCs w:val="17"/>
          <w:color w:val="auto"/>
        </w:rPr>
      </w:pPr>
    </w:p>
    <w:p>
      <w:pPr>
        <w:ind w:left="620" w:right="40" w:hanging="308"/>
        <w:spacing w:after="0" w:line="347" w:lineRule="auto"/>
        <w:tabs>
          <w:tab w:leader="none" w:pos="586"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U.S. person.</w:t>
      </w:r>
    </w:p>
    <w:p>
      <w:pPr>
        <w:spacing w:after="0" w:line="119" w:lineRule="exact"/>
        <w:rPr>
          <w:sz w:val="20"/>
          <w:szCs w:val="20"/>
          <w:color w:val="auto"/>
        </w:rPr>
      </w:pPr>
    </w:p>
    <w:p>
      <w:pPr>
        <w:ind w:right="60" w:firstLine="617"/>
        <w:spacing w:after="0" w:line="289"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tax advisors.</w:t>
      </w:r>
    </w:p>
    <w:p>
      <w:pPr>
        <w:spacing w:after="0" w:line="159" w:lineRule="exact"/>
        <w:rPr>
          <w:sz w:val="20"/>
          <w:szCs w:val="20"/>
          <w:color w:val="auto"/>
        </w:rPr>
      </w:pPr>
    </w:p>
    <w:p>
      <w:pPr>
        <w:ind w:right="100" w:firstLine="617"/>
        <w:spacing w:after="0" w:line="347" w:lineRule="auto"/>
        <w:rPr>
          <w:sz w:val="20"/>
          <w:szCs w:val="20"/>
          <w:color w:val="auto"/>
        </w:rPr>
      </w:pPr>
      <w:r>
        <w:rPr>
          <w:rFonts w:ascii="Arial" w:cs="Arial" w:eastAsia="Arial" w:hAnsi="Arial"/>
          <w:sz w:val="15"/>
          <w:szCs w:val="15"/>
          <w:color w:val="auto"/>
        </w:rPr>
        <w:t>The discussion below is written on the basis that the representations contained in the deposit agreement are true and that the obligations in the deposit agreement and any related agreement will be performed in accordance with the terms. If you hold ADSs, you generally will be treated as the owner of the underlying</w:t>
      </w:r>
    </w:p>
    <w:p>
      <w:pPr>
        <w:sectPr>
          <w:pgSz w:w="11900" w:h="16943" w:orient="portrait"/>
          <w:cols w:equalWidth="0" w:num="1">
            <w:col w:w="11420"/>
          </w:cols>
          <w:pgMar w:left="240" w:top="121" w:right="239" w:bottom="0" w:gutter="0" w:footer="0" w:header="0"/>
        </w:sectPr>
      </w:pPr>
    </w:p>
    <w:bookmarkStart w:id="70" w:name="page71"/>
    <w:bookmarkEnd w:id="70"/>
    <w:p>
      <w:pPr>
        <w:ind w:right="480"/>
        <w:spacing w:after="0" w:line="278" w:lineRule="auto"/>
        <w:rPr>
          <w:sz w:val="20"/>
          <w:szCs w:val="20"/>
          <w:color w:val="auto"/>
        </w:rPr>
      </w:pPr>
      <w:r>
        <w:rPr>
          <w:rFonts w:ascii="Arial" w:cs="Arial" w:eastAsia="Arial" w:hAnsi="Arial"/>
          <w:sz w:val="17"/>
          <w:szCs w:val="17"/>
          <w:color w:val="auto"/>
        </w:rPr>
        <w:t>shares represented by those ADSs for United States federal income tax purposes. Accordingly, deposits or withdrawal of shares for ADSs will not be subject to United States federal income tax.</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TAXATION OF U.S. HOLDERS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Taxation of Dividends and Other Distributions on the Shares or ADSs</w:t>
      </w:r>
    </w:p>
    <w:p>
      <w:pPr>
        <w:spacing w:after="0" w:line="222" w:lineRule="exact"/>
        <w:rPr>
          <w:sz w:val="20"/>
          <w:szCs w:val="20"/>
          <w:color w:val="auto"/>
        </w:rPr>
      </w:pPr>
    </w:p>
    <w:p>
      <w:pPr>
        <w:ind w:right="20" w:firstLine="617"/>
        <w:spacing w:after="0" w:line="275" w:lineRule="auto"/>
        <w:rPr>
          <w:sz w:val="20"/>
          <w:szCs w:val="20"/>
          <w:color w:val="auto"/>
        </w:rPr>
      </w:pPr>
      <w:r>
        <w:rPr>
          <w:rFonts w:ascii="Arial" w:cs="Arial" w:eastAsia="Arial" w:hAnsi="Arial"/>
          <w:sz w:val="16"/>
          <w:szCs w:val="16"/>
          <w:color w:val="auto"/>
        </w:rPr>
        <w:t>Subject to the passive foreign investment company (“PFIC”) rules discussed below, distributions paid by our company out of current or accumulated earnings and profits (as determined for United States federal income tax purposes) generally will be taxable to a U.S. Holder as foreign source dividend income,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w:t>
      </w:r>
    </w:p>
    <w:p>
      <w:pPr>
        <w:spacing w:after="0" w:line="171" w:lineRule="exact"/>
        <w:rPr>
          <w:sz w:val="20"/>
          <w:szCs w:val="20"/>
          <w:color w:val="auto"/>
        </w:rPr>
      </w:pPr>
    </w:p>
    <w:p>
      <w:pPr>
        <w:ind w:right="60" w:firstLine="617"/>
        <w:spacing w:after="0" w:line="274"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Since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w:t>
      </w:r>
    </w:p>
    <w:p>
      <w:pPr>
        <w:spacing w:after="0" w:line="172" w:lineRule="exact"/>
        <w:rPr>
          <w:sz w:val="20"/>
          <w:szCs w:val="20"/>
          <w:color w:val="auto"/>
        </w:rPr>
      </w:pPr>
    </w:p>
    <w:p>
      <w:pPr>
        <w:ind w:right="20" w:firstLine="617"/>
        <w:spacing w:after="0" w:line="257" w:lineRule="auto"/>
        <w:rPr>
          <w:sz w:val="20"/>
          <w:szCs w:val="20"/>
          <w:color w:val="auto"/>
        </w:rPr>
      </w:pPr>
      <w:r>
        <w:rPr>
          <w:rFonts w:ascii="Arial" w:cs="Arial" w:eastAsia="Arial" w:hAnsi="Arial"/>
          <w:sz w:val="17"/>
          <w:szCs w:val="17"/>
          <w:color w:val="auto"/>
        </w:rPr>
        <w:t>In the event that dividends from our company are subject to withholding by the PRC, a U.S. Holder may be eligible, subject to a number of complex limitations, to claim a foreign tax credit in respect of any foreign withholding taxes imposed on dividends received on the shares or ADSs.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Dividends will constitute foreign source income for United States foreign tax credit purposes. The U.S. foreign tax credit rules are complex. U.S. Holders should consult their own tax advisors regarding the foreign tax credit rules in light of their particular circumstances.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Taxation of Disposition of Shares or ADSs</w:t>
      </w:r>
    </w:p>
    <w:p>
      <w:pPr>
        <w:spacing w:after="0" w:line="222" w:lineRule="exact"/>
        <w:rPr>
          <w:sz w:val="20"/>
          <w:szCs w:val="20"/>
          <w:color w:val="auto"/>
        </w:rPr>
      </w:pPr>
    </w:p>
    <w:p>
      <w:pPr>
        <w:ind w:firstLine="617"/>
        <w:spacing w:after="0" w:line="272"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of a share or ADS in an amount equal to the difference between the amount realized (in U.S. dollars) for the share or ADS and your tax basis (in U.S. dollars) in the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Tax on Net Investment Income</w:t>
      </w:r>
    </w:p>
    <w:p>
      <w:pPr>
        <w:spacing w:after="0" w:line="222"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Passive Foreign Investment Company</w:t>
      </w:r>
    </w:p>
    <w:p>
      <w:pPr>
        <w:spacing w:after="0" w:line="222"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of its assets is attributable to assets which produce passive income or are held for the production of passive income.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617"/>
        <w:spacing w:after="0" w:line="265" w:lineRule="auto"/>
        <w:rPr>
          <w:sz w:val="20"/>
          <w:szCs w:val="20"/>
          <w:color w:val="auto"/>
        </w:rPr>
      </w:pPr>
      <w:r>
        <w:rPr>
          <w:rFonts w:ascii="Arial" w:cs="Arial" w:eastAsia="Arial" w:hAnsi="Arial"/>
          <w:sz w:val="17"/>
          <w:szCs w:val="17"/>
          <w:color w:val="auto"/>
        </w:rPr>
        <w:t>For this purpose, cash and investment securities are categorized as passive assets and our company’s unbooked intangibles are taken into account. We will be treated as owning our proportionate share of the assets and earning our proportionate share of the income of any other corporation in which we own, directly or indirectly, more than 25% (by value) of the stock.</w:t>
      </w:r>
    </w:p>
    <w:p>
      <w:pPr>
        <w:spacing w:after="0" w:line="176" w:lineRule="exact"/>
        <w:rPr>
          <w:sz w:val="20"/>
          <w:szCs w:val="20"/>
          <w:color w:val="auto"/>
        </w:rPr>
      </w:pPr>
    </w:p>
    <w:p>
      <w:pPr>
        <w:ind w:right="100" w:firstLine="617"/>
        <w:spacing w:after="0" w:line="277" w:lineRule="auto"/>
        <w:rPr>
          <w:sz w:val="20"/>
          <w:szCs w:val="20"/>
          <w:color w:val="auto"/>
        </w:rPr>
      </w:pPr>
      <w:r>
        <w:rPr>
          <w:rFonts w:ascii="Arial" w:cs="Arial" w:eastAsia="Arial" w:hAnsi="Arial"/>
          <w:sz w:val="16"/>
          <w:szCs w:val="16"/>
          <w:color w:val="auto"/>
        </w:rPr>
        <w:t>We do not believe that we are currently a PFIC for United States federal income tax purposes and do not expect to become a PFIC in the foreseeable future. However, the determination of whether we will be classified as a PFIC is made annually and may involve facts that are not within our control.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the current or any future taxable year. Furthermore, while we believe our valuation approach is reasonable, it is possible that the IRS could challenge our determination concerning our PFIC status.</w:t>
      </w:r>
    </w:p>
    <w:p>
      <w:pPr>
        <w:sectPr>
          <w:pgSz w:w="11900" w:h="16838" w:orient="portrait"/>
          <w:cols w:equalWidth="0" w:num="1">
            <w:col w:w="11400"/>
          </w:cols>
          <w:pgMar w:left="240" w:top="127" w:right="259" w:bottom="131" w:gutter="0" w:footer="0" w:header="0"/>
        </w:sectPr>
      </w:pPr>
    </w:p>
    <w:bookmarkStart w:id="71" w:name="page72"/>
    <w:bookmarkEnd w:id="71"/>
    <w:p>
      <w:pPr>
        <w:ind w:right="20" w:firstLine="617"/>
        <w:spacing w:after="0" w:line="259" w:lineRule="auto"/>
        <w:rPr>
          <w:sz w:val="20"/>
          <w:szCs w:val="20"/>
          <w:color w:val="auto"/>
        </w:rPr>
      </w:pPr>
      <w:r>
        <w:rPr>
          <w:rFonts w:ascii="Arial" w:cs="Arial" w:eastAsia="Arial" w:hAnsi="Arial"/>
          <w:sz w:val="17"/>
          <w:szCs w:val="17"/>
          <w:color w:val="auto"/>
        </w:rPr>
        <w:t>If our company is classified as a PFIC for any taxable year during which a U.S. Holder owns shares or ADSs, the U.S. Holder, absent certain elections (including a mark-to-market election),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80" w:lineRule="exact"/>
        <w:rPr>
          <w:sz w:val="20"/>
          <w:szCs w:val="20"/>
          <w:color w:val="auto"/>
        </w:rPr>
      </w:pPr>
    </w:p>
    <w:p>
      <w:pPr>
        <w:ind w:right="60" w:firstLine="617"/>
        <w:spacing w:after="0" w:line="306" w:lineRule="auto"/>
        <w:rPr>
          <w:sz w:val="20"/>
          <w:szCs w:val="20"/>
          <w:color w:val="auto"/>
        </w:rPr>
      </w:pPr>
      <w:r>
        <w:rPr>
          <w:rFonts w:ascii="Arial" w:cs="Arial" w:eastAsia="Arial" w:hAnsi="Arial"/>
          <w:sz w:val="15"/>
          <w:szCs w:val="15"/>
          <w:color w:val="auto"/>
        </w:rPr>
        <w:t>Under these adverse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49" w:lineRule="exact"/>
        <w:rPr>
          <w:sz w:val="20"/>
          <w:szCs w:val="20"/>
          <w:color w:val="auto"/>
        </w:rPr>
      </w:pPr>
    </w:p>
    <w:p>
      <w:pPr>
        <w:ind w:firstLine="617"/>
        <w:spacing w:after="0" w:line="259" w:lineRule="auto"/>
        <w:rPr>
          <w:sz w:val="20"/>
          <w:szCs w:val="20"/>
          <w:color w:val="auto"/>
        </w:rPr>
      </w:pPr>
      <w:r>
        <w:rPr>
          <w:rFonts w:ascii="Arial" w:cs="Arial" w:eastAsia="Arial" w:hAnsi="Arial"/>
          <w:sz w:val="17"/>
          <w:szCs w:val="17"/>
          <w:color w:val="auto"/>
        </w:rPr>
        <w:t>Alternatively, a U.S. Holder may be eligible to make a mark-to-market election with respect to its shares or ADSs if such shares or ADSs qualify as “marketable” under applicable U.S. federal income tax rules. A U.S. Holder that makes an effective mark-to-market election must include in ordinary income, rather than capital gain, for each year an amount equal to the excess, if any, of the fair market value of the shares or ADSs, as applicable, at the close of the taxable year over the U.S. Holder’s adjusted basis in the shares or ADSs. Additional complex rules apply and the election cannot be revoked without the consent of the IRS unless the shares or ADSs cease to be marketable.</w:t>
      </w:r>
    </w:p>
    <w:p>
      <w:pPr>
        <w:spacing w:after="0" w:line="180" w:lineRule="exact"/>
        <w:rPr>
          <w:sz w:val="20"/>
          <w:szCs w:val="20"/>
          <w:color w:val="auto"/>
        </w:rPr>
      </w:pPr>
    </w:p>
    <w:p>
      <w:pPr>
        <w:ind w:right="220" w:firstLine="617"/>
        <w:spacing w:after="0" w:line="265" w:lineRule="auto"/>
        <w:rPr>
          <w:sz w:val="20"/>
          <w:szCs w:val="20"/>
          <w:color w:val="auto"/>
        </w:rPr>
      </w:pPr>
      <w:r>
        <w:rPr>
          <w:rFonts w:ascii="Arial" w:cs="Arial" w:eastAsia="Arial" w:hAnsi="Arial"/>
          <w:sz w:val="17"/>
          <w:szCs w:val="17"/>
          <w:color w:val="auto"/>
        </w:rPr>
        <w:t>Although the PFIC rules permit a holder of PFIC stock in certain circumstances to avoid some of the disadvantageous tax treatment described above by making a “qualified electing fund,” or QEF, election, a U.S. Holder will not be able to elect to treat our company as a QEF because our company does not intend to prepare the information that the U.S. Investor would need to make a QEF election.</w:t>
      </w:r>
    </w:p>
    <w:p>
      <w:pPr>
        <w:spacing w:after="0" w:line="176" w:lineRule="exact"/>
        <w:rPr>
          <w:sz w:val="20"/>
          <w:szCs w:val="20"/>
          <w:color w:val="auto"/>
        </w:rPr>
      </w:pPr>
    </w:p>
    <w:p>
      <w:pPr>
        <w:ind w:firstLine="617"/>
        <w:spacing w:after="0" w:line="289" w:lineRule="auto"/>
        <w:rPr>
          <w:sz w:val="20"/>
          <w:szCs w:val="20"/>
          <w:color w:val="auto"/>
        </w:rPr>
      </w:pPr>
      <w:r>
        <w:rPr>
          <w:rFonts w:ascii="Arial" w:cs="Arial" w:eastAsia="Arial" w:hAnsi="Arial"/>
          <w:sz w:val="16"/>
          <w:szCs w:val="16"/>
          <w:color w:val="auto"/>
        </w:rPr>
        <w:t>If we are a PFIC in any year with respect to a U.S. Holder, and any of our subsidiaries are also a PFIC, such U.S. Holder will be treated as owning a proportionate share (by value) of the shares of the lower-tier PFIC for purposes of these rules. Non-corporate U.S. Holders will not be eligible for the reduced tax rate on any dividends received from us if we are a PFIC in the taxable year in which such dividends are paid or in the preceding taxable year.</w:t>
      </w:r>
    </w:p>
    <w:p>
      <w:pPr>
        <w:spacing w:after="0" w:line="159" w:lineRule="exact"/>
        <w:rPr>
          <w:sz w:val="20"/>
          <w:szCs w:val="20"/>
          <w:color w:val="auto"/>
        </w:rPr>
      </w:pPr>
    </w:p>
    <w:p>
      <w:pPr>
        <w:ind w:right="220" w:firstLine="617"/>
        <w:spacing w:after="0" w:line="265" w:lineRule="auto"/>
        <w:rPr>
          <w:sz w:val="20"/>
          <w:szCs w:val="20"/>
          <w:color w:val="auto"/>
        </w:rPr>
      </w:pPr>
      <w:r>
        <w:rPr>
          <w:rFonts w:ascii="Arial" w:cs="Arial" w:eastAsia="Arial" w:hAnsi="Arial"/>
          <w:sz w:val="17"/>
          <w:szCs w:val="17"/>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76" w:lineRule="exact"/>
        <w:rPr>
          <w:sz w:val="20"/>
          <w:szCs w:val="20"/>
          <w:color w:val="auto"/>
        </w:rPr>
      </w:pPr>
    </w:p>
    <w:p>
      <w:pPr>
        <w:ind w:right="820" w:firstLine="617"/>
        <w:spacing w:after="0" w:line="278" w:lineRule="auto"/>
        <w:rPr>
          <w:sz w:val="20"/>
          <w:szCs w:val="20"/>
          <w:color w:val="auto"/>
        </w:rPr>
      </w:pPr>
      <w:r>
        <w:rPr>
          <w:rFonts w:ascii="Arial" w:cs="Arial" w:eastAsia="Arial" w:hAnsi="Arial"/>
          <w:sz w:val="17"/>
          <w:szCs w:val="17"/>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222" w:lineRule="exact"/>
        <w:rPr>
          <w:sz w:val="20"/>
          <w:szCs w:val="20"/>
          <w:color w:val="auto"/>
        </w:rPr>
      </w:pPr>
    </w:p>
    <w:p>
      <w:pPr>
        <w:ind w:right="100" w:firstLine="617"/>
        <w:spacing w:after="0" w:line="257" w:lineRule="auto"/>
        <w:rPr>
          <w:sz w:val="20"/>
          <w:szCs w:val="20"/>
          <w:color w:val="auto"/>
        </w:rPr>
      </w:pPr>
      <w:r>
        <w:rPr>
          <w:rFonts w:ascii="Arial" w:cs="Arial" w:eastAsia="Arial" w:hAnsi="Arial"/>
          <w:sz w:val="17"/>
          <w:szCs w:val="17"/>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may apply to these payments if the U.S. Holder fails to timely provide an accurate taxpayer identification number or otherwise fails to comply with, or establish an exemption from, such backup withholding tax requirements. Certain U.S. Holders (including, among others, corporations) are not subject to the information reporting or backup withholding tax requirements described herein. U.S. Holders should consult their tax advisors as to their qualification for exemption from backup withholding tax and the procedure for establishing an exemption.</w:t>
      </w:r>
    </w:p>
    <w:p>
      <w:pPr>
        <w:spacing w:after="0" w:line="185" w:lineRule="exact"/>
        <w:rPr>
          <w:sz w:val="20"/>
          <w:szCs w:val="20"/>
          <w:color w:val="auto"/>
        </w:rPr>
      </w:pPr>
    </w:p>
    <w:p>
      <w:pPr>
        <w:ind w:right="160" w:firstLine="617"/>
        <w:spacing w:after="0" w:line="259" w:lineRule="auto"/>
        <w:rPr>
          <w:sz w:val="20"/>
          <w:szCs w:val="20"/>
          <w:color w:val="auto"/>
        </w:rPr>
      </w:pPr>
      <w:r>
        <w:rPr>
          <w:rFonts w:ascii="Arial" w:cs="Arial" w:eastAsia="Arial" w:hAnsi="Arial"/>
          <w:sz w:val="17"/>
          <w:szCs w:val="17"/>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ind w:right="640" w:firstLine="617"/>
        <w:spacing w:after="0" w:line="265" w:lineRule="auto"/>
        <w:rPr>
          <w:sz w:val="20"/>
          <w:szCs w:val="20"/>
          <w:color w:val="auto"/>
        </w:rPr>
      </w:pPr>
      <w:r>
        <w:rPr>
          <w:rFonts w:ascii="Arial" w:cs="Arial" w:eastAsia="Arial" w:hAnsi="Arial"/>
          <w:sz w:val="17"/>
          <w:szCs w:val="17"/>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Enforcement of Civil Liabilities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an exempted company incorporated in the Cayman Islands because of the following benefits found there:</w:t>
      </w:r>
    </w:p>
    <w:p>
      <w:pPr>
        <w:spacing w:after="0" w:line="216" w:lineRule="exact"/>
        <w:rPr>
          <w:sz w:val="20"/>
          <w:szCs w:val="20"/>
          <w:color w:val="auto"/>
        </w:rPr>
      </w:pPr>
    </w:p>
    <w:p>
      <w:pPr>
        <w:ind w:left="580" w:hanging="268"/>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political and economic stability;</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effective judicial system;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favorable tax system;</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absence of exchange control or currency restrictions; and</w:t>
      </w:r>
    </w:p>
    <w:p>
      <w:pPr>
        <w:spacing w:after="0" w:line="216" w:lineRule="exact"/>
        <w:rPr>
          <w:rFonts w:ascii="Arial" w:cs="Arial" w:eastAsia="Arial" w:hAnsi="Arial"/>
          <w:sz w:val="17"/>
          <w:szCs w:val="17"/>
          <w:color w:val="auto"/>
        </w:rPr>
      </w:pPr>
    </w:p>
    <w:p>
      <w:pPr>
        <w:ind w:left="580" w:hanging="268"/>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availability of professional and support services.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However, certain disadvantages accompany incorporation in the Cayman Islands. These disadvantages include, but are not limited to, the following: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Cayman Islands has a less developed body of securities laws as compared to the United States and provides significantly less protection to investors; and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Cayman Islands companies may not have standing to sue before the federal courts of the United States.</w:t>
      </w:r>
    </w:p>
    <w:p>
      <w:pPr>
        <w:spacing w:after="0" w:line="216" w:lineRule="exact"/>
        <w:rPr>
          <w:sz w:val="20"/>
          <w:szCs w:val="20"/>
          <w:color w:val="auto"/>
        </w:rPr>
      </w:pPr>
    </w:p>
    <w:p>
      <w:pPr>
        <w:ind w:right="160" w:firstLine="617"/>
        <w:spacing w:after="0" w:line="278" w:lineRule="auto"/>
        <w:rPr>
          <w:sz w:val="20"/>
          <w:szCs w:val="20"/>
          <w:color w:val="auto"/>
        </w:rPr>
      </w:pPr>
      <w:r>
        <w:rPr>
          <w:rFonts w:ascii="Arial" w:cs="Arial" w:eastAsia="Arial" w:hAnsi="Arial"/>
          <w:sz w:val="17"/>
          <w:szCs w:val="17"/>
          <w:color w:val="auto"/>
        </w:rPr>
        <w:t>Our constituent documents do not contain provisions requiring that disputes, including those arising under the securities laws of the United States, between us, our officers, directors and shareholders be arbitrated.</w:t>
      </w:r>
    </w:p>
    <w:p>
      <w:pPr>
        <w:sectPr>
          <w:pgSz w:w="11900" w:h="16838" w:orient="portrait"/>
          <w:cols w:equalWidth="0" w:num="1">
            <w:col w:w="11420"/>
          </w:cols>
          <w:pgMar w:left="240" w:top="127" w:right="239" w:bottom="0" w:gutter="0" w:footer="0" w:header="0"/>
        </w:sectPr>
      </w:pPr>
    </w:p>
    <w:bookmarkStart w:id="72" w:name="page73"/>
    <w:bookmarkEnd w:id="72"/>
    <w:p>
      <w:pPr>
        <w:ind w:firstLine="617"/>
        <w:spacing w:after="0" w:line="279" w:lineRule="auto"/>
        <w:rPr>
          <w:sz w:val="20"/>
          <w:szCs w:val="20"/>
          <w:color w:val="auto"/>
        </w:rPr>
      </w:pPr>
      <w:r>
        <w:rPr>
          <w:rFonts w:ascii="Arial" w:cs="Arial" w:eastAsia="Arial" w:hAnsi="Arial"/>
          <w:sz w:val="16"/>
          <w:szCs w:val="16"/>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5" w:lineRule="exact"/>
        <w:rPr>
          <w:sz w:val="20"/>
          <w:szCs w:val="20"/>
          <w:color w:val="auto"/>
        </w:rPr>
      </w:pPr>
    </w:p>
    <w:p>
      <w:pPr>
        <w:ind w:right="240" w:firstLine="617"/>
        <w:spacing w:after="0" w:line="278" w:lineRule="auto"/>
        <w:rPr>
          <w:sz w:val="20"/>
          <w:szCs w:val="20"/>
          <w:color w:val="auto"/>
        </w:rPr>
      </w:pPr>
      <w:r>
        <w:rPr>
          <w:rFonts w:ascii="Arial" w:cs="Arial" w:eastAsia="Arial" w:hAnsi="Arial"/>
          <w:sz w:val="17"/>
          <w:szCs w:val="17"/>
          <w:color w:val="auto"/>
        </w:rPr>
        <w:t>Maples and Calder, our counsel as to Cayman Islands law, and Jun He Lawyers, our counsel as to Chinese law, have advised us, respectively, that there is uncertainty as to whether the courts of the Cayman Islands or China would:</w:t>
      </w:r>
    </w:p>
    <w:p>
      <w:pPr>
        <w:spacing w:after="0" w:line="165" w:lineRule="exact"/>
        <w:rPr>
          <w:sz w:val="20"/>
          <w:szCs w:val="20"/>
          <w:color w:val="auto"/>
        </w:rPr>
      </w:pPr>
    </w:p>
    <w:p>
      <w:pPr>
        <w:ind w:right="20" w:firstLine="620"/>
        <w:spacing w:after="0" w:line="278"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4" w:lineRule="exact"/>
        <w:rPr>
          <w:rFonts w:ascii="Arial" w:cs="Arial" w:eastAsia="Arial" w:hAnsi="Arial"/>
          <w:sz w:val="17"/>
          <w:szCs w:val="17"/>
          <w:color w:val="auto"/>
        </w:rPr>
      </w:pPr>
    </w:p>
    <w:p>
      <w:pPr>
        <w:ind w:right="60" w:firstLine="620"/>
        <w:spacing w:after="0" w:line="278"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entertain original actions brought in the Cayman Islands or China against us or our directors or officers predicated upon the securities laws of the United States or any state in the United States.</w:t>
      </w:r>
    </w:p>
    <w:p>
      <w:pPr>
        <w:spacing w:after="0" w:line="165" w:lineRule="exact"/>
        <w:rPr>
          <w:sz w:val="20"/>
          <w:szCs w:val="20"/>
          <w:color w:val="auto"/>
        </w:rPr>
      </w:pPr>
    </w:p>
    <w:p>
      <w:pPr>
        <w:ind w:right="20" w:firstLine="617"/>
        <w:spacing w:after="0" w:line="288" w:lineRule="auto"/>
        <w:rPr>
          <w:sz w:val="20"/>
          <w:szCs w:val="20"/>
          <w:color w:val="auto"/>
        </w:rPr>
      </w:pPr>
      <w:r>
        <w:rPr>
          <w:rFonts w:ascii="Arial" w:cs="Arial" w:eastAsia="Arial" w:hAnsi="Arial"/>
          <w:sz w:val="15"/>
          <w:szCs w:val="15"/>
          <w:color w:val="auto"/>
        </w:rPr>
        <w:t>Maples and Calder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has advised us that although there is no statutory enforcement in the Cayman Islands of judgments obtained in the federal or state courts of the United States, a judgment obtained in such jurisdiction will be recognised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w:t>
      </w:r>
    </w:p>
    <w:p>
      <w:pPr>
        <w:spacing w:after="0" w:line="2" w:lineRule="exact"/>
        <w:rPr>
          <w:sz w:val="20"/>
          <w:szCs w:val="20"/>
          <w:color w:val="auto"/>
        </w:rPr>
      </w:pPr>
    </w:p>
    <w:p>
      <w:pPr>
        <w:ind w:right="100" w:firstLine="3"/>
        <w:spacing w:after="0" w:line="265" w:lineRule="auto"/>
        <w:tabs>
          <w:tab w:leader="none" w:pos="233" w:val="left"/>
        </w:tabs>
        <w:numPr>
          <w:ilvl w:val="0"/>
          <w:numId w:val="88"/>
        </w:numPr>
        <w:rPr>
          <w:rFonts w:ascii="Arial" w:cs="Arial" w:eastAsia="Arial" w:hAnsi="Arial"/>
          <w:sz w:val="17"/>
          <w:szCs w:val="17"/>
          <w:color w:val="auto"/>
        </w:rPr>
      </w:pPr>
      <w:r>
        <w:rPr>
          <w:rFonts w:ascii="Arial" w:cs="Arial" w:eastAsia="Arial" w:hAnsi="Arial"/>
          <w:sz w:val="17"/>
          <w:szCs w:val="17"/>
          <w:color w:val="auto"/>
        </w:rPr>
        <w:t>is final; (d) is not in respect of taxes, a fine or a penalty; and (e) was not obtained in a manner and is not of a kind the enforcement of which is contrary to natural justice or the public policy of the Cayman Islands.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00" w:firstLine="617"/>
        <w:spacing w:after="0" w:line="265" w:lineRule="auto"/>
        <w:rPr>
          <w:sz w:val="20"/>
          <w:szCs w:val="20"/>
          <w:color w:val="auto"/>
        </w:rPr>
      </w:pPr>
      <w:r>
        <w:rPr>
          <w:rFonts w:ascii="Arial" w:cs="Arial" w:eastAsia="Arial" w:hAnsi="Arial"/>
          <w:sz w:val="17"/>
          <w:szCs w:val="17"/>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70" w:lineRule="exact"/>
        <w:rPr>
          <w:sz w:val="20"/>
          <w:szCs w:val="20"/>
          <w:color w:val="auto"/>
        </w:rPr>
      </w:pPr>
    </w:p>
    <w:p>
      <w:pPr>
        <w:ind w:left="620" w:right="8620" w:hanging="617"/>
        <w:spacing w:after="0" w:line="505" w:lineRule="auto"/>
        <w:tabs>
          <w:tab w:leader="none" w:pos="61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and Paying Agents </w:t>
      </w:r>
      <w:r>
        <w:rPr>
          <w:rFonts w:ascii="Arial" w:cs="Arial" w:eastAsia="Arial" w:hAnsi="Arial"/>
          <w:sz w:val="17"/>
          <w:szCs w:val="17"/>
          <w:color w:val="auto"/>
        </w:rPr>
        <w:t>Not applicable.</w:t>
      </w:r>
    </w:p>
    <w:p>
      <w:pPr>
        <w:ind w:left="620" w:right="9160" w:hanging="617"/>
        <w:spacing w:after="0" w:line="572" w:lineRule="auto"/>
        <w:tabs>
          <w:tab w:leader="none" w:pos="629"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620" w:hanging="617"/>
        <w:spacing w:after="0"/>
        <w:tabs>
          <w:tab w:leader="none" w:pos="62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Documents on Display</w:t>
      </w:r>
    </w:p>
    <w:p>
      <w:pPr>
        <w:spacing w:after="0" w:line="222" w:lineRule="exact"/>
        <w:rPr>
          <w:sz w:val="20"/>
          <w:szCs w:val="20"/>
          <w:color w:val="auto"/>
        </w:rPr>
      </w:pPr>
    </w:p>
    <w:p>
      <w:pPr>
        <w:ind w:right="60" w:firstLine="617"/>
        <w:spacing w:after="0" w:line="278" w:lineRule="auto"/>
        <w:rPr>
          <w:sz w:val="20"/>
          <w:szCs w:val="20"/>
          <w:color w:val="auto"/>
        </w:rPr>
      </w:pPr>
      <w:r>
        <w:rPr>
          <w:rFonts w:ascii="Arial" w:cs="Arial" w:eastAsia="Arial" w:hAnsi="Arial"/>
          <w:sz w:val="17"/>
          <w:szCs w:val="17"/>
          <w:color w:val="auto"/>
        </w:rPr>
        <w:t>We have previously filed with the SEC our registration statement on Form F-1 and prospectus under the Securities Act of 1933, as amended, with respect to our ADSs.</w:t>
      </w:r>
    </w:p>
    <w:p>
      <w:pPr>
        <w:spacing w:after="0" w:line="165" w:lineRule="exact"/>
        <w:rPr>
          <w:sz w:val="20"/>
          <w:szCs w:val="20"/>
          <w:color w:val="auto"/>
        </w:rPr>
      </w:pPr>
    </w:p>
    <w:p>
      <w:pPr>
        <w:ind w:right="20" w:firstLine="617"/>
        <w:spacing w:after="0" w:line="298" w:lineRule="auto"/>
        <w:rPr>
          <w:sz w:val="20"/>
          <w:szCs w:val="20"/>
          <w:color w:val="auto"/>
        </w:rPr>
      </w:pPr>
      <w:r>
        <w:rPr>
          <w:rFonts w:ascii="Arial" w:cs="Arial" w:eastAsia="Arial" w:hAnsi="Arial"/>
          <w:sz w:val="15"/>
          <w:szCs w:val="15"/>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that contains reports, proxy and information statements, and other information regarding registrants that make electronic filings with the SEC using its EDGAR system.</w:t>
      </w:r>
    </w:p>
    <w:p>
      <w:pPr>
        <w:spacing w:after="0" w:line="156" w:lineRule="exact"/>
        <w:rPr>
          <w:sz w:val="20"/>
          <w:szCs w:val="20"/>
          <w:color w:val="auto"/>
        </w:rPr>
      </w:pPr>
    </w:p>
    <w:p>
      <w:pPr>
        <w:ind w:right="60" w:firstLine="617"/>
        <w:spacing w:after="0" w:line="265" w:lineRule="auto"/>
        <w:rPr>
          <w:sz w:val="20"/>
          <w:szCs w:val="20"/>
          <w:color w:val="auto"/>
        </w:rPr>
      </w:pPr>
      <w:r>
        <w:rPr>
          <w:rFonts w:ascii="Arial" w:cs="Arial" w:eastAsia="Arial" w:hAnsi="Arial"/>
          <w:sz w:val="17"/>
          <w:szCs w:val="17"/>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financial statements have been prepared in accordance with U.S. GAAP.</w:t>
      </w:r>
    </w:p>
    <w:p>
      <w:pPr>
        <w:spacing w:after="0" w:line="216" w:lineRule="exact"/>
        <w:rPr>
          <w:sz w:val="20"/>
          <w:szCs w:val="20"/>
          <w:color w:val="auto"/>
        </w:rPr>
      </w:pPr>
    </w:p>
    <w:p>
      <w:pPr>
        <w:ind w:right="140" w:firstLine="617"/>
        <w:spacing w:after="0" w:line="311" w:lineRule="auto"/>
        <w:rPr>
          <w:sz w:val="20"/>
          <w:szCs w:val="20"/>
          <w:color w:val="auto"/>
        </w:rPr>
      </w:pPr>
      <w:r>
        <w:rPr>
          <w:rFonts w:ascii="Arial" w:cs="Arial" w:eastAsia="Arial" w:hAnsi="Arial"/>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35" w:lineRule="exact"/>
        <w:rPr>
          <w:sz w:val="20"/>
          <w:szCs w:val="20"/>
          <w:color w:val="auto"/>
        </w:rPr>
      </w:pPr>
    </w:p>
    <w:p>
      <w:pPr>
        <w:ind w:left="620" w:hanging="617"/>
        <w:spacing w:after="0"/>
        <w:tabs>
          <w:tab w:leader="none" w:pos="62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Subsidiary Information</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refer to Item 5.F. “Operating and Financial Review and Prospects—Quantitative and Qualitative Disclosures About Market Risk.”</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216" w:lineRule="exact"/>
        <w:rPr>
          <w:sz w:val="20"/>
          <w:szCs w:val="20"/>
          <w:color w:val="auto"/>
        </w:rPr>
      </w:pPr>
    </w:p>
    <w:p>
      <w:pPr>
        <w:ind w:left="620" w:right="9640" w:hanging="617"/>
        <w:spacing w:after="0" w:line="572" w:lineRule="auto"/>
        <w:tabs>
          <w:tab w:leader="none" w:pos="632"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620" w:hanging="617"/>
        <w:spacing w:after="0"/>
        <w:tabs>
          <w:tab w:leader="none" w:pos="62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Warrants and Rights</w:t>
      </w:r>
    </w:p>
    <w:p>
      <w:pPr>
        <w:sectPr>
          <w:pgSz w:w="11900" w:h="16838" w:orient="portrait"/>
          <w:cols w:equalWidth="0" w:num="1">
            <w:col w:w="11380"/>
          </w:cols>
          <w:pgMar w:left="240" w:top="127" w:right="279" w:bottom="0" w:gutter="0" w:footer="0" w:header="0"/>
        </w:sectPr>
      </w:pPr>
    </w:p>
    <w:bookmarkStart w:id="73" w:name="page74"/>
    <w:bookmarkEnd w:id="73"/>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ind w:left="620" w:right="9520" w:hanging="617"/>
        <w:spacing w:after="0" w:line="576" w:lineRule="auto"/>
        <w:tabs>
          <w:tab w:leader="none" w:pos="632"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Securities </w:t>
      </w:r>
      <w:r>
        <w:rPr>
          <w:rFonts w:ascii="Arial" w:cs="Arial" w:eastAsia="Arial" w:hAnsi="Arial"/>
          <w:sz w:val="15"/>
          <w:szCs w:val="15"/>
          <w:color w:val="auto"/>
        </w:rPr>
        <w:t>Not applicable.</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40" w:hanging="637"/>
        <w:spacing w:after="0"/>
        <w:tabs>
          <w:tab w:leader="none" w:pos="6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American Depositary Shares</w:t>
      </w:r>
    </w:p>
    <w:p>
      <w:pPr>
        <w:spacing w:after="0" w:line="216"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Fees and charges our ADS holders may have to pay</w:t>
      </w:r>
    </w:p>
    <w:p>
      <w:pPr>
        <w:spacing w:after="0" w:line="222" w:lineRule="exact"/>
        <w:rPr>
          <w:sz w:val="20"/>
          <w:szCs w:val="20"/>
          <w:color w:val="auto"/>
        </w:rPr>
      </w:pPr>
    </w:p>
    <w:p>
      <w:pPr>
        <w:jc w:val="both"/>
        <w:ind w:right="80" w:firstLine="617"/>
        <w:spacing w:after="0" w:line="261" w:lineRule="auto"/>
        <w:rPr>
          <w:sz w:val="20"/>
          <w:szCs w:val="20"/>
          <w:color w:val="auto"/>
        </w:rPr>
      </w:pPr>
      <w:r>
        <w:rPr>
          <w:rFonts w:ascii="Arial" w:cs="Arial" w:eastAsia="Arial" w:hAnsi="Arial"/>
          <w:sz w:val="17"/>
          <w:szCs w:val="17"/>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Persons depositing or withdrawing shares must pay:</w:t>
            </w:r>
          </w:p>
        </w:tc>
        <w:tc>
          <w:tcPr>
            <w:tcW w:w="400" w:type="dxa"/>
            <w:vAlign w:val="bottom"/>
          </w:tcPr>
          <w:p>
            <w:pPr>
              <w:spacing w:after="0"/>
              <w:rPr>
                <w:sz w:val="14"/>
                <w:szCs w:val="14"/>
                <w:color w:val="auto"/>
              </w:rPr>
            </w:pPr>
          </w:p>
        </w:tc>
        <w:tc>
          <w:tcPr>
            <w:tcW w:w="5160" w:type="dxa"/>
            <w:vAlign w:val="bottom"/>
          </w:tcPr>
          <w:p>
            <w:pPr>
              <w:ind w:left="2240"/>
              <w:spacing w:after="0"/>
              <w:rPr>
                <w:sz w:val="20"/>
                <w:szCs w:val="20"/>
                <w:color w:val="auto"/>
              </w:rPr>
            </w:pPr>
            <w:r>
              <w:rPr>
                <w:rFonts w:ascii="Arial" w:cs="Arial" w:eastAsia="Arial" w:hAnsi="Arial"/>
                <w:sz w:val="14"/>
                <w:szCs w:val="14"/>
                <w:b w:val="1"/>
                <w:bCs w:val="1"/>
                <w:color w:val="auto"/>
              </w:rPr>
              <w:t>For:</w:t>
            </w:r>
          </w:p>
        </w:tc>
      </w:tr>
      <w:tr>
        <w:trPr>
          <w:trHeight w:val="199"/>
        </w:trPr>
        <w:tc>
          <w:tcPr>
            <w:tcW w:w="4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160" w:type="dxa"/>
            <w:vAlign w:val="bottom"/>
            <w:tcBorders>
              <w:top w:val="single" w:sz="8" w:color="auto"/>
            </w:tcBorders>
          </w:tcPr>
          <w:p>
            <w:pPr>
              <w:spacing w:after="0"/>
              <w:rPr>
                <w:sz w:val="17"/>
                <w:szCs w:val="17"/>
                <w:color w:val="auto"/>
              </w:rPr>
            </w:pPr>
          </w:p>
        </w:tc>
      </w:tr>
      <w:tr>
        <w:trPr>
          <w:trHeight w:val="193"/>
        </w:trPr>
        <w:tc>
          <w:tcPr>
            <w:tcW w:w="50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Up to US$0.05 per ADS</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w w:val="98"/>
              </w:rPr>
              <w:t>Issuance of ADSs, including issuances resulting from a distribution of</w:t>
            </w:r>
          </w:p>
        </w:tc>
      </w:tr>
      <w:tr>
        <w:trPr>
          <w:trHeight w:val="218"/>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ordinary shares or rights or other property</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06"/>
        </w:trPr>
        <w:tc>
          <w:tcPr>
            <w:tcW w:w="4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Cancellation or withdrawals of ADSs</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193"/>
        </w:trPr>
        <w:tc>
          <w:tcPr>
            <w:tcW w:w="4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w w:val="94"/>
              </w:rPr>
              <w:t>Distribution of ADSs pursuant to stock dividends, free stock distributions</w:t>
            </w:r>
          </w:p>
        </w:tc>
      </w:tr>
      <w:tr>
        <w:trPr>
          <w:trHeight w:val="218"/>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or exercise of rights</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193"/>
        </w:trPr>
        <w:tc>
          <w:tcPr>
            <w:tcW w:w="4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Distributions of securities other than ADSs or rights to purchase</w:t>
            </w:r>
          </w:p>
        </w:tc>
      </w:tr>
      <w:tr>
        <w:trPr>
          <w:trHeight w:val="218"/>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additional ADSs</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06"/>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Up to US$0.01 per ADS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Distributions of cash dividends or other cash distributions</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06"/>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US$1.5 per certificate presented for transfer</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Transfer of American depositary receipts, or ADRs</w:t>
            </w:r>
          </w:p>
        </w:tc>
      </w:tr>
      <w:tr>
        <w:trPr>
          <w:trHeight w:val="20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193"/>
        </w:trPr>
        <w:tc>
          <w:tcPr>
            <w:tcW w:w="50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4"/>
              </w:rPr>
              <w:t>Taxes and other governmental charges the depositary or the custodian</w:t>
            </w:r>
          </w:p>
        </w:tc>
        <w:tc>
          <w:tcPr>
            <w:tcW w:w="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16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As necessary</w:t>
            </w:r>
          </w:p>
        </w:tc>
      </w:tr>
      <w:tr>
        <w:trPr>
          <w:trHeight w:val="206"/>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have to pay on any ADS or ordinary shares underlying an ADS, for</w:t>
            </w:r>
          </w:p>
        </w:tc>
        <w:tc>
          <w:tcPr>
            <w:tcW w:w="4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r>
      <w:tr>
        <w:trPr>
          <w:trHeight w:val="218"/>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example, stock transfer taxes, stamp duty or withholding taxes</w:t>
            </w:r>
          </w:p>
        </w:tc>
        <w:tc>
          <w:tcPr>
            <w:tcW w:w="4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Fees and other payments made by the depositary to us</w:t>
      </w:r>
    </w:p>
    <w:p>
      <w:pPr>
        <w:spacing w:after="0" w:line="222" w:lineRule="exact"/>
        <w:rPr>
          <w:sz w:val="20"/>
          <w:szCs w:val="20"/>
          <w:color w:val="auto"/>
        </w:rPr>
      </w:pPr>
    </w:p>
    <w:p>
      <w:pPr>
        <w:ind w:right="60" w:firstLine="617"/>
        <w:spacing w:after="0" w:line="347" w:lineRule="auto"/>
        <w:rPr>
          <w:sz w:val="20"/>
          <w:szCs w:val="20"/>
          <w:color w:val="auto"/>
        </w:rPr>
      </w:pPr>
      <w:r>
        <w:rPr>
          <w:rFonts w:ascii="Arial" w:cs="Arial" w:eastAsia="Arial" w:hAnsi="Arial"/>
          <w:sz w:val="15"/>
          <w:szCs w:val="15"/>
          <w:color w:val="auto"/>
        </w:rPr>
        <w:t>We did not receive any direct or indirect payment from the depositary in 2016, except that the depositary has agreed to waive certain fees for standard costs associated with the administration of the ADS program and waived such costs in an aggregate amount of US$25,705 for the year ended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1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r>
        <w:rPr>
          <w:rFonts w:ascii="Arial" w:cs="Arial" w:eastAsia="Arial" w:hAnsi="Arial"/>
          <w:sz w:val="16"/>
          <w:szCs w:val="16"/>
          <w:color w:val="auto"/>
        </w:rPr>
        <w:t>.</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2"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color w:val="auto"/>
        </w:rPr>
        <w:t>Our management, with the participation of William Lei Ding, our Chief Executive Officer, and Onward Choi, our Acting Chief Financial Officer, have conducted an evaluation pursuant to Rule 13a-15 promulgated under the Exchange Act, as amended, of the effectiveness of our disclosure controls and procedures as of December 31, 2016. Based on this evaluation, our Chief Executive Officer and Acting Chief Financial Officer concluded that such disclosure controls and procedures were effective as of December 31, 2016.</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222" w:lineRule="exact"/>
        <w:rPr>
          <w:sz w:val="20"/>
          <w:szCs w:val="20"/>
          <w:color w:val="auto"/>
        </w:rPr>
      </w:pPr>
    </w:p>
    <w:p>
      <w:pPr>
        <w:ind w:right="80" w:firstLine="617"/>
        <w:spacing w:after="0" w:line="265" w:lineRule="auto"/>
        <w:rPr>
          <w:sz w:val="20"/>
          <w:szCs w:val="20"/>
          <w:color w:val="auto"/>
        </w:rPr>
      </w:pPr>
      <w:r>
        <w:rPr>
          <w:rFonts w:ascii="Arial" w:cs="Arial" w:eastAsia="Arial" w:hAnsi="Arial"/>
          <w:sz w:val="17"/>
          <w:szCs w:val="17"/>
          <w:color w:val="auto"/>
        </w:rPr>
        <w:t>Our management’s annual report on internal control over financial reporting is included in this annual report on pages F-1. PricewaterhouseCoopers Zhong Tian LLP, our independent registered public accounting firm, audited the effectiveness of our company’s internal control over the financial reporting period of December 31, 2016 as stated in this annual report on pages F-2.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2" w:lineRule="exact"/>
        <w:rPr>
          <w:sz w:val="20"/>
          <w:szCs w:val="20"/>
          <w:color w:val="auto"/>
        </w:rPr>
      </w:pPr>
    </w:p>
    <w:p>
      <w:pPr>
        <w:ind w:right="40" w:firstLine="617"/>
        <w:spacing w:after="0" w:line="347" w:lineRule="auto"/>
        <w:rPr>
          <w:sz w:val="20"/>
          <w:szCs w:val="20"/>
          <w:color w:val="auto"/>
        </w:rPr>
      </w:pPr>
      <w:r>
        <w:rPr>
          <w:rFonts w:ascii="Arial" w:cs="Arial" w:eastAsia="Arial" w:hAnsi="Arial"/>
          <w:sz w:val="15"/>
          <w:szCs w:val="15"/>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w:t>
      </w:r>
    </w:p>
    <w:p>
      <w:pPr>
        <w:sectPr>
          <w:pgSz w:w="11900" w:h="16956" w:orient="portrait"/>
          <w:cols w:equalWidth="0" w:num="1">
            <w:col w:w="11340"/>
          </w:cols>
          <w:pgMar w:left="240" w:top="127" w:right="319" w:bottom="0" w:gutter="0" w:footer="0" w:header="0"/>
        </w:sectPr>
      </w:pPr>
    </w:p>
    <w:bookmarkStart w:id="74" w:name="page75"/>
    <w:bookmarkEnd w:id="74"/>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reporting.</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16A.</w:t>
      </w:r>
      <w:r>
        <w:rPr>
          <w:sz w:val="20"/>
          <w:szCs w:val="20"/>
          <w:color w:val="auto"/>
        </w:rPr>
        <w:tab/>
      </w:r>
      <w:r>
        <w:rPr>
          <w:rFonts w:ascii="Arial" w:cs="Arial" w:eastAsia="Arial" w:hAnsi="Arial"/>
          <w:sz w:val="15"/>
          <w:szCs w:val="15"/>
          <w:b w:val="1"/>
          <w:bCs w:val="1"/>
          <w:color w:val="auto"/>
        </w:rPr>
        <w:t>Audit Committee Financial Expert</w:t>
      </w:r>
    </w:p>
    <w:p>
      <w:pPr>
        <w:spacing w:after="0" w:line="222" w:lineRule="exact"/>
        <w:rPr>
          <w:sz w:val="20"/>
          <w:szCs w:val="20"/>
          <w:color w:val="auto"/>
        </w:rPr>
      </w:pPr>
    </w:p>
    <w:p>
      <w:pPr>
        <w:ind w:right="100" w:firstLine="617"/>
        <w:spacing w:after="0" w:line="278" w:lineRule="auto"/>
        <w:rPr>
          <w:sz w:val="20"/>
          <w:szCs w:val="20"/>
          <w:color w:val="auto"/>
        </w:rPr>
      </w:pPr>
      <w:r>
        <w:rPr>
          <w:rFonts w:ascii="Arial" w:cs="Arial" w:eastAsia="Arial" w:hAnsi="Arial"/>
          <w:sz w:val="17"/>
          <w:szCs w:val="17"/>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5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2" w:lineRule="exact"/>
        <w:rPr>
          <w:sz w:val="20"/>
          <w:szCs w:val="20"/>
          <w:color w:val="auto"/>
        </w:rPr>
      </w:pPr>
    </w:p>
    <w:p>
      <w:pPr>
        <w:jc w:val="both"/>
        <w:ind w:right="80" w:firstLine="482"/>
        <w:spacing w:after="0" w:line="265" w:lineRule="auto"/>
        <w:rPr>
          <w:sz w:val="20"/>
          <w:szCs w:val="20"/>
          <w:color w:val="auto"/>
        </w:rPr>
      </w:pPr>
      <w:r>
        <w:rPr>
          <w:rFonts w:ascii="Arial" w:cs="Arial" w:eastAsia="Arial" w:hAnsi="Arial"/>
          <w:sz w:val="17"/>
          <w:szCs w:val="17"/>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 of Fees Charged by Independent Accountants</w:t>
      </w:r>
    </w:p>
    <w:p>
      <w:pPr>
        <w:spacing w:after="0" w:line="222" w:lineRule="exact"/>
        <w:rPr>
          <w:sz w:val="20"/>
          <w:szCs w:val="20"/>
          <w:color w:val="auto"/>
        </w:rPr>
      </w:pPr>
    </w:p>
    <w:p>
      <w:pPr>
        <w:ind w:right="160" w:firstLine="617"/>
        <w:spacing w:after="0" w:line="278" w:lineRule="auto"/>
        <w:rPr>
          <w:sz w:val="20"/>
          <w:szCs w:val="20"/>
          <w:color w:val="auto"/>
        </w:rPr>
      </w:pPr>
      <w:r>
        <w:rPr>
          <w:rFonts w:ascii="Arial" w:cs="Arial" w:eastAsia="Arial" w:hAnsi="Arial"/>
          <w:sz w:val="17"/>
          <w:szCs w:val="17"/>
          <w:color w:val="auto"/>
        </w:rPr>
        <w:t>The following table summarizes the fees charged by PricewaterhouseCoopers Zhong Tian LLP (previously known as PricewaterhouseCoopers Zhong Tian CPAs Limited Company) for certain services rendered to our company during 2015 and 2016.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4"/>
        </w:trPr>
        <w:tc>
          <w:tcPr>
            <w:tcW w:w="54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5400" w:type="dxa"/>
            <w:vAlign w:val="bottom"/>
          </w:tcPr>
          <w:p>
            <w:pPr>
              <w:spacing w:after="0"/>
              <w:rPr>
                <w:sz w:val="11"/>
                <w:szCs w:val="11"/>
                <w:color w:val="auto"/>
              </w:rPr>
            </w:pPr>
          </w:p>
        </w:tc>
        <w:tc>
          <w:tcPr>
            <w:tcW w:w="1140" w:type="dxa"/>
            <w:vAlign w:val="bottom"/>
            <w:tcBorders>
              <w:bottom w:val="single" w:sz="8" w:color="auto"/>
            </w:tcBorders>
          </w:tcPr>
          <w:p>
            <w:pPr>
              <w:jc w:val="right"/>
              <w:ind w:right="39"/>
              <w:spacing w:after="0" w:line="134" w:lineRule="exact"/>
              <w:rPr>
                <w:sz w:val="20"/>
                <w:szCs w:val="20"/>
                <w:color w:val="auto"/>
              </w:rPr>
            </w:pPr>
            <w:r>
              <w:rPr>
                <w:rFonts w:ascii="Arial" w:cs="Arial" w:eastAsia="Arial" w:hAnsi="Arial"/>
                <w:sz w:val="12"/>
                <w:szCs w:val="12"/>
                <w:b w:val="1"/>
                <w:bCs w:val="1"/>
                <w:color w:val="auto"/>
              </w:rPr>
              <w:t>2015</w:t>
            </w:r>
            <w:r>
              <w:rPr>
                <w:rFonts w:ascii="Arial" w:cs="Arial" w:eastAsia="Arial" w:hAnsi="Arial"/>
                <w:sz w:val="15"/>
                <w:szCs w:val="15"/>
                <w:b w:val="1"/>
                <w:bCs w:val="1"/>
                <w:color w:val="auto"/>
                <w:vertAlign w:val="superscript"/>
              </w:rPr>
              <w:t>(1)</w:t>
            </w: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79"/>
              <w:spacing w:after="0" w:line="134" w:lineRule="exact"/>
              <w:rPr>
                <w:sz w:val="20"/>
                <w:szCs w:val="20"/>
                <w:color w:val="auto"/>
              </w:rPr>
            </w:pPr>
            <w:r>
              <w:rPr>
                <w:rFonts w:ascii="Arial" w:cs="Arial" w:eastAsia="Arial" w:hAnsi="Arial"/>
                <w:sz w:val="12"/>
                <w:szCs w:val="12"/>
                <w:b w:val="1"/>
                <w:bCs w:val="1"/>
                <w:color w:val="auto"/>
              </w:rPr>
              <w:t>2016</w:t>
            </w:r>
            <w:r>
              <w:rPr>
                <w:rFonts w:ascii="Arial" w:cs="Arial" w:eastAsia="Arial" w:hAnsi="Arial"/>
                <w:sz w:val="15"/>
                <w:szCs w:val="15"/>
                <w:b w:val="1"/>
                <w:bCs w:val="1"/>
                <w:color w:val="auto"/>
                <w:vertAlign w:val="superscript"/>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5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RMB (in thousands)</w:t>
            </w: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6"/>
        </w:trPr>
        <w:tc>
          <w:tcPr>
            <w:tcW w:w="6540" w:type="dxa"/>
            <w:vAlign w:val="bottom"/>
            <w:gridSpan w:val="2"/>
            <w:shd w:val="clear" w:color="auto" w:fill="CCEEFF"/>
          </w:tcPr>
          <w:p>
            <w:pPr>
              <w:spacing w:after="0" w:line="20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2"/>
                <w:szCs w:val="22"/>
                <w:color w:val="auto"/>
                <w:vertAlign w:val="superscript"/>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11,451</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20,039</w:t>
            </w:r>
          </w:p>
        </w:tc>
        <w:tc>
          <w:tcPr>
            <w:tcW w:w="60" w:type="dxa"/>
            <w:vAlign w:val="bottom"/>
            <w:shd w:val="clear" w:color="auto" w:fill="CCEEFF"/>
          </w:tcPr>
          <w:p>
            <w:pPr>
              <w:spacing w:after="0"/>
              <w:rPr>
                <w:sz w:val="17"/>
                <w:szCs w:val="17"/>
                <w:color w:val="auto"/>
              </w:rPr>
            </w:pPr>
          </w:p>
        </w:tc>
      </w:tr>
      <w:tr>
        <w:trPr>
          <w:trHeight w:val="206"/>
        </w:trPr>
        <w:tc>
          <w:tcPr>
            <w:tcW w:w="6540" w:type="dxa"/>
            <w:vAlign w:val="bottom"/>
            <w:gridSpan w:val="2"/>
          </w:tcPr>
          <w:p>
            <w:pPr>
              <w:spacing w:after="0" w:line="206"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2"/>
                <w:szCs w:val="22"/>
                <w:color w:val="auto"/>
                <w:vertAlign w:val="superscript"/>
              </w:rPr>
              <w:t>(3)</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707</w:t>
            </w:r>
          </w:p>
        </w:tc>
        <w:tc>
          <w:tcPr>
            <w:tcW w:w="5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1,169</w:t>
            </w:r>
          </w:p>
        </w:tc>
        <w:tc>
          <w:tcPr>
            <w:tcW w:w="60" w:type="dxa"/>
            <w:vAlign w:val="bottom"/>
          </w:tcPr>
          <w:p>
            <w:pPr>
              <w:spacing w:after="0"/>
              <w:rPr>
                <w:sz w:val="17"/>
                <w:szCs w:val="17"/>
                <w:color w:val="auto"/>
              </w:rPr>
            </w:pPr>
          </w:p>
        </w:tc>
      </w:tr>
      <w:tr>
        <w:trPr>
          <w:trHeight w:val="206"/>
        </w:trPr>
        <w:tc>
          <w:tcPr>
            <w:tcW w:w="6540" w:type="dxa"/>
            <w:vAlign w:val="bottom"/>
            <w:gridSpan w:val="2"/>
            <w:shd w:val="clear" w:color="auto" w:fill="CCEEFF"/>
          </w:tcPr>
          <w:p>
            <w:pPr>
              <w:spacing w:after="0" w:line="206"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2"/>
                <w:szCs w:val="22"/>
                <w:color w:val="auto"/>
                <w:vertAlign w:val="superscript"/>
              </w:rPr>
              <w:t>(4)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192</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860</w:t>
            </w:r>
          </w:p>
        </w:tc>
        <w:tc>
          <w:tcPr>
            <w:tcW w:w="60" w:type="dxa"/>
            <w:vAlign w:val="bottom"/>
            <w:shd w:val="clear" w:color="auto" w:fill="CCEEFF"/>
          </w:tcPr>
          <w:p>
            <w:pPr>
              <w:spacing w:after="0"/>
              <w:rPr>
                <w:sz w:val="17"/>
                <w:szCs w:val="17"/>
                <w:color w:val="auto"/>
              </w:rPr>
            </w:pPr>
          </w:p>
        </w:tc>
      </w:tr>
      <w:tr>
        <w:trPr>
          <w:trHeight w:val="199"/>
        </w:trPr>
        <w:tc>
          <w:tcPr>
            <w:tcW w:w="5400" w:type="dxa"/>
            <w:vAlign w:val="bottom"/>
          </w:tcPr>
          <w:p>
            <w:pPr>
              <w:spacing w:after="0"/>
              <w:rPr>
                <w:sz w:val="20"/>
                <w:szCs w:val="20"/>
                <w:color w:val="auto"/>
              </w:rPr>
            </w:pPr>
            <w:r>
              <w:rPr>
                <w:rFonts w:ascii="Arial" w:cs="Arial" w:eastAsia="Arial" w:hAnsi="Arial"/>
                <w:sz w:val="17"/>
                <w:szCs w:val="17"/>
                <w:color w:val="auto"/>
              </w:rPr>
              <w:t>Total</w:t>
            </w:r>
          </w:p>
        </w:tc>
        <w:tc>
          <w:tcPr>
            <w:tcW w:w="1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12,350</w:t>
            </w:r>
          </w:p>
        </w:tc>
        <w:tc>
          <w:tcPr>
            <w:tcW w:w="22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22,068</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829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92" w:lineRule="exact"/>
        <w:rPr>
          <w:sz w:val="20"/>
          <w:szCs w:val="20"/>
          <w:color w:val="auto"/>
        </w:rPr>
      </w:pPr>
    </w:p>
    <w:p>
      <w:pPr>
        <w:ind w:left="620" w:right="40" w:hanging="617"/>
        <w:spacing w:after="0" w:line="278" w:lineRule="auto"/>
        <w:tabs>
          <w:tab w:leader="none" w:pos="62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fees disclosed are exclusive of out-of-pocket expenses on the amounts paid, which totaled approximately RMB656,000 and RMB1,209,000 in 2015 and 2016, respectively.</w:t>
      </w:r>
    </w:p>
    <w:p>
      <w:pPr>
        <w:spacing w:after="0" w:line="164" w:lineRule="exact"/>
        <w:rPr>
          <w:rFonts w:ascii="Arial" w:cs="Arial" w:eastAsia="Arial" w:hAnsi="Arial"/>
          <w:sz w:val="17"/>
          <w:szCs w:val="17"/>
          <w:color w:val="auto"/>
        </w:rPr>
      </w:pPr>
    </w:p>
    <w:p>
      <w:pPr>
        <w:ind w:left="620" w:hanging="617"/>
        <w:spacing w:after="0" w:line="278" w:lineRule="auto"/>
        <w:tabs>
          <w:tab w:leader="none" w:pos="627" w:val="left"/>
        </w:tabs>
        <w:numPr>
          <w:ilvl w:val="0"/>
          <w:numId w:val="94"/>
        </w:numPr>
        <w:rPr>
          <w:rFonts w:ascii="Arial" w:cs="Arial" w:eastAsia="Arial" w:hAnsi="Arial"/>
          <w:sz w:val="17"/>
          <w:szCs w:val="17"/>
          <w:color w:val="auto"/>
        </w:rPr>
      </w:pPr>
      <w:r>
        <w:rPr>
          <w:rFonts w:ascii="Arial" w:cs="Arial" w:eastAsia="Arial" w:hAnsi="Arial"/>
          <w:sz w:val="17"/>
          <w:szCs w:val="17"/>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64" w:lineRule="exact"/>
        <w:rPr>
          <w:rFonts w:ascii="Arial" w:cs="Arial" w:eastAsia="Arial" w:hAnsi="Arial"/>
          <w:sz w:val="17"/>
          <w:szCs w:val="17"/>
          <w:color w:val="auto"/>
        </w:rPr>
      </w:pPr>
    </w:p>
    <w:p>
      <w:pPr>
        <w:ind w:left="620" w:right="100" w:hanging="617"/>
        <w:spacing w:after="0" w:line="278" w:lineRule="auto"/>
        <w:tabs>
          <w:tab w:leader="none" w:pos="62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“Tax fees” means the aggregate fees billed in each of the fiscal years for professional services rendered by our principal auditors for tax compliance and tax advice.</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other fees” includes the aggregate fees billed in each of the fiscal years for non-audit services rendered which were not listed above.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Policies and Procedures</w:t>
      </w:r>
    </w:p>
    <w:p>
      <w:pPr>
        <w:spacing w:after="0" w:line="222" w:lineRule="exact"/>
        <w:rPr>
          <w:sz w:val="20"/>
          <w:szCs w:val="20"/>
          <w:color w:val="auto"/>
        </w:rPr>
      </w:pPr>
    </w:p>
    <w:p>
      <w:pPr>
        <w:ind w:right="100" w:firstLine="617"/>
        <w:spacing w:after="0" w:line="311" w:lineRule="auto"/>
        <w:rPr>
          <w:sz w:val="20"/>
          <w:szCs w:val="20"/>
          <w:color w:val="auto"/>
        </w:rPr>
      </w:pPr>
      <w:r>
        <w:rPr>
          <w:rFonts w:ascii="Arial" w:cs="Arial" w:eastAsia="Arial" w:hAnsi="Arial"/>
          <w:sz w:val="16"/>
          <w:szCs w:val="16"/>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41" w:lineRule="exact"/>
        <w:rPr>
          <w:sz w:val="20"/>
          <w:szCs w:val="20"/>
          <w:color w:val="auto"/>
        </w:rPr>
      </w:pPr>
    </w:p>
    <w:p>
      <w:pPr>
        <w:ind w:left="620" w:right="100" w:hanging="308"/>
        <w:spacing w:after="0" w:line="278" w:lineRule="auto"/>
        <w:tabs>
          <w:tab w:leader="none" w:pos="586"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580" w:hanging="308"/>
        <w:spacing w:after="0" w:line="278" w:lineRule="auto"/>
        <w:tabs>
          <w:tab w:leader="none" w:pos="586"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audit committee in its sole discretion then approves or disapproves the proposed services and documents such approval, if given, through written resolutions or in the minutes of meetings, as the case may be.</w:t>
      </w:r>
    </w:p>
    <w:p>
      <w:pPr>
        <w:spacing w:after="0" w:line="15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not sought an exemption from the applicable listing standards for the audit committee of our board of directors.</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16E.</w:t>
      </w:r>
      <w:r>
        <w:rPr>
          <w:sz w:val="20"/>
          <w:szCs w:val="20"/>
          <w:color w:val="auto"/>
        </w:rPr>
        <w:tab/>
      </w:r>
      <w:r>
        <w:rPr>
          <w:rFonts w:ascii="Arial" w:cs="Arial" w:eastAsia="Arial" w:hAnsi="Arial"/>
          <w:sz w:val="15"/>
          <w:szCs w:val="15"/>
          <w:b w:val="1"/>
          <w:bCs w:val="1"/>
          <w:color w:val="auto"/>
        </w:rPr>
        <w:t>Purchases of Equity Securities by the Issuer and Affiliated Purchasers</w:t>
      </w:r>
    </w:p>
    <w:p>
      <w:pPr>
        <w:spacing w:after="0" w:line="222" w:lineRule="exact"/>
        <w:rPr>
          <w:sz w:val="20"/>
          <w:szCs w:val="20"/>
          <w:color w:val="auto"/>
        </w:rPr>
      </w:pPr>
    </w:p>
    <w:p>
      <w:pPr>
        <w:ind w:right="20" w:firstLine="617"/>
        <w:spacing w:after="0" w:line="261" w:lineRule="auto"/>
        <w:rPr>
          <w:sz w:val="20"/>
          <w:szCs w:val="20"/>
          <w:color w:val="auto"/>
        </w:rPr>
      </w:pPr>
      <w:r>
        <w:rPr>
          <w:rFonts w:ascii="Arial" w:cs="Arial" w:eastAsia="Arial" w:hAnsi="Arial"/>
          <w:sz w:val="17"/>
          <w:szCs w:val="17"/>
          <w:color w:val="auto"/>
        </w:rPr>
        <w:t>On September 1, 2015, we announced a share repurchase program authorized by our board of directors. Under the terms of the approved share repurchase program, we were authorized to purchase up to US$500.0 million worth of our issued and outstanding ADSs on the Nasdaq Global Select Market. This share repurchase program expired on August 31, 2016. We had cumulatively purchased approximately 1.5 million ADSs in open market purchases under this program for a total consideration of approximately US$205.3 million.</w:t>
      </w:r>
    </w:p>
    <w:p>
      <w:pPr>
        <w:spacing w:after="0" w:line="179" w:lineRule="exact"/>
        <w:rPr>
          <w:sz w:val="20"/>
          <w:szCs w:val="20"/>
          <w:color w:val="auto"/>
        </w:rPr>
      </w:pPr>
    </w:p>
    <w:p>
      <w:pPr>
        <w:ind w:right="260" w:firstLine="617"/>
        <w:spacing w:after="0" w:line="289" w:lineRule="auto"/>
        <w:rPr>
          <w:sz w:val="20"/>
          <w:szCs w:val="20"/>
          <w:color w:val="auto"/>
        </w:rPr>
      </w:pPr>
      <w:r>
        <w:rPr>
          <w:rFonts w:ascii="Arial" w:cs="Arial" w:eastAsia="Arial" w:hAnsi="Arial"/>
          <w:sz w:val="16"/>
          <w:szCs w:val="16"/>
          <w:color w:val="auto"/>
        </w:rPr>
        <w:t>On November 15, 2016, we announced a new share repurchase program authorized by our board of directors. Under the terms of the approved share repurchase program, we were authorized to purchase up to US$1.0 billion worth of our issued and outstanding ADSs on the NASDAQ Global Select Market. This share repurchase program will expire on November 14, 2017. As of December 31, 2016, no ADSs were purchased under this program.</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Total 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ADSs</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6"/>
              </w:rPr>
              <w:t>Purchased</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of ADSs</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as Part of</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c>
          <w:tcPr>
            <w:tcW w:w="16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9"/>
              </w:rPr>
              <w:t>Publicly</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Announced</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Number of</w:t>
            </w: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Price</w:t>
            </w:r>
          </w:p>
        </w:tc>
        <w:tc>
          <w:tcPr>
            <w:tcW w:w="16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5"/>
              </w:rPr>
              <w:t>Plans</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ADSs</w:t>
            </w: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7"/>
              </w:rPr>
              <w:t>Paid</w:t>
            </w:r>
          </w:p>
        </w:tc>
        <w:tc>
          <w:tcPr>
            <w:tcW w:w="16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9"/>
              </w:rPr>
              <w:t>or</w:t>
            </w:r>
          </w:p>
        </w:tc>
        <w:tc>
          <w:tcPr>
            <w:tcW w:w="13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4"/>
        </w:trPr>
        <w:tc>
          <w:tcPr>
            <w:tcW w:w="500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line="164" w:lineRule="exact"/>
              <w:rPr>
                <w:sz w:val="20"/>
                <w:szCs w:val="20"/>
                <w:color w:val="auto"/>
              </w:rPr>
            </w:pPr>
            <w:r>
              <w:rPr>
                <w:rFonts w:ascii="Arial" w:cs="Arial" w:eastAsia="Arial" w:hAnsi="Arial"/>
                <w:sz w:val="14"/>
                <w:szCs w:val="14"/>
                <w:b w:val="1"/>
                <w:bCs w:val="1"/>
                <w:color w:val="auto"/>
                <w:w w:val="81"/>
              </w:rPr>
              <w:t>Purchased</w:t>
            </w:r>
            <w:r>
              <w:rPr>
                <w:rFonts w:ascii="Arial" w:cs="Arial" w:eastAsia="Arial" w:hAnsi="Arial"/>
                <w:sz w:val="17"/>
                <w:szCs w:val="17"/>
                <w:b w:val="1"/>
                <w:bCs w:val="1"/>
                <w:color w:val="auto"/>
                <w:w w:val="81"/>
                <w:vertAlign w:val="superscript"/>
              </w:rPr>
              <w:t>(1)</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Per ADS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Programs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136"/>
        </w:trPr>
        <w:tc>
          <w:tcPr>
            <w:tcW w:w="4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US$</w:t>
            </w:r>
          </w:p>
        </w:tc>
        <w:tc>
          <w:tcPr>
            <w:tcW w:w="28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252970" cy="1308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130810"/>
                    </a:xfrm>
                    <a:prstGeom prst="rect">
                      <a:avLst/>
                    </a:prstGeom>
                    <a:noFill/>
                  </pic:spPr>
                </pic:pic>
              </a:graphicData>
            </a:graphic>
          </wp:anchor>
        </w:drawing>
      </w:r>
    </w:p>
    <w:p>
      <w:pPr>
        <w:sectPr>
          <w:pgSz w:w="11900" w:h="16853" w:orient="portrait"/>
          <w:cols w:equalWidth="0" w:num="1">
            <w:col w:w="11400"/>
          </w:cols>
          <w:pgMar w:left="240" w:top="127" w:right="259" w:bottom="0" w:gutter="0" w:footer="0" w:header="0"/>
        </w:sectPr>
      </w:pPr>
    </w:p>
    <w:p>
      <w:pPr>
        <w:spacing w:after="0"/>
        <w:tabs>
          <w:tab w:leader="none" w:pos="5660" w:val="left"/>
          <w:tab w:leader="none" w:pos="6640" w:val="left"/>
          <w:tab w:leader="none" w:pos="7520" w:val="left"/>
          <w:tab w:leader="none" w:pos="8980" w:val="left"/>
          <w:tab w:leader="none" w:pos="9940" w:val="left"/>
          <w:tab w:leader="none" w:pos="10440" w:val="left"/>
        </w:tabs>
        <w:rPr>
          <w:sz w:val="20"/>
          <w:szCs w:val="20"/>
          <w:color w:val="auto"/>
        </w:rPr>
      </w:pPr>
      <w:r>
        <w:rPr>
          <w:rFonts w:ascii="Arial" w:cs="Arial" w:eastAsia="Arial" w:hAnsi="Arial"/>
          <w:sz w:val="17"/>
          <w:szCs w:val="17"/>
          <w:color w:val="auto"/>
        </w:rPr>
        <w:t>February 26 through May 13, 2016</w:t>
      </w:r>
      <w:r>
        <w:rPr>
          <w:rFonts w:ascii="Arial" w:cs="Arial" w:eastAsia="Arial" w:hAnsi="Arial"/>
          <w:sz w:val="22"/>
          <w:szCs w:val="22"/>
          <w:color w:val="auto"/>
          <w:vertAlign w:val="superscript"/>
        </w:rPr>
        <w:t>(2)</w:t>
      </w:r>
      <w:r>
        <w:rPr>
          <w:sz w:val="20"/>
          <w:szCs w:val="20"/>
          <w:color w:val="auto"/>
        </w:rPr>
        <w:tab/>
      </w:r>
      <w:r>
        <w:rPr>
          <w:rFonts w:ascii="Arial" w:cs="Arial" w:eastAsia="Arial" w:hAnsi="Arial"/>
          <w:sz w:val="17"/>
          <w:szCs w:val="17"/>
          <w:color w:val="auto"/>
        </w:rPr>
        <w:t>1,324,644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139.33</w:t>
      </w:r>
      <w:r>
        <w:rPr>
          <w:sz w:val="20"/>
          <w:szCs w:val="20"/>
          <w:color w:val="auto"/>
        </w:rPr>
        <w:tab/>
      </w:r>
      <w:r>
        <w:rPr>
          <w:rFonts w:ascii="Arial" w:cs="Arial" w:eastAsia="Arial" w:hAnsi="Arial"/>
          <w:sz w:val="17"/>
          <w:szCs w:val="17"/>
          <w:color w:val="auto"/>
        </w:rPr>
        <w:t>1,324,644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294,746,120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5269865</wp:posOffset>
            </wp:positionH>
            <wp:positionV relativeFrom="paragraph">
              <wp:posOffset>-30480</wp:posOffset>
            </wp:positionV>
            <wp:extent cx="8737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73760" cy="8255"/>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-30480</wp:posOffset>
            </wp:positionV>
            <wp:extent cx="8655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ectPr>
          <w:pgSz w:w="11900" w:h="16853" w:orient="portrait"/>
          <w:cols w:equalWidth="0" w:num="1">
            <w:col w:w="11400"/>
          </w:cols>
          <w:pgMar w:left="240" w:top="127" w:right="259"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1,324,644</w:t>
            </w:r>
          </w:p>
        </w:tc>
        <w:tc>
          <w:tcPr>
            <w:tcW w:w="19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829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92" w:lineRule="exact"/>
        <w:rPr>
          <w:sz w:val="20"/>
          <w:szCs w:val="20"/>
          <w:color w:val="auto"/>
        </w:rPr>
      </w:pPr>
    </w:p>
    <w:p>
      <w:pPr>
        <w:ind w:left="620" w:hanging="61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ADS to ordinary share ratio is one ADS for every 25 ordinary shares.</w:t>
      </w:r>
    </w:p>
    <w:p>
      <w:pPr>
        <w:spacing w:after="0" w:line="216" w:lineRule="exact"/>
        <w:rPr>
          <w:rFonts w:ascii="Arial" w:cs="Arial" w:eastAsia="Arial" w:hAnsi="Arial"/>
          <w:sz w:val="17"/>
          <w:szCs w:val="17"/>
          <w:color w:val="auto"/>
        </w:rPr>
      </w:pPr>
    </w:p>
    <w:p>
      <w:pPr>
        <w:ind w:left="620" w:hanging="617"/>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This repurchase program expired on August 31, 2016.</w:t>
      </w:r>
    </w:p>
    <w:p>
      <w:pPr>
        <w:spacing w:after="0" w:line="21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Accountants</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222" w:lineRule="exact"/>
        <w:rPr>
          <w:sz w:val="20"/>
          <w:szCs w:val="20"/>
          <w:color w:val="auto"/>
        </w:rPr>
      </w:pPr>
    </w:p>
    <w:p>
      <w:pPr>
        <w:ind w:right="180" w:firstLine="617"/>
        <w:spacing w:after="0" w:line="282" w:lineRule="auto"/>
        <w:rPr>
          <w:sz w:val="20"/>
          <w:szCs w:val="20"/>
          <w:color w:val="auto"/>
        </w:rPr>
      </w:pPr>
      <w:r>
        <w:rPr>
          <w:rFonts w:ascii="Arial" w:cs="Arial" w:eastAsia="Arial" w:hAnsi="Arial"/>
          <w:sz w:val="16"/>
          <w:szCs w:val="16"/>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Item 16H.</w:t>
            </w:r>
          </w:p>
        </w:tc>
        <w:tc>
          <w:tcPr>
            <w:tcW w:w="10240" w:type="dxa"/>
            <w:vAlign w:val="bottom"/>
            <w:gridSpan w:val="3"/>
          </w:tcPr>
          <w:p>
            <w:pPr>
              <w:ind w:left="40"/>
              <w:spacing w:after="0"/>
              <w:rPr>
                <w:sz w:val="20"/>
                <w:szCs w:val="20"/>
                <w:color w:val="auto"/>
              </w:rPr>
            </w:pPr>
            <w:r>
              <w:rPr>
                <w:rFonts w:ascii="Arial" w:cs="Arial" w:eastAsia="Arial" w:hAnsi="Arial"/>
                <w:sz w:val="17"/>
                <w:szCs w:val="17"/>
                <w:b w:val="1"/>
                <w:bCs w:val="1"/>
                <w:color w:val="auto"/>
              </w:rPr>
              <w:t>Mine Safety Disclosure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40" w:type="dxa"/>
            <w:vAlign w:val="bottom"/>
            <w:gridSpan w:val="5"/>
          </w:tcPr>
          <w:p>
            <w:pPr>
              <w:ind w:left="600"/>
              <w:spacing w:after="0"/>
              <w:rPr>
                <w:sz w:val="20"/>
                <w:szCs w:val="20"/>
                <w:color w:val="auto"/>
              </w:rPr>
            </w:pPr>
            <w:r>
              <w:rPr>
                <w:rFonts w:ascii="Arial" w:cs="Arial" w:eastAsia="Arial" w:hAnsi="Arial"/>
                <w:sz w:val="17"/>
                <w:szCs w:val="17"/>
                <w:color w:val="auto"/>
              </w:rPr>
              <w:t>Not applicable.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PART III</w:t>
            </w:r>
          </w:p>
        </w:tc>
        <w:tc>
          <w:tcPr>
            <w:tcW w:w="2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Item 17.</w:t>
            </w:r>
          </w:p>
        </w:tc>
        <w:tc>
          <w:tcPr>
            <w:tcW w:w="1024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Financial Statements</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40" w:type="dxa"/>
            <w:vAlign w:val="bottom"/>
            <w:gridSpan w:val="5"/>
          </w:tcPr>
          <w:p>
            <w:pPr>
              <w:ind w:left="600"/>
              <w:spacing w:after="0"/>
              <w:rPr>
                <w:sz w:val="20"/>
                <w:szCs w:val="20"/>
                <w:color w:val="auto"/>
              </w:rPr>
            </w:pPr>
            <w:r>
              <w:rPr>
                <w:rFonts w:ascii="Arial" w:cs="Arial" w:eastAsia="Arial" w:hAnsi="Arial"/>
                <w:sz w:val="17"/>
                <w:szCs w:val="17"/>
                <w:color w:val="auto"/>
              </w:rPr>
              <w:t>We have elected to provide financial statements pursuant to Item 18.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Item 18.</w:t>
            </w:r>
          </w:p>
        </w:tc>
        <w:tc>
          <w:tcPr>
            <w:tcW w:w="1024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Financial Statements</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440" w:type="dxa"/>
            <w:vAlign w:val="bottom"/>
            <w:gridSpan w:val="5"/>
          </w:tcPr>
          <w:p>
            <w:pPr>
              <w:ind w:left="600"/>
              <w:spacing w:after="0"/>
              <w:rPr>
                <w:sz w:val="20"/>
                <w:szCs w:val="20"/>
                <w:color w:val="auto"/>
              </w:rPr>
            </w:pPr>
            <w:r>
              <w:rPr>
                <w:rFonts w:ascii="Arial" w:cs="Arial" w:eastAsia="Arial" w:hAnsi="Arial"/>
                <w:sz w:val="17"/>
                <w:szCs w:val="17"/>
                <w:color w:val="auto"/>
              </w:rPr>
              <w:t>The consolidated financial statements for NetEase, Inc. and its subsidiaries are included at the end of this annual report.</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gridSpan w:val="2"/>
          </w:tcPr>
          <w:p>
            <w:pPr>
              <w:ind w:left="4400"/>
              <w:spacing w:after="0"/>
              <w:rPr>
                <w:sz w:val="20"/>
                <w:szCs w:val="20"/>
                <w:color w:val="auto"/>
              </w:rPr>
            </w:pPr>
            <w:r>
              <w:rPr>
                <w:rFonts w:ascii="Arial" w:cs="Arial" w:eastAsia="Arial" w:hAnsi="Arial"/>
                <w:sz w:val="17"/>
                <w:szCs w:val="17"/>
                <w:color w:val="auto"/>
              </w:rPr>
              <w:t>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120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2">
              <w:r>
                <w:rPr>
                  <w:rFonts w:ascii="Arial" w:cs="Arial" w:eastAsia="Arial" w:hAnsi="Arial"/>
                  <w:sz w:val="17"/>
                  <w:szCs w:val="17"/>
                  <w:color w:val="0000EE"/>
                  <w:w w:val="87"/>
                </w:rPr>
                <w:t>Table of Contents</w:t>
              </w:r>
            </w:hyperlink>
          </w:p>
        </w:tc>
        <w:tc>
          <w:tcPr>
            <w:tcW w:w="2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Item 19.</w:t>
            </w:r>
          </w:p>
        </w:tc>
        <w:tc>
          <w:tcPr>
            <w:tcW w:w="10240" w:type="dxa"/>
            <w:vAlign w:val="bottom"/>
            <w:gridSpan w:val="3"/>
          </w:tcPr>
          <w:p>
            <w:pPr>
              <w:ind w:left="2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996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9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Borders>
              <w:top w:val="single" w:sz="8" w:color="auto"/>
            </w:tcBorders>
          </w:tcPr>
          <w:p>
            <w:pPr>
              <w:ind w:left="320"/>
              <w:spacing w:after="0" w:line="186" w:lineRule="exact"/>
              <w:rPr>
                <w:sz w:val="20"/>
                <w:szCs w:val="20"/>
                <w:color w:val="auto"/>
              </w:rPr>
            </w:pPr>
            <w:r>
              <w:rPr>
                <w:rFonts w:ascii="Arial" w:cs="Arial" w:eastAsia="Arial" w:hAnsi="Arial"/>
                <w:sz w:val="17"/>
                <w:szCs w:val="17"/>
                <w:color w:val="auto"/>
              </w:rPr>
              <w:t>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92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w w:val="91"/>
              </w:rPr>
              <w:t>Amended and Restated Memorandum of Association of NetEase.com, Inc. (incorporated by reference to Exhibit 3.1 to Amendment No. 1 to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6"/>
              </w:rPr>
              <w:t>Amended and Restated Articles of Association of NetEase.com, Inc. (incorporated by reference to Exhibit 3.2 to Amendment No. 1 to the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5"/>
              </w:rPr>
              <w:t>Amendment to Amended and Restated Articles of Association of NetEase.com, Inc. dated as of June 6, 2003 (incorporated by reference to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8"/>
              </w:rPr>
              <w:t>Exhibit 1.3 to the company’s Annual Report on Form 20-F for the year ended December 31, 2002 filed with the SEC on June 27, 2003)</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3"/>
              </w:rPr>
              <w:t>Specimen American Depositary Receipt of NetEase.com, Inc. (incorporated by reference to Exhibit 4.1 to Amendment No. 1 to the company’s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3"/>
              </w:rPr>
              <w:t>Specimen Stock Certificate of NetEase.com, Inc. (incorporated by reference to Exhibit 4.2 to Amendment No. 1 to the company’s Registration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Statement on Form F-1 (file no. 333-11724) filed with the SEC on May 15, 2000)</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8"/>
              </w:rPr>
              <w:t>Proxy Agreement dated April 15, 2009 between NetEase (Hangzhou) Network Co., Ltd. and Zhipeng Hu (incorporated by reference to</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8"/>
              </w:rPr>
              <w:t>Exhibit 3.3 to the company’s Annual Report on Form 20-F for the year ended December 31, 2014 filed with the SEC on April 24, 2015)</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8"/>
              </w:rPr>
              <w:t>Shareholder Voting Rights Trust Agreement dated December 1, 2015 between NetEase (Hangzhou) Network Co., Ltd. and Tianlei Hu</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4"/>
              </w:rPr>
              <w:t>(incorporated by reference to Exhibit 3.8 to the company’s Annual Report on Form 20-F for the year ended December 31, 2015 filed with the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SEC on April 22, 2015)</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7"/>
              </w:rPr>
              <w:t>Shareholder Voting Rights Trust Agreement dated December 1, 2015 between NetEase (Hangzhou) Network Co., Ltd. and Zhipeng Hu</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4"/>
              </w:rPr>
              <w:t>(incorporated by reference to Exhibit 3.9 to the company’s Annual Report on Form 20-F for the year ended December 31, 2015 filed with the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SEC on April 22, 2015)</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7"/>
              </w:rPr>
              <w:t>Shareholder Voting Rights Trust Agreement dated November 30, 2015 between NetEase Media Technology (Beijing) Co., Ltd. and Li Li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4"/>
              </w:rPr>
              <w:t>(incorporated by reference to Exhibit 3.6 to the company’s Annual Report on Form 20-F for the year ended December 31, 2015 filed with the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SEC on April 22, 2015)</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2"/>
              </w:rPr>
              <w:t>Shareholder Voting Rights Trust Agreement dated November 30, 2015 between NetEase Media Technology (Beijing) Co., Ltd. and William Lei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3"/>
              </w:rPr>
              <w:t>Ding (incorporated by reference to Exhibit 3.7 to the company’s Annual Report on Form 20-F for the year ended December 31, 2015 filed with</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the SEC on April 22, 2015)</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4"/>
              </w:rPr>
              <w:t>Shareholder Voting Rights Trust Agreement dated September 26, 2016 between NetEase Youdao Information Technology (Beijing) Co., Ltd.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and William Lei Ding</w:t>
            </w:r>
          </w:p>
        </w:tc>
        <w:tc>
          <w:tcPr>
            <w:tcW w:w="0" w:type="dxa"/>
            <w:vAlign w:val="bottom"/>
          </w:tcPr>
          <w:p>
            <w:pPr>
              <w:spacing w:after="0"/>
              <w:rPr>
                <w:sz w:val="1"/>
                <w:szCs w:val="1"/>
                <w:color w:val="auto"/>
              </w:rPr>
            </w:pPr>
          </w:p>
        </w:tc>
      </w:tr>
      <w:tr>
        <w:trPr>
          <w:trHeight w:val="401"/>
        </w:trPr>
        <w:tc>
          <w:tcPr>
            <w:tcW w:w="1140" w:type="dxa"/>
            <w:vAlign w:val="bottom"/>
            <w:gridSpan w:val="2"/>
          </w:tcPr>
          <w:p>
            <w:pPr>
              <w:ind w:left="3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w w:val="93"/>
              </w:rPr>
              <w:t>2009 Restricted Share Unit Plan (incorporated by reference to Exhibit 10.1 to the company’s Registration Statement on Form S-8 (file no. 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164249) filed with the SEC on January 8,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-6045200</wp:posOffset>
            </wp:positionV>
            <wp:extent cx="12700"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-6045200</wp:posOffset>
            </wp:positionV>
            <wp:extent cx="12700"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6"/>
        </w:trPr>
        <w:tc>
          <w:tcPr>
            <w:tcW w:w="1220" w:type="dxa"/>
            <w:vAlign w:val="bottom"/>
          </w:tcPr>
          <w:p>
            <w:pPr>
              <w:ind w:left="340"/>
              <w:spacing w:after="0"/>
              <w:rPr>
                <w:sz w:val="20"/>
                <w:szCs w:val="20"/>
                <w:color w:val="auto"/>
              </w:rPr>
            </w:pPr>
            <w:r>
              <w:rPr>
                <w:rFonts w:ascii="Arial" w:cs="Arial" w:eastAsia="Arial" w:hAnsi="Arial"/>
                <w:sz w:val="17"/>
                <w:szCs w:val="17"/>
                <w:color w:val="auto"/>
              </w:rPr>
              <w:t>4.2</w:t>
            </w:r>
          </w:p>
        </w:tc>
        <w:tc>
          <w:tcPr>
            <w:tcW w:w="10240" w:type="dxa"/>
            <w:vAlign w:val="bottom"/>
          </w:tcPr>
          <w:p>
            <w:pPr>
              <w:ind w:left="280"/>
              <w:spacing w:after="0"/>
              <w:rPr>
                <w:sz w:val="20"/>
                <w:szCs w:val="20"/>
                <w:color w:val="auto"/>
              </w:rPr>
            </w:pPr>
            <w:r>
              <w:rPr>
                <w:rFonts w:ascii="Arial" w:cs="Arial" w:eastAsia="Arial" w:hAnsi="Arial"/>
                <w:sz w:val="17"/>
                <w:szCs w:val="17"/>
                <w:color w:val="auto"/>
                <w:w w:val="99"/>
              </w:rPr>
              <w:t>Form of Employment Agreement between NetEase.com, Inc. and its executive officers (incorporated by reference to Exhibit 4.3 to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company’s Annual Report on Form 20-F for the year ended December 31, 2009 filed with the SEC on June 29, 2010)</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100</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ind w:left="340"/>
              <w:spacing w:after="0"/>
              <w:rPr>
                <w:sz w:val="20"/>
                <w:szCs w:val="20"/>
                <w:color w:val="auto"/>
              </w:rPr>
            </w:pPr>
            <w:r>
              <w:rPr>
                <w:rFonts w:ascii="Arial" w:cs="Arial" w:eastAsia="Arial" w:hAnsi="Arial"/>
                <w:sz w:val="17"/>
                <w:szCs w:val="17"/>
                <w:color w:val="auto"/>
              </w:rPr>
              <w:t>4.3</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Domain Name License Agreement dated February 3, 2000 between NetEase.com, Inc. and Guangzhou NetEase Computer System Co., Ltd.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(incorporated by reference to Exhibit 10.7 to the company’s Registration Statement on Form F-1 (file no. 333-11724) filed with the SEC on</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March 27,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Copyright License Agreement dated February 3, 2000 between NetEase Information Technology (Beijing) Co., Ltd. and Guangzhou NetEase</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Computer System Co., Ltd. (incorporated by reference to Exhibit 10.8 to the company’s Registration Statement on Form F-1 (file no. 333-</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11724) filed with the SEC on March 27,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Trademark License Agreement dated February 3, 2000 between NetEase Information Technology (Beijing) Co., Ltd. and Guangzhou NetEase</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Computer System Co., Ltd. (incorporated by reference to Exhibit 10.9 to the company’s Registration Statement on Form F-1 (file no. 333-</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11724) filed with the SEC on March 27,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4.6</w:t>
            </w: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Supplemental Agreement (to Copyright License Agreement and Domain Name License Agreement) dated April 27, 2000 between NetEase</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Information Technology (Beijing) Co., Ltd. and Guangzhou NetEase Computer System Co., Ltd. (incorporated by reference to Exhibit 10.10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Amendment No.1 to the company’s Registration Statement on Form F-1 (file no. 333-11724) filed with the SEC on May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4.7</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Notice of Renewal dated April 2, 2001 relating to the Copyright License Agreement and the Trademark License Agreement each dated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February 3, 2000 and made between NetEase Information Technology (Beijing) Co., Ltd. and Guangzhou NetEase Computer System Co., Ltd.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4.14 to the company’s Annual Report on Form 20-F for the year ended December 31, 2000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August 31, 2001)</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4.8</w:t>
            </w:r>
          </w:p>
        </w:tc>
        <w:tc>
          <w:tcPr>
            <w:tcW w:w="10240" w:type="dxa"/>
            <w:vAlign w:val="bottom"/>
          </w:tcPr>
          <w:p>
            <w:pPr>
              <w:ind w:left="280"/>
              <w:spacing w:after="0"/>
              <w:rPr>
                <w:sz w:val="20"/>
                <w:szCs w:val="20"/>
                <w:color w:val="auto"/>
              </w:rPr>
            </w:pPr>
            <w:r>
              <w:rPr>
                <w:rFonts w:ascii="Arial" w:cs="Arial" w:eastAsia="Arial" w:hAnsi="Arial"/>
                <w:sz w:val="17"/>
                <w:szCs w:val="17"/>
                <w:color w:val="auto"/>
              </w:rPr>
              <w:t>Exclusive Advertising Agency Agreement dated February 3, 2000 between Guangzhou NetEase Computer System Co., Ltd. and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NetEase.com, Inc. (incorporated by reference to Exhibit 10.13 to the company’s Registration Statement on Form F-1 (file no. 333-11724) filed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with the SEC on March 27,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4.9</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Notice of Renewal dated April 2, 2001 relating to the Exclusive Advertising Agency Agreement dated February 3, 2000 between Guangzhou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NetEase Computer System Co., Ltd. and NetEase.com, Inc. (incorporated by reference to Exhibit 4.18 to the company’s Annual Report on</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Form 20-F for the year ended December 31, 2000 filed with the SEC on August 31, 2001)</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4.10</w:t>
            </w: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Trademark Transfer Agreement dated March 29, 2000 between Guangzhou NetEase Computer System Co., Ltd. and NetEase Information</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Technology (Beijing) Co., Ltd. (incorporated by reference to Exhibit 10.14 to Amendment No. 1 to the company’s Registration Statement on</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Form F-1 (file no. 333-11724) filed with the SEC on May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4.11</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Online Advertising Agreement dated February 15, 2000 between Guangzhou NetEase Computer System Co., Ltd. and Beijing Guangyitong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Advertising Co., Ltd. (incorporated by reference to Exhibit 10.15 to the company’s Registration Statement on Form F-1 (file no. 333-11724)</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filed with the SEC on March 27,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4.12</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Notice of Renewal dated April 2, 2001 relating to the Online Advertising Agreement dated February 15, 2000 and made between Guangzhou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NetEase Computer System Co., Ltd. and Beijing Guangyitong Advertising Co., Ltd. (incorporated by reference to Exhibit 4.21 to the company’s</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Annual Report on Form 20-F for the year ended December 31, 2000 filed with the SEC on August 31, 2001)</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4.13</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Supplemental Agreement dated May 15, 2000 (amending the Domain Name License Agreement) between NetEase.com, Inc. and Guangzhou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NetEase Computer System Co., Ltd. (incorporated by reference to Exhibit 10.37 to Amendment No. 1 to the company’s Registration Statement</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on Form F-1 (file no. 333-11724) filed with the SEC on May 15, 2000)</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101</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ind w:left="340"/>
              <w:spacing w:after="0"/>
              <w:rPr>
                <w:sz w:val="20"/>
                <w:szCs w:val="20"/>
                <w:color w:val="auto"/>
              </w:rPr>
            </w:pPr>
            <w:r>
              <w:rPr>
                <w:rFonts w:ascii="Arial" w:cs="Arial" w:eastAsia="Arial" w:hAnsi="Arial"/>
                <w:sz w:val="17"/>
                <w:szCs w:val="17"/>
                <w:color w:val="auto"/>
              </w:rPr>
              <w:t>4.14</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Agreement dated May 12, 2000 between NetEase Information Technology (Beijing) Co., Ltd. and Guangzhou NetEase Computer System</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Co., Ltd. (incorporated by reference to Exhibit 10.41 to Amendment No. 1 to the company’s Registration Statement on Form F-1 (file no. 333-</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11724) filed with the SEC on May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4.15</w:t>
            </w:r>
          </w:p>
        </w:tc>
        <w:tc>
          <w:tcPr>
            <w:tcW w:w="10240" w:type="dxa"/>
            <w:vAlign w:val="bottom"/>
          </w:tcPr>
          <w:p>
            <w:pPr>
              <w:ind w:left="280"/>
              <w:spacing w:after="0"/>
              <w:rPr>
                <w:sz w:val="20"/>
                <w:szCs w:val="20"/>
                <w:color w:val="auto"/>
              </w:rPr>
            </w:pPr>
            <w:r>
              <w:rPr>
                <w:rFonts w:ascii="Arial" w:cs="Arial" w:eastAsia="Arial" w:hAnsi="Arial"/>
                <w:sz w:val="17"/>
                <w:szCs w:val="17"/>
                <w:color w:val="auto"/>
                <w:w w:val="91"/>
              </w:rPr>
              <w:t>Supplemental Agreement dated May 12, 2000 (supplementing the Online Advertising Agreement dated February 15, 2000) between Guangzhou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NetEase Computer System Co., Ltd. and Beijing Guangyitong Advertising Co., Ltd. (incorporated by reference to Exhibit 10.47 to Amendment</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No. 1 to the company’s Registration Statement on Form F-1 (file no. 333-11724) filed with the SEC on May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4.16</w:t>
            </w: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Supplemental Agreement dated May 15, 2000 (supplementing the Domain Name License Agreement dated February 3, 2000) between</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NetEase.com, Inc. and Guangzhou NetEase Computer System Co., Ltd. (incorporated by reference to Exhibit 10.48 to Amendment No. 1 to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company’s Registration Statement on Form F-1 (file no. 333-11724) filed with the SEC on May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4.17</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Letter of Agreement, dated June 6, 2000, among William Lei Ding, Bo Ding and NetEase.com, Inc. (incorporated by reference to Exhibit 10.49</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9"/>
              </w:rPr>
              <w:t>to Amendment No. 2 to the company’s Registration Statement on Form F-1 (file no. 333-11724) filed with the SEC on June 15, 2000)</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4.18</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Supplemental Agreement dated June 15, 2000 (supplementing the Online Advertising Agreement dated February 15, 2000), between Beijing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Guangyitong Advertising Co., Ltd. and Guangzhou NetEase Computer System Co., Ltd. (incorporated by reference to Exhibit 10.50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Amendment No. 2 to the company’s Registration Statement on Form F-1 (file no. 333-11724) filed with the SEC on June 15, 2000)</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4.19</w:t>
            </w: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Trademark Assignment Agreement dated August 17, 2001 between Guangzhou NetEase Computer System Co., Ltd. and NetEase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-9687560</wp:posOffset>
            </wp:positionV>
            <wp:extent cx="12700"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-9687560</wp:posOffset>
            </wp:positionV>
            <wp:extent cx="1270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-3112770</wp:posOffset>
            </wp:positionV>
            <wp:extent cx="12700"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-3112770</wp:posOffset>
            </wp:positionV>
            <wp:extent cx="12700"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Technology (Beijing) Co., Ltd. and its Supplemental Agreement dated August 27, 2001 (incorporated by reference to Exhibit 4.53 to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company’s Annual Report on Form 20-F for the year ended December 31, 2000 filed with the SEC on August 31, 2001)</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4.20</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Supplemental Letter of Agreement dated May 17, 2004 (supplementing the Letter Agreement dated June 6, 2000 by and among William Lei</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Ding, Bo Ding and NetEase.com, Inc.) by and among William Lei Ding, Bo Ding, Jun Liang and NetEase.com, Inc. (incorporated by reference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to Exhibit 4.39 to the company’s Annual Report on Form 20-F for the year ended December 31, 2004 filed with the SEC on June 27, 2005)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4.21</w:t>
            </w:r>
          </w:p>
        </w:tc>
        <w:tc>
          <w:tcPr>
            <w:tcW w:w="10240" w:type="dxa"/>
            <w:vAlign w:val="bottom"/>
          </w:tcPr>
          <w:p>
            <w:pPr>
              <w:ind w:left="280"/>
              <w:spacing w:after="0"/>
              <w:rPr>
                <w:sz w:val="20"/>
                <w:szCs w:val="20"/>
                <w:color w:val="auto"/>
              </w:rPr>
            </w:pPr>
            <w:r>
              <w:rPr>
                <w:rFonts w:ascii="Arial" w:cs="Arial" w:eastAsia="Arial" w:hAnsi="Arial"/>
                <w:sz w:val="17"/>
                <w:szCs w:val="17"/>
                <w:color w:val="auto"/>
                <w:w w:val="91"/>
              </w:rPr>
              <w:t>Second Supplemental Letter of Agreement dated July 15, 2004 (supplementing the Letter Agreement dated June 6, 2000 by and among William</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Lei Ding, Bo Ding and NetEase.com, Inc., as supplemented by the Supplemental Letter of Agreement dated May 17, 2004 by and among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William Lei Ding, Bo Ding, Jun Liang and NetEase.com, Inc.) by and among William Lei Ding, Bo Ding, Jun Liang and NetEase.com, Inc.</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4.40 to the company’s Annual Report on Form 20-F for the year ended December 31, 2004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June 27, 2005)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4.22</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No. 3 Supplemental Letter of Agreement dated July 20, 2004 (supplementing the Letter Agreement dated June 6, 2000 by and among William</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Lei Ding, Bo Ding and NetEase.com, Inc., as supplemented by the Supplemental Letter of Agreement dated May 17, 2004 and the Second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Supplemental Letter of Agreement dated July 15, 2004, each by and among William Lei Ding, Bo Ding, Jun Liang and NetEase.com, Inc.) by</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and among William Lei Ding, Bo Ding, Jun Liang and NetEase.com, Inc. (incorporated by reference to Exhibit 4.41 to the company’s Annual</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Report on Form 20-F for the year ended December 31, 2004 filed with the SEC on June 27, 2005)</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102</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jc w:val="right"/>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4.23</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Form of Cooperative Agreement (incorporated by reference to Exhibit 4.25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2012 filed with the SEC on April 22, 2013)</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4.24</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Loan Agreement dated March 23, 2009 between NetEase (Hangzhou) Network Co., Ltd. and Zhipeng Hu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4.25 to the company’s Annual Report 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4.25</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Loan Agreement dated March 23, 2009 between NetEase (Hangzhou) Network Co., Ltd. and Gang Chen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4.26 to the company’s Annual Report 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4.26</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Equity Pledge Agreement dated April 15, 2009 between NetEase (Hangzhou) Network Co., Ltd. and Zhipeng Hu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4.27 to the company’s Annual Report 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4.27</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Equity Pledge Agreement dated April 15, 2009 between NetEase (Hangzhou) Network Co., Ltd. and Gang Chen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4.28 to the company’s Annual Report 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4.28</w:t>
            </w: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Exclusive Purchase Option Agreement dated April 15, 2009 among NetEase (Hangzhou) Network Co., Ltd., Gang Chen and Hangzhou Leihuo</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Network Co., Ltd (incorporated by reference to Exhibit 4.29 to the company’s Annual Report on Form 20-F for the year ended December 31,</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4.29</w:t>
            </w: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Exclusive Purchase Option Agreement dated April 15, 2009 among NetEase (Hangzhou) Network Co., Ltd., Zhipeng Hu and Hangzhou Leihuo</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Network Co., Ltd (incorporated by reference to Exhibit 4.30 to the company’s Annual Report on Form 20-F for the year ended December 31,</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4.30</w:t>
            </w: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Operating Agreement dated April 15, 2009 among NetEase (Hangzhou) Network Co., Ltd., Zhipeng Hu, Gang Chen and Hangzhou Leihuo</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Network Co., Ltd (incorporated by reference to Exhibit 4.31 to the company’s Annual Report on Form 20-F for the year ended December 31,</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4.31</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Cooperation Agreement dated January 1, 2010 between NetEase (Hangzhou) Network Co., Ltd. and Hangzhou Leihuo Network Co., Ltd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4.32 to the company’s Annual Report on Form 20-F for the year ended December 31, 2014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4.32</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Amendment and Novation of Operating Agreement dated May 1, 2014 among NetEase Information Technology (Beijing) Co., Ltd., Beijing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Guangyitong Advertising Co., Ltd., Bo Ding and William Lei Ding (incorporated by reference to Exhibit 4.33 to the company’s Annual Report</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4.33</w:t>
            </w:r>
          </w:p>
        </w:tc>
        <w:tc>
          <w:tcPr>
            <w:tcW w:w="10240" w:type="dxa"/>
            <w:vAlign w:val="bottom"/>
          </w:tcPr>
          <w:p>
            <w:pPr>
              <w:ind w:left="280"/>
              <w:spacing w:after="0"/>
              <w:rPr>
                <w:sz w:val="20"/>
                <w:szCs w:val="20"/>
                <w:color w:val="auto"/>
              </w:rPr>
            </w:pPr>
            <w:r>
              <w:rPr>
                <w:rFonts w:ascii="Arial" w:cs="Arial" w:eastAsia="Arial" w:hAnsi="Arial"/>
                <w:sz w:val="17"/>
                <w:szCs w:val="17"/>
                <w:color w:val="auto"/>
                <w:w w:val="99"/>
              </w:rPr>
              <w:t>Amendment and Novation of Letter of Agreement dated May 1, 2014 among NetEase Inc., William Lei Ding, Bo Ding and Xiaojun Hui</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4.34 to the company’s Annual Report on Form 20-F for the year ended December 31, 2014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April 24, 2015)</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103</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jc w:val="right"/>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4.34</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Loan Agreement dated May 1, 2014 between NetEase Information Technology (Beijing) Co., Ltd. and Xiaojun Hui (incorporated by reference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to Exhibit 4.35 to the company’s Annual Report on Form 20-F for the year ended December 31, 2014 filed with the SEC on April 24, 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4.35</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Equity Pledge Agreement dated May 1, 2014 between NetEase Information Technology (Beijing) Co., Ltd. and Xiaojun Hui (incorporated by</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reference to Exhibit 4.36 to the company’s Annual Report on Form 20-F for the year ended December 31, 2014 filed with the SEC on April 24,</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2015)</w:t>
            </w:r>
          </w:p>
        </w:tc>
      </w:tr>
      <w:tr>
        <w:trPr>
          <w:trHeight w:val="401"/>
        </w:trPr>
        <w:tc>
          <w:tcPr>
            <w:tcW w:w="1220" w:type="dxa"/>
            <w:vAlign w:val="bottom"/>
          </w:tcPr>
          <w:p>
            <w:pPr>
              <w:jc w:val="right"/>
              <w:ind w:right="494"/>
              <w:spacing w:after="0"/>
              <w:rPr>
                <w:sz w:val="20"/>
                <w:szCs w:val="20"/>
                <w:color w:val="auto"/>
              </w:rPr>
            </w:pPr>
            <w:r>
              <w:rPr>
                <w:rFonts w:ascii="Arial" w:cs="Arial" w:eastAsia="Arial" w:hAnsi="Arial"/>
                <w:sz w:val="17"/>
                <w:szCs w:val="17"/>
                <w:color w:val="auto"/>
              </w:rPr>
              <w:t>4.36</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Loan Agreement dated November 30, 2015 between NetEase Media Technology (Beijing) Co., Ltd. and William Lei Ding (incorporated by</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reference to Exhibit 4.37 to the company’s Annual Report on Form 20-F for the year ended December 31, 2015 filed with the SEC on April 22,</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-7597140</wp:posOffset>
            </wp:positionV>
            <wp:extent cx="12700"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-7597140</wp:posOffset>
            </wp:positionV>
            <wp:extent cx="12700"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-1805940</wp:posOffset>
            </wp:positionV>
            <wp:extent cx="12700"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-1805940</wp:posOffset>
            </wp:positionV>
            <wp:extent cx="12700"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78" w:name="page79"/>
    <w:bookmarkEnd w:id="7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Pr>
          <w:p>
            <w:pPr>
              <w:ind w:left="340"/>
              <w:spacing w:after="0"/>
              <w:rPr>
                <w:sz w:val="20"/>
                <w:szCs w:val="20"/>
                <w:color w:val="auto"/>
              </w:rPr>
            </w:pPr>
            <w:r>
              <w:rPr>
                <w:rFonts w:ascii="Arial" w:cs="Arial" w:eastAsia="Arial" w:hAnsi="Arial"/>
                <w:sz w:val="17"/>
                <w:szCs w:val="17"/>
                <w:color w:val="auto"/>
              </w:rPr>
              <w:t>4.37</w:t>
            </w: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Loan Agreement dated November 30, 2015 between NetEase Media Technology (Beijing) Co., Ltd. and Li Li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4.38 to the company’s Annual Report on Form 20-F for the year ended 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4.38</w:t>
            </w:r>
          </w:p>
        </w:tc>
        <w:tc>
          <w:tcPr>
            <w:tcW w:w="10240" w:type="dxa"/>
            <w:vAlign w:val="bottom"/>
          </w:tcPr>
          <w:p>
            <w:pPr>
              <w:ind w:left="280"/>
              <w:spacing w:after="0"/>
              <w:rPr>
                <w:sz w:val="20"/>
                <w:szCs w:val="20"/>
                <w:color w:val="auto"/>
              </w:rPr>
            </w:pPr>
            <w:r>
              <w:rPr>
                <w:rFonts w:ascii="Arial" w:cs="Arial" w:eastAsia="Arial" w:hAnsi="Arial"/>
                <w:sz w:val="17"/>
                <w:szCs w:val="17"/>
                <w:color w:val="auto"/>
              </w:rPr>
              <w:t>Equity Pledge Agreement dated November 30, 2015 between NetEase Media Technology (Beijing) Co., Ltd. and William Lei Ding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4.39 to the company’s Annual Report on Form 20-F for the year ended December 31, 2015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4.39</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Equity Pledge Agreement dated November 30, 2015 between NetEase Media Technology (Beijing) Co., Ltd. and Li Li (incorporated by</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reference to Exhibit 4.40 to the company’s Annual Report on Form 20-F for the year ended December 31, 2015 filed with the SEC on April 22,</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4.40</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Exclusive Purchase Option Agreement dated November 30, 2015 among NetEase Media Technology (Beijing) Co., Ltd., Beijing Guangyitong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Advertising Co., Ltd. and William Lei Ding (incorporated by reference to Exhibit 4.41 to the company’s Annual Report on Form 20-F for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year ended 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4.41</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Exclusive Purchase Option Agreement dated November 30, 2015 among NetEase Media Technology (Beijing) Co., Ltd., Beijing Guangyitong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Advertising Co., Ltd. and Li Li (incorporated by reference to Exhibit 4.42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4.42</w:t>
            </w: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Operating Agreement dated November 30, 2015 among NetEase Media Technology (Beijing) Co., Ltd., Beijing Guangyitong Advertising</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Co., Ltd., William Lei Ding and Li Li (incorporated by reference to Exhibit 4.43 to the company’s Annual Report on Form 20-F for the year</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ended 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4.43</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Amended and Restated Letter of Agreement dated November 30, 2015 among NetEase, Inc., William Lei Ding and Xiaojun Hui (incorporated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by reference to Exhibit 4.44 to the company’s Annual Report on Form 20-F for the year ended December 31, 2015 filed with the SEC on</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4.44</w:t>
            </w: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Loan Agreement dated December 1, 2015 between NetEase (Hangzhou) Network Co., Ltd. and Tianlei Hu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4.45 to the company’s Annual Report on Form 20-F for the year ended 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4.45</w:t>
            </w:r>
          </w:p>
        </w:tc>
        <w:tc>
          <w:tcPr>
            <w:tcW w:w="10240" w:type="dxa"/>
            <w:vAlign w:val="bottom"/>
          </w:tcPr>
          <w:p>
            <w:pPr>
              <w:ind w:left="280"/>
              <w:spacing w:after="0"/>
              <w:rPr>
                <w:sz w:val="20"/>
                <w:szCs w:val="20"/>
                <w:color w:val="auto"/>
              </w:rPr>
            </w:pPr>
            <w:r>
              <w:rPr>
                <w:rFonts w:ascii="Arial" w:cs="Arial" w:eastAsia="Arial" w:hAnsi="Arial"/>
                <w:sz w:val="17"/>
                <w:szCs w:val="17"/>
                <w:color w:val="auto"/>
                <w:w w:val="95"/>
              </w:rPr>
              <w:t>Loan Agreement dated December 1, 2015 between NetEase (Hangzhou) Network Co., Ltd. and Zhipeng Hu. (incorporated by reference to</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Exhibit 4.46 to the company’s Annual Report on Form 20-F for the year ended December 31, 2015 filed with the SEC on April 22, 2015)</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104</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ind w:left="340"/>
              <w:spacing w:after="0"/>
              <w:rPr>
                <w:sz w:val="20"/>
                <w:szCs w:val="20"/>
                <w:color w:val="auto"/>
              </w:rPr>
            </w:pPr>
            <w:r>
              <w:rPr>
                <w:rFonts w:ascii="Arial" w:cs="Arial" w:eastAsia="Arial" w:hAnsi="Arial"/>
                <w:sz w:val="17"/>
                <w:szCs w:val="17"/>
                <w:color w:val="auto"/>
              </w:rPr>
              <w:t>4.46</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Amended and Restated Equity Pledge Agreement dated December 1, 2015 between NetEase (Hangzhou) Network Co., Ltd. and Tianlei Hu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4.47 to the company’s Annual Report on Form 20-F for the year ended December 31, 2015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4.47</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Amended and Restated Equity Pledge Agreement dated December 1, 2015 between NetEase (Hangzhou) Network Co., Ltd. and Zhipeng Hu.</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(incorporated by reference to Exhibit 4.48 to the company’s Annual Report on Form 20-F for the year ended December 31, 2015 filed with the</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4.48</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Exclusive Purchase Option Agreement dated December 1, 2015 among NetEase (Hangzhou) Network Co., Ltd., Hangzhou NetEase Leihuo</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Network Co., Ltd. and Tianlei Hu (incorporated by reference to Exhibit 4.49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4.49</w:t>
            </w:r>
          </w:p>
        </w:tc>
        <w:tc>
          <w:tcPr>
            <w:tcW w:w="10240" w:type="dxa"/>
            <w:vAlign w:val="bottom"/>
          </w:tcPr>
          <w:p>
            <w:pPr>
              <w:ind w:left="280"/>
              <w:spacing w:after="0"/>
              <w:rPr>
                <w:sz w:val="20"/>
                <w:szCs w:val="20"/>
                <w:color w:val="auto"/>
              </w:rPr>
            </w:pPr>
            <w:r>
              <w:rPr>
                <w:rFonts w:ascii="Arial" w:cs="Arial" w:eastAsia="Arial" w:hAnsi="Arial"/>
                <w:sz w:val="17"/>
                <w:szCs w:val="17"/>
                <w:color w:val="auto"/>
                <w:w w:val="94"/>
              </w:rPr>
              <w:t>Exclusive Purchase Option Agreement dated December 1, 2015 among NetEase (Hangzhou) Network Co., Ltd., Hangzhou NetEase Leihuo</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2"/>
              </w:rPr>
              <w:t>Network Co., Ltd. and Zhipeng Hu (incorporated by reference to Exhibit 4.50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2015 filed with the SEC on April 22, 2015)</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4.50</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Operating Agreement dated December 1, 2015 among NetEase (Hangzhou) Network Co., Ltd., Hangzhou NetEase Leihuo Network Co., Ltd.,</w:t>
            </w:r>
          </w:p>
        </w:tc>
      </w:tr>
      <w:tr>
        <w:trPr>
          <w:trHeight w:val="206"/>
        </w:trPr>
        <w:tc>
          <w:tcPr>
            <w:tcW w:w="1220" w:type="dxa"/>
            <w:vAlign w:val="bottom"/>
          </w:tcPr>
          <w:p>
            <w:pPr>
              <w:spacing w:after="0"/>
              <w:rPr>
                <w:sz w:val="17"/>
                <w:szCs w:val="17"/>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Tianlei Hu and Zhipeng Hu (incorporated by reference to Exhibit 4.51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2015 filed with the SEC on April 22, 2015)</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4.51*</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Loan Agreement dated September 26, 2016 between William Lei Ding and NetEase Youdao Information Technology (Beijing) Co., Ltd.</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4.52*</w:t>
            </w:r>
          </w:p>
        </w:tc>
        <w:tc>
          <w:tcPr>
            <w:tcW w:w="10240" w:type="dxa"/>
            <w:vAlign w:val="bottom"/>
          </w:tcPr>
          <w:p>
            <w:pPr>
              <w:ind w:left="280"/>
              <w:spacing w:after="0"/>
              <w:rPr>
                <w:sz w:val="20"/>
                <w:szCs w:val="20"/>
                <w:color w:val="auto"/>
              </w:rPr>
            </w:pPr>
            <w:r>
              <w:rPr>
                <w:rFonts w:ascii="Arial" w:cs="Arial" w:eastAsia="Arial" w:hAnsi="Arial"/>
                <w:sz w:val="17"/>
                <w:szCs w:val="17"/>
                <w:color w:val="auto"/>
                <w:w w:val="98"/>
              </w:rPr>
              <w:t>Equity Pledge Agreement dated September 26, 2016 between William Lei Ding and NetEase Youdao Information Technology (Beijing)</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 Ltd.</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4.53*</w:t>
            </w:r>
          </w:p>
        </w:tc>
        <w:tc>
          <w:tcPr>
            <w:tcW w:w="10240" w:type="dxa"/>
            <w:vAlign w:val="bottom"/>
          </w:tcPr>
          <w:p>
            <w:pPr>
              <w:ind w:left="280"/>
              <w:spacing w:after="0"/>
              <w:rPr>
                <w:sz w:val="20"/>
                <w:szCs w:val="20"/>
                <w:color w:val="auto"/>
              </w:rPr>
            </w:pPr>
            <w:r>
              <w:rPr>
                <w:rFonts w:ascii="Arial" w:cs="Arial" w:eastAsia="Arial" w:hAnsi="Arial"/>
                <w:sz w:val="17"/>
                <w:szCs w:val="17"/>
                <w:color w:val="auto"/>
                <w:w w:val="93"/>
              </w:rPr>
              <w:t>Exclusive Purchase Option Agreement dated September 26, 2016 among William Lei Ding, NetEase Youdao Information Technology (Beijing)</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 Ltd. and Youdao Computer System Co., Ltd.</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4.54*</w:t>
            </w:r>
          </w:p>
        </w:tc>
        <w:tc>
          <w:tcPr>
            <w:tcW w:w="10240" w:type="dxa"/>
            <w:vAlign w:val="bottom"/>
          </w:tcPr>
          <w:p>
            <w:pPr>
              <w:ind w:left="280"/>
              <w:spacing w:after="0"/>
              <w:rPr>
                <w:sz w:val="20"/>
                <w:szCs w:val="20"/>
                <w:color w:val="auto"/>
              </w:rPr>
            </w:pPr>
            <w:r>
              <w:rPr>
                <w:rFonts w:ascii="Arial" w:cs="Arial" w:eastAsia="Arial" w:hAnsi="Arial"/>
                <w:sz w:val="17"/>
                <w:szCs w:val="17"/>
                <w:color w:val="auto"/>
                <w:w w:val="91"/>
              </w:rPr>
              <w:t>Operating Agreement dated September 26, 2016 among Youdao Computer System Co., Ltd., NetEase Youdao Information Technology (Beijing)</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 Ltd. and William Lei Ding.</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4.55*</w:t>
            </w:r>
          </w:p>
        </w:tc>
        <w:tc>
          <w:tcPr>
            <w:tcW w:w="10240" w:type="dxa"/>
            <w:vAlign w:val="bottom"/>
          </w:tcPr>
          <w:p>
            <w:pPr>
              <w:ind w:left="280"/>
              <w:spacing w:after="0"/>
              <w:rPr>
                <w:sz w:val="20"/>
                <w:szCs w:val="20"/>
                <w:color w:val="auto"/>
              </w:rPr>
            </w:pPr>
            <w:r>
              <w:rPr>
                <w:rFonts w:ascii="Arial" w:cs="Arial" w:eastAsia="Arial" w:hAnsi="Arial"/>
                <w:sz w:val="17"/>
                <w:szCs w:val="17"/>
                <w:color w:val="auto"/>
                <w:w w:val="91"/>
              </w:rPr>
              <w:t>Cooperation Agreement dated July 1, 2015 between NetEase Youdao Information Technology (Beijing) Co., Ltd. and Youdao Computer System</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 Ltd.</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8.1*</w:t>
            </w:r>
          </w:p>
        </w:tc>
        <w:tc>
          <w:tcPr>
            <w:tcW w:w="10240" w:type="dxa"/>
            <w:vAlign w:val="bottom"/>
          </w:tcPr>
          <w:p>
            <w:pPr>
              <w:ind w:left="280"/>
              <w:spacing w:after="0"/>
              <w:rPr>
                <w:sz w:val="20"/>
                <w:szCs w:val="20"/>
                <w:color w:val="auto"/>
              </w:rPr>
            </w:pPr>
            <w:r>
              <w:rPr>
                <w:rFonts w:ascii="Arial" w:cs="Arial" w:eastAsia="Arial" w:hAnsi="Arial"/>
                <w:sz w:val="17"/>
                <w:szCs w:val="17"/>
                <w:color w:val="auto"/>
              </w:rPr>
              <w:t>Subsidiaries and Variable Interest Entities of NetEase, Inc.</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11.1</w:t>
            </w: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Code of Business Conduct (incorporated by reference to Exhibit 11.1 to the company’s Annual Report on Form 20-F for the year ended</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December 31, 2006 filed with the SEC on June 26, 2007)</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12.1*</w:t>
            </w:r>
          </w:p>
        </w:tc>
        <w:tc>
          <w:tcPr>
            <w:tcW w:w="10240" w:type="dxa"/>
            <w:vAlign w:val="bottom"/>
          </w:tcPr>
          <w:p>
            <w:pPr>
              <w:ind w:left="280"/>
              <w:spacing w:after="0"/>
              <w:rPr>
                <w:sz w:val="20"/>
                <w:szCs w:val="20"/>
                <w:color w:val="auto"/>
              </w:rPr>
            </w:pPr>
            <w:r>
              <w:rPr>
                <w:rFonts w:ascii="Arial" w:cs="Arial" w:eastAsia="Arial" w:hAnsi="Arial"/>
                <w:sz w:val="17"/>
                <w:szCs w:val="17"/>
                <w:color w:val="auto"/>
              </w:rPr>
              <w:t>Certification of Chief Executive Officer Required by Rule 13a-14(a)</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12.2*</w:t>
            </w:r>
          </w:p>
        </w:tc>
        <w:tc>
          <w:tcPr>
            <w:tcW w:w="10240" w:type="dxa"/>
            <w:vAlign w:val="bottom"/>
          </w:tcPr>
          <w:p>
            <w:pPr>
              <w:ind w:left="280"/>
              <w:spacing w:after="0"/>
              <w:rPr>
                <w:sz w:val="20"/>
                <w:szCs w:val="20"/>
                <w:color w:val="auto"/>
              </w:rPr>
            </w:pPr>
            <w:r>
              <w:rPr>
                <w:rFonts w:ascii="Arial" w:cs="Arial" w:eastAsia="Arial" w:hAnsi="Arial"/>
                <w:sz w:val="17"/>
                <w:szCs w:val="17"/>
                <w:color w:val="auto"/>
              </w:rPr>
              <w:t>Certification of Acting Chief Financial Officer Required by Rule 13a-14(a)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-5988050</wp:posOffset>
            </wp:positionV>
            <wp:extent cx="12700"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-5988050</wp:posOffset>
            </wp:positionV>
            <wp:extent cx="12700"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67" w:orient="portrait"/>
          <w:cols w:equalWidth="0" w:num="1">
            <w:col w:w="11460"/>
          </w:cols>
          <w:pgMar w:left="240" w:top="127" w:right="199" w:bottom="0" w:gutter="0" w:footer="0" w:header="0"/>
        </w:sectPr>
      </w:pPr>
    </w:p>
    <w:bookmarkStart w:id="79" w:name="page80"/>
    <w:bookmarkEnd w:id="79"/>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ind w:left="340"/>
              <w:spacing w:after="0"/>
              <w:rPr>
                <w:sz w:val="20"/>
                <w:szCs w:val="20"/>
                <w:color w:val="auto"/>
              </w:rPr>
            </w:pPr>
            <w:r>
              <w:rPr>
                <w:rFonts w:ascii="Arial" w:cs="Arial" w:eastAsia="Arial" w:hAnsi="Arial"/>
                <w:sz w:val="17"/>
                <w:szCs w:val="17"/>
                <w:color w:val="auto"/>
              </w:rPr>
              <w:t>13.1**</w:t>
            </w:r>
          </w:p>
        </w:tc>
        <w:tc>
          <w:tcPr>
            <w:tcW w:w="10240" w:type="dxa"/>
            <w:vAlign w:val="bottom"/>
          </w:tcPr>
          <w:p>
            <w:pPr>
              <w:ind w:left="280"/>
              <w:spacing w:after="0"/>
              <w:rPr>
                <w:sz w:val="20"/>
                <w:szCs w:val="20"/>
                <w:color w:val="auto"/>
              </w:rPr>
            </w:pPr>
            <w:r>
              <w:rPr>
                <w:rFonts w:ascii="Arial" w:cs="Arial" w:eastAsia="Arial" w:hAnsi="Arial"/>
                <w:sz w:val="17"/>
                <w:szCs w:val="17"/>
                <w:color w:val="auto"/>
                <w:w w:val="97"/>
              </w:rPr>
              <w:t>Certification of Chief Executive Officer Required by Rule 13a-14(b) and Section 1350 of Chapter 63 of Title 18 of the United States Code</w:t>
            </w:r>
          </w:p>
        </w:tc>
      </w:tr>
      <w:tr>
        <w:trPr>
          <w:trHeight w:val="412"/>
        </w:trPr>
        <w:tc>
          <w:tcPr>
            <w:tcW w:w="1220" w:type="dxa"/>
            <w:vAlign w:val="bottom"/>
          </w:tcPr>
          <w:p>
            <w:pPr>
              <w:spacing w:after="0"/>
              <w:rPr>
                <w:sz w:val="24"/>
                <w:szCs w:val="24"/>
                <w:color w:val="auto"/>
              </w:rPr>
            </w:pPr>
          </w:p>
        </w:tc>
        <w:tc>
          <w:tcPr>
            <w:tcW w:w="10240" w:type="dxa"/>
            <w:vAlign w:val="bottom"/>
          </w:tcPr>
          <w:p>
            <w:pPr>
              <w:ind w:left="4360"/>
              <w:spacing w:after="0"/>
              <w:rPr>
                <w:sz w:val="20"/>
                <w:szCs w:val="20"/>
                <w:color w:val="auto"/>
              </w:rPr>
            </w:pPr>
            <w:r>
              <w:rPr>
                <w:rFonts w:ascii="Arial" w:cs="Arial" w:eastAsia="Arial" w:hAnsi="Arial"/>
                <w:sz w:val="17"/>
                <w:szCs w:val="17"/>
                <w:color w:val="auto"/>
              </w:rPr>
              <w:t>105</w:t>
            </w:r>
          </w:p>
        </w:tc>
      </w:tr>
      <w:tr>
        <w:trPr>
          <w:trHeight w:val="127"/>
        </w:trPr>
        <w:tc>
          <w:tcPr>
            <w:tcW w:w="122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10240" w:type="dxa"/>
            <w:vAlign w:val="bottom"/>
          </w:tcPr>
          <w:p>
            <w:pPr>
              <w:spacing w:after="0"/>
              <w:rPr>
                <w:sz w:val="24"/>
                <w:szCs w:val="24"/>
                <w:color w:val="auto"/>
              </w:rPr>
            </w:pPr>
          </w:p>
        </w:tc>
      </w:tr>
      <w:tr>
        <w:trPr>
          <w:trHeight w:val="418"/>
        </w:trPr>
        <w:tc>
          <w:tcPr>
            <w:tcW w:w="1220" w:type="dxa"/>
            <w:vAlign w:val="bottom"/>
          </w:tcPr>
          <w:p>
            <w:pPr>
              <w:ind w:left="340"/>
              <w:spacing w:after="0"/>
              <w:rPr>
                <w:sz w:val="20"/>
                <w:szCs w:val="20"/>
                <w:color w:val="auto"/>
              </w:rPr>
            </w:pPr>
            <w:r>
              <w:rPr>
                <w:rFonts w:ascii="Arial" w:cs="Arial" w:eastAsia="Arial" w:hAnsi="Arial"/>
                <w:sz w:val="17"/>
                <w:szCs w:val="17"/>
                <w:color w:val="auto"/>
              </w:rPr>
              <w:t>13.2**</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Certification of Acting Chief Financial Officer Required by Rule 13a-14(b) and Section 1350 of Chapter 63 of Title 18 of the United States</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Code</w:t>
            </w:r>
          </w:p>
        </w:tc>
      </w:tr>
      <w:tr>
        <w:trPr>
          <w:trHeight w:val="401"/>
        </w:trPr>
        <w:tc>
          <w:tcPr>
            <w:tcW w:w="1220" w:type="dxa"/>
            <w:vAlign w:val="bottom"/>
          </w:tcPr>
          <w:p>
            <w:pPr>
              <w:ind w:left="340"/>
              <w:spacing w:after="0"/>
              <w:rPr>
                <w:sz w:val="20"/>
                <w:szCs w:val="20"/>
                <w:color w:val="auto"/>
              </w:rPr>
            </w:pPr>
            <w:r>
              <w:rPr>
                <w:rFonts w:ascii="Arial" w:cs="Arial" w:eastAsia="Arial" w:hAnsi="Arial"/>
                <w:sz w:val="17"/>
                <w:szCs w:val="17"/>
                <w:color w:val="auto"/>
              </w:rPr>
              <w:t>15.1</w:t>
            </w:r>
          </w:p>
        </w:tc>
        <w:tc>
          <w:tcPr>
            <w:tcW w:w="10240" w:type="dxa"/>
            <w:vAlign w:val="bottom"/>
          </w:tcPr>
          <w:p>
            <w:pPr>
              <w:ind w:left="280"/>
              <w:spacing w:after="0"/>
              <w:rPr>
                <w:sz w:val="20"/>
                <w:szCs w:val="20"/>
                <w:color w:val="auto"/>
              </w:rPr>
            </w:pPr>
            <w:r>
              <w:rPr>
                <w:rFonts w:ascii="Arial" w:cs="Arial" w:eastAsia="Arial" w:hAnsi="Arial"/>
                <w:sz w:val="17"/>
                <w:szCs w:val="17"/>
                <w:color w:val="auto"/>
                <w:w w:val="96"/>
              </w:rPr>
              <w:t>Charter of Audit Committee of the Board of Directors of the Registrant (incorporated by reference to Exhibit 15.1 to the company’s Annual</w:t>
            </w:r>
          </w:p>
        </w:tc>
      </w:tr>
      <w:tr>
        <w:trPr>
          <w:trHeight w:val="217"/>
        </w:trPr>
        <w:tc>
          <w:tcPr>
            <w:tcW w:w="122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7"/>
                <w:szCs w:val="17"/>
                <w:color w:val="auto"/>
              </w:rPr>
              <w:t>Report on Form 20-F for the year ended December 31, 2014 filed with the SEC on April 24, 2015)</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15.2*</w:t>
            </w:r>
          </w:p>
        </w:tc>
        <w:tc>
          <w:tcPr>
            <w:tcW w:w="10240" w:type="dxa"/>
            <w:vAlign w:val="bottom"/>
          </w:tcPr>
          <w:p>
            <w:pPr>
              <w:ind w:left="280"/>
              <w:spacing w:after="0"/>
              <w:rPr>
                <w:sz w:val="20"/>
                <w:szCs w:val="20"/>
                <w:color w:val="auto"/>
              </w:rPr>
            </w:pPr>
            <w:r>
              <w:rPr>
                <w:rFonts w:ascii="Arial" w:cs="Arial" w:eastAsia="Arial" w:hAnsi="Arial"/>
                <w:sz w:val="17"/>
                <w:szCs w:val="17"/>
                <w:color w:val="auto"/>
              </w:rPr>
              <w:t>Consent of PricewaterhouseCoopers Zhong Tian LLP, Independent Registered Public Accounting Firm</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15.3*</w:t>
            </w:r>
          </w:p>
        </w:tc>
        <w:tc>
          <w:tcPr>
            <w:tcW w:w="10240" w:type="dxa"/>
            <w:vAlign w:val="bottom"/>
          </w:tcPr>
          <w:p>
            <w:pPr>
              <w:ind w:left="280"/>
              <w:spacing w:after="0"/>
              <w:rPr>
                <w:sz w:val="20"/>
                <w:szCs w:val="20"/>
                <w:color w:val="auto"/>
              </w:rPr>
            </w:pPr>
            <w:r>
              <w:rPr>
                <w:rFonts w:ascii="Arial" w:cs="Arial" w:eastAsia="Arial" w:hAnsi="Arial"/>
                <w:sz w:val="17"/>
                <w:szCs w:val="17"/>
                <w:color w:val="auto"/>
              </w:rPr>
              <w:t>Consent of Maples and Calder (Hong Kong) LLP</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15.4*</w:t>
            </w:r>
          </w:p>
        </w:tc>
        <w:tc>
          <w:tcPr>
            <w:tcW w:w="10240" w:type="dxa"/>
            <w:vAlign w:val="bottom"/>
          </w:tcPr>
          <w:p>
            <w:pPr>
              <w:ind w:left="280"/>
              <w:spacing w:after="0"/>
              <w:rPr>
                <w:sz w:val="20"/>
                <w:szCs w:val="20"/>
                <w:color w:val="auto"/>
              </w:rPr>
            </w:pPr>
            <w:r>
              <w:rPr>
                <w:rFonts w:ascii="Arial" w:cs="Arial" w:eastAsia="Arial" w:hAnsi="Arial"/>
                <w:sz w:val="17"/>
                <w:szCs w:val="17"/>
                <w:color w:val="auto"/>
              </w:rPr>
              <w:t>Consent of Jun He Law Offices</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101.INS*</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Instance Document</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101.SCH*</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Taxonomy Extension Schema Document</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101.CAL*</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101.LAB*</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Taxonomy Extension Label Linkbase Document</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101.PRE*</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412"/>
        </w:trPr>
        <w:tc>
          <w:tcPr>
            <w:tcW w:w="1220" w:type="dxa"/>
            <w:vAlign w:val="bottom"/>
          </w:tcPr>
          <w:p>
            <w:pPr>
              <w:ind w:left="340"/>
              <w:spacing w:after="0"/>
              <w:rPr>
                <w:sz w:val="20"/>
                <w:szCs w:val="20"/>
                <w:color w:val="auto"/>
              </w:rPr>
            </w:pPr>
            <w:r>
              <w:rPr>
                <w:rFonts w:ascii="Arial" w:cs="Arial" w:eastAsia="Arial" w:hAnsi="Arial"/>
                <w:sz w:val="17"/>
                <w:szCs w:val="17"/>
                <w:color w:val="auto"/>
              </w:rPr>
              <w:t>101.DEF*</w:t>
            </w:r>
          </w:p>
        </w:tc>
        <w:tc>
          <w:tcPr>
            <w:tcW w:w="10240" w:type="dxa"/>
            <w:vAlign w:val="bottom"/>
          </w:tcPr>
          <w:p>
            <w:pPr>
              <w:ind w:left="280"/>
              <w:spacing w:after="0"/>
              <w:rPr>
                <w:sz w:val="20"/>
                <w:szCs w:val="20"/>
                <w:color w:val="auto"/>
              </w:rPr>
            </w:pPr>
            <w:r>
              <w:rPr>
                <w:rFonts w:ascii="Arial" w:cs="Arial" w:eastAsia="Arial" w:hAnsi="Arial"/>
                <w:sz w:val="17"/>
                <w:szCs w:val="17"/>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-3504565</wp:posOffset>
            </wp:positionV>
            <wp:extent cx="12700" cy="29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-3504565</wp:posOffset>
            </wp:positionV>
            <wp:extent cx="12700"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196850</wp:posOffset>
            </wp:positionV>
            <wp:extent cx="1829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94" w:lineRule="exact"/>
        <w:rPr>
          <w:sz w:val="20"/>
          <w:szCs w:val="20"/>
          <w:color w:val="auto"/>
        </w:rPr>
      </w:pPr>
    </w:p>
    <w:p>
      <w:pPr>
        <w:ind w:left="620" w:hanging="617"/>
        <w:spacing w:after="0"/>
        <w:tabs>
          <w:tab w:leader="none" w:pos="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Filed with this annual report on Form 20-F</w:t>
      </w:r>
    </w:p>
    <w:p>
      <w:pPr>
        <w:spacing w:after="0" w:line="216" w:lineRule="exact"/>
        <w:rPr>
          <w:sz w:val="20"/>
          <w:szCs w:val="20"/>
          <w:color w:val="auto"/>
        </w:rPr>
      </w:pPr>
    </w:p>
    <w:p>
      <w:pPr>
        <w:ind w:left="620" w:hanging="617"/>
        <w:spacing w:after="0"/>
        <w:tabs>
          <w:tab w:leader="none" w:pos="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Furnished with this annual report on Form 20-F</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ind w:right="100" w:firstLine="617"/>
        <w:spacing w:after="0" w:line="278"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gridSpan w:val="4"/>
          </w:tcPr>
          <w:p>
            <w:pPr>
              <w:ind w:left="1320"/>
              <w:spacing w:after="0"/>
              <w:rPr>
                <w:sz w:val="20"/>
                <w:szCs w:val="20"/>
                <w:color w:val="auto"/>
              </w:rPr>
            </w:pPr>
            <w:r>
              <w:rPr>
                <w:rFonts w:ascii="Arial" w:cs="Arial" w:eastAsia="Arial" w:hAnsi="Arial"/>
                <w:sz w:val="17"/>
                <w:szCs w:val="17"/>
                <w:b w:val="1"/>
                <w:bCs w:val="1"/>
                <w:color w:val="auto"/>
              </w:rPr>
              <w:t>NETEASE, INC.</w:t>
            </w:r>
          </w:p>
        </w:tc>
        <w:tc>
          <w:tcPr>
            <w:tcW w:w="3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2"/>
        </w:trPr>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ind w:left="1320"/>
              <w:spacing w:after="0"/>
              <w:rPr>
                <w:sz w:val="20"/>
                <w:szCs w:val="20"/>
                <w:color w:val="auto"/>
              </w:rPr>
            </w:pPr>
            <w:r>
              <w:rPr>
                <w:rFonts w:ascii="Arial" w:cs="Arial" w:eastAsia="Arial" w:hAnsi="Arial"/>
                <w:sz w:val="17"/>
                <w:szCs w:val="17"/>
                <w:color w:val="auto"/>
              </w:rPr>
              <w:t>By:</w:t>
            </w: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William Lei Ding</w:t>
            </w:r>
          </w:p>
        </w:tc>
        <w:tc>
          <w:tcPr>
            <w:tcW w:w="3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0" w:type="dxa"/>
            <w:vAlign w:val="bottom"/>
            <w:gridSpan w:val="3"/>
          </w:tcPr>
          <w:p>
            <w:pPr>
              <w:spacing w:after="0" w:line="187" w:lineRule="exact"/>
              <w:rPr>
                <w:sz w:val="20"/>
                <w:szCs w:val="20"/>
                <w:color w:val="auto"/>
              </w:rPr>
            </w:pPr>
            <w:r>
              <w:rPr>
                <w:rFonts w:ascii="Arial" w:cs="Arial" w:eastAsia="Arial" w:hAnsi="Arial"/>
                <w:sz w:val="17"/>
                <w:szCs w:val="17"/>
                <w:color w:val="auto"/>
              </w:rPr>
              <w:t>William Lei Ding</w:t>
            </w:r>
          </w:p>
        </w:tc>
        <w:tc>
          <w:tcPr>
            <w:tcW w:w="3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1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7"/>
                <w:szCs w:val="17"/>
                <w:color w:val="auto"/>
              </w:rPr>
              <w:t>Chief Executive Officer</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ind w:left="1320"/>
              <w:spacing w:after="0"/>
              <w:rPr>
                <w:sz w:val="20"/>
                <w:szCs w:val="20"/>
                <w:color w:val="auto"/>
              </w:rPr>
            </w:pPr>
            <w:r>
              <w:rPr>
                <w:rFonts w:ascii="Arial" w:cs="Arial" w:eastAsia="Arial" w:hAnsi="Arial"/>
                <w:sz w:val="17"/>
                <w:szCs w:val="17"/>
                <w:color w:val="auto"/>
              </w:rPr>
              <w:t>Date:</w:t>
            </w:r>
          </w:p>
        </w:tc>
        <w:tc>
          <w:tcPr>
            <w:tcW w:w="2000" w:type="dxa"/>
            <w:vAlign w:val="bottom"/>
            <w:gridSpan w:val="3"/>
          </w:tcPr>
          <w:p>
            <w:pPr>
              <w:spacing w:after="0"/>
              <w:rPr>
                <w:sz w:val="20"/>
                <w:szCs w:val="20"/>
                <w:color w:val="auto"/>
              </w:rPr>
            </w:pPr>
            <w:r>
              <w:rPr>
                <w:rFonts w:ascii="Arial" w:cs="Arial" w:eastAsia="Arial" w:hAnsi="Arial"/>
                <w:sz w:val="17"/>
                <w:szCs w:val="17"/>
                <w:color w:val="auto"/>
              </w:rPr>
              <w:t>April 21, 2017</w:t>
            </w: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6380" w:type="dxa"/>
            <w:vAlign w:val="bottom"/>
            <w:gridSpan w:val="6"/>
          </w:tcPr>
          <w:p>
            <w:pPr>
              <w:ind w:left="558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12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51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9"/>
        </w:trPr>
        <w:tc>
          <w:tcPr>
            <w:tcW w:w="6380" w:type="dxa"/>
            <w:vAlign w:val="bottom"/>
            <w:gridSpan w:val="6"/>
          </w:tcPr>
          <w:p>
            <w:pPr>
              <w:spacing w:after="0"/>
              <w:rPr>
                <w:sz w:val="20"/>
                <w:szCs w:val="20"/>
                <w:color w:val="auto"/>
              </w:rPr>
            </w:pPr>
            <w:r>
              <w:rPr>
                <w:rFonts w:ascii="Arial" w:cs="Arial" w:eastAsia="Arial" w:hAnsi="Arial"/>
                <w:sz w:val="17"/>
                <w:szCs w:val="17"/>
                <w:b w:val="1"/>
                <w:bCs w:val="1"/>
                <w:color w:val="auto"/>
              </w:rPr>
              <w:t>NETEASE, INC.</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4"/>
        </w:trPr>
        <w:tc>
          <w:tcPr>
            <w:tcW w:w="444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81">
              <w:r>
                <w:rPr>
                  <w:rFonts w:ascii="Arial" w:cs="Arial" w:eastAsia="Arial" w:hAnsi="Arial"/>
                  <w:sz w:val="17"/>
                  <w:szCs w:val="17"/>
                  <w:color w:val="0000EE"/>
                  <w:w w:val="92"/>
                </w:rPr>
                <w:t>Management’s report on internal control over financial reporting</w:t>
              </w:r>
            </w:hyperlink>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F-1</w:t>
            </w:r>
          </w:p>
        </w:tc>
      </w:tr>
      <w:tr>
        <w:trPr>
          <w:trHeight w:val="392"/>
        </w:trPr>
        <w:tc>
          <w:tcPr>
            <w:tcW w:w="3860" w:type="dxa"/>
            <w:vAlign w:val="bottom"/>
            <w:tcBorders>
              <w:bottom w:val="single" w:sz="8" w:color="0000EE"/>
            </w:tcBorders>
            <w:gridSpan w:val="3"/>
          </w:tcPr>
          <w:p>
            <w:pPr>
              <w:spacing w:after="0"/>
              <w:rPr>
                <w:rFonts w:ascii="Arial" w:cs="Arial" w:eastAsia="Arial" w:hAnsi="Arial"/>
                <w:sz w:val="17"/>
                <w:szCs w:val="17"/>
                <w:color w:val="0000EE"/>
                <w:w w:val="91"/>
              </w:rPr>
            </w:pPr>
            <w:hyperlink w:anchor="page81">
              <w:r>
                <w:rPr>
                  <w:rFonts w:ascii="Arial" w:cs="Arial" w:eastAsia="Arial" w:hAnsi="Arial"/>
                  <w:sz w:val="17"/>
                  <w:szCs w:val="17"/>
                  <w:color w:val="0000EE"/>
                  <w:w w:val="91"/>
                </w:rPr>
                <w:t>Report of independent registered public accounting firm</w:t>
              </w:r>
            </w:hyperlink>
          </w:p>
        </w:tc>
        <w:tc>
          <w:tcPr>
            <w:tcW w:w="2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F-2</w:t>
            </w:r>
          </w:p>
        </w:tc>
      </w:tr>
      <w:tr>
        <w:trPr>
          <w:trHeight w:val="392"/>
        </w:trPr>
        <w:tc>
          <w:tcPr>
            <w:tcW w:w="6380" w:type="dxa"/>
            <w:vAlign w:val="bottom"/>
            <w:gridSpan w:val="6"/>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Consolidated balance sheets at December 31, 2015 and 2016</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F-3</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92"/>
        </w:trPr>
        <w:tc>
          <w:tcPr>
            <w:tcW w:w="838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82">
              <w:r>
                <w:rPr>
                  <w:rFonts w:ascii="Arial" w:cs="Arial" w:eastAsia="Arial" w:hAnsi="Arial"/>
                  <w:sz w:val="17"/>
                  <w:szCs w:val="17"/>
                  <w:color w:val="0000EE"/>
                  <w:w w:val="89"/>
                </w:rPr>
                <w:t>Consolidated statements of operations and comprehensive income for the years ended December 31, 2014, 2015 and 2016</w:t>
              </w:r>
            </w:hyperlink>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F-4</w:t>
            </w:r>
          </w:p>
        </w:tc>
      </w:tr>
      <w:tr>
        <w:trPr>
          <w:trHeight w:val="392"/>
        </w:trPr>
        <w:tc>
          <w:tcPr>
            <w:tcW w:w="8380" w:type="dxa"/>
            <w:vAlign w:val="bottom"/>
            <w:gridSpan w:val="9"/>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Consolidated statements of shareholders’ equity for the years ended December 31, 2014, 2015 and 2016</w:t>
              </w:r>
            </w:hyperlink>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F-5</w:t>
            </w:r>
          </w:p>
        </w:tc>
      </w:tr>
      <w:tr>
        <w:trPr>
          <w:trHeight w:val="392"/>
        </w:trPr>
        <w:tc>
          <w:tcPr>
            <w:tcW w:w="7140" w:type="dxa"/>
            <w:vAlign w:val="bottom"/>
            <w:tcBorders>
              <w:top w:val="single" w:sz="8" w:color="0000EE"/>
            </w:tcBorders>
            <w:gridSpan w:val="8"/>
          </w:tcPr>
          <w:p>
            <w:pPr>
              <w:spacing w:after="0"/>
              <w:rPr>
                <w:rFonts w:ascii="Arial" w:cs="Arial" w:eastAsia="Arial" w:hAnsi="Arial"/>
                <w:sz w:val="17"/>
                <w:szCs w:val="17"/>
                <w:color w:val="0000EE"/>
                <w:w w:val="99"/>
              </w:rPr>
            </w:pPr>
            <w:hyperlink w:anchor="page84">
              <w:r>
                <w:rPr>
                  <w:rFonts w:ascii="Arial" w:cs="Arial" w:eastAsia="Arial" w:hAnsi="Arial"/>
                  <w:sz w:val="17"/>
                  <w:szCs w:val="17"/>
                  <w:color w:val="0000EE"/>
                  <w:w w:val="99"/>
                </w:rPr>
                <w:t>Consolidated statements of cash flows for the years ended December 31, 2014, 2015 and 2016</w:t>
              </w:r>
            </w:hyperlink>
          </w:p>
        </w:tc>
        <w:tc>
          <w:tcPr>
            <w:tcW w:w="124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F-6</w:t>
            </w:r>
          </w:p>
        </w:tc>
      </w:tr>
      <w:tr>
        <w:trPr>
          <w:trHeight w:val="392"/>
        </w:trPr>
        <w:tc>
          <w:tcPr>
            <w:tcW w:w="6380" w:type="dxa"/>
            <w:vAlign w:val="bottom"/>
            <w:tcBorders>
              <w:top w:val="single" w:sz="8" w:color="0000EE"/>
            </w:tcBorders>
            <w:gridSpan w:val="6"/>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Notes to the consolidated financial statements</w:t>
              </w:r>
            </w:hyperlink>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7"/>
                <w:szCs w:val="17"/>
                <w:color w:val="auto"/>
              </w:rPr>
              <w:t>F-7</w:t>
            </w:r>
          </w:p>
        </w:tc>
      </w:tr>
      <w:tr>
        <w:trPr>
          <w:trHeight w:val="349"/>
        </w:trPr>
        <w:tc>
          <w:tcPr>
            <w:tcW w:w="1220" w:type="dxa"/>
            <w:vAlign w:val="bottom"/>
            <w:tcBorders>
              <w:top w:val="single" w:sz="8" w:color="0000EE"/>
              <w:bottom w:val="single" w:sz="8" w:color="808080"/>
            </w:tcBorders>
          </w:tcPr>
          <w:p>
            <w:pPr>
              <w:spacing w:after="0"/>
              <w:rPr>
                <w:sz w:val="24"/>
                <w:szCs w:val="24"/>
                <w:color w:val="auto"/>
              </w:rPr>
            </w:pPr>
          </w:p>
        </w:tc>
        <w:tc>
          <w:tcPr>
            <w:tcW w:w="1920" w:type="dxa"/>
            <w:vAlign w:val="bottom"/>
            <w:tcBorders>
              <w:top w:val="single" w:sz="8" w:color="0000EE"/>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-2682875</wp:posOffset>
            </wp:positionV>
            <wp:extent cx="12700"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-2682875</wp:posOffset>
            </wp:positionV>
            <wp:extent cx="12700"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59" w:orient="portrait"/>
          <w:cols w:equalWidth="0" w:num="1">
            <w:col w:w="11460"/>
          </w:cols>
          <w:pgMar w:left="240" w:top="333" w:right="199" w:bottom="0" w:gutter="0" w:footer="0" w:header="0"/>
        </w:sectPr>
      </w:pPr>
    </w:p>
    <w:bookmarkStart w:id="80" w:name="page81"/>
    <w:bookmarkEnd w:id="80"/>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22"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6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2016. In making this assessment, the Company’s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concluded that, as of the end of the Company’s most recent fiscal year, December 31, 2016, the Company’s internal control over financial reporting is effective based on those criteria.</w:t>
      </w:r>
    </w:p>
    <w:p>
      <w:pPr>
        <w:spacing w:after="0" w:line="180"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PricewaterhouseCoopers Zhong Tian LLP, the Company’s independent registered public accounting firm, has audited the effectiveness of the Company’s internal control over financial reporting as of December 31, 2016, as stated in their report, which is included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Shareholders of NetEase, Inc.</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In our opinion, the accompanying consolidated balance sheets and the related consolidated statements of operations and comprehensive income, of shareholders’ equity and of cash flows present fairly, in all material respects, the financial position of NetEase, Inc. (“the Company”)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Internal Control—Integrated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Zhong Tian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Zhong Tian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Beijing, the People’s Republic of China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21,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per share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66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4"/>
                <w:szCs w:val="14"/>
                <w:color w:val="auto"/>
              </w:rPr>
            </w:pPr>
          </w:p>
        </w:tc>
      </w:tr>
      <w:tr>
        <w:trPr>
          <w:trHeight w:val="184"/>
        </w:trPr>
        <w:tc>
          <w:tcPr>
            <w:tcW w:w="6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2(n)</w:t>
            </w:r>
          </w:p>
        </w:tc>
      </w:tr>
      <w:tr>
        <w:trPr>
          <w:trHeight w:val="186"/>
        </w:trPr>
        <w:tc>
          <w:tcPr>
            <w:tcW w:w="6640" w:type="dxa"/>
            <w:vAlign w:val="bottom"/>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Assets</w:t>
            </w: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0"/>
        </w:trPr>
        <w:tc>
          <w:tcPr>
            <w:tcW w:w="6640" w:type="dxa"/>
            <w:vAlign w:val="bottom"/>
          </w:tcPr>
          <w:p>
            <w:pPr>
              <w:spacing w:after="0" w:line="180" w:lineRule="exact"/>
              <w:rPr>
                <w:sz w:val="20"/>
                <w:szCs w:val="20"/>
                <w:color w:val="auto"/>
              </w:rPr>
            </w:pPr>
            <w:r>
              <w:rPr>
                <w:rFonts w:ascii="Arial" w:cs="Arial" w:eastAsia="Arial" w:hAnsi="Arial"/>
                <w:sz w:val="17"/>
                <w:szCs w:val="17"/>
                <w:color w:val="auto"/>
              </w:rPr>
              <w:t>Current assets:</w:t>
            </w: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line="180" w:lineRule="exact"/>
              <w:rPr>
                <w:sz w:val="20"/>
                <w:szCs w:val="20"/>
                <w:color w:val="auto"/>
              </w:rPr>
            </w:pPr>
            <w:r>
              <w:rPr>
                <w:rFonts w:ascii="Arial" w:cs="Arial" w:eastAsia="Arial" w:hAnsi="Arial"/>
                <w:sz w:val="17"/>
                <w:szCs w:val="17"/>
                <w:color w:val="auto"/>
              </w:rPr>
              <w:t>Cash and cash equivalents</w:t>
            </w:r>
          </w:p>
        </w:tc>
        <w:tc>
          <w:tcPr>
            <w:tcW w:w="13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6,071,487</w:t>
            </w:r>
          </w:p>
        </w:tc>
        <w:tc>
          <w:tcPr>
            <w:tcW w:w="3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80"/>
              <w:spacing w:after="0" w:line="180" w:lineRule="exact"/>
              <w:rPr>
                <w:sz w:val="20"/>
                <w:szCs w:val="20"/>
                <w:color w:val="auto"/>
              </w:rPr>
            </w:pPr>
            <w:r>
              <w:rPr>
                <w:rFonts w:ascii="Arial" w:cs="Arial" w:eastAsia="Arial" w:hAnsi="Arial"/>
                <w:sz w:val="17"/>
                <w:szCs w:val="17"/>
                <w:color w:val="auto"/>
              </w:rPr>
              <w:t>5,439,499</w:t>
            </w:r>
          </w:p>
        </w:tc>
        <w:tc>
          <w:tcPr>
            <w:tcW w:w="146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783,451</w:t>
            </w:r>
          </w:p>
        </w:tc>
      </w:tr>
      <w:tr>
        <w:trPr>
          <w:trHeight w:val="180"/>
        </w:trPr>
        <w:tc>
          <w:tcPr>
            <w:tcW w:w="6640" w:type="dxa"/>
            <w:vAlign w:val="bottom"/>
          </w:tcPr>
          <w:p>
            <w:pPr>
              <w:ind w:left="180"/>
              <w:spacing w:after="0" w:line="180" w:lineRule="exact"/>
              <w:rPr>
                <w:sz w:val="20"/>
                <w:szCs w:val="20"/>
                <w:color w:val="auto"/>
              </w:rPr>
            </w:pPr>
            <w:r>
              <w:rPr>
                <w:rFonts w:ascii="Arial" w:cs="Arial" w:eastAsia="Arial" w:hAnsi="Arial"/>
                <w:sz w:val="17"/>
                <w:szCs w:val="17"/>
                <w:color w:val="auto"/>
              </w:rPr>
              <w:t>Time deposits</w:t>
            </w:r>
          </w:p>
        </w:tc>
        <w:tc>
          <w:tcPr>
            <w:tcW w:w="168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14,593,291</w:t>
            </w:r>
          </w:p>
        </w:tc>
        <w:tc>
          <w:tcPr>
            <w:tcW w:w="1640" w:type="dxa"/>
            <w:vAlign w:val="bottom"/>
            <w:gridSpan w:val="2"/>
          </w:tcPr>
          <w:p>
            <w:pPr>
              <w:jc w:val="right"/>
              <w:ind w:right="280"/>
              <w:spacing w:after="0" w:line="180" w:lineRule="exact"/>
              <w:rPr>
                <w:sz w:val="20"/>
                <w:szCs w:val="20"/>
                <w:color w:val="auto"/>
              </w:rPr>
            </w:pPr>
            <w:r>
              <w:rPr>
                <w:rFonts w:ascii="Arial" w:cs="Arial" w:eastAsia="Arial" w:hAnsi="Arial"/>
                <w:sz w:val="17"/>
                <w:szCs w:val="17"/>
                <w:color w:val="auto"/>
              </w:rPr>
              <w:t>19,361,098</w:t>
            </w:r>
          </w:p>
        </w:tc>
        <w:tc>
          <w:tcPr>
            <w:tcW w:w="14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2,788,578</w:t>
            </w:r>
          </w:p>
        </w:tc>
      </w:tr>
      <w:tr>
        <w:trPr>
          <w:trHeight w:val="180"/>
        </w:trPr>
        <w:tc>
          <w:tcPr>
            <w:tcW w:w="6640" w:type="dxa"/>
            <w:vAlign w:val="bottom"/>
            <w:shd w:val="clear" w:color="auto" w:fill="CCEEFF"/>
          </w:tcPr>
          <w:p>
            <w:pPr>
              <w:ind w:left="180"/>
              <w:spacing w:after="0" w:line="180" w:lineRule="exact"/>
              <w:rPr>
                <w:sz w:val="20"/>
                <w:szCs w:val="20"/>
                <w:color w:val="auto"/>
              </w:rPr>
            </w:pPr>
            <w:r>
              <w:rPr>
                <w:rFonts w:ascii="Arial" w:cs="Arial" w:eastAsia="Arial" w:hAnsi="Arial"/>
                <w:sz w:val="17"/>
                <w:szCs w:val="17"/>
                <w:color w:val="auto"/>
              </w:rPr>
              <w:t>Restricted cash</w:t>
            </w:r>
          </w:p>
        </w:tc>
        <w:tc>
          <w:tcPr>
            <w:tcW w:w="13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2,192,634</w:t>
            </w:r>
          </w:p>
        </w:tc>
        <w:tc>
          <w:tcPr>
            <w:tcW w:w="3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80"/>
              <w:spacing w:after="0" w:line="180" w:lineRule="exact"/>
              <w:rPr>
                <w:sz w:val="20"/>
                <w:szCs w:val="20"/>
                <w:color w:val="auto"/>
              </w:rPr>
            </w:pPr>
            <w:r>
              <w:rPr>
                <w:rFonts w:ascii="Arial" w:cs="Arial" w:eastAsia="Arial" w:hAnsi="Arial"/>
                <w:sz w:val="17"/>
                <w:szCs w:val="17"/>
                <w:color w:val="auto"/>
              </w:rPr>
              <w:t>3,473,273</w:t>
            </w:r>
          </w:p>
        </w:tc>
        <w:tc>
          <w:tcPr>
            <w:tcW w:w="146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500,255</w:t>
            </w:r>
          </w:p>
        </w:tc>
      </w:tr>
    </w:tbl>
    <w:p>
      <w:pPr>
        <w:sectPr>
          <w:pgSz w:w="11900" w:h="16894" w:orient="portrait"/>
          <w:cols w:equalWidth="0" w:num="1">
            <w:col w:w="11420"/>
          </w:cols>
          <w:pgMar w:left="240" w:top="327" w:right="239" w:bottom="0" w:gutter="0" w:footer="0" w:header="0"/>
        </w:sectPr>
      </w:pPr>
    </w:p>
    <w:bookmarkStart w:id="81" w:name="page82"/>
    <w:bookmarkEnd w:id="8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gridSpan w:val="3"/>
          </w:tcPr>
          <w:p>
            <w:pPr>
              <w:ind w:left="180"/>
              <w:spacing w:after="0"/>
              <w:rPr>
                <w:sz w:val="20"/>
                <w:szCs w:val="20"/>
                <w:color w:val="auto"/>
              </w:rPr>
            </w:pPr>
            <w:r>
              <w:rPr>
                <w:rFonts w:ascii="Arial" w:cs="Arial" w:eastAsia="Arial" w:hAnsi="Arial"/>
                <w:sz w:val="17"/>
                <w:szCs w:val="17"/>
                <w:color w:val="auto"/>
              </w:rPr>
              <w:t>Accounts receivable, net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2,614,149</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4,251,297</w:t>
            </w:r>
          </w:p>
        </w:tc>
        <w:tc>
          <w:tcPr>
            <w:tcW w:w="100" w:type="dxa"/>
            <w:vAlign w:val="bottom"/>
          </w:tcPr>
          <w:p>
            <w:pPr>
              <w:spacing w:after="0"/>
              <w:rPr>
                <w:sz w:val="17"/>
                <w:szCs w:val="17"/>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612,314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Inventories, net</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817,765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1,578,130</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227,298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Prepayments and other current assets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2,695,510</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3,697,952</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532,616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Short-term investments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5,013,499</w:t>
            </w: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11,582,116</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1,668,172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Deferred tax assets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410,589</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536,339</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77,249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top w:val="single" w:sz="8" w:color="CCEEFF"/>
            </w:tcBorders>
            <w:gridSpan w:val="3"/>
            <w:shd w:val="clear" w:color="auto" w:fill="CCEEFF"/>
          </w:tcPr>
          <w:p>
            <w:pPr>
              <w:ind w:left="340"/>
              <w:spacing w:after="0" w:line="173" w:lineRule="exact"/>
              <w:rPr>
                <w:sz w:val="20"/>
                <w:szCs w:val="20"/>
                <w:color w:val="auto"/>
              </w:rPr>
            </w:pPr>
            <w:r>
              <w:rPr>
                <w:rFonts w:ascii="Arial" w:cs="Arial" w:eastAsia="Arial" w:hAnsi="Arial"/>
                <w:sz w:val="17"/>
                <w:szCs w:val="17"/>
                <w:color w:val="auto"/>
              </w:rPr>
              <w:t>Total current assets</w:t>
            </w:r>
          </w:p>
        </w:tc>
        <w:tc>
          <w:tcPr>
            <w:tcW w:w="5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34,408,924</w:t>
            </w: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49,919,704</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7"/>
                <w:szCs w:val="17"/>
                <w:color w:val="auto"/>
              </w:rPr>
              <w:t>7,189,933</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Non-current assets: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Property, equipment and software, net</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2,092,046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2,419,510</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348,482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Land use right, net</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238,878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588,887</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84,817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Deferred tax assets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24,685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23,984</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3,455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Time deposits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1,110,000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550,000</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79,217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Restricted cash</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1,200,000</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2,060,000</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296,702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Long-term investments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1,764,652</w:t>
            </w: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1,970,027</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283,743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Other long-term assets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318,245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499,748</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71,979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top w:val="single" w:sz="8" w:color="CCEEFF"/>
            </w:tcBorders>
            <w:gridSpan w:val="3"/>
            <w:shd w:val="clear" w:color="auto" w:fill="CCEEFF"/>
          </w:tcPr>
          <w:p>
            <w:pPr>
              <w:ind w:left="340"/>
              <w:spacing w:after="0" w:line="173" w:lineRule="exact"/>
              <w:rPr>
                <w:sz w:val="20"/>
                <w:szCs w:val="20"/>
                <w:color w:val="auto"/>
              </w:rPr>
            </w:pPr>
            <w:r>
              <w:rPr>
                <w:rFonts w:ascii="Arial" w:cs="Arial" w:eastAsia="Arial" w:hAnsi="Arial"/>
                <w:sz w:val="17"/>
                <w:szCs w:val="17"/>
                <w:color w:val="auto"/>
              </w:rPr>
              <w:t>Total non-current assets</w:t>
            </w:r>
          </w:p>
        </w:tc>
        <w:tc>
          <w:tcPr>
            <w:tcW w:w="5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6,748,506</w:t>
            </w: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8,112,156</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7"/>
                <w:szCs w:val="17"/>
                <w:color w:val="auto"/>
              </w:rPr>
              <w:t>1,168,395</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Total assets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41,157,430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58,031,860</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8,358,328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Liabilities and Shareholders’ Equity</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Current liabilities: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00" w:type="dxa"/>
            <w:vAlign w:val="bottom"/>
            <w:gridSpan w:val="6"/>
            <w:shd w:val="clear" w:color="auto" w:fill="CCEEFF"/>
          </w:tcPr>
          <w:p>
            <w:pPr>
              <w:ind w:left="180"/>
              <w:spacing w:after="0" w:line="155" w:lineRule="exact"/>
              <w:rPr>
                <w:sz w:val="20"/>
                <w:szCs w:val="20"/>
                <w:color w:val="auto"/>
              </w:rPr>
            </w:pPr>
            <w:r>
              <w:rPr>
                <w:rFonts w:ascii="Arial" w:cs="Arial" w:eastAsia="Arial" w:hAnsi="Arial"/>
                <w:sz w:val="17"/>
                <w:szCs w:val="17"/>
                <w:color w:val="auto"/>
              </w:rPr>
              <w:t>Accounts payable (including accounts payable of the consolidated VIEs without recourse</w:t>
            </w: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340"/>
              <w:spacing w:after="0" w:line="180" w:lineRule="exact"/>
              <w:rPr>
                <w:sz w:val="20"/>
                <w:szCs w:val="20"/>
                <w:color w:val="auto"/>
              </w:rPr>
            </w:pPr>
            <w:r>
              <w:rPr>
                <w:rFonts w:ascii="Arial" w:cs="Arial" w:eastAsia="Arial" w:hAnsi="Arial"/>
                <w:sz w:val="17"/>
                <w:szCs w:val="17"/>
                <w:color w:val="auto"/>
                <w:w w:val="92"/>
              </w:rPr>
              <w:t>to the primary beneficiaries of RMB515,552 and RMB917,264 as of December 31,</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2015 and 2016, respectively)</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700,600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1,396,187</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201,093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100" w:type="dxa"/>
            <w:vAlign w:val="bottom"/>
            <w:gridSpan w:val="6"/>
          </w:tcPr>
          <w:p>
            <w:pPr>
              <w:ind w:left="180"/>
              <w:spacing w:after="0" w:line="155" w:lineRule="exact"/>
              <w:rPr>
                <w:sz w:val="20"/>
                <w:szCs w:val="20"/>
                <w:color w:val="auto"/>
              </w:rPr>
            </w:pPr>
            <w:r>
              <w:rPr>
                <w:rFonts w:ascii="Arial" w:cs="Arial" w:eastAsia="Arial" w:hAnsi="Arial"/>
                <w:sz w:val="17"/>
                <w:szCs w:val="17"/>
                <w:color w:val="auto"/>
              </w:rPr>
              <w:t>Salary and welfare payables (including salary and welfare payables of the consolidated</w:t>
            </w: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6"/>
          </w:tcPr>
          <w:p>
            <w:pPr>
              <w:ind w:left="340"/>
              <w:spacing w:after="0" w:line="180" w:lineRule="exact"/>
              <w:rPr>
                <w:sz w:val="20"/>
                <w:szCs w:val="20"/>
                <w:color w:val="auto"/>
              </w:rPr>
            </w:pPr>
            <w:r>
              <w:rPr>
                <w:rFonts w:ascii="Arial" w:cs="Arial" w:eastAsia="Arial" w:hAnsi="Arial"/>
                <w:sz w:val="17"/>
                <w:szCs w:val="17"/>
                <w:color w:val="auto"/>
              </w:rPr>
              <w:t>VIEs without recourse to the primary beneficiaries of RMB82,616 and RMB89,578 as</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gridSpan w:val="3"/>
          </w:tcPr>
          <w:p>
            <w:pPr>
              <w:ind w:left="340"/>
              <w:spacing w:after="0"/>
              <w:rPr>
                <w:sz w:val="20"/>
                <w:szCs w:val="20"/>
                <w:color w:val="auto"/>
              </w:rPr>
            </w:pPr>
            <w:r>
              <w:rPr>
                <w:rFonts w:ascii="Arial" w:cs="Arial" w:eastAsia="Arial" w:hAnsi="Arial"/>
                <w:sz w:val="17"/>
                <w:szCs w:val="17"/>
                <w:color w:val="auto"/>
              </w:rPr>
              <w:t>of December 31, 2015 and 2016, respectively)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920,982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1,491,448</w:t>
            </w:r>
          </w:p>
        </w:tc>
        <w:tc>
          <w:tcPr>
            <w:tcW w:w="100" w:type="dxa"/>
            <w:vAlign w:val="bottom"/>
          </w:tcPr>
          <w:p>
            <w:pPr>
              <w:spacing w:after="0"/>
              <w:rPr>
                <w:sz w:val="17"/>
                <w:szCs w:val="17"/>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214,813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100" w:type="dxa"/>
            <w:vAlign w:val="bottom"/>
            <w:gridSpan w:val="6"/>
            <w:shd w:val="clear" w:color="auto" w:fill="CCEEFF"/>
          </w:tcPr>
          <w:p>
            <w:pPr>
              <w:ind w:left="180"/>
              <w:spacing w:after="0" w:line="155" w:lineRule="exact"/>
              <w:rPr>
                <w:sz w:val="20"/>
                <w:szCs w:val="20"/>
                <w:color w:val="auto"/>
              </w:rPr>
            </w:pPr>
            <w:r>
              <w:rPr>
                <w:rFonts w:ascii="Arial" w:cs="Arial" w:eastAsia="Arial" w:hAnsi="Arial"/>
                <w:sz w:val="17"/>
                <w:szCs w:val="17"/>
                <w:color w:val="auto"/>
              </w:rPr>
              <w:t>Taxes payable (including taxes payable of the consolidated VIEs without recourse to the</w:t>
            </w: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6"/>
            <w:shd w:val="clear" w:color="auto" w:fill="CCEEFF"/>
          </w:tcPr>
          <w:p>
            <w:pPr>
              <w:ind w:left="340"/>
              <w:spacing w:after="0" w:line="180" w:lineRule="exact"/>
              <w:rPr>
                <w:sz w:val="20"/>
                <w:szCs w:val="20"/>
                <w:color w:val="auto"/>
              </w:rPr>
            </w:pPr>
            <w:r>
              <w:rPr>
                <w:rFonts w:ascii="Arial" w:cs="Arial" w:eastAsia="Arial" w:hAnsi="Arial"/>
                <w:sz w:val="17"/>
                <w:szCs w:val="17"/>
                <w:color w:val="auto"/>
              </w:rPr>
              <w:t>primary beneficiaries of RMB43,475 and RMB43,309 as of December 31, 2015 and</w:t>
            </w: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2016, respectively)</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736,214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1,722,501</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248,092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Short-term loans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2,272,760</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3,815,691</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549,574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00" w:type="dxa"/>
            <w:vAlign w:val="bottom"/>
            <w:gridSpan w:val="6"/>
            <w:shd w:val="clear" w:color="auto" w:fill="CCEEFF"/>
          </w:tcPr>
          <w:p>
            <w:pPr>
              <w:ind w:left="180"/>
              <w:spacing w:after="0" w:line="155" w:lineRule="exact"/>
              <w:rPr>
                <w:sz w:val="20"/>
                <w:szCs w:val="20"/>
                <w:color w:val="auto"/>
              </w:rPr>
            </w:pPr>
            <w:r>
              <w:rPr>
                <w:rFonts w:ascii="Arial" w:cs="Arial" w:eastAsia="Arial" w:hAnsi="Arial"/>
                <w:sz w:val="17"/>
                <w:szCs w:val="17"/>
                <w:color w:val="auto"/>
              </w:rPr>
              <w:t>Deferred revenue (including deferred revenue of the consolidated VIEs without recourse</w:t>
            </w: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6"/>
            <w:shd w:val="clear" w:color="auto" w:fill="CCEEFF"/>
          </w:tcPr>
          <w:p>
            <w:pPr>
              <w:ind w:left="340"/>
              <w:spacing w:after="0" w:line="180" w:lineRule="exact"/>
              <w:rPr>
                <w:sz w:val="20"/>
                <w:szCs w:val="20"/>
                <w:color w:val="auto"/>
              </w:rPr>
            </w:pPr>
            <w:r>
              <w:rPr>
                <w:rFonts w:ascii="Arial" w:cs="Arial" w:eastAsia="Arial" w:hAnsi="Arial"/>
                <w:sz w:val="17"/>
                <w:szCs w:val="17"/>
                <w:color w:val="auto"/>
              </w:rPr>
              <w:t>to the primary beneficiaries of RMB4,439,238 and RMB7,223,764 as of December 31,</w:t>
            </w: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2015 and 2016, respectively)</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4,651,750</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7,531,238</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1,084,724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100" w:type="dxa"/>
            <w:vAlign w:val="bottom"/>
            <w:gridSpan w:val="6"/>
          </w:tcPr>
          <w:p>
            <w:pPr>
              <w:ind w:left="180"/>
              <w:spacing w:after="0" w:line="155" w:lineRule="exact"/>
              <w:rPr>
                <w:sz w:val="20"/>
                <w:szCs w:val="20"/>
                <w:color w:val="auto"/>
              </w:rPr>
            </w:pPr>
            <w:r>
              <w:rPr>
                <w:rFonts w:ascii="Arial" w:cs="Arial" w:eastAsia="Arial" w:hAnsi="Arial"/>
                <w:sz w:val="17"/>
                <w:szCs w:val="17"/>
                <w:color w:val="auto"/>
              </w:rPr>
              <w:t>Accrued liabilities and other payables (including accrued liabilities and other payables of</w:t>
            </w: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6"/>
          </w:tcPr>
          <w:p>
            <w:pPr>
              <w:ind w:left="340"/>
              <w:spacing w:after="0" w:line="180" w:lineRule="exact"/>
              <w:rPr>
                <w:sz w:val="20"/>
                <w:szCs w:val="20"/>
                <w:color w:val="auto"/>
              </w:rPr>
            </w:pPr>
            <w:r>
              <w:rPr>
                <w:rFonts w:ascii="Arial" w:cs="Arial" w:eastAsia="Arial" w:hAnsi="Arial"/>
                <w:sz w:val="17"/>
                <w:szCs w:val="17"/>
                <w:color w:val="auto"/>
              </w:rPr>
              <w:t>the consolidated VIEs without recourse to the primary beneficiaries of RMB1,093,939</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gridSpan w:val="3"/>
          </w:tcPr>
          <w:p>
            <w:pPr>
              <w:ind w:left="340"/>
              <w:spacing w:after="0"/>
              <w:rPr>
                <w:sz w:val="20"/>
                <w:szCs w:val="20"/>
                <w:color w:val="auto"/>
              </w:rPr>
            </w:pPr>
            <w:r>
              <w:rPr>
                <w:rFonts w:ascii="Arial" w:cs="Arial" w:eastAsia="Arial" w:hAnsi="Arial"/>
                <w:sz w:val="17"/>
                <w:szCs w:val="17"/>
                <w:color w:val="auto"/>
              </w:rPr>
              <w:t>and RMB1,697,195 as of December 31, 2015 and 2016, respectively)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2,218,330</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3,219,419</w:t>
            </w:r>
          </w:p>
        </w:tc>
        <w:tc>
          <w:tcPr>
            <w:tcW w:w="100" w:type="dxa"/>
            <w:vAlign w:val="bottom"/>
          </w:tcPr>
          <w:p>
            <w:pPr>
              <w:spacing w:after="0"/>
              <w:rPr>
                <w:sz w:val="17"/>
                <w:szCs w:val="17"/>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463,693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Deferred tax liabilities</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166,787</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358,514</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51,637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gridSpan w:val="3"/>
          </w:tcPr>
          <w:p>
            <w:pPr>
              <w:ind w:left="340"/>
              <w:spacing w:after="0" w:line="173" w:lineRule="exact"/>
              <w:rPr>
                <w:sz w:val="20"/>
                <w:szCs w:val="20"/>
                <w:color w:val="auto"/>
              </w:rPr>
            </w:pPr>
            <w:r>
              <w:rPr>
                <w:rFonts w:ascii="Arial" w:cs="Arial" w:eastAsia="Arial" w:hAnsi="Arial"/>
                <w:sz w:val="17"/>
                <w:szCs w:val="17"/>
                <w:color w:val="auto"/>
              </w:rPr>
              <w:t>Total current liabilities</w:t>
            </w:r>
          </w:p>
        </w:tc>
        <w:tc>
          <w:tcPr>
            <w:tcW w:w="5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11,667,423</w:t>
            </w:r>
          </w:p>
        </w:tc>
        <w:tc>
          <w:tcPr>
            <w:tcW w:w="30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19,534,998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line="173" w:lineRule="exact"/>
              <w:rPr>
                <w:sz w:val="20"/>
                <w:szCs w:val="20"/>
                <w:color w:val="auto"/>
              </w:rPr>
            </w:pPr>
            <w:r>
              <w:rPr>
                <w:rFonts w:ascii="Arial" w:cs="Arial" w:eastAsia="Arial" w:hAnsi="Arial"/>
                <w:sz w:val="17"/>
                <w:szCs w:val="17"/>
                <w:color w:val="auto"/>
              </w:rPr>
              <w:t>2,813,626</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gridSpan w:val="3"/>
            <w:shd w:val="clear" w:color="auto" w:fill="CCEEFF"/>
          </w:tcPr>
          <w:p>
            <w:pPr>
              <w:spacing w:after="0" w:line="173" w:lineRule="exact"/>
              <w:rPr>
                <w:sz w:val="20"/>
                <w:szCs w:val="20"/>
                <w:color w:val="auto"/>
              </w:rPr>
            </w:pPr>
            <w:r>
              <w:rPr>
                <w:rFonts w:ascii="Arial" w:cs="Arial" w:eastAsia="Arial" w:hAnsi="Arial"/>
                <w:sz w:val="17"/>
                <w:szCs w:val="17"/>
                <w:color w:val="auto"/>
              </w:rPr>
              <w:t>Long-term payable:</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180"/>
              <w:spacing w:after="0" w:line="180" w:lineRule="exact"/>
              <w:rPr>
                <w:sz w:val="20"/>
                <w:szCs w:val="20"/>
                <w:color w:val="auto"/>
              </w:rPr>
            </w:pPr>
            <w:r>
              <w:rPr>
                <w:rFonts w:ascii="Arial" w:cs="Arial" w:eastAsia="Arial" w:hAnsi="Arial"/>
                <w:sz w:val="17"/>
                <w:szCs w:val="17"/>
                <w:color w:val="auto"/>
              </w:rPr>
              <w:t>Deferred tax liabilities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81,434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33,721</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4,857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180"/>
              <w:spacing w:after="0" w:line="180" w:lineRule="exact"/>
              <w:rPr>
                <w:sz w:val="20"/>
                <w:szCs w:val="20"/>
                <w:color w:val="auto"/>
              </w:rPr>
            </w:pPr>
            <w:r>
              <w:rPr>
                <w:rFonts w:ascii="Arial" w:cs="Arial" w:eastAsia="Arial" w:hAnsi="Arial"/>
                <w:sz w:val="17"/>
                <w:szCs w:val="17"/>
                <w:color w:val="auto"/>
              </w:rPr>
              <w:t>Other long-term payable</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84,974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gridSpan w:val="3"/>
          </w:tcPr>
          <w:p>
            <w:pPr>
              <w:spacing w:after="0" w:line="173" w:lineRule="exact"/>
              <w:rPr>
                <w:sz w:val="20"/>
                <w:szCs w:val="20"/>
                <w:color w:val="auto"/>
              </w:rPr>
            </w:pPr>
            <w:r>
              <w:rPr>
                <w:rFonts w:ascii="Arial" w:cs="Arial" w:eastAsia="Arial" w:hAnsi="Arial"/>
                <w:sz w:val="17"/>
                <w:szCs w:val="17"/>
                <w:color w:val="auto"/>
              </w:rPr>
              <w:t>Total liabilities</w:t>
            </w:r>
          </w:p>
        </w:tc>
        <w:tc>
          <w:tcPr>
            <w:tcW w:w="5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11,833,831</w:t>
            </w:r>
          </w:p>
        </w:tc>
        <w:tc>
          <w:tcPr>
            <w:tcW w:w="30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7"/>
                <w:szCs w:val="17"/>
                <w:color w:val="auto"/>
              </w:rPr>
              <w:t>19,568,919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line="173" w:lineRule="exact"/>
              <w:rPr>
                <w:sz w:val="20"/>
                <w:szCs w:val="20"/>
                <w:color w:val="auto"/>
              </w:rPr>
            </w:pPr>
            <w:r>
              <w:rPr>
                <w:rFonts w:ascii="Arial" w:cs="Arial" w:eastAsia="Arial" w:hAnsi="Arial"/>
                <w:sz w:val="17"/>
                <w:szCs w:val="17"/>
                <w:color w:val="auto"/>
              </w:rPr>
              <w:t>2,818,512</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20" w:type="dxa"/>
            <w:vAlign w:val="bottom"/>
            <w:shd w:val="clear" w:color="auto" w:fill="CCEEFF"/>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Commitments and contingencies (See Note 21)</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spacing w:after="0"/>
              <w:rPr>
                <w:sz w:val="15"/>
                <w:szCs w:val="15"/>
                <w:color w:val="auto"/>
              </w:rPr>
            </w:pPr>
          </w:p>
        </w:tc>
        <w:tc>
          <w:tcPr>
            <w:tcW w:w="4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Shareholders’ equity:</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Ordinary shares, US$0.0001 par value:</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060" w:type="dxa"/>
            <w:vAlign w:val="bottom"/>
            <w:gridSpan w:val="3"/>
          </w:tcPr>
          <w:p>
            <w:pPr>
              <w:ind w:left="180"/>
              <w:spacing w:after="0" w:line="155" w:lineRule="exact"/>
              <w:rPr>
                <w:sz w:val="20"/>
                <w:szCs w:val="20"/>
                <w:color w:val="auto"/>
              </w:rPr>
            </w:pPr>
            <w:r>
              <w:rPr>
                <w:rFonts w:ascii="Arial" w:cs="Arial" w:eastAsia="Arial" w:hAnsi="Arial"/>
                <w:sz w:val="17"/>
                <w:szCs w:val="17"/>
                <w:color w:val="auto"/>
                <w:w w:val="95"/>
              </w:rPr>
              <w:t>1,000,300,000 shares authorized, 3,286,932 shares issued and outstanding as of</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6"/>
          </w:tcPr>
          <w:p>
            <w:pPr>
              <w:ind w:left="340"/>
              <w:spacing w:after="0" w:line="180" w:lineRule="exact"/>
              <w:rPr>
                <w:sz w:val="20"/>
                <w:szCs w:val="20"/>
                <w:color w:val="auto"/>
              </w:rPr>
            </w:pPr>
            <w:r>
              <w:rPr>
                <w:rFonts w:ascii="Arial" w:cs="Arial" w:eastAsia="Arial" w:hAnsi="Arial"/>
                <w:sz w:val="17"/>
                <w:szCs w:val="17"/>
                <w:color w:val="auto"/>
              </w:rPr>
              <w:t>December 31, 2015 and 3,281,480 shares issued and outstanding as of December 31,</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340"/>
              <w:spacing w:after="0"/>
              <w:rPr>
                <w:sz w:val="20"/>
                <w:szCs w:val="20"/>
                <w:color w:val="auto"/>
              </w:rPr>
            </w:pPr>
            <w:r>
              <w:rPr>
                <w:rFonts w:ascii="Arial" w:cs="Arial" w:eastAsia="Arial" w:hAnsi="Arial"/>
                <w:sz w:val="17"/>
                <w:szCs w:val="17"/>
                <w:color w:val="auto"/>
              </w:rPr>
              <w:t>2016</w:t>
            </w: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2,685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2,676</w:t>
            </w:r>
          </w:p>
        </w:tc>
        <w:tc>
          <w:tcPr>
            <w:tcW w:w="100" w:type="dxa"/>
            <w:vAlign w:val="bottom"/>
          </w:tcPr>
          <w:p>
            <w:pPr>
              <w:spacing w:after="0"/>
              <w:rPr>
                <w:sz w:val="17"/>
                <w:szCs w:val="17"/>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385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Additional paid-in capital</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1,779,331</w:t>
            </w: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1,637,953</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235,914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Statutory reserves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Arial" w:cs="Arial" w:eastAsia="Arial" w:hAnsi="Arial"/>
                <w:sz w:val="17"/>
                <w:szCs w:val="17"/>
                <w:color w:val="auto"/>
              </w:rPr>
              <w:t>1,010,917</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1,160,161</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167,098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Accumulated other comprehensive income</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27,452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61,479</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8,855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Retained earnings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26,419,698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35,328,812</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5,088,408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top w:val="single" w:sz="8" w:color="CCEEFF"/>
            </w:tcBorders>
            <w:gridSpan w:val="3"/>
            <w:shd w:val="clear" w:color="auto" w:fill="CCEEFF"/>
          </w:tcPr>
          <w:p>
            <w:pPr>
              <w:spacing w:after="0" w:line="173" w:lineRule="exact"/>
              <w:rPr>
                <w:sz w:val="20"/>
                <w:szCs w:val="20"/>
                <w:color w:val="auto"/>
              </w:rPr>
            </w:pPr>
            <w:r>
              <w:rPr>
                <w:rFonts w:ascii="Arial" w:cs="Arial" w:eastAsia="Arial" w:hAnsi="Arial"/>
                <w:sz w:val="17"/>
                <w:szCs w:val="17"/>
                <w:color w:val="auto"/>
              </w:rPr>
              <w:t>NetEase, Inc’s shareholders’ equity</w:t>
            </w:r>
          </w:p>
        </w:tc>
        <w:tc>
          <w:tcPr>
            <w:tcW w:w="5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29,240,083</w:t>
            </w: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38,191,081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7"/>
                <w:szCs w:val="17"/>
                <w:color w:val="auto"/>
              </w:rPr>
              <w:t>5,500,660</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spacing w:after="0" w:line="180" w:lineRule="exact"/>
              <w:rPr>
                <w:sz w:val="20"/>
                <w:szCs w:val="20"/>
                <w:color w:val="auto"/>
              </w:rPr>
            </w:pPr>
            <w:r>
              <w:rPr>
                <w:rFonts w:ascii="Arial" w:cs="Arial" w:eastAsia="Arial" w:hAnsi="Arial"/>
                <w:sz w:val="17"/>
                <w:szCs w:val="17"/>
                <w:color w:val="auto"/>
              </w:rPr>
              <w:t>Noncontrolling interests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00"/>
              <w:spacing w:after="0" w:line="180" w:lineRule="exact"/>
              <w:rPr>
                <w:sz w:val="20"/>
                <w:szCs w:val="20"/>
                <w:color w:val="auto"/>
              </w:rPr>
            </w:pPr>
            <w:r>
              <w:rPr>
                <w:rFonts w:ascii="Arial" w:cs="Arial" w:eastAsia="Arial" w:hAnsi="Arial"/>
                <w:sz w:val="17"/>
                <w:szCs w:val="17"/>
                <w:color w:val="auto"/>
              </w:rPr>
              <w:t>83,516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271,860</w:t>
            </w:r>
          </w:p>
        </w:tc>
        <w:tc>
          <w:tcPr>
            <w:tcW w:w="100" w:type="dxa"/>
            <w:vAlign w:val="bottom"/>
          </w:tcPr>
          <w:p>
            <w:pPr>
              <w:spacing w:after="0"/>
              <w:rPr>
                <w:sz w:val="15"/>
                <w:szCs w:val="15"/>
                <w:color w:val="auto"/>
              </w:rPr>
            </w:pPr>
          </w:p>
        </w:tc>
        <w:tc>
          <w:tcPr>
            <w:tcW w:w="1460" w:type="dxa"/>
            <w:vAlign w:val="bottom"/>
            <w:gridSpan w:val="3"/>
          </w:tcPr>
          <w:p>
            <w:pPr>
              <w:jc w:val="right"/>
              <w:ind w:right="100"/>
              <w:spacing w:after="0" w:line="180" w:lineRule="exact"/>
              <w:rPr>
                <w:sz w:val="20"/>
                <w:szCs w:val="20"/>
                <w:color w:val="auto"/>
              </w:rPr>
            </w:pPr>
            <w:r>
              <w:rPr>
                <w:rFonts w:ascii="Arial" w:cs="Arial" w:eastAsia="Arial" w:hAnsi="Arial"/>
                <w:sz w:val="17"/>
                <w:szCs w:val="17"/>
                <w:color w:val="auto"/>
              </w:rPr>
              <w:t>39,156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60" w:type="dxa"/>
            <w:vAlign w:val="bottom"/>
            <w:tcBorders>
              <w:top w:val="single" w:sz="8" w:color="CCEEFF"/>
            </w:tcBorders>
            <w:gridSpan w:val="3"/>
            <w:shd w:val="clear" w:color="auto" w:fill="CCEEFF"/>
          </w:tcPr>
          <w:p>
            <w:pPr>
              <w:ind w:left="340"/>
              <w:spacing w:after="0" w:line="173" w:lineRule="exact"/>
              <w:rPr>
                <w:sz w:val="20"/>
                <w:szCs w:val="20"/>
                <w:color w:val="auto"/>
              </w:rPr>
            </w:pPr>
            <w:r>
              <w:rPr>
                <w:rFonts w:ascii="Arial" w:cs="Arial" w:eastAsia="Arial" w:hAnsi="Arial"/>
                <w:sz w:val="17"/>
                <w:szCs w:val="17"/>
                <w:color w:val="auto"/>
              </w:rPr>
              <w:t>Total shareholders’ equity</w:t>
            </w:r>
          </w:p>
        </w:tc>
        <w:tc>
          <w:tcPr>
            <w:tcW w:w="5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29,323,599</w:t>
            </w:r>
          </w:p>
        </w:tc>
        <w:tc>
          <w:tcPr>
            <w:tcW w:w="3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38,462,941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gridSpan w:val="2"/>
            <w:shd w:val="clear" w:color="auto" w:fill="CCEEFF"/>
          </w:tcPr>
          <w:p>
            <w:pPr>
              <w:jc w:val="right"/>
              <w:spacing w:after="0" w:line="173" w:lineRule="exact"/>
              <w:rPr>
                <w:sz w:val="20"/>
                <w:szCs w:val="20"/>
                <w:color w:val="auto"/>
              </w:rPr>
            </w:pPr>
            <w:r>
              <w:rPr>
                <w:rFonts w:ascii="Arial" w:cs="Arial" w:eastAsia="Arial" w:hAnsi="Arial"/>
                <w:sz w:val="17"/>
                <w:szCs w:val="17"/>
                <w:color w:val="auto"/>
              </w:rPr>
              <w:t>5,539,816</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spacing w:after="0" w:line="180" w:lineRule="exact"/>
              <w:rPr>
                <w:sz w:val="20"/>
                <w:szCs w:val="20"/>
                <w:color w:val="auto"/>
              </w:rPr>
            </w:pPr>
            <w:r>
              <w:rPr>
                <w:rFonts w:ascii="Arial" w:cs="Arial" w:eastAsia="Arial" w:hAnsi="Arial"/>
                <w:sz w:val="17"/>
                <w:szCs w:val="17"/>
                <w:color w:val="auto"/>
              </w:rPr>
              <w:t>Total liabilities and shareholders’ equity</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0" w:lineRule="exact"/>
              <w:rPr>
                <w:sz w:val="20"/>
                <w:szCs w:val="20"/>
                <w:color w:val="auto"/>
              </w:rPr>
            </w:pPr>
            <w:r>
              <w:rPr>
                <w:rFonts w:ascii="Arial" w:cs="Arial" w:eastAsia="Arial" w:hAnsi="Arial"/>
                <w:sz w:val="17"/>
                <w:szCs w:val="17"/>
                <w:color w:val="auto"/>
              </w:rPr>
              <w:t>41,157,430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58,031,860</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8,358,328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w w:val="91"/>
              </w:rPr>
              <w:t>The accompanying notes are an integral part of these consolidated financial statements.</w:t>
            </w: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60" w:type="dxa"/>
            <w:vAlign w:val="bottom"/>
            <w:gridSpan w:val="3"/>
            <w:vMerge w:val="continue"/>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4840" w:type="dxa"/>
            <w:vAlign w:val="bottom"/>
            <w:gridSpan w:val="2"/>
          </w:tcPr>
          <w:p>
            <w:pPr>
              <w:ind w:left="4380"/>
              <w:spacing w:after="0"/>
              <w:rPr>
                <w:sz w:val="20"/>
                <w:szCs w:val="20"/>
                <w:color w:val="auto"/>
              </w:rPr>
            </w:pPr>
            <w:r>
              <w:rPr>
                <w:rFonts w:ascii="Arial" w:cs="Arial" w:eastAsia="Arial" w:hAnsi="Arial"/>
                <w:sz w:val="17"/>
                <w:szCs w:val="17"/>
                <w:color w:val="auto"/>
              </w:rPr>
              <w:t>F-3</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22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98"/>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48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NetEase, Inc.</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Consolidated Statements of Operations and Comprehensive Income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(in thousands except per share data or per ADS data)</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2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For the year December 31,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jc w:val="right"/>
              <w:ind w:right="179"/>
              <w:spacing w:after="0" w:line="135"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56"/>
              <w:spacing w:after="0" w:line="13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left="35"/>
              <w:spacing w:after="0" w:line="13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460"/>
              <w:spacing w:after="0" w:line="112" w:lineRule="exact"/>
              <w:rPr>
                <w:sz w:val="20"/>
                <w:szCs w:val="20"/>
                <w:color w:val="auto"/>
              </w:rPr>
            </w:pPr>
            <w:r>
              <w:rPr>
                <w:rFonts w:ascii="Arial" w:cs="Arial" w:eastAsia="Arial" w:hAnsi="Arial"/>
                <w:sz w:val="11"/>
                <w:szCs w:val="11"/>
                <w:b w:val="1"/>
                <w:bCs w:val="1"/>
                <w:color w:val="auto"/>
              </w:rPr>
              <w:t>RMB</w:t>
            </w:r>
          </w:p>
        </w:tc>
        <w:tc>
          <w:tcPr>
            <w:tcW w:w="220" w:type="dxa"/>
            <w:vAlign w:val="bottom"/>
          </w:tcPr>
          <w:p>
            <w:pPr>
              <w:spacing w:after="0"/>
              <w:rPr>
                <w:sz w:val="9"/>
                <w:szCs w:val="9"/>
                <w:color w:val="auto"/>
              </w:rPr>
            </w:pPr>
          </w:p>
        </w:tc>
        <w:tc>
          <w:tcPr>
            <w:tcW w:w="1260" w:type="dxa"/>
            <w:vAlign w:val="bottom"/>
            <w:tcBorders>
              <w:top w:val="single" w:sz="8" w:color="auto"/>
            </w:tcBorders>
            <w:gridSpan w:val="3"/>
          </w:tcPr>
          <w:p>
            <w:pPr>
              <w:jc w:val="right"/>
              <w:ind w:right="460"/>
              <w:spacing w:after="0" w:line="112" w:lineRule="exact"/>
              <w:rPr>
                <w:sz w:val="20"/>
                <w:szCs w:val="20"/>
                <w:color w:val="auto"/>
              </w:rPr>
            </w:pPr>
            <w:r>
              <w:rPr>
                <w:rFonts w:ascii="Arial" w:cs="Arial" w:eastAsia="Arial" w:hAnsi="Arial"/>
                <w:sz w:val="11"/>
                <w:szCs w:val="11"/>
                <w:b w:val="1"/>
                <w:bCs w:val="1"/>
                <w:color w:val="auto"/>
              </w:rPr>
              <w:t>RMB</w:t>
            </w:r>
          </w:p>
        </w:tc>
        <w:tc>
          <w:tcPr>
            <w:tcW w:w="240" w:type="dxa"/>
            <w:vAlign w:val="bottom"/>
          </w:tcPr>
          <w:p>
            <w:pPr>
              <w:spacing w:after="0"/>
              <w:rPr>
                <w:sz w:val="9"/>
                <w:szCs w:val="9"/>
                <w:color w:val="auto"/>
              </w:rPr>
            </w:pPr>
          </w:p>
        </w:tc>
        <w:tc>
          <w:tcPr>
            <w:tcW w:w="1260" w:type="dxa"/>
            <w:vAlign w:val="bottom"/>
            <w:tcBorders>
              <w:top w:val="single" w:sz="8" w:color="auto"/>
            </w:tcBorders>
            <w:gridSpan w:val="2"/>
          </w:tcPr>
          <w:p>
            <w:pPr>
              <w:jc w:val="right"/>
              <w:ind w:right="480"/>
              <w:spacing w:after="0" w:line="112" w:lineRule="exact"/>
              <w:rPr>
                <w:sz w:val="20"/>
                <w:szCs w:val="20"/>
                <w:color w:val="auto"/>
              </w:rPr>
            </w:pPr>
            <w:r>
              <w:rPr>
                <w:rFonts w:ascii="Arial" w:cs="Arial" w:eastAsia="Arial" w:hAnsi="Arial"/>
                <w:sz w:val="11"/>
                <w:szCs w:val="11"/>
                <w:b w:val="1"/>
                <w:bCs w:val="1"/>
                <w:color w:val="auto"/>
              </w:rPr>
              <w:t>RMB</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revenues: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3"/>
          </w:tcPr>
          <w:p>
            <w:pPr>
              <w:ind w:left="180"/>
              <w:spacing w:after="0"/>
              <w:rPr>
                <w:sz w:val="20"/>
                <w:szCs w:val="20"/>
                <w:color w:val="auto"/>
              </w:rPr>
            </w:pPr>
            <w:r>
              <w:rPr>
                <w:rFonts w:ascii="Arial" w:cs="Arial" w:eastAsia="Arial" w:hAnsi="Arial"/>
                <w:sz w:val="17"/>
                <w:szCs w:val="17"/>
                <w:color w:val="auto"/>
              </w:rPr>
              <w:t>Services</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w w:val="93"/>
              </w:rPr>
              <w:t>11,712,256</w:t>
            </w:r>
          </w:p>
        </w:tc>
        <w:tc>
          <w:tcPr>
            <w:tcW w:w="1500" w:type="dxa"/>
            <w:vAlign w:val="bottom"/>
            <w:gridSpan w:val="4"/>
          </w:tcPr>
          <w:p>
            <w:pPr>
              <w:jc w:val="right"/>
              <w:ind w:right="240"/>
              <w:spacing w:after="0"/>
              <w:rPr>
                <w:sz w:val="20"/>
                <w:szCs w:val="20"/>
                <w:color w:val="auto"/>
              </w:rPr>
            </w:pPr>
            <w:r>
              <w:rPr>
                <w:rFonts w:ascii="Arial" w:cs="Arial" w:eastAsia="Arial" w:hAnsi="Arial"/>
                <w:sz w:val="17"/>
                <w:szCs w:val="17"/>
                <w:color w:val="auto"/>
              </w:rPr>
              <w:t>21,685,341</w:t>
            </w:r>
          </w:p>
        </w:tc>
        <w:tc>
          <w:tcPr>
            <w:tcW w:w="1360" w:type="dxa"/>
            <w:vAlign w:val="bottom"/>
            <w:gridSpan w:val="3"/>
          </w:tcPr>
          <w:p>
            <w:pPr>
              <w:jc w:val="right"/>
              <w:ind w:right="100"/>
              <w:spacing w:after="0"/>
              <w:rPr>
                <w:sz w:val="20"/>
                <w:szCs w:val="20"/>
                <w:color w:val="auto"/>
              </w:rPr>
            </w:pPr>
            <w:r>
              <w:rPr>
                <w:rFonts w:ascii="Arial" w:cs="Arial" w:eastAsia="Arial" w:hAnsi="Arial"/>
                <w:sz w:val="17"/>
                <w:szCs w:val="17"/>
                <w:color w:val="auto"/>
              </w:rPr>
              <w:t>33,748,455</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4,860,789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Product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578</w:t>
            </w:r>
          </w:p>
        </w:tc>
        <w:tc>
          <w:tcPr>
            <w:tcW w:w="15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1,117,554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4,430,389</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638,109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net revenues</w:t>
            </w: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3"/>
              </w:rPr>
              <w:t>11,712,834</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22,802,895</w:t>
            </w:r>
          </w:p>
        </w:tc>
        <w:tc>
          <w:tcPr>
            <w:tcW w:w="2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38,178,844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5,498,898</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62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Cost of revenues</w:t>
            </w: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gridSpan w:val="3"/>
          </w:tcPr>
          <w:p>
            <w:pPr>
              <w:ind w:left="180"/>
              <w:spacing w:after="0"/>
              <w:rPr>
                <w:sz w:val="20"/>
                <w:szCs w:val="20"/>
                <w:color w:val="auto"/>
              </w:rPr>
            </w:pPr>
            <w:r>
              <w:rPr>
                <w:rFonts w:ascii="Arial" w:cs="Arial" w:eastAsia="Arial" w:hAnsi="Arial"/>
                <w:sz w:val="17"/>
                <w:szCs w:val="17"/>
                <w:color w:val="auto"/>
              </w:rPr>
              <w:t>Services</w:t>
            </w:r>
          </w:p>
        </w:tc>
        <w:tc>
          <w:tcPr>
            <w:tcW w:w="1040" w:type="dxa"/>
            <w:vAlign w:val="bottom"/>
            <w:gridSpan w:val="3"/>
          </w:tcPr>
          <w:p>
            <w:pPr>
              <w:jc w:val="right"/>
              <w:ind w:right="180"/>
              <w:spacing w:after="0"/>
              <w:rPr>
                <w:sz w:val="20"/>
                <w:szCs w:val="20"/>
                <w:color w:val="auto"/>
              </w:rPr>
            </w:pPr>
            <w:r>
              <w:rPr>
                <w:rFonts w:ascii="Arial" w:cs="Arial" w:eastAsia="Arial" w:hAnsi="Arial"/>
                <w:sz w:val="17"/>
                <w:szCs w:val="17"/>
                <w:color w:val="auto"/>
                <w:w w:val="96"/>
              </w:rPr>
              <w:t>(3,258,481)</w:t>
            </w:r>
          </w:p>
        </w:tc>
        <w:tc>
          <w:tcPr>
            <w:tcW w:w="1500" w:type="dxa"/>
            <w:vAlign w:val="bottom"/>
            <w:gridSpan w:val="4"/>
          </w:tcPr>
          <w:p>
            <w:pPr>
              <w:jc w:val="right"/>
              <w:ind w:right="180"/>
              <w:spacing w:after="0"/>
              <w:rPr>
                <w:sz w:val="20"/>
                <w:szCs w:val="20"/>
                <w:color w:val="auto"/>
              </w:rPr>
            </w:pPr>
            <w:r>
              <w:rPr>
                <w:rFonts w:ascii="Arial" w:cs="Arial" w:eastAsia="Arial" w:hAnsi="Arial"/>
                <w:sz w:val="17"/>
                <w:szCs w:val="17"/>
                <w:color w:val="auto"/>
              </w:rPr>
              <w:t>(8,345,541)</w:t>
            </w:r>
          </w:p>
        </w:tc>
        <w:tc>
          <w:tcPr>
            <w:tcW w:w="1360" w:type="dxa"/>
            <w:vAlign w:val="bottom"/>
            <w:gridSpan w:val="3"/>
          </w:tcPr>
          <w:p>
            <w:pPr>
              <w:jc w:val="right"/>
              <w:ind w:right="40"/>
              <w:spacing w:after="0"/>
              <w:rPr>
                <w:sz w:val="20"/>
                <w:szCs w:val="20"/>
                <w:color w:val="auto"/>
              </w:rPr>
            </w:pPr>
            <w:r>
              <w:rPr>
                <w:rFonts w:ascii="Arial" w:cs="Arial" w:eastAsia="Arial" w:hAnsi="Arial"/>
                <w:sz w:val="17"/>
                <w:szCs w:val="17"/>
                <w:color w:val="auto"/>
              </w:rPr>
              <w:t>(12,602,876)</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(1,815,192)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Product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(3,063)</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(1,053,719)</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(3,912,156)</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(563,468)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Cost of revenues</w:t>
            </w: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(3,261,544)</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(9,399,260)</w:t>
            </w:r>
          </w:p>
        </w:tc>
        <w:tc>
          <w:tcPr>
            <w:tcW w:w="2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(16,515,032)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(2,378,660)</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Gross profit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8,451,290</w:t>
            </w:r>
          </w:p>
        </w:tc>
        <w:tc>
          <w:tcPr>
            <w:tcW w:w="220" w:type="dxa"/>
            <w:vAlign w:val="bottom"/>
          </w:tcPr>
          <w:p>
            <w:pPr>
              <w:spacing w:after="0"/>
              <w:rPr>
                <w:sz w:val="17"/>
                <w:szCs w:val="17"/>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7"/>
                <w:szCs w:val="17"/>
                <w:color w:val="auto"/>
              </w:rPr>
              <w:t>13,403,635</w:t>
            </w:r>
          </w:p>
        </w:tc>
        <w:tc>
          <w:tcPr>
            <w:tcW w:w="1360" w:type="dxa"/>
            <w:vAlign w:val="bottom"/>
            <w:gridSpan w:val="3"/>
          </w:tcPr>
          <w:p>
            <w:pPr>
              <w:jc w:val="right"/>
              <w:ind w:right="100"/>
              <w:spacing w:after="0"/>
              <w:rPr>
                <w:sz w:val="20"/>
                <w:szCs w:val="20"/>
                <w:color w:val="auto"/>
              </w:rPr>
            </w:pPr>
            <w:r>
              <w:rPr>
                <w:rFonts w:ascii="Arial" w:cs="Arial" w:eastAsia="Arial" w:hAnsi="Arial"/>
                <w:sz w:val="17"/>
                <w:szCs w:val="17"/>
                <w:color w:val="auto"/>
              </w:rPr>
              <w:t>21,663,812</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3,120,238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Borders>
              <w:top w:val="single" w:sz="8" w:color="CCEEFF"/>
            </w:tcBorders>
            <w:shd w:val="clear" w:color="auto" w:fill="CCEEFF"/>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Operating expenses: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220" w:type="dxa"/>
            <w:vAlign w:val="bottom"/>
            <w:shd w:val="clear" w:color="auto" w:fill="CCEEFF"/>
          </w:tcPr>
          <w:p>
            <w:pPr>
              <w:spacing w:after="0"/>
              <w:rPr>
                <w:sz w:val="10"/>
                <w:szCs w:val="10"/>
                <w:color w:val="auto"/>
              </w:rPr>
            </w:pPr>
          </w:p>
        </w:tc>
        <w:tc>
          <w:tcPr>
            <w:tcW w:w="44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-3076575</wp:posOffset>
            </wp:positionV>
            <wp:extent cx="12700" cy="29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-3076575</wp:posOffset>
            </wp:positionV>
            <wp:extent cx="12700" cy="2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14" w:right="199" w:bottom="0" w:gutter="0" w:footer="0" w:header="0"/>
        </w:sectPr>
      </w:pPr>
    </w:p>
    <w:bookmarkStart w:id="82" w:name="page83"/>
    <w:bookmarkEnd w:id="8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 expenses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(1,894,998)</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(2,958,229)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(4,481,815)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(645,516)</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Arial" w:cs="Arial" w:eastAsia="Arial" w:hAnsi="Arial"/>
                <w:sz w:val="17"/>
                <w:szCs w:val="17"/>
                <w:color w:val="auto"/>
              </w:rPr>
              <w:t>General and administrative expenses</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(467,669)</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(1,014,395)</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(1,506,154)</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(216,931)</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(1,323,498)</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(2,158,888)</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(3,046,979)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(438,856)</w:t>
            </w:r>
          </w:p>
        </w:tc>
        <w:tc>
          <w:tcPr>
            <w:tcW w:w="0" w:type="dxa"/>
            <w:vAlign w:val="bottom"/>
          </w:tcPr>
          <w:p>
            <w:pPr>
              <w:spacing w:after="0"/>
              <w:rPr>
                <w:sz w:val="1"/>
                <w:szCs w:val="1"/>
                <w:color w:val="auto"/>
              </w:rPr>
            </w:pPr>
          </w:p>
        </w:tc>
      </w:tr>
      <w:tr>
        <w:trPr>
          <w:trHeight w:val="199"/>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(3,686,165)</w:t>
            </w:r>
          </w:p>
        </w:tc>
        <w:tc>
          <w:tcPr>
            <w:tcW w:w="22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(6,131,512)</w:t>
            </w:r>
          </w:p>
        </w:tc>
        <w:tc>
          <w:tcPr>
            <w:tcW w:w="2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(9,034,948)</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(1,301,303)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b w:val="1"/>
                <w:bCs w:val="1"/>
                <w:color w:val="auto"/>
              </w:rPr>
              <w:t>Operating profit</w:t>
            </w:r>
          </w:p>
        </w:tc>
        <w:tc>
          <w:tcPr>
            <w:tcW w:w="1260" w:type="dxa"/>
            <w:vAlign w:val="bottom"/>
          </w:tcPr>
          <w:p>
            <w:pPr>
              <w:jc w:val="right"/>
              <w:spacing w:after="0"/>
              <w:rPr>
                <w:sz w:val="20"/>
                <w:szCs w:val="20"/>
                <w:color w:val="auto"/>
              </w:rPr>
            </w:pPr>
            <w:r>
              <w:rPr>
                <w:rFonts w:ascii="Arial" w:cs="Arial" w:eastAsia="Arial" w:hAnsi="Arial"/>
                <w:sz w:val="17"/>
                <w:szCs w:val="17"/>
                <w:color w:val="auto"/>
              </w:rPr>
              <w:t>4,765,125</w:t>
            </w:r>
          </w:p>
        </w:tc>
        <w:tc>
          <w:tcPr>
            <w:tcW w:w="2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7,272,123</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12,628,864</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1,818,935</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Other income/(expenses):</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Investment income, net</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27,373</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62,341</w:t>
            </w:r>
          </w:p>
        </w:tc>
        <w:tc>
          <w:tcPr>
            <w:tcW w:w="1260" w:type="dxa"/>
            <w:vAlign w:val="bottom"/>
          </w:tcPr>
          <w:p>
            <w:pPr>
              <w:jc w:val="right"/>
              <w:spacing w:after="0"/>
              <w:rPr>
                <w:sz w:val="20"/>
                <w:szCs w:val="20"/>
                <w:color w:val="auto"/>
              </w:rPr>
            </w:pPr>
            <w:r>
              <w:rPr>
                <w:rFonts w:ascii="Arial" w:cs="Arial" w:eastAsia="Arial" w:hAnsi="Arial"/>
                <w:sz w:val="17"/>
                <w:szCs w:val="17"/>
                <w:color w:val="auto"/>
              </w:rPr>
              <w:t>200,333</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28,854</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601,502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596,930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541,969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78,060</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Exchange (losses)/gains</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(17,998)</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133,776</w:t>
            </w:r>
          </w:p>
        </w:tc>
        <w:tc>
          <w:tcPr>
            <w:tcW w:w="1260" w:type="dxa"/>
            <w:vAlign w:val="bottom"/>
          </w:tcPr>
          <w:p>
            <w:pPr>
              <w:jc w:val="right"/>
              <w:spacing w:after="0"/>
              <w:rPr>
                <w:sz w:val="20"/>
                <w:szCs w:val="20"/>
                <w:color w:val="auto"/>
              </w:rPr>
            </w:pPr>
            <w:r>
              <w:rPr>
                <w:rFonts w:ascii="Arial" w:cs="Arial" w:eastAsia="Arial" w:hAnsi="Arial"/>
                <w:sz w:val="17"/>
                <w:szCs w:val="17"/>
                <w:color w:val="auto"/>
              </w:rPr>
              <w:t>146,510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21,102</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82,438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45,138</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377,685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54,398</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20"/>
                <w:szCs w:val="20"/>
                <w:color w:val="auto"/>
              </w:rPr>
            </w:pPr>
            <w:r>
              <w:rPr>
                <w:rFonts w:ascii="Arial" w:cs="Arial" w:eastAsia="Arial" w:hAnsi="Arial"/>
                <w:sz w:val="17"/>
                <w:szCs w:val="17"/>
                <w:b w:val="1"/>
                <w:bCs w:val="1"/>
                <w:color w:val="auto"/>
              </w:rPr>
              <w:t>Income before tax</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5,458,440</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8,110,308</w:t>
            </w:r>
          </w:p>
        </w:tc>
        <w:tc>
          <w:tcPr>
            <w:tcW w:w="24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13,895,361</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2,001,349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Income tax</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(662,735)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(1,273,408)</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(2,102,498)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(302,823)</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4,795,705</w:t>
            </w: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6,836,900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11,792,863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1,698,526</w:t>
            </w:r>
          </w:p>
        </w:tc>
        <w:tc>
          <w:tcPr>
            <w:tcW w:w="0" w:type="dxa"/>
            <w:vAlign w:val="bottom"/>
          </w:tcPr>
          <w:p>
            <w:pPr>
              <w:spacing w:after="0"/>
              <w:rPr>
                <w:sz w:val="1"/>
                <w:szCs w:val="1"/>
                <w:color w:val="auto"/>
              </w:rPr>
            </w:pPr>
          </w:p>
        </w:tc>
      </w:tr>
      <w:tr>
        <w:trPr>
          <w:trHeight w:val="193"/>
        </w:trPr>
        <w:tc>
          <w:tcPr>
            <w:tcW w:w="5620" w:type="dxa"/>
            <w:vAlign w:val="bottom"/>
          </w:tcPr>
          <w:p>
            <w:pPr>
              <w:spacing w:after="0" w:line="194" w:lineRule="exact"/>
              <w:rPr>
                <w:sz w:val="20"/>
                <w:szCs w:val="20"/>
                <w:color w:val="auto"/>
              </w:rPr>
            </w:pPr>
            <w:r>
              <w:rPr>
                <w:rFonts w:ascii="Arial" w:cs="Arial" w:eastAsia="Arial" w:hAnsi="Arial"/>
                <w:sz w:val="17"/>
                <w:szCs w:val="17"/>
                <w:color w:val="auto"/>
                <w:w w:val="98"/>
              </w:rPr>
              <w:t>Net income attributable to noncontrolling interests and mezzanine classified</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180"/>
              <w:spacing w:after="0"/>
              <w:rPr>
                <w:sz w:val="20"/>
                <w:szCs w:val="20"/>
                <w:color w:val="auto"/>
              </w:rPr>
            </w:pPr>
            <w:r>
              <w:rPr>
                <w:rFonts w:ascii="Arial" w:cs="Arial" w:eastAsia="Arial" w:hAnsi="Arial"/>
                <w:sz w:val="17"/>
                <w:szCs w:val="17"/>
                <w:color w:val="auto"/>
              </w:rPr>
              <w:t>noncontrolling interests</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(39,082)</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(101,792)</w:t>
            </w: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(188,343)</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(27,127)</w:t>
            </w:r>
          </w:p>
        </w:tc>
        <w:tc>
          <w:tcPr>
            <w:tcW w:w="0" w:type="dxa"/>
            <w:vAlign w:val="bottom"/>
          </w:tcPr>
          <w:p>
            <w:pPr>
              <w:spacing w:after="0"/>
              <w:rPr>
                <w:sz w:val="1"/>
                <w:szCs w:val="1"/>
                <w:color w:val="auto"/>
              </w:rPr>
            </w:pPr>
          </w:p>
        </w:tc>
      </w:tr>
      <w:tr>
        <w:trPr>
          <w:trHeight w:val="19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 attributable to the NetEase, Inc.’s shareholders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4,756,623</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6,735,108</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11,604,520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1,671,399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4,795,705</w:t>
            </w: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6,836,900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11,792,863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1,698,526</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gains/(losses) on available-for-sale securities, net of tax</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27,452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(232,633)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(33,506)</w:t>
            </w:r>
          </w:p>
        </w:tc>
        <w:tc>
          <w:tcPr>
            <w:tcW w:w="0" w:type="dxa"/>
            <w:vAlign w:val="bottom"/>
          </w:tcPr>
          <w:p>
            <w:pPr>
              <w:spacing w:after="0"/>
              <w:rPr>
                <w:sz w:val="1"/>
                <w:szCs w:val="1"/>
                <w:color w:val="auto"/>
              </w:rPr>
            </w:pPr>
          </w:p>
        </w:tc>
      </w:tr>
      <w:tr>
        <w:trPr>
          <w:trHeight w:val="193"/>
        </w:trPr>
        <w:tc>
          <w:tcPr>
            <w:tcW w:w="5620" w:type="dxa"/>
            <w:vAlign w:val="bottom"/>
          </w:tcPr>
          <w:p>
            <w:pPr>
              <w:spacing w:after="0" w:line="194" w:lineRule="exact"/>
              <w:rPr>
                <w:sz w:val="20"/>
                <w:szCs w:val="20"/>
                <w:color w:val="auto"/>
              </w:rPr>
            </w:pPr>
            <w:r>
              <w:rPr>
                <w:rFonts w:ascii="Arial" w:cs="Arial" w:eastAsia="Arial" w:hAnsi="Arial"/>
                <w:sz w:val="17"/>
                <w:szCs w:val="17"/>
                <w:color w:val="auto"/>
                <w:w w:val="94"/>
              </w:rPr>
              <w:t>Reclassification adjustment for losses on available-for-sale securities recorded</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180"/>
              <w:spacing w:after="0"/>
              <w:rPr>
                <w:sz w:val="20"/>
                <w:szCs w:val="20"/>
                <w:color w:val="auto"/>
              </w:rPr>
            </w:pPr>
            <w:r>
              <w:rPr>
                <w:rFonts w:ascii="Arial" w:cs="Arial" w:eastAsia="Arial" w:hAnsi="Arial"/>
                <w:sz w:val="17"/>
                <w:szCs w:val="17"/>
                <w:color w:val="auto"/>
              </w:rPr>
              <w:t>in net income, nil of tax</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266,660</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38,407</w:t>
            </w:r>
          </w:p>
        </w:tc>
        <w:tc>
          <w:tcPr>
            <w:tcW w:w="0" w:type="dxa"/>
            <w:vAlign w:val="bottom"/>
          </w:tcPr>
          <w:p>
            <w:pPr>
              <w:spacing w:after="0"/>
              <w:rPr>
                <w:sz w:val="1"/>
                <w:szCs w:val="1"/>
                <w:color w:val="auto"/>
              </w:rPr>
            </w:pPr>
          </w:p>
        </w:tc>
      </w:tr>
      <w:tr>
        <w:trPr>
          <w:trHeight w:val="19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other comprehensive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27,452</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comprehensive income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4,795,705</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6,864,352</w:t>
            </w:r>
          </w:p>
        </w:tc>
        <w:tc>
          <w:tcPr>
            <w:tcW w:w="2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11,826,890</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1,703,427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62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w w:val="95"/>
              </w:rPr>
              <w:t>Comprehensive income attributable to noncontrolling interests and mezzanine</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classified noncontrolling interests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(39,082)</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(101,792)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(188,343)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(27,127)</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w w:val="97"/>
              </w:rPr>
              <w:t>Comprehensive income attributable to the NetEase, Inc.’s shareholders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4,756,623</w:t>
            </w:r>
          </w:p>
        </w:tc>
        <w:tc>
          <w:tcPr>
            <w:tcW w:w="22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6,762,560</w:t>
            </w:r>
          </w:p>
        </w:tc>
        <w:tc>
          <w:tcPr>
            <w:tcW w:w="24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11,638,547</w:t>
            </w:r>
          </w:p>
        </w:tc>
        <w:tc>
          <w:tcPr>
            <w:tcW w:w="2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1,676,300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0"/>
                <w:szCs w:val="20"/>
                <w:color w:val="auto"/>
              </w:rPr>
            </w:pPr>
            <w:r>
              <w:rPr>
                <w:rFonts w:ascii="Arial" w:cs="Arial" w:eastAsia="Arial" w:hAnsi="Arial"/>
                <w:sz w:val="17"/>
                <w:szCs w:val="17"/>
                <w:color w:val="auto"/>
              </w:rPr>
              <w:t>Net income per share, basic</w:t>
            </w:r>
          </w:p>
        </w:tc>
        <w:tc>
          <w:tcPr>
            <w:tcW w:w="126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2.05</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3.54</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0.51</w:t>
            </w:r>
          </w:p>
        </w:tc>
        <w:tc>
          <w:tcPr>
            <w:tcW w:w="0" w:type="dxa"/>
            <w:vAlign w:val="bottom"/>
          </w:tcPr>
          <w:p>
            <w:pPr>
              <w:spacing w:after="0"/>
              <w:rPr>
                <w:sz w:val="1"/>
                <w:szCs w:val="1"/>
                <w:color w:val="auto"/>
              </w:rPr>
            </w:pPr>
          </w:p>
        </w:tc>
      </w:tr>
      <w:tr>
        <w:trPr>
          <w:trHeight w:val="184"/>
        </w:trPr>
        <w:tc>
          <w:tcPr>
            <w:tcW w:w="562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Net income per ADS, basic</w:t>
            </w:r>
          </w:p>
        </w:tc>
        <w:tc>
          <w:tcPr>
            <w:tcW w:w="126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36.43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51.27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88.40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12.73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7"/>
                <w:szCs w:val="17"/>
                <w:color w:val="auto"/>
              </w:rPr>
              <w:t>Net income per share, diluted</w:t>
            </w:r>
          </w:p>
        </w:tc>
        <w:tc>
          <w:tcPr>
            <w:tcW w:w="14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Borders>
              <w:bottom w:val="single" w:sz="8" w:color="CCEEFF"/>
            </w:tcBorders>
            <w:vMerge w:val="continue"/>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1.45</w:t>
            </w:r>
          </w:p>
        </w:tc>
        <w:tc>
          <w:tcPr>
            <w:tcW w:w="2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2.04</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3.51</w:t>
            </w:r>
          </w:p>
        </w:tc>
        <w:tc>
          <w:tcPr>
            <w:tcW w:w="2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0.51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Net income per ADS, diluted</w:t>
            </w: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36.29</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50.94</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87.72</w:t>
            </w: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12.63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7"/>
                <w:szCs w:val="17"/>
                <w:color w:val="auto"/>
              </w:rPr>
              <w:t>Weighted average number of ordinary shares outstanding, basic</w:t>
            </w: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Borders>
              <w:bottom w:val="single" w:sz="8" w:color="CCEEFF"/>
            </w:tcBorders>
            <w:vMerge w:val="continue"/>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3,264,450</w:t>
            </w:r>
          </w:p>
        </w:tc>
        <w:tc>
          <w:tcPr>
            <w:tcW w:w="2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3,284,382</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3,281,729</w:t>
            </w:r>
          </w:p>
        </w:tc>
        <w:tc>
          <w:tcPr>
            <w:tcW w:w="2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3,281,729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Weighted average number of ADS outstanding, basic</w:t>
            </w: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130,578</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131,375</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131,269</w:t>
            </w: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131,269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7"/>
                <w:szCs w:val="17"/>
                <w:color w:val="auto"/>
              </w:rPr>
              <w:t>Weighted average number of ordinary shares outstanding, diluted</w:t>
            </w: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Borders>
              <w:bottom w:val="single" w:sz="8" w:color="CCEEFF"/>
            </w:tcBorders>
            <w:vMerge w:val="continue"/>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3,277,049</w:t>
            </w:r>
          </w:p>
        </w:tc>
        <w:tc>
          <w:tcPr>
            <w:tcW w:w="2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3,305,213</w:t>
            </w:r>
          </w:p>
        </w:tc>
        <w:tc>
          <w:tcPr>
            <w:tcW w:w="2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3,307,109</w:t>
            </w:r>
          </w:p>
        </w:tc>
        <w:tc>
          <w:tcPr>
            <w:tcW w:w="2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3,307,109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Weighted average number of ADS outstanding, diluted</w:t>
            </w: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131,082</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132,209</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132,284</w:t>
            </w: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132,284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and share numbers,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6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Ordinary shares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Additional paid-</w:t>
            </w:r>
          </w:p>
        </w:tc>
        <w:tc>
          <w:tcPr>
            <w:tcW w:w="15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Statutory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Retained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Noncontrolling</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Total shareholders’</w:t>
            </w: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w:t>
            </w:r>
          </w:p>
        </w:tc>
        <w:tc>
          <w:tcPr>
            <w:tcW w:w="1520" w:type="dxa"/>
            <w:vAlign w:val="bottom"/>
            <w:gridSpan w:val="4"/>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other comprehensive</w:t>
            </w: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86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Share</w:t>
            </w:r>
          </w:p>
        </w:tc>
        <w:tc>
          <w:tcPr>
            <w:tcW w:w="640" w:type="dxa"/>
            <w:vAlign w:val="bottom"/>
            <w:tcBorders>
              <w:top w:val="single" w:sz="8" w:color="auto"/>
            </w:tcBorders>
          </w:tcPr>
          <w:p>
            <w:pPr>
              <w:jc w:val="right"/>
              <w:ind w:right="11"/>
              <w:spacing w:after="0" w:line="13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capital</w:t>
            </w:r>
          </w:p>
        </w:tc>
        <w:tc>
          <w:tcPr>
            <w:tcW w:w="760" w:type="dxa"/>
            <w:vAlign w:val="bottom"/>
            <w:tcBorders>
              <w:top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Share</w:t>
            </w:r>
          </w:p>
        </w:tc>
        <w:tc>
          <w:tcPr>
            <w:tcW w:w="660" w:type="dxa"/>
            <w:vAlign w:val="bottom"/>
            <w:tcBorders>
              <w:top w:val="single" w:sz="8" w:color="auto"/>
            </w:tcBorders>
          </w:tcPr>
          <w:p>
            <w:pPr>
              <w:jc w:val="right"/>
              <w:ind w:right="31"/>
              <w:spacing w:after="0" w:line="13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3"/>
              </w:rPr>
              <w:t>reserves</w:t>
            </w: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income</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earnings</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Interests</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9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1"/>
                <w:szCs w:val="11"/>
                <w:color w:val="auto"/>
              </w:rPr>
            </w:pPr>
          </w:p>
        </w:tc>
        <w:tc>
          <w:tcPr>
            <w:tcW w:w="12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Balance as of December 31, 2013</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3,250,284</w:t>
            </w: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2,663</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854,878</w:t>
            </w:r>
          </w:p>
        </w:tc>
        <w:tc>
          <w:tcPr>
            <w:tcW w:w="7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878,466</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w w:val="94"/>
              </w:rPr>
              <w:t>18,509,161</w:t>
            </w:r>
          </w:p>
        </w:tc>
        <w:tc>
          <w:tcPr>
            <w:tcW w:w="10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(76,905)</w:t>
            </w:r>
          </w:p>
        </w:tc>
        <w:tc>
          <w:tcPr>
            <w:tcW w:w="12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20,168,263</w:t>
            </w:r>
          </w:p>
        </w:tc>
        <w:tc>
          <w:tcPr>
            <w:tcW w:w="0" w:type="dxa"/>
            <w:vAlign w:val="bottom"/>
          </w:tcPr>
          <w:p>
            <w:pPr>
              <w:spacing w:after="0"/>
              <w:rPr>
                <w:sz w:val="1"/>
                <w:szCs w:val="1"/>
                <w:color w:val="auto"/>
              </w:rPr>
            </w:pPr>
          </w:p>
        </w:tc>
      </w:tr>
      <w:tr>
        <w:trPr>
          <w:trHeight w:val="123"/>
        </w:trPr>
        <w:tc>
          <w:tcPr>
            <w:tcW w:w="2160" w:type="dxa"/>
            <w:vAlign w:val="bottom"/>
          </w:tcPr>
          <w:p>
            <w:pPr>
              <w:spacing w:after="0" w:line="123" w:lineRule="exact"/>
              <w:rPr>
                <w:sz w:val="20"/>
                <w:szCs w:val="20"/>
                <w:color w:val="auto"/>
              </w:rPr>
            </w:pPr>
            <w:r>
              <w:rPr>
                <w:rFonts w:ascii="Arial" w:cs="Arial" w:eastAsia="Arial" w:hAnsi="Arial"/>
                <w:sz w:val="14"/>
                <w:szCs w:val="14"/>
                <w:color w:val="auto"/>
                <w:w w:val="91"/>
              </w:rPr>
              <w:t>Ordinary shares issued upon exercise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rPr>
              <w:t>of employee stock options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285</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2,917</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2,917</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Ordinary shares issued upon</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1"/>
              </w:rPr>
              <w:t>settlement of restricted share units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17,450</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11</w:t>
            </w:r>
          </w:p>
        </w:tc>
        <w:tc>
          <w:tcPr>
            <w:tcW w:w="106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368,632</w:t>
            </w:r>
          </w:p>
        </w:tc>
        <w:tc>
          <w:tcPr>
            <w:tcW w:w="7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368,632</w:t>
            </w: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9"/>
              </w:rPr>
              <w:t>Appropriation to statutory reserves</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58,816</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(58,816)</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160" w:type="dxa"/>
            <w:vAlign w:val="bottom"/>
          </w:tcPr>
          <w:p>
            <w:pPr>
              <w:spacing w:after="0" w:line="123" w:lineRule="exact"/>
              <w:rPr>
                <w:sz w:val="20"/>
                <w:szCs w:val="20"/>
                <w:color w:val="auto"/>
              </w:rPr>
            </w:pPr>
            <w:r>
              <w:rPr>
                <w:rFonts w:ascii="Arial" w:cs="Arial" w:eastAsia="Arial" w:hAnsi="Arial"/>
                <w:sz w:val="14"/>
                <w:szCs w:val="14"/>
                <w:color w:val="auto"/>
              </w:rPr>
              <w:t>Net income attributable to</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60" w:type="dxa"/>
            <w:vAlign w:val="bottom"/>
          </w:tcPr>
          <w:p>
            <w:pPr>
              <w:ind w:left="180"/>
              <w:spacing w:after="0" w:line="141" w:lineRule="exact"/>
              <w:rPr>
                <w:sz w:val="20"/>
                <w:szCs w:val="20"/>
                <w:color w:val="auto"/>
              </w:rPr>
            </w:pPr>
            <w:r>
              <w:rPr>
                <w:rFonts w:ascii="Arial" w:cs="Arial" w:eastAsia="Arial" w:hAnsi="Arial"/>
                <w:sz w:val="14"/>
                <w:szCs w:val="14"/>
                <w:color w:val="auto"/>
                <w:w w:val="96"/>
              </w:rPr>
              <w:t>NetEase, Inc. and noncontrolling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rPr>
              <w:t>interest shareholders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4,756,623</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35,813</w:t>
            </w:r>
          </w:p>
        </w:tc>
        <w:tc>
          <w:tcPr>
            <w:tcW w:w="12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4,792,436</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Capital injection in subsidiaries by</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noncontrolling interests</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shareholders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8,907</w:t>
            </w:r>
          </w:p>
        </w:tc>
        <w:tc>
          <w:tcPr>
            <w:tcW w:w="12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8,922</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Dividends to shareholders</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7"/>
              </w:rPr>
              <w:t>(1,983,010)</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(1,983,010)</w:t>
            </w:r>
          </w:p>
        </w:tc>
        <w:tc>
          <w:tcPr>
            <w:tcW w:w="0" w:type="dxa"/>
            <w:vAlign w:val="bottom"/>
          </w:tcPr>
          <w:p>
            <w:pPr>
              <w:spacing w:after="0"/>
              <w:rPr>
                <w:sz w:val="1"/>
                <w:szCs w:val="1"/>
                <w:color w:val="auto"/>
              </w:rPr>
            </w:pPr>
          </w:p>
        </w:tc>
      </w:tr>
      <w:tr>
        <w:trPr>
          <w:trHeight w:val="134"/>
        </w:trPr>
        <w:tc>
          <w:tcPr>
            <w:tcW w:w="21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Balance as of December 31, 2014</w:t>
            </w:r>
          </w:p>
        </w:tc>
        <w:tc>
          <w:tcPr>
            <w:tcW w:w="740" w:type="dxa"/>
            <w:vAlign w:val="bottom"/>
            <w:tcBorders>
              <w:top w:val="single" w:sz="8" w:color="auto"/>
              <w:bottom w:val="single" w:sz="8" w:color="auto"/>
            </w:tcBorders>
            <w:shd w:val="clear" w:color="auto" w:fill="CCEEFF"/>
          </w:tcPr>
          <w:p>
            <w:pPr>
              <w:ind w:left="200"/>
              <w:spacing w:after="0" w:line="135" w:lineRule="exact"/>
              <w:rPr>
                <w:sz w:val="20"/>
                <w:szCs w:val="20"/>
                <w:color w:val="auto"/>
              </w:rPr>
            </w:pPr>
            <w:r>
              <w:rPr>
                <w:rFonts w:ascii="Arial" w:cs="Arial" w:eastAsia="Arial" w:hAnsi="Arial"/>
                <w:sz w:val="14"/>
                <w:szCs w:val="14"/>
                <w:color w:val="auto"/>
                <w:w w:val="83"/>
              </w:rPr>
              <w:t>3,268,019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2,674</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1,226,416</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w w:val="71"/>
              </w:rPr>
              <w:t>—</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937,282</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4"/>
              </w:rPr>
              <w:t>21,223,973</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(32,185)</w:t>
            </w:r>
          </w:p>
        </w:tc>
        <w:tc>
          <w:tcPr>
            <w:tcW w:w="1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23,358,160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line="103" w:lineRule="exact"/>
              <w:rPr>
                <w:sz w:val="20"/>
                <w:szCs w:val="20"/>
                <w:color w:val="auto"/>
              </w:rPr>
            </w:pPr>
            <w:r>
              <w:rPr>
                <w:rFonts w:ascii="Arial" w:cs="Arial" w:eastAsia="Arial" w:hAnsi="Arial"/>
                <w:sz w:val="11"/>
                <w:szCs w:val="11"/>
                <w:color w:val="auto"/>
              </w:rPr>
              <w:t>Ordinary shares issued upon</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w w:val="91"/>
              </w:rPr>
              <w:t>settlement of restricted share units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23,541</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14</w:t>
            </w:r>
          </w:p>
        </w:tc>
        <w:tc>
          <w:tcPr>
            <w:tcW w:w="1060" w:type="dxa"/>
            <w:vAlign w:val="bottom"/>
            <w:gridSpan w:val="2"/>
          </w:tcPr>
          <w:p>
            <w:pPr>
              <w:jc w:val="right"/>
              <w:ind w:right="60"/>
              <w:spacing w:after="0" w:line="160" w:lineRule="exact"/>
              <w:rPr>
                <w:sz w:val="20"/>
                <w:szCs w:val="20"/>
                <w:color w:val="auto"/>
              </w:rPr>
            </w:pPr>
            <w:r>
              <w:rPr>
                <w:rFonts w:ascii="Arial" w:cs="Arial" w:eastAsia="Arial" w:hAnsi="Arial"/>
                <w:sz w:val="14"/>
                <w:szCs w:val="14"/>
                <w:color w:val="auto"/>
              </w:rPr>
              <w:t>(14)</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Share-based compensation</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687,332</w:t>
            </w:r>
          </w:p>
        </w:tc>
        <w:tc>
          <w:tcPr>
            <w:tcW w:w="7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687,332</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w w:val="99"/>
              </w:rPr>
              <w:t>Appropriation to statutory reserves</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73,635</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(73,635)</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Net income attributable to</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w w:val="96"/>
              </w:rPr>
              <w:t>NetEase, Inc. and noncontrolling</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interest shareholders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6,737,321</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100,689</w:t>
            </w:r>
          </w:p>
        </w:tc>
        <w:tc>
          <w:tcPr>
            <w:tcW w:w="12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6,838,010</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Repurchase of shares</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(4,628)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(132,192)</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(132,192)</w:t>
            </w: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Cancellation of treasury stock</w:t>
            </w:r>
          </w:p>
        </w:tc>
        <w:tc>
          <w:tcPr>
            <w:tcW w:w="8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(4,628)</w:t>
            </w:r>
          </w:p>
        </w:tc>
        <w:tc>
          <w:tcPr>
            <w:tcW w:w="7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w:t>
            </w:r>
          </w:p>
        </w:tc>
        <w:tc>
          <w:tcPr>
            <w:tcW w:w="10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(132,189)</w:t>
            </w:r>
          </w:p>
        </w:tc>
        <w:tc>
          <w:tcPr>
            <w:tcW w:w="7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4,628</w:t>
            </w:r>
          </w:p>
        </w:tc>
        <w:tc>
          <w:tcPr>
            <w:tcW w:w="7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132,192</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160" w:type="dxa"/>
            <w:vAlign w:val="bottom"/>
          </w:tcPr>
          <w:p>
            <w:pPr>
              <w:spacing w:after="0" w:line="123" w:lineRule="exact"/>
              <w:rPr>
                <w:sz w:val="20"/>
                <w:szCs w:val="20"/>
                <w:color w:val="auto"/>
              </w:rPr>
            </w:pPr>
            <w:r>
              <w:rPr>
                <w:rFonts w:ascii="Arial" w:cs="Arial" w:eastAsia="Arial" w:hAnsi="Arial"/>
                <w:sz w:val="14"/>
                <w:szCs w:val="14"/>
                <w:color w:val="auto"/>
              </w:rPr>
              <w:t>Net change in unrealized gains on</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rPr>
              <w:t>available-for-sale securities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27,452</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27,452</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Capital injection in subsidiaries by</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noncontrolling interests</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shareholders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4</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15,012</w:t>
            </w:r>
          </w:p>
        </w:tc>
        <w:tc>
          <w:tcPr>
            <w:tcW w:w="12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15,015</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Dividends to shareholders</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7"/>
              </w:rPr>
              <w:t>(1,467,965)</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(1,467,965)</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6"/>
              </w:rPr>
              <w:t>Exchanges losses on repurchase of</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mezzanine classified</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noncontrolling interests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(2,213)</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34"/>
        </w:trPr>
        <w:tc>
          <w:tcPr>
            <w:tcW w:w="216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Balance as of December 31, 2015</w:t>
            </w:r>
          </w:p>
        </w:tc>
        <w:tc>
          <w:tcPr>
            <w:tcW w:w="740" w:type="dxa"/>
            <w:vAlign w:val="bottom"/>
            <w:tcBorders>
              <w:top w:val="single" w:sz="8" w:color="auto"/>
              <w:bottom w:val="single" w:sz="8" w:color="auto"/>
            </w:tcBorders>
          </w:tcPr>
          <w:p>
            <w:pPr>
              <w:ind w:left="200"/>
              <w:spacing w:after="0" w:line="135" w:lineRule="exact"/>
              <w:rPr>
                <w:sz w:val="20"/>
                <w:szCs w:val="20"/>
                <w:color w:val="auto"/>
              </w:rPr>
            </w:pPr>
            <w:r>
              <w:rPr>
                <w:rFonts w:ascii="Arial" w:cs="Arial" w:eastAsia="Arial" w:hAnsi="Arial"/>
                <w:sz w:val="14"/>
                <w:szCs w:val="14"/>
                <w:color w:val="auto"/>
                <w:w w:val="83"/>
              </w:rPr>
              <w:t>3,286,932</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2,685</w:t>
            </w:r>
          </w:p>
        </w:tc>
        <w:tc>
          <w:tcPr>
            <w:tcW w:w="10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1,779,331</w:t>
            </w:r>
          </w:p>
        </w:tc>
        <w:tc>
          <w:tcPr>
            <w:tcW w:w="1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ind w:left="520"/>
              <w:spacing w:after="0" w:line="135" w:lineRule="exact"/>
              <w:rPr>
                <w:sz w:val="20"/>
                <w:szCs w:val="20"/>
                <w:color w:val="auto"/>
              </w:rPr>
            </w:pPr>
            <w:r>
              <w:rPr>
                <w:rFonts w:ascii="Arial" w:cs="Arial" w:eastAsia="Arial" w:hAnsi="Arial"/>
                <w:sz w:val="14"/>
                <w:szCs w:val="14"/>
                <w:color w:val="auto"/>
                <w:w w:val="71"/>
              </w:rPr>
              <w:t>—</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1,010,917</w:t>
            </w:r>
          </w:p>
        </w:tc>
        <w:tc>
          <w:tcPr>
            <w:tcW w:w="8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27,452</w:t>
            </w:r>
          </w:p>
        </w:tc>
        <w:tc>
          <w:tcPr>
            <w:tcW w:w="1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26,419,698</w:t>
            </w:r>
          </w:p>
        </w:tc>
        <w:tc>
          <w:tcPr>
            <w:tcW w:w="1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83,516</w:t>
            </w:r>
          </w:p>
        </w:tc>
        <w:tc>
          <w:tcPr>
            <w:tcW w:w="12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29,323,599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6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Ordinary shares issued upon</w:t>
            </w: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w w:val="91"/>
              </w:rPr>
              <w:t>settlement of restricted share units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27,664</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18</w:t>
            </w:r>
          </w:p>
        </w:tc>
        <w:tc>
          <w:tcPr>
            <w:tcW w:w="106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4"/>
                <w:szCs w:val="14"/>
                <w:color w:val="auto"/>
              </w:rPr>
              <w:t>(18)</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1,057,715</w:t>
            </w:r>
          </w:p>
        </w:tc>
        <w:tc>
          <w:tcPr>
            <w:tcW w:w="7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1,057,715</w:t>
            </w: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9"/>
              </w:rPr>
              <w:t>Appropriation to statutory reserves</w:t>
            </w:r>
          </w:p>
        </w:tc>
        <w:tc>
          <w:tcPr>
            <w:tcW w:w="8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149,244</w:t>
            </w: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(149,244)</w:t>
            </w: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83" w:name="page84"/>
    <w:bookmarkEnd w:id="8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Net income attributable to</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160" w:type="dxa"/>
            <w:vAlign w:val="bottom"/>
          </w:tcPr>
          <w:p>
            <w:pPr>
              <w:ind w:left="180"/>
              <w:spacing w:after="0" w:line="141" w:lineRule="exact"/>
              <w:rPr>
                <w:sz w:val="20"/>
                <w:szCs w:val="20"/>
                <w:color w:val="auto"/>
              </w:rPr>
            </w:pPr>
            <w:r>
              <w:rPr>
                <w:rFonts w:ascii="Arial" w:cs="Arial" w:eastAsia="Arial" w:hAnsi="Arial"/>
                <w:sz w:val="14"/>
                <w:szCs w:val="14"/>
                <w:color w:val="auto"/>
                <w:w w:val="96"/>
              </w:rPr>
              <w:t>NetEase, Inc. and noncontrolling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rPr>
              <w:t>interest shareholders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w w:val="94"/>
              </w:rPr>
              <w:t>11,604,520</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188,343</w:t>
            </w:r>
          </w:p>
        </w:tc>
        <w:tc>
          <w:tcPr>
            <w:tcW w:w="1220" w:type="dxa"/>
            <w:vAlign w:val="bottom"/>
            <w:gridSpan w:val="3"/>
          </w:tcPr>
          <w:p>
            <w:pPr>
              <w:jc w:val="right"/>
              <w:ind w:right="100"/>
              <w:spacing w:after="0" w:line="160" w:lineRule="exact"/>
              <w:rPr>
                <w:sz w:val="20"/>
                <w:szCs w:val="20"/>
                <w:color w:val="auto"/>
              </w:rPr>
            </w:pPr>
            <w:r>
              <w:rPr>
                <w:rFonts w:ascii="Arial" w:cs="Arial" w:eastAsia="Arial" w:hAnsi="Arial"/>
                <w:sz w:val="14"/>
                <w:szCs w:val="14"/>
                <w:color w:val="auto"/>
              </w:rPr>
              <w:t>11,792,863</w:t>
            </w: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Repurchase of shares</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(33,116)</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94"/>
              </w:rPr>
              <w:t>(1,199,102)</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(1,199,102)</w:t>
            </w:r>
          </w:p>
        </w:tc>
      </w:tr>
      <w:tr>
        <w:trPr>
          <w:trHeight w:val="141"/>
        </w:trPr>
        <w:tc>
          <w:tcPr>
            <w:tcW w:w="2160" w:type="dxa"/>
            <w:vAlign w:val="bottom"/>
          </w:tcPr>
          <w:p>
            <w:pPr>
              <w:spacing w:after="0" w:line="141" w:lineRule="exact"/>
              <w:rPr>
                <w:sz w:val="20"/>
                <w:szCs w:val="20"/>
                <w:color w:val="auto"/>
              </w:rPr>
            </w:pPr>
            <w:r>
              <w:rPr>
                <w:rFonts w:ascii="Arial" w:cs="Arial" w:eastAsia="Arial" w:hAnsi="Arial"/>
                <w:sz w:val="14"/>
                <w:szCs w:val="14"/>
                <w:color w:val="auto"/>
              </w:rPr>
              <w:t>Cancellation of treasury stock</w:t>
            </w:r>
          </w:p>
        </w:tc>
        <w:tc>
          <w:tcPr>
            <w:tcW w:w="8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(33,116)</w:t>
            </w:r>
          </w:p>
        </w:tc>
        <w:tc>
          <w:tcPr>
            <w:tcW w:w="74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(27)</w:t>
            </w:r>
          </w:p>
        </w:tc>
        <w:tc>
          <w:tcPr>
            <w:tcW w:w="10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(1,199,075)</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33,116</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1,199,102</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23"/>
        </w:trPr>
        <w:tc>
          <w:tcPr>
            <w:tcW w:w="2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Net change in unrealized gains on</w:t>
            </w: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0"/>
        </w:trPr>
        <w:tc>
          <w:tcPr>
            <w:tcW w:w="21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available-for-sale securities</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34,027</w:t>
            </w:r>
          </w:p>
        </w:tc>
        <w:tc>
          <w:tcPr>
            <w:tcW w:w="78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34,027</w:t>
            </w:r>
          </w:p>
        </w:tc>
      </w:tr>
      <w:tr>
        <w:trPr>
          <w:trHeight w:val="123"/>
        </w:trPr>
        <w:tc>
          <w:tcPr>
            <w:tcW w:w="2160" w:type="dxa"/>
            <w:vAlign w:val="bottom"/>
          </w:tcPr>
          <w:p>
            <w:pPr>
              <w:spacing w:after="0" w:line="123" w:lineRule="exact"/>
              <w:rPr>
                <w:sz w:val="20"/>
                <w:szCs w:val="20"/>
                <w:color w:val="auto"/>
              </w:rPr>
            </w:pPr>
            <w:r>
              <w:rPr>
                <w:rFonts w:ascii="Arial" w:cs="Arial" w:eastAsia="Arial" w:hAnsi="Arial"/>
                <w:sz w:val="14"/>
                <w:szCs w:val="14"/>
                <w:color w:val="auto"/>
              </w:rPr>
              <w:t>Capital injection in subsidiaries by</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2160" w:type="dxa"/>
            <w:vAlign w:val="bottom"/>
          </w:tcPr>
          <w:p>
            <w:pPr>
              <w:ind w:left="180"/>
              <w:spacing w:after="0" w:line="141" w:lineRule="exact"/>
              <w:rPr>
                <w:sz w:val="20"/>
                <w:szCs w:val="20"/>
                <w:color w:val="auto"/>
              </w:rPr>
            </w:pPr>
            <w:r>
              <w:rPr>
                <w:rFonts w:ascii="Arial" w:cs="Arial" w:eastAsia="Arial" w:hAnsi="Arial"/>
                <w:sz w:val="14"/>
                <w:szCs w:val="14"/>
                <w:color w:val="auto"/>
              </w:rPr>
              <w:t>noncontrolling interests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2160" w:type="dxa"/>
            <w:vAlign w:val="bottom"/>
          </w:tcPr>
          <w:p>
            <w:pPr>
              <w:ind w:left="180"/>
              <w:spacing w:after="0" w:line="160" w:lineRule="exact"/>
              <w:rPr>
                <w:sz w:val="20"/>
                <w:szCs w:val="20"/>
                <w:color w:val="auto"/>
              </w:rPr>
            </w:pPr>
            <w:r>
              <w:rPr>
                <w:rFonts w:ascii="Arial" w:cs="Arial" w:eastAsia="Arial" w:hAnsi="Arial"/>
                <w:sz w:val="14"/>
                <w:szCs w:val="14"/>
                <w:color w:val="auto"/>
              </w:rPr>
              <w:t>shareholders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60" w:lineRule="exact"/>
              <w:rPr>
                <w:sz w:val="20"/>
                <w:szCs w:val="20"/>
                <w:color w:val="auto"/>
              </w:rPr>
            </w:pPr>
            <w:r>
              <w:rPr>
                <w:rFonts w:ascii="Arial" w:cs="Arial" w:eastAsia="Arial" w:hAnsi="Arial"/>
                <w:sz w:val="14"/>
                <w:szCs w:val="14"/>
                <w:color w:val="auto"/>
              </w:rPr>
              <w:t>3</w:t>
            </w:r>
          </w:p>
        </w:tc>
        <w:tc>
          <w:tcPr>
            <w:tcW w:w="1000" w:type="dxa"/>
            <w:vAlign w:val="bottom"/>
            <w:gridSpan w:val="2"/>
          </w:tcPr>
          <w:p>
            <w:pPr>
              <w:jc w:val="right"/>
              <w:ind w:right="120"/>
              <w:spacing w:after="0" w:line="160"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r>
      <w:tr>
        <w:trPr>
          <w:trHeight w:val="141"/>
        </w:trPr>
        <w:tc>
          <w:tcPr>
            <w:tcW w:w="21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Dividends to shareholders</w:t>
            </w:r>
          </w:p>
        </w:tc>
        <w:tc>
          <w:tcPr>
            <w:tcW w:w="8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97"/>
              </w:rPr>
              <w:t>(2,546,165)</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(2,546,165)</w:t>
            </w:r>
          </w:p>
        </w:tc>
      </w:tr>
      <w:tr>
        <w:trPr>
          <w:trHeight w:val="134"/>
        </w:trPr>
        <w:tc>
          <w:tcPr>
            <w:tcW w:w="2160" w:type="dxa"/>
            <w:vAlign w:val="bottom"/>
          </w:tcPr>
          <w:p>
            <w:pPr>
              <w:spacing w:after="0" w:line="135" w:lineRule="exact"/>
              <w:rPr>
                <w:sz w:val="20"/>
                <w:szCs w:val="20"/>
                <w:color w:val="auto"/>
              </w:rPr>
            </w:pPr>
            <w:r>
              <w:rPr>
                <w:rFonts w:ascii="Arial" w:cs="Arial" w:eastAsia="Arial" w:hAnsi="Arial"/>
                <w:sz w:val="14"/>
                <w:szCs w:val="14"/>
                <w:color w:val="auto"/>
              </w:rPr>
              <w:t>Balance as of December 31, 2016</w:t>
            </w: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3,281,480</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2,676</w:t>
            </w:r>
          </w:p>
        </w:tc>
        <w:tc>
          <w:tcPr>
            <w:tcW w:w="1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1,637,953</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1,160,161</w:t>
            </w:r>
          </w:p>
        </w:tc>
        <w:tc>
          <w:tcPr>
            <w:tcW w:w="80" w:type="dxa"/>
            <w:vAlign w:val="bottom"/>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61,479</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35,328,812</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271,860</w:t>
            </w: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38,462,941</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8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6060" w:type="dxa"/>
            <w:vAlign w:val="bottom"/>
          </w:tcPr>
          <w:p>
            <w:pPr>
              <w:spacing w:after="0"/>
              <w:rPr>
                <w:sz w:val="11"/>
                <w:szCs w:val="11"/>
                <w:color w:val="auto"/>
              </w:rPr>
            </w:pPr>
          </w:p>
        </w:tc>
        <w:tc>
          <w:tcPr>
            <w:tcW w:w="1140" w:type="dxa"/>
            <w:vAlign w:val="bottom"/>
            <w:tcBorders>
              <w:bottom w:val="single" w:sz="8" w:color="auto"/>
            </w:tcBorders>
          </w:tcPr>
          <w:p>
            <w:pPr>
              <w:jc w:val="right"/>
              <w:ind w:right="335"/>
              <w:spacing w:after="0" w:line="135"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right"/>
              <w:ind w:right="356"/>
              <w:spacing w:after="0" w:line="13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right"/>
              <w:ind w:right="355"/>
              <w:spacing w:after="0" w:line="13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11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1"/>
                <w:szCs w:val="11"/>
                <w:color w:val="auto"/>
              </w:rPr>
            </w:pPr>
          </w:p>
        </w:tc>
      </w:tr>
      <w:tr>
        <w:trPr>
          <w:trHeight w:val="112"/>
        </w:trPr>
        <w:tc>
          <w:tcPr>
            <w:tcW w:w="6060" w:type="dxa"/>
            <w:vAlign w:val="bottom"/>
          </w:tcPr>
          <w:p>
            <w:pPr>
              <w:spacing w:after="0"/>
              <w:rPr>
                <w:sz w:val="9"/>
                <w:szCs w:val="9"/>
                <w:color w:val="auto"/>
              </w:rPr>
            </w:pPr>
          </w:p>
        </w:tc>
        <w:tc>
          <w:tcPr>
            <w:tcW w:w="1140" w:type="dxa"/>
            <w:vAlign w:val="bottom"/>
          </w:tcPr>
          <w:p>
            <w:pPr>
              <w:jc w:val="right"/>
              <w:ind w:right="315"/>
              <w:spacing w:after="0" w:line="112" w:lineRule="exact"/>
              <w:rPr>
                <w:sz w:val="20"/>
                <w:szCs w:val="20"/>
                <w:color w:val="auto"/>
              </w:rPr>
            </w:pPr>
            <w:r>
              <w:rPr>
                <w:rFonts w:ascii="Arial" w:cs="Arial" w:eastAsia="Arial" w:hAnsi="Arial"/>
                <w:sz w:val="11"/>
                <w:szCs w:val="11"/>
                <w:b w:val="1"/>
                <w:bCs w:val="1"/>
                <w:color w:val="auto"/>
              </w:rPr>
              <w:t>RMB</w:t>
            </w:r>
          </w:p>
        </w:tc>
        <w:tc>
          <w:tcPr>
            <w:tcW w:w="240" w:type="dxa"/>
            <w:vAlign w:val="bottom"/>
          </w:tcPr>
          <w:p>
            <w:pPr>
              <w:spacing w:after="0"/>
              <w:rPr>
                <w:sz w:val="9"/>
                <w:szCs w:val="9"/>
                <w:color w:val="auto"/>
              </w:rPr>
            </w:pPr>
          </w:p>
        </w:tc>
        <w:tc>
          <w:tcPr>
            <w:tcW w:w="1140" w:type="dxa"/>
            <w:vAlign w:val="bottom"/>
          </w:tcPr>
          <w:p>
            <w:pPr>
              <w:jc w:val="right"/>
              <w:ind w:right="336"/>
              <w:spacing w:after="0" w:line="112" w:lineRule="exact"/>
              <w:rPr>
                <w:sz w:val="20"/>
                <w:szCs w:val="20"/>
                <w:color w:val="auto"/>
              </w:rPr>
            </w:pPr>
            <w:r>
              <w:rPr>
                <w:rFonts w:ascii="Arial" w:cs="Arial" w:eastAsia="Arial" w:hAnsi="Arial"/>
                <w:sz w:val="11"/>
                <w:szCs w:val="11"/>
                <w:b w:val="1"/>
                <w:bCs w:val="1"/>
                <w:color w:val="auto"/>
              </w:rPr>
              <w:t>RMB</w:t>
            </w:r>
          </w:p>
        </w:tc>
        <w:tc>
          <w:tcPr>
            <w:tcW w:w="240" w:type="dxa"/>
            <w:vAlign w:val="bottom"/>
          </w:tcPr>
          <w:p>
            <w:pPr>
              <w:spacing w:after="0"/>
              <w:rPr>
                <w:sz w:val="9"/>
                <w:szCs w:val="9"/>
                <w:color w:val="auto"/>
              </w:rPr>
            </w:pPr>
          </w:p>
        </w:tc>
        <w:tc>
          <w:tcPr>
            <w:tcW w:w="1140" w:type="dxa"/>
            <w:vAlign w:val="bottom"/>
          </w:tcPr>
          <w:p>
            <w:pPr>
              <w:jc w:val="right"/>
              <w:ind w:right="335"/>
              <w:spacing w:after="0" w:line="112" w:lineRule="exact"/>
              <w:rPr>
                <w:sz w:val="20"/>
                <w:szCs w:val="20"/>
                <w:color w:val="auto"/>
              </w:rPr>
            </w:pPr>
            <w:r>
              <w:rPr>
                <w:rFonts w:ascii="Arial" w:cs="Arial" w:eastAsia="Arial" w:hAnsi="Arial"/>
                <w:sz w:val="11"/>
                <w:szCs w:val="11"/>
                <w:b w:val="1"/>
                <w:bCs w:val="1"/>
                <w:color w:val="auto"/>
              </w:rPr>
              <w:t>RMB</w:t>
            </w:r>
          </w:p>
        </w:tc>
        <w:tc>
          <w:tcPr>
            <w:tcW w:w="240" w:type="dxa"/>
            <w:vAlign w:val="bottom"/>
          </w:tcPr>
          <w:p>
            <w:pPr>
              <w:spacing w:after="0"/>
              <w:rPr>
                <w:sz w:val="9"/>
                <w:szCs w:val="9"/>
                <w:color w:val="auto"/>
              </w:rPr>
            </w:pPr>
          </w:p>
        </w:tc>
        <w:tc>
          <w:tcPr>
            <w:tcW w:w="11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9"/>
                <w:szCs w:val="9"/>
                <w:color w:val="auto"/>
              </w:rPr>
            </w:pPr>
          </w:p>
        </w:tc>
      </w:tr>
      <w:tr>
        <w:trPr>
          <w:trHeight w:val="164"/>
        </w:trPr>
        <w:tc>
          <w:tcPr>
            <w:tcW w:w="6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Note 2(n)</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4,795,705</w:t>
            </w:r>
          </w:p>
        </w:tc>
        <w:tc>
          <w:tcPr>
            <w:tcW w:w="1140" w:type="dxa"/>
            <w:vAlign w:val="bottom"/>
          </w:tcPr>
          <w:p>
            <w:pPr>
              <w:jc w:val="right"/>
              <w:spacing w:after="0"/>
              <w:rPr>
                <w:sz w:val="20"/>
                <w:szCs w:val="20"/>
                <w:color w:val="auto"/>
              </w:rPr>
            </w:pPr>
            <w:r>
              <w:rPr>
                <w:rFonts w:ascii="Arial" w:cs="Arial" w:eastAsia="Arial" w:hAnsi="Arial"/>
                <w:sz w:val="17"/>
                <w:szCs w:val="17"/>
                <w:color w:val="auto"/>
              </w:rPr>
              <w:t>6,836,900</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11,792,863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1,698,526</w:t>
            </w:r>
          </w:p>
        </w:tc>
      </w:tr>
      <w:tr>
        <w:trPr>
          <w:trHeight w:val="206"/>
        </w:trPr>
        <w:tc>
          <w:tcPr>
            <w:tcW w:w="60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Adjustments to reconcile net income to net cash provided by operating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174,462</w:t>
            </w:r>
          </w:p>
        </w:tc>
        <w:tc>
          <w:tcPr>
            <w:tcW w:w="1140" w:type="dxa"/>
            <w:vAlign w:val="bottom"/>
          </w:tcPr>
          <w:p>
            <w:pPr>
              <w:jc w:val="right"/>
              <w:spacing w:after="0"/>
              <w:rPr>
                <w:sz w:val="20"/>
                <w:szCs w:val="20"/>
                <w:color w:val="auto"/>
              </w:rPr>
            </w:pPr>
            <w:r>
              <w:rPr>
                <w:rFonts w:ascii="Arial" w:cs="Arial" w:eastAsia="Arial" w:hAnsi="Arial"/>
                <w:sz w:val="17"/>
                <w:szCs w:val="17"/>
                <w:color w:val="auto"/>
              </w:rPr>
              <w:t>182,450</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327,515</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47,172</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impairment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24,040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12,037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278,906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40,171</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Share-based compensation cost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349,277</w:t>
            </w:r>
          </w:p>
        </w:tc>
        <w:tc>
          <w:tcPr>
            <w:tcW w:w="1140" w:type="dxa"/>
            <w:vAlign w:val="bottom"/>
          </w:tcPr>
          <w:p>
            <w:pPr>
              <w:jc w:val="right"/>
              <w:spacing w:after="0"/>
              <w:rPr>
                <w:sz w:val="20"/>
                <w:szCs w:val="20"/>
                <w:color w:val="auto"/>
              </w:rPr>
            </w:pPr>
            <w:r>
              <w:rPr>
                <w:rFonts w:ascii="Arial" w:cs="Arial" w:eastAsia="Arial" w:hAnsi="Arial"/>
                <w:sz w:val="17"/>
                <w:szCs w:val="17"/>
                <w:color w:val="auto"/>
              </w:rPr>
              <w:t>684,467</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990,131</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142,609</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Allowance for provision for doubtful accounts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3,765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4,041</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1,433</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Loss on disposal of property, equipment and software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1,507</w:t>
            </w:r>
          </w:p>
        </w:tc>
        <w:tc>
          <w:tcPr>
            <w:tcW w:w="1140" w:type="dxa"/>
            <w:vAlign w:val="bottom"/>
          </w:tcPr>
          <w:p>
            <w:pPr>
              <w:jc w:val="right"/>
              <w:spacing w:after="0"/>
              <w:rPr>
                <w:sz w:val="20"/>
                <w:szCs w:val="20"/>
                <w:color w:val="auto"/>
              </w:rPr>
            </w:pPr>
            <w:r>
              <w:rPr>
                <w:rFonts w:ascii="Arial" w:cs="Arial" w:eastAsia="Arial" w:hAnsi="Arial"/>
                <w:sz w:val="17"/>
                <w:szCs w:val="17"/>
                <w:color w:val="auto"/>
              </w:rPr>
              <w:t>5,903</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1,276</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Unrealized exchange losses/(gains)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18,764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(116,772)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(166,638)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(24,001)</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Gain on disposal of long-term investments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(234,050)</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(33,710)</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(117,342)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(147,285)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66,676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9,603</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Net equity share of losses from associated companies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48,955</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76,134</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85,813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12,360</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Fair value changes of short-term investments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(64,249)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(140,104)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(304,605)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(43,872)</w:t>
            </w:r>
          </w:p>
        </w:tc>
      </w:tr>
      <w:tr>
        <w:trPr>
          <w:trHeight w:val="206"/>
        </w:trPr>
        <w:tc>
          <w:tcPr>
            <w:tcW w:w="6060" w:type="dxa"/>
            <w:vAlign w:val="bottom"/>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(474,381)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(1,744,059)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(1,646,885)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(237,201)</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(8,213)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(789,514)</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(760,365)</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(109,515)</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Prepayments and other current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(284,203)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(1,249,573)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(1,063,997)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(153,248)</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190,453</w:t>
            </w:r>
          </w:p>
        </w:tc>
        <w:tc>
          <w:tcPr>
            <w:tcW w:w="1140" w:type="dxa"/>
            <w:vAlign w:val="bottom"/>
          </w:tcPr>
          <w:p>
            <w:pPr>
              <w:jc w:val="right"/>
              <w:spacing w:after="0"/>
              <w:rPr>
                <w:sz w:val="20"/>
                <w:szCs w:val="20"/>
                <w:color w:val="auto"/>
              </w:rPr>
            </w:pPr>
            <w:r>
              <w:rPr>
                <w:rFonts w:ascii="Arial" w:cs="Arial" w:eastAsia="Arial" w:hAnsi="Arial"/>
                <w:sz w:val="17"/>
                <w:szCs w:val="17"/>
                <w:color w:val="auto"/>
              </w:rPr>
              <w:t>243,140</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604,089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87,007</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Salary and welfare payables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157,448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386,417</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570,466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82,164</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Taxes payable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259,828</w:t>
            </w:r>
          </w:p>
        </w:tc>
        <w:tc>
          <w:tcPr>
            <w:tcW w:w="1140" w:type="dxa"/>
            <w:vAlign w:val="bottom"/>
          </w:tcPr>
          <w:p>
            <w:pPr>
              <w:jc w:val="right"/>
              <w:spacing w:after="0"/>
              <w:rPr>
                <w:sz w:val="20"/>
                <w:szCs w:val="20"/>
                <w:color w:val="auto"/>
              </w:rPr>
            </w:pPr>
            <w:r>
              <w:rPr>
                <w:rFonts w:ascii="Arial" w:cs="Arial" w:eastAsia="Arial" w:hAnsi="Arial"/>
                <w:sz w:val="17"/>
                <w:szCs w:val="17"/>
                <w:color w:val="auto"/>
              </w:rPr>
              <w:t>401,924</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986,390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142,070</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486,744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2,683,970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2,879,489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414,733</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Accrued liabilities and other payables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310,463</w:t>
            </w:r>
          </w:p>
        </w:tc>
        <w:tc>
          <w:tcPr>
            <w:tcW w:w="1140" w:type="dxa"/>
            <w:vAlign w:val="bottom"/>
          </w:tcPr>
          <w:p>
            <w:pPr>
              <w:jc w:val="right"/>
              <w:spacing w:after="0"/>
              <w:rPr>
                <w:sz w:val="20"/>
                <w:szCs w:val="20"/>
                <w:color w:val="auto"/>
              </w:rPr>
            </w:pPr>
            <w:r>
              <w:rPr>
                <w:rFonts w:ascii="Arial" w:cs="Arial" w:eastAsia="Arial" w:hAnsi="Arial"/>
                <w:sz w:val="17"/>
                <w:szCs w:val="17"/>
                <w:color w:val="auto"/>
              </w:rPr>
              <w:t>746,844</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1,071,240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154,291</w:t>
            </w:r>
          </w:p>
        </w:tc>
      </w:tr>
      <w:tr>
        <w:trPr>
          <w:trHeight w:val="199"/>
        </w:trPr>
        <w:tc>
          <w:tcPr>
            <w:tcW w:w="6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5,873,023</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8,076,920</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15,488,266</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2,230,776</w:t>
            </w:r>
          </w:p>
        </w:tc>
        <w:tc>
          <w:tcPr>
            <w:tcW w:w="100" w:type="dxa"/>
            <w:vAlign w:val="bottom"/>
            <w:tcBorders>
              <w:top w:val="single" w:sz="8" w:color="CCEEFF"/>
            </w:tcBorders>
            <w:shd w:val="clear" w:color="auto" w:fill="CCEEFF"/>
          </w:tcPr>
          <w:p>
            <w:pPr>
              <w:spacing w:after="0"/>
              <w:rPr>
                <w:sz w:val="17"/>
                <w:szCs w:val="17"/>
                <w:color w:val="auto"/>
              </w:rPr>
            </w:pPr>
          </w:p>
        </w:tc>
      </w:tr>
      <w:tr>
        <w:trPr>
          <w:trHeight w:val="199"/>
        </w:trPr>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Purchase of property, equipment and software</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(537,376)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(866,314)</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(1,135,533)</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(163,551)</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sale of property, equipment and software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1,463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Purchase of other intangible assets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(14,011)</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(347)</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(4,434)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(639)</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land use right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(66,957)</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(163,998)</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Net change of short-term investments with terms of three months or less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247,406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(231,306)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(3,704,332)</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(533,535)</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short-term investments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(2,358,122)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(5,687,000)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(12,439,000)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(1,791,589)</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Proceeds from maturities of short-term investments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1,017,596</w:t>
            </w:r>
          </w:p>
        </w:tc>
        <w:tc>
          <w:tcPr>
            <w:tcW w:w="1140" w:type="dxa"/>
            <w:vAlign w:val="bottom"/>
          </w:tcPr>
          <w:p>
            <w:pPr>
              <w:jc w:val="right"/>
              <w:spacing w:after="0"/>
              <w:rPr>
                <w:sz w:val="20"/>
                <w:szCs w:val="20"/>
                <w:color w:val="auto"/>
              </w:rPr>
            </w:pPr>
            <w:r>
              <w:rPr>
                <w:rFonts w:ascii="Arial" w:cs="Arial" w:eastAsia="Arial" w:hAnsi="Arial"/>
                <w:sz w:val="17"/>
                <w:szCs w:val="17"/>
                <w:color w:val="auto"/>
              </w:rPr>
              <w:t>3,103,463</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9,879,319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1,422,918</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 an associated company</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(20,000)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(187,532)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(364,486)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(52,497)</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Acquisitions of other long-term investments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(155,553)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(1,178,929)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(181,117)</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(26,086)</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disposal of long-term investment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249,569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35,945</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Transfer to restricted cash</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(492,149)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(763,493)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(2,140,421)</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(308,285)</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Placement/rollover of matured time deposits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(21,955,012)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(19,017,824)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(20,367,430)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(2,933,520)</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Proceeds from maturity of time deposits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19,905,004</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22,582,480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16,377,449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2,358,844</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other assets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(92,455)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(127,016)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(173,402)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(24,975)</w:t>
            </w:r>
          </w:p>
        </w:tc>
      </w:tr>
      <w:tr>
        <w:trPr>
          <w:trHeight w:val="199"/>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(4,520,166)</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(2,536,524)</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(14,001,814)</w:t>
            </w:r>
          </w:p>
        </w:tc>
        <w:tc>
          <w:tcPr>
            <w:tcW w:w="2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(2,016,682)</w:t>
            </w:r>
          </w:p>
        </w:tc>
        <w:tc>
          <w:tcPr>
            <w:tcW w:w="100" w:type="dxa"/>
            <w:vAlign w:val="bottom"/>
            <w:tcBorders>
              <w:bottom w:val="single" w:sz="8" w:color="CCEEFF"/>
            </w:tcBorders>
          </w:tcPr>
          <w:p>
            <w:pPr>
              <w:spacing w:after="0"/>
              <w:rPr>
                <w:sz w:val="17"/>
                <w:szCs w:val="17"/>
                <w:color w:val="auto"/>
              </w:rPr>
            </w:pPr>
          </w:p>
        </w:tc>
      </w:tr>
      <w:tr>
        <w:trPr>
          <w:trHeight w:val="199"/>
        </w:trPr>
        <w:tc>
          <w:tcPr>
            <w:tcW w:w="6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of short-term bank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2,046,669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5,828,758</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11,354,866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1,635,441</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Payment of short-term bank loan</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(975,504)</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(5,741,616)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(9,860,110)</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(1,420,151)</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exercise of employees’ stock options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2,917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Dividends paid to shareholders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(1,983,010)</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(1,467,965)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(2,546,165)</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(366,724)</w:t>
            </w:r>
          </w:p>
        </w:tc>
      </w:tr>
      <w:tr>
        <w:trPr>
          <w:trHeight w:val="193"/>
        </w:trPr>
        <w:tc>
          <w:tcPr>
            <w:tcW w:w="60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Capital injection from/(repurchase of) mezzanine classified noncontrolling</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60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interests shareholders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130,365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(134,736)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tcPr>
          <w:p>
            <w:pPr>
              <w:ind w:left="340"/>
              <w:spacing w:after="0"/>
              <w:rPr>
                <w:sz w:val="20"/>
                <w:szCs w:val="20"/>
                <w:color w:val="auto"/>
              </w:rPr>
            </w:pPr>
            <w:r>
              <w:rPr>
                <w:rFonts w:ascii="Arial" w:cs="Arial" w:eastAsia="Arial" w:hAnsi="Arial"/>
                <w:sz w:val="17"/>
                <w:szCs w:val="17"/>
                <w:color w:val="auto"/>
              </w:rPr>
              <w:t>Capital injection from noncontrolling interest shareholders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15,015</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6"/>
        </w:trPr>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Repurchase of shares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(132,192)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(1,199,102)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(172,707)</w:t>
            </w:r>
          </w:p>
        </w:tc>
      </w:tr>
      <w:tr>
        <w:trPr>
          <w:trHeight w:val="199"/>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cash used in financing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(778,442)</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(1,632,736)</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(2,250,507)</w:t>
            </w:r>
          </w:p>
        </w:tc>
        <w:tc>
          <w:tcPr>
            <w:tcW w:w="2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(324,140)</w:t>
            </w:r>
          </w:p>
        </w:tc>
        <w:tc>
          <w:tcPr>
            <w:tcW w:w="100" w:type="dxa"/>
            <w:vAlign w:val="bottom"/>
            <w:tcBorders>
              <w:bottom w:val="single" w:sz="8" w:color="CCEEFF"/>
            </w:tcBorders>
          </w:tcPr>
          <w:p>
            <w:pPr>
              <w:spacing w:after="0"/>
              <w:rPr>
                <w:sz w:val="17"/>
                <w:szCs w:val="17"/>
                <w:color w:val="auto"/>
              </w:rPr>
            </w:pPr>
          </w:p>
        </w:tc>
      </w:tr>
      <w:tr>
        <w:trPr>
          <w:trHeight w:val="199"/>
        </w:trPr>
        <w:tc>
          <w:tcPr>
            <w:tcW w:w="6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b w:val="1"/>
                <w:bCs w:val="1"/>
                <w:color w:val="auto"/>
              </w:rPr>
              <w:t>Effect of exchange rate changes on cash held in foreign currencies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(11,260)</w:t>
            </w:r>
          </w:p>
        </w:tc>
        <w:tc>
          <w:tcPr>
            <w:tcW w:w="1140" w:type="dxa"/>
            <w:vAlign w:val="bottom"/>
          </w:tcPr>
          <w:p>
            <w:pPr>
              <w:jc w:val="right"/>
              <w:spacing w:after="0"/>
              <w:rPr>
                <w:sz w:val="20"/>
                <w:szCs w:val="20"/>
                <w:color w:val="auto"/>
              </w:rPr>
            </w:pPr>
            <w:r>
              <w:rPr>
                <w:rFonts w:ascii="Arial" w:cs="Arial" w:eastAsia="Arial" w:hAnsi="Arial"/>
                <w:sz w:val="17"/>
                <w:szCs w:val="17"/>
                <w:color w:val="auto"/>
              </w:rPr>
              <w:t>142,374</w:t>
            </w:r>
          </w:p>
        </w:tc>
        <w:tc>
          <w:tcPr>
            <w:tcW w:w="2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132,067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19,021</w:t>
            </w:r>
          </w:p>
        </w:tc>
      </w:tr>
      <w:tr>
        <w:trPr>
          <w:trHeight w:val="206"/>
        </w:trPr>
        <w:tc>
          <w:tcPr>
            <w:tcW w:w="6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b w:val="1"/>
                <w:bCs w:val="1"/>
                <w:color w:val="auto"/>
              </w:rPr>
              <w:t>Net increase/(decrease) in cash and cash equivalents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563,155</w:t>
            </w:r>
          </w:p>
        </w:tc>
        <w:tc>
          <w:tcPr>
            <w:tcW w:w="1140" w:type="dxa"/>
            <w:vAlign w:val="bottom"/>
          </w:tcPr>
          <w:p>
            <w:pPr>
              <w:jc w:val="right"/>
              <w:spacing w:after="0"/>
              <w:rPr>
                <w:sz w:val="20"/>
                <w:szCs w:val="20"/>
                <w:color w:val="auto"/>
              </w:rPr>
            </w:pPr>
            <w:r>
              <w:rPr>
                <w:rFonts w:ascii="Arial" w:cs="Arial" w:eastAsia="Arial" w:hAnsi="Arial"/>
                <w:sz w:val="17"/>
                <w:szCs w:val="17"/>
                <w:color w:val="auto"/>
              </w:rPr>
              <w:t>4,050,034</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(631,988)</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(91,025)</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beginning of the year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1,458,298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2,021,453</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6,071,487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874,476</w:t>
            </w:r>
          </w:p>
        </w:tc>
      </w:tr>
      <w:tr>
        <w:trPr>
          <w:trHeight w:val="239"/>
        </w:trPr>
        <w:tc>
          <w:tcPr>
            <w:tcW w:w="60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Cash and cash equivalents end of the year</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2,021,453</w:t>
            </w:r>
          </w:p>
        </w:tc>
        <w:tc>
          <w:tcPr>
            <w:tcW w:w="2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6,071,487</w:t>
            </w:r>
          </w:p>
        </w:tc>
        <w:tc>
          <w:tcPr>
            <w:tcW w:w="2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5,439,499</w:t>
            </w:r>
          </w:p>
        </w:tc>
        <w:tc>
          <w:tcPr>
            <w:tcW w:w="2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783,451</w:t>
            </w:r>
          </w:p>
        </w:tc>
        <w:tc>
          <w:tcPr>
            <w:tcW w:w="100" w:type="dxa"/>
            <w:vAlign w:val="bottom"/>
            <w:tcBorders>
              <w:bottom w:val="single" w:sz="8" w:color="CCEEFF"/>
            </w:tcBorders>
          </w:tcPr>
          <w:p>
            <w:pPr>
              <w:spacing w:after="0"/>
              <w:rPr>
                <w:sz w:val="20"/>
                <w:szCs w:val="20"/>
                <w:color w:val="auto"/>
              </w:rPr>
            </w:pPr>
          </w:p>
        </w:tc>
      </w:tr>
      <w:tr>
        <w:trPr>
          <w:trHeight w:val="184"/>
        </w:trPr>
        <w:tc>
          <w:tcPr>
            <w:tcW w:w="60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rPr>
          <w:sz w:val="20"/>
          <w:szCs w:val="20"/>
          <w:color w:val="auto"/>
        </w:rPr>
      </w:pPr>
      <w:r>
        <w:rPr>
          <w:rFonts w:ascii="Arial" w:cs="Arial" w:eastAsia="Arial" w:hAnsi="Arial"/>
          <w:sz w:val="17"/>
          <w:szCs w:val="17"/>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252970" cy="4763"/>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970" cy="4763"/>
                    </a:xfrm>
                    <a:prstGeom prst="rect">
                      <a:avLst/>
                    </a:prstGeom>
                    <a:noFill/>
                  </pic:spPr>
                </pic:pic>
              </a:graphicData>
            </a:graphic>
          </wp:anchor>
        </w:drawing>
      </w:r>
    </w:p>
    <w:p>
      <w:pPr>
        <w:sectPr>
          <w:pgSz w:w="11900" w:h="16884" w:orient="portrait"/>
          <w:cols w:equalWidth="0" w:num="1">
            <w:col w:w="11420"/>
          </w:cols>
          <w:pgMar w:left="240" w:top="102" w:right="239" w:bottom="0" w:gutter="0" w:footer="0" w:header="0"/>
        </w:sectPr>
      </w:pPr>
    </w:p>
    <w:bookmarkStart w:id="84" w:name="page85"/>
    <w:bookmarkEnd w:id="84"/>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Cash paid for income taxes, net of tax refund</w:t>
            </w: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551,303</w:t>
            </w:r>
          </w:p>
        </w:tc>
        <w:tc>
          <w:tcPr>
            <w:tcW w:w="13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1,124,339</w:t>
            </w:r>
          </w:p>
        </w:tc>
        <w:tc>
          <w:tcPr>
            <w:tcW w:w="14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1,097,178</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158,027</w:t>
            </w:r>
          </w:p>
        </w:tc>
        <w:tc>
          <w:tcPr>
            <w:tcW w:w="40" w:type="dxa"/>
            <w:vAlign w:val="bottom"/>
          </w:tcPr>
          <w:p>
            <w:pPr>
              <w:spacing w:after="0"/>
              <w:rPr>
                <w:sz w:val="17"/>
                <w:szCs w:val="17"/>
                <w:color w:val="auto"/>
              </w:rPr>
            </w:pPr>
          </w:p>
        </w:tc>
      </w:tr>
      <w:tr>
        <w:trPr>
          <w:trHeight w:val="206"/>
        </w:trPr>
        <w:tc>
          <w:tcPr>
            <w:tcW w:w="6320" w:type="dxa"/>
            <w:vAlign w:val="bottom"/>
            <w:gridSpan w:val="3"/>
          </w:tcPr>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24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Fixed asset purchases financed by accounts payable</w:t>
            </w: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80,575</w:t>
            </w:r>
          </w:p>
        </w:tc>
        <w:tc>
          <w:tcPr>
            <w:tcW w:w="13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216,328</w:t>
            </w:r>
          </w:p>
        </w:tc>
        <w:tc>
          <w:tcPr>
            <w:tcW w:w="14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260,277</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37,488</w:t>
            </w:r>
          </w:p>
        </w:tc>
        <w:tc>
          <w:tcPr>
            <w:tcW w:w="40" w:type="dxa"/>
            <w:vAlign w:val="bottom"/>
          </w:tcPr>
          <w:p>
            <w:pPr>
              <w:spacing w:after="0"/>
              <w:rPr>
                <w:sz w:val="17"/>
                <w:szCs w:val="17"/>
                <w:color w:val="auto"/>
              </w:rPr>
            </w:pPr>
          </w:p>
        </w:tc>
      </w:tr>
      <w:tr>
        <w:trPr>
          <w:trHeight w:val="346"/>
        </w:trPr>
        <w:tc>
          <w:tcPr>
            <w:tcW w:w="6320" w:type="dxa"/>
            <w:vAlign w:val="bottom"/>
            <w:gridSpan w:val="3"/>
          </w:tcPr>
          <w:p>
            <w:pPr>
              <w:spacing w:after="0"/>
              <w:rPr>
                <w:sz w:val="20"/>
                <w:szCs w:val="20"/>
                <w:color w:val="auto"/>
              </w:rPr>
            </w:pPr>
            <w:r>
              <w:rPr>
                <w:rFonts w:ascii="Arial" w:cs="Arial" w:eastAsia="Arial" w:hAnsi="Arial"/>
                <w:sz w:val="17"/>
                <w:szCs w:val="17"/>
                <w:color w:val="auto"/>
                <w:w w:val="95"/>
              </w:rPr>
              <w:t>The accompanying notes are an integral part of these consolidated financial statements.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7"/>
        </w:trPr>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00" w:type="dxa"/>
            <w:vAlign w:val="bottom"/>
          </w:tcPr>
          <w:p>
            <w:pPr>
              <w:ind w:left="4380"/>
              <w:spacing w:after="0"/>
              <w:rPr>
                <w:sz w:val="20"/>
                <w:szCs w:val="20"/>
                <w:color w:val="auto"/>
              </w:rPr>
            </w:pPr>
            <w:r>
              <w:rPr>
                <w:rFonts w:ascii="Arial" w:cs="Arial" w:eastAsia="Arial" w:hAnsi="Arial"/>
                <w:sz w:val="17"/>
                <w:szCs w:val="17"/>
                <w:color w:val="auto"/>
              </w:rPr>
              <w:t>F-6</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1220" w:type="dxa"/>
            <w:vAlign w:val="bottom"/>
            <w:tcBorders>
              <w:bottom w:val="single" w:sz="8" w:color="808080"/>
            </w:tcBorders>
            <w:gridSpan w:val="2"/>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8"/>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2">
              <w:r>
                <w:rPr>
                  <w:rFonts w:ascii="Arial" w:cs="Arial" w:eastAsia="Arial" w:hAnsi="Arial"/>
                  <w:sz w:val="17"/>
                  <w:szCs w:val="17"/>
                  <w:color w:val="0000EE"/>
                  <w:w w:val="89"/>
                </w:rPr>
                <w:t>Table of Contents</w:t>
              </w:r>
            </w:hyperlink>
          </w:p>
        </w:tc>
        <w:tc>
          <w:tcPr>
            <w:tcW w:w="5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6320" w:type="dxa"/>
            <w:vAlign w:val="bottom"/>
            <w:gridSpan w:val="3"/>
          </w:tcPr>
          <w:p>
            <w:pPr>
              <w:spacing w:after="0"/>
              <w:rPr>
                <w:sz w:val="20"/>
                <w:szCs w:val="20"/>
                <w:color w:val="auto"/>
              </w:rPr>
            </w:pPr>
            <w:r>
              <w:rPr>
                <w:rFonts w:ascii="Arial" w:cs="Arial" w:eastAsia="Arial" w:hAnsi="Arial"/>
                <w:sz w:val="17"/>
                <w:szCs w:val="17"/>
                <w:b w:val="1"/>
                <w:bCs w:val="1"/>
                <w:color w:val="auto"/>
              </w:rPr>
              <w:t>Notes to the Consolidated Financial Statements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6320" w:type="dxa"/>
            <w:vAlign w:val="bottom"/>
            <w:gridSpan w:val="3"/>
          </w:tcPr>
          <w:p>
            <w:pPr>
              <w:spacing w:after="0"/>
              <w:rPr>
                <w:sz w:val="20"/>
                <w:szCs w:val="20"/>
                <w:color w:val="auto"/>
              </w:rPr>
            </w:pPr>
            <w:r>
              <w:rPr>
                <w:rFonts w:ascii="Arial" w:cs="Arial" w:eastAsia="Arial" w:hAnsi="Arial"/>
                <w:sz w:val="17"/>
                <w:szCs w:val="17"/>
                <w:color w:val="auto"/>
              </w:rPr>
              <w:t>(Amounts expressed in Renminbi (“RMB”), unless otherwise stated)</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7"/>
                <w:szCs w:val="17"/>
                <w:b w:val="1"/>
                <w:bCs w:val="1"/>
                <w:color w:val="auto"/>
              </w:rPr>
              <w:t>1.</w:t>
            </w:r>
          </w:p>
        </w:tc>
        <w:tc>
          <w:tcPr>
            <w:tcW w:w="6080" w:type="dxa"/>
            <w:vAlign w:val="bottom"/>
            <w:gridSpan w:val="2"/>
          </w:tcPr>
          <w:p>
            <w:pPr>
              <w:ind w:left="380"/>
              <w:spacing w:after="0"/>
              <w:rPr>
                <w:sz w:val="20"/>
                <w:szCs w:val="20"/>
                <w:color w:val="auto"/>
              </w:rPr>
            </w:pPr>
            <w:r>
              <w:rPr>
                <w:rFonts w:ascii="Arial" w:cs="Arial" w:eastAsia="Arial" w:hAnsi="Arial"/>
                <w:sz w:val="17"/>
                <w:szCs w:val="17"/>
                <w:b w:val="1"/>
                <w:bCs w:val="1"/>
                <w:color w:val="auto"/>
              </w:rPr>
              <w:t>Organization and Nature of Operations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-1021715</wp:posOffset>
            </wp:positionV>
            <wp:extent cx="12700"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-1021715</wp:posOffset>
            </wp:positionV>
            <wp:extent cx="12700"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69" w:lineRule="exact"/>
        <w:rPr>
          <w:sz w:val="20"/>
          <w:szCs w:val="20"/>
          <w:color w:val="auto"/>
        </w:rPr>
      </w:pPr>
    </w:p>
    <w:p>
      <w:pPr>
        <w:ind w:left="620" w:hanging="617"/>
        <w:spacing w:after="0"/>
        <w:tabs>
          <w:tab w:leader="none" w:pos="62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The Group</w:t>
      </w:r>
    </w:p>
    <w:p>
      <w:pPr>
        <w:spacing w:after="0" w:line="22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2016, the Company has wholly-owned and majority-owned subsidiaries incorporated in countries and jurisdictions major including the People’s Republic of China (“PRC”), Hong Kong, Cayman Islands and British Virgin Islands (“BVI”). As of December 31, 2016, the Company also effectively controls a number of variable interest entities (“VIEs”) for which the Company is the primary beneficiary. The Company, its subsidiaries and VIEs are hereinafter collectively referred to as the “Group”. The major subsidiaries and VIEs through which the Company conducts its business operations as of December 31, 2016 are described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6"/>
              </w:rPr>
              <w:t>Place and year of</w:t>
            </w:r>
          </w:p>
        </w:tc>
        <w:tc>
          <w:tcPr>
            <w:tcW w:w="0" w:type="dxa"/>
            <w:vAlign w:val="bottom"/>
          </w:tcPr>
          <w:p>
            <w:pPr>
              <w:spacing w:after="0"/>
              <w:rPr>
                <w:sz w:val="1"/>
                <w:szCs w:val="1"/>
                <w:color w:val="auto"/>
              </w:rPr>
            </w:pPr>
          </w:p>
        </w:tc>
      </w:tr>
      <w:tr>
        <w:trPr>
          <w:trHeight w:val="164"/>
        </w:trPr>
        <w:tc>
          <w:tcPr>
            <w:tcW w:w="8560" w:type="dxa"/>
            <w:vAlign w:val="bottom"/>
            <w:gridSpan w:val="2"/>
            <w:vMerge w:val="continue"/>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0" w:type="dxa"/>
            <w:vAlign w:val="bottom"/>
          </w:tcPr>
          <w:p>
            <w:pPr>
              <w:spacing w:after="0"/>
              <w:rPr>
                <w:sz w:val="1"/>
                <w:szCs w:val="1"/>
                <w:color w:val="auto"/>
              </w:rPr>
            </w:pPr>
          </w:p>
        </w:tc>
      </w:tr>
      <w:tr>
        <w:trPr>
          <w:trHeight w:val="199"/>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NetEase Information Technology (Beijing) Co., Ltd. (“NetEase Beijing”)</w:t>
            </w:r>
          </w:p>
        </w:tc>
        <w:tc>
          <w:tcPr>
            <w:tcW w:w="2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Beijing, China 1999</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Guangzhou Boguan Telecommunication Technology Co., Ltd. (“Boguan”)</w:t>
            </w:r>
          </w:p>
        </w:tc>
        <w:tc>
          <w:tcPr>
            <w:tcW w:w="2860" w:type="dxa"/>
            <w:vAlign w:val="bottom"/>
          </w:tcPr>
          <w:p>
            <w:pPr>
              <w:jc w:val="center"/>
              <w:spacing w:after="0"/>
              <w:rPr>
                <w:sz w:val="20"/>
                <w:szCs w:val="20"/>
                <w:color w:val="auto"/>
              </w:rPr>
            </w:pPr>
            <w:r>
              <w:rPr>
                <w:rFonts w:ascii="Arial" w:cs="Arial" w:eastAsia="Arial" w:hAnsi="Arial"/>
                <w:sz w:val="17"/>
                <w:szCs w:val="17"/>
                <w:color w:val="auto"/>
                <w:w w:val="91"/>
              </w:rPr>
              <w:t>Guangzhou, China 2003</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Youdao Information Technology (Beijing) Co., Ltd. (“Youdao Information”)</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Beijing, China 2006</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NetEase (Hangzhou) Network Co., Ltd. (“NetEase Hangzhou”)</w:t>
            </w:r>
          </w:p>
        </w:tc>
        <w:tc>
          <w:tcPr>
            <w:tcW w:w="2860" w:type="dxa"/>
            <w:vAlign w:val="bottom"/>
          </w:tcPr>
          <w:p>
            <w:pPr>
              <w:jc w:val="center"/>
              <w:spacing w:after="0"/>
              <w:rPr>
                <w:sz w:val="20"/>
                <w:szCs w:val="20"/>
                <w:color w:val="auto"/>
              </w:rPr>
            </w:pPr>
            <w:r>
              <w:rPr>
                <w:rFonts w:ascii="Arial" w:cs="Arial" w:eastAsia="Arial" w:hAnsi="Arial"/>
                <w:sz w:val="17"/>
                <w:szCs w:val="17"/>
                <w:color w:val="auto"/>
                <w:w w:val="91"/>
              </w:rPr>
              <w:t>Hangzhou, China 2006</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Langhe Technology Co., Ltd. (“Hangzhou Langhe”)</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Hangzhou, China 2009</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Lede Technology Co., Ltd. (“Lede Technology”)</w:t>
            </w: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Hangzhou, China 2011</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Media Technology (Beijing) Co., Ltd. (“Media Beijing”)</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Beijing, China 2012</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HQG, Limited (“HQG”)</w:t>
            </w:r>
          </w:p>
        </w:tc>
        <w:tc>
          <w:tcPr>
            <w:tcW w:w="2860" w:type="dxa"/>
            <w:vAlign w:val="bottom"/>
          </w:tcPr>
          <w:p>
            <w:pPr>
              <w:jc w:val="center"/>
              <w:spacing w:after="0"/>
              <w:rPr>
                <w:sz w:val="20"/>
                <w:szCs w:val="20"/>
                <w:color w:val="auto"/>
              </w:rPr>
            </w:pPr>
            <w:r>
              <w:rPr>
                <w:rFonts w:ascii="Arial" w:cs="Arial" w:eastAsia="Arial" w:hAnsi="Arial"/>
                <w:sz w:val="17"/>
                <w:szCs w:val="17"/>
                <w:color w:val="auto"/>
                <w:w w:val="92"/>
              </w:rPr>
              <w:t>Hong Kong, China 2014</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Youmai Technology Co., Ltd. (“Hangzhou Youmai”)</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Hangzhou, China 2014</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Tianjin Wang Zhi Yi Innovation and Technology Co., Ltd. (“Tianjin Technology”)</w:t>
            </w:r>
          </w:p>
        </w:tc>
        <w:tc>
          <w:tcPr>
            <w:tcW w:w="2860" w:type="dxa"/>
            <w:vAlign w:val="bottom"/>
          </w:tcPr>
          <w:p>
            <w:pPr>
              <w:jc w:val="center"/>
              <w:spacing w:after="0"/>
              <w:rPr>
                <w:sz w:val="20"/>
                <w:szCs w:val="20"/>
                <w:color w:val="auto"/>
              </w:rPr>
            </w:pPr>
            <w:r>
              <w:rPr>
                <w:rFonts w:ascii="Arial" w:cs="Arial" w:eastAsia="Arial" w:hAnsi="Arial"/>
                <w:sz w:val="17"/>
                <w:szCs w:val="17"/>
                <w:color w:val="auto"/>
                <w:w w:val="92"/>
              </w:rPr>
              <w:t>Tianjin, China 2015</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Netease Yanxuan Trading Co., Ltd. (“Hangzhou Yanxuan”)</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Hangzhou, China 2016</w:t>
            </w:r>
          </w:p>
        </w:tc>
        <w:tc>
          <w:tcPr>
            <w:tcW w:w="0" w:type="dxa"/>
            <w:vAlign w:val="bottom"/>
          </w:tcPr>
          <w:p>
            <w:pPr>
              <w:spacing w:after="0"/>
              <w:rPr>
                <w:sz w:val="1"/>
                <w:szCs w:val="1"/>
                <w:color w:val="auto"/>
              </w:rPr>
            </w:pPr>
          </w:p>
        </w:tc>
      </w:tr>
      <w:tr>
        <w:trPr>
          <w:trHeight w:val="325"/>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VIEs and VIEs’ subsidiaries</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6"/>
              </w:rPr>
              <w:t>Place and year of</w:t>
            </w:r>
          </w:p>
        </w:tc>
        <w:tc>
          <w:tcPr>
            <w:tcW w:w="0" w:type="dxa"/>
            <w:vAlign w:val="bottom"/>
          </w:tcPr>
          <w:p>
            <w:pPr>
              <w:spacing w:after="0"/>
              <w:rPr>
                <w:sz w:val="1"/>
                <w:szCs w:val="1"/>
                <w:color w:val="auto"/>
              </w:rPr>
            </w:pPr>
          </w:p>
        </w:tc>
      </w:tr>
      <w:tr>
        <w:trPr>
          <w:trHeight w:val="164"/>
        </w:trPr>
        <w:tc>
          <w:tcPr>
            <w:tcW w:w="8560" w:type="dxa"/>
            <w:vAlign w:val="bottom"/>
            <w:gridSpan w:val="2"/>
            <w:vMerge w:val="continue"/>
          </w:tcPr>
          <w:p>
            <w:pPr>
              <w:spacing w:after="0"/>
              <w:rPr>
                <w:sz w:val="14"/>
                <w:szCs w:val="1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Incorporation</w:t>
            </w:r>
          </w:p>
        </w:tc>
        <w:tc>
          <w:tcPr>
            <w:tcW w:w="0" w:type="dxa"/>
            <w:vAlign w:val="bottom"/>
          </w:tcPr>
          <w:p>
            <w:pPr>
              <w:spacing w:after="0"/>
              <w:rPr>
                <w:sz w:val="1"/>
                <w:szCs w:val="1"/>
                <w:color w:val="auto"/>
              </w:rPr>
            </w:pPr>
          </w:p>
        </w:tc>
      </w:tr>
      <w:tr>
        <w:trPr>
          <w:trHeight w:val="199"/>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Guangzhou NetEase Computer System Co., Ltd. (“Guangzhou NetEase”)</w:t>
            </w:r>
          </w:p>
        </w:tc>
        <w:tc>
          <w:tcPr>
            <w:tcW w:w="2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Guangzhou, China 1997</w:t>
            </w:r>
          </w:p>
        </w:tc>
        <w:tc>
          <w:tcPr>
            <w:tcW w:w="0" w:type="dxa"/>
            <w:vAlign w:val="bottom"/>
          </w:tcPr>
          <w:p>
            <w:pPr>
              <w:spacing w:after="0"/>
              <w:rPr>
                <w:sz w:val="1"/>
                <w:szCs w:val="1"/>
                <w:color w:val="auto"/>
              </w:rPr>
            </w:pPr>
          </w:p>
        </w:tc>
      </w:tr>
      <w:tr>
        <w:trPr>
          <w:trHeight w:val="193"/>
        </w:trPr>
        <w:tc>
          <w:tcPr>
            <w:tcW w:w="8560" w:type="dxa"/>
            <w:vAlign w:val="bottom"/>
            <w:gridSpan w:val="2"/>
          </w:tcPr>
          <w:p>
            <w:pPr>
              <w:spacing w:after="0" w:line="194" w:lineRule="exact"/>
              <w:rPr>
                <w:sz w:val="20"/>
                <w:szCs w:val="20"/>
                <w:color w:val="auto"/>
              </w:rPr>
            </w:pPr>
            <w:r>
              <w:rPr>
                <w:rFonts w:ascii="Arial" w:cs="Arial" w:eastAsia="Arial" w:hAnsi="Arial"/>
                <w:sz w:val="17"/>
                <w:szCs w:val="17"/>
                <w:color w:val="auto"/>
              </w:rPr>
              <w:t>Beijing NetEase Media Co., Ltd. (previously named “Beijing Guangyitong Advertising Co., Ltd.”) (“NetEase</w:t>
            </w:r>
          </w:p>
        </w:tc>
        <w:tc>
          <w:tcPr>
            <w:tcW w:w="2860" w:type="dxa"/>
            <w:vAlign w:val="bottom"/>
          </w:tcPr>
          <w:p>
            <w:pPr>
              <w:jc w:val="center"/>
              <w:spacing w:after="0" w:line="194" w:lineRule="exact"/>
              <w:rPr>
                <w:sz w:val="20"/>
                <w:szCs w:val="20"/>
                <w:color w:val="auto"/>
              </w:rPr>
            </w:pPr>
            <w:r>
              <w:rPr>
                <w:rFonts w:ascii="Arial" w:cs="Arial" w:eastAsia="Arial" w:hAnsi="Arial"/>
                <w:sz w:val="17"/>
                <w:szCs w:val="17"/>
                <w:color w:val="auto"/>
                <w:w w:val="94"/>
              </w:rPr>
              <w:t>Beijing, China 1999</w:t>
            </w:r>
          </w:p>
        </w:tc>
        <w:tc>
          <w:tcPr>
            <w:tcW w:w="0" w:type="dxa"/>
            <w:vAlign w:val="bottom"/>
          </w:tcPr>
          <w:p>
            <w:pPr>
              <w:spacing w:after="0"/>
              <w:rPr>
                <w:sz w:val="1"/>
                <w:szCs w:val="1"/>
                <w:color w:val="auto"/>
              </w:rPr>
            </w:pPr>
          </w:p>
        </w:tc>
      </w:tr>
      <w:tr>
        <w:trPr>
          <w:trHeight w:val="217"/>
        </w:trPr>
        <w:tc>
          <w:tcPr>
            <w:tcW w:w="8560" w:type="dxa"/>
            <w:vAlign w:val="bottom"/>
            <w:gridSpan w:val="2"/>
          </w:tcPr>
          <w:p>
            <w:pPr>
              <w:spacing w:after="0"/>
              <w:rPr>
                <w:sz w:val="20"/>
                <w:szCs w:val="20"/>
                <w:color w:val="auto"/>
              </w:rPr>
            </w:pPr>
            <w:r>
              <w:rPr>
                <w:rFonts w:ascii="Arial" w:cs="Arial" w:eastAsia="Arial" w:hAnsi="Arial"/>
                <w:sz w:val="17"/>
                <w:szCs w:val="17"/>
                <w:color w:val="auto"/>
              </w:rPr>
              <w:t>Advertising”)</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Shanghai EaseNet Network Technology Co., Ltd. (“Shanghai EaseNet”)</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Shanghai, China 2008</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StormNet Information Technology (Hong Kong) Limited (“StormNet IT HK”)</w:t>
            </w:r>
          </w:p>
        </w:tc>
        <w:tc>
          <w:tcPr>
            <w:tcW w:w="2860" w:type="dxa"/>
            <w:vAlign w:val="bottom"/>
          </w:tcPr>
          <w:p>
            <w:pPr>
              <w:jc w:val="center"/>
              <w:spacing w:after="0"/>
              <w:rPr>
                <w:sz w:val="20"/>
                <w:szCs w:val="20"/>
                <w:color w:val="auto"/>
              </w:rPr>
            </w:pPr>
            <w:r>
              <w:rPr>
                <w:rFonts w:ascii="Arial" w:cs="Arial" w:eastAsia="Arial" w:hAnsi="Arial"/>
                <w:sz w:val="17"/>
                <w:szCs w:val="17"/>
                <w:color w:val="auto"/>
                <w:w w:val="92"/>
              </w:rPr>
              <w:t>Hong Kong, China 2008</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StormNet Information Technology (Shanghai) Co., Ltd. (“StormNet IT SH”)</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Shanghai, China 2008</w:t>
            </w:r>
          </w:p>
        </w:tc>
        <w:tc>
          <w:tcPr>
            <w:tcW w:w="0" w:type="dxa"/>
            <w:vAlign w:val="bottom"/>
          </w:tcPr>
          <w:p>
            <w:pPr>
              <w:spacing w:after="0"/>
              <w:rPr>
                <w:sz w:val="1"/>
                <w:szCs w:val="1"/>
                <w:color w:val="auto"/>
              </w:rPr>
            </w:pPr>
          </w:p>
        </w:tc>
      </w:tr>
      <w:tr>
        <w:trPr>
          <w:trHeight w:val="206"/>
        </w:trPr>
        <w:tc>
          <w:tcPr>
            <w:tcW w:w="8560" w:type="dxa"/>
            <w:vAlign w:val="bottom"/>
            <w:gridSpan w:val="2"/>
          </w:tcPr>
          <w:p>
            <w:pPr>
              <w:spacing w:after="0"/>
              <w:rPr>
                <w:sz w:val="20"/>
                <w:szCs w:val="20"/>
                <w:color w:val="auto"/>
              </w:rPr>
            </w:pPr>
            <w:r>
              <w:rPr>
                <w:rFonts w:ascii="Arial" w:cs="Arial" w:eastAsia="Arial" w:hAnsi="Arial"/>
                <w:sz w:val="17"/>
                <w:szCs w:val="17"/>
                <w:color w:val="auto"/>
              </w:rPr>
              <w:t>Hangzhou NetEase Leihuo Network Co., Ltd. (“HZ Leihuo”)</w:t>
            </w:r>
          </w:p>
        </w:tc>
        <w:tc>
          <w:tcPr>
            <w:tcW w:w="2860" w:type="dxa"/>
            <w:vAlign w:val="bottom"/>
          </w:tcPr>
          <w:p>
            <w:pPr>
              <w:jc w:val="center"/>
              <w:spacing w:after="0"/>
              <w:rPr>
                <w:sz w:val="20"/>
                <w:szCs w:val="20"/>
                <w:color w:val="auto"/>
              </w:rPr>
            </w:pPr>
            <w:r>
              <w:rPr>
                <w:rFonts w:ascii="Arial" w:cs="Arial" w:eastAsia="Arial" w:hAnsi="Arial"/>
                <w:sz w:val="17"/>
                <w:szCs w:val="17"/>
                <w:color w:val="auto"/>
                <w:w w:val="91"/>
              </w:rPr>
              <w:t>Hangzhou, China 2009</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Wangyibao Co., Ltd. (“Wangyibao Company”)</w:t>
            </w: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Hangzhou, China 2010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Guangzhou NetEase, a principal VIE of the Company, was incorporated in June 1997 in China and owned by William Lei Ding, the Company’s Chief Executive Officer, director and major shareholder, and another Chinese employee of the Group. It is responsible for providing online game, e-mail and other value-added telecommunication services.</w:t>
      </w:r>
    </w:p>
    <w:p>
      <w:pPr>
        <w:spacing w:after="0" w:line="176"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NetEase Advertising, owned by William Lei Ding and another Chinese employee of the Group, was incorporated in November 1999 in China. NetEase Advertising operates the Company’s portal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HZ Leihuo was incorporated in April 2009 in China by two Chinese employees of the Group and currently operates the Company’s mobile game business.</w:t>
      </w:r>
    </w:p>
    <w:p>
      <w:pPr>
        <w:spacing w:after="0" w:line="228"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Wangyibao Company was incorporated in July 2010 in China as a wholly-owned subsidiary of Guangzhou NetEase for the purpose of operating the Wangyibao online payment platform of the Company to facilitate e-payments by online game or other services customers to the Company.</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In addition, Shanghai EaseNet is a PRC company owned by William Lei Ding, and has contractual arrangements with the joint venture established between, and owned equally by, Blizzard Entertainment, Inc. (“Blizzard”) and the Company, and with the Company. The joint venture was established concurrently with the licensing of certain online games in August 2008 and provides technical services to Shanghai EaseNet. The joint venture currently consists of two companies, StormNet IT HK and its wholly-owned subsidiary StormNet IT SH.</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combined financial information of the Group’s VIEs was included in the accompanying consolidated financial statements of the Group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6,404,523</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10,631,045</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7"/>
                <w:szCs w:val="17"/>
                <w:color w:val="auto"/>
              </w:rPr>
              <w:t>Total liabilities</w:t>
            </w:r>
          </w:p>
        </w:tc>
        <w:tc>
          <w:tcPr>
            <w:tcW w:w="1360" w:type="dxa"/>
            <w:vAlign w:val="bottom"/>
          </w:tcPr>
          <w:p>
            <w:pPr>
              <w:jc w:val="right"/>
              <w:spacing w:after="0"/>
              <w:rPr>
                <w:sz w:val="20"/>
                <w:szCs w:val="20"/>
                <w:color w:val="auto"/>
              </w:rPr>
            </w:pPr>
            <w:r>
              <w:rPr>
                <w:rFonts w:ascii="Arial" w:cs="Arial" w:eastAsia="Arial" w:hAnsi="Arial"/>
                <w:sz w:val="17"/>
                <w:szCs w:val="17"/>
                <w:color w:val="auto"/>
              </w:rPr>
              <w:t>6,174,820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9,971,110</w:t>
            </w:r>
          </w:p>
        </w:tc>
        <w:tc>
          <w:tcPr>
            <w:tcW w:w="100" w:type="dxa"/>
            <w:vAlign w:val="bottom"/>
          </w:tcPr>
          <w:p>
            <w:pPr>
              <w:spacing w:after="0"/>
              <w:rPr>
                <w:sz w:val="18"/>
                <w:szCs w:val="18"/>
                <w:color w:val="auto"/>
              </w:rPr>
            </w:pPr>
          </w:p>
        </w:tc>
      </w:tr>
    </w:tbl>
    <w:p>
      <w:pPr>
        <w:spacing w:after="0" w:line="172" w:lineRule="exact"/>
        <w:rPr>
          <w:sz w:val="20"/>
          <w:szCs w:val="20"/>
          <w:color w:val="auto"/>
        </w:rPr>
      </w:pPr>
    </w:p>
    <w:p>
      <w:pPr>
        <w:sectPr>
          <w:pgSz w:w="11900" w:h="16907" w:orient="portrait"/>
          <w:cols w:equalWidth="0" w:num="1">
            <w:col w:w="11460"/>
          </w:cols>
          <w:pgMar w:left="240" w:top="140" w:right="199" w:bottom="0" w:gutter="0" w:footer="0" w:header="0"/>
        </w:sectPr>
      </w:pPr>
    </w:p>
    <w:p>
      <w:pPr>
        <w:jc w:val="center"/>
        <w:ind w:left="63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1905</wp:posOffset>
            </wp:positionV>
            <wp:extent cx="2948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48305" cy="8255"/>
                    </a:xfrm>
                    <a:prstGeom prst="rect">
                      <a:avLst/>
                    </a:prstGeom>
                    <a:noFill/>
                  </pic:spPr>
                </pic:pic>
              </a:graphicData>
            </a:graphic>
          </wp:anchor>
        </w:drawing>
      </w:r>
    </w:p>
    <w:p>
      <w:pPr>
        <w:ind w:left="7120"/>
        <w:spacing w:after="0"/>
        <w:tabs>
          <w:tab w:leader="none" w:pos="8740" w:val="left"/>
          <w:tab w:leader="none" w:pos="103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1"/>
          <w:szCs w:val="11"/>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-7620</wp:posOffset>
            </wp:positionV>
            <wp:extent cx="2948305" cy="4763"/>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48305" cy="4763"/>
                    </a:xfrm>
                    <a:prstGeom prst="rect">
                      <a:avLst/>
                    </a:prstGeom>
                    <a:noFill/>
                  </pic:spPr>
                </pic:pic>
              </a:graphicData>
            </a:graphic>
          </wp:anchor>
        </w:drawing>
      </w:r>
    </w:p>
    <w:p>
      <w:pPr>
        <w:sectPr>
          <w:pgSz w:w="11900" w:h="16907" w:orient="portrait"/>
          <w:cols w:equalWidth="0" w:num="1">
            <w:col w:w="11460"/>
          </w:cols>
          <w:pgMar w:left="240" w:top="140" w:right="199" w:bottom="0" w:gutter="0" w:footer="0" w:header="0"/>
          <w:type w:val="continuous"/>
        </w:sectPr>
      </w:pPr>
    </w:p>
    <w:bookmarkStart w:id="85" w:name="page86"/>
    <w:bookmarkEnd w:id="85"/>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r>
      <w:tr>
        <w:trPr>
          <w:trHeight w:val="20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11,293,218</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19,819,474</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31,043,737</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Net income</w:t>
            </w:r>
          </w:p>
        </w:tc>
        <w:tc>
          <w:tcPr>
            <w:tcW w:w="1360" w:type="dxa"/>
            <w:vAlign w:val="bottom"/>
          </w:tcPr>
          <w:p>
            <w:pPr>
              <w:jc w:val="right"/>
              <w:spacing w:after="0"/>
              <w:rPr>
                <w:sz w:val="20"/>
                <w:szCs w:val="20"/>
                <w:color w:val="auto"/>
              </w:rPr>
            </w:pPr>
            <w:r>
              <w:rPr>
                <w:rFonts w:ascii="Arial" w:cs="Arial" w:eastAsia="Arial" w:hAnsi="Arial"/>
                <w:sz w:val="17"/>
                <w:szCs w:val="17"/>
                <w:color w:val="auto"/>
              </w:rPr>
              <w:t>139,560</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343,942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448,771</w:t>
            </w:r>
          </w:p>
        </w:tc>
        <w:tc>
          <w:tcPr>
            <w:tcW w:w="100" w:type="dxa"/>
            <w:vAlign w:val="bottom"/>
          </w:tcPr>
          <w:p>
            <w:pPr>
              <w:spacing w:after="0"/>
              <w:rPr>
                <w:sz w:val="18"/>
                <w:szCs w:val="18"/>
                <w:color w:val="auto"/>
              </w:rPr>
            </w:pPr>
          </w:p>
        </w:tc>
      </w:tr>
      <w:tr>
        <w:trPr>
          <w:trHeight w:val="33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280" w:type="dxa"/>
            <w:vAlign w:val="bottom"/>
            <w:tcBorders>
              <w:bottom w:val="single" w:sz="8" w:color="auto"/>
            </w:tcBorders>
            <w:gridSpan w:val="4"/>
          </w:tcPr>
          <w:p>
            <w:pPr>
              <w:jc w:val="center"/>
              <w:ind w:left="1262"/>
              <w:spacing w:after="0"/>
              <w:rPr>
                <w:sz w:val="20"/>
                <w:szCs w:val="20"/>
                <w:color w:val="auto"/>
              </w:rPr>
            </w:pPr>
            <w:r>
              <w:rPr>
                <w:rFonts w:ascii="Arial" w:cs="Arial" w:eastAsia="Arial" w:hAnsi="Arial"/>
                <w:sz w:val="14"/>
                <w:szCs w:val="14"/>
                <w:b w:val="1"/>
                <w:bCs w:val="1"/>
                <w:color w:val="auto"/>
                <w:w w:val="88"/>
              </w:rPr>
              <w:t>For the year ended December 31,</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4"/>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368,209</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931,049</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1,736,702</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660" w:type="dxa"/>
            <w:vAlign w:val="bottom"/>
            <w:gridSpan w:val="2"/>
          </w:tcPr>
          <w:p>
            <w:pPr>
              <w:jc w:val="right"/>
              <w:ind w:right="240"/>
              <w:spacing w:after="0"/>
              <w:rPr>
                <w:sz w:val="20"/>
                <w:szCs w:val="20"/>
                <w:color w:val="auto"/>
              </w:rPr>
            </w:pPr>
            <w:r>
              <w:rPr>
                <w:rFonts w:ascii="Arial" w:cs="Arial" w:eastAsia="Arial" w:hAnsi="Arial"/>
                <w:sz w:val="17"/>
                <w:szCs w:val="17"/>
                <w:color w:val="auto"/>
              </w:rPr>
              <w:t>(148,982)</w:t>
            </w: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(327,330)</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(270,733)</w:t>
            </w:r>
          </w:p>
        </w:tc>
      </w:tr>
      <w:tr>
        <w:trPr>
          <w:trHeight w:val="20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(89,996)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(57,000)</w:t>
            </w:r>
          </w:p>
        </w:tc>
      </w:tr>
    </w:tbl>
    <w:p>
      <w:pPr>
        <w:spacing w:after="0" w:line="19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RMB454.2 million and RMB533.2 million, respectively, as of December 31, 2015 and 2016, as well as certain non-distributable statutory reserves amounting to approximately RMB15.8 million and RMB21.3 million, respectively, as of December 31, 2015 and 2016. As the respective VIEs are incorporated as limited liability companies under the PRC Company Law, creditors do not have recourse to the general credit of the Company for the liabilities of the respective VIEs.</w:t>
      </w:r>
    </w:p>
    <w:p>
      <w:pPr>
        <w:spacing w:after="0" w:line="18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There is no entity in the Company’s group for which the Company has a variable interest but is not the primary beneficiary as of December 31, 2016.</w:t>
      </w:r>
    </w:p>
    <w:p>
      <w:pPr>
        <w:spacing w:after="0" w:line="210" w:lineRule="exact"/>
        <w:rPr>
          <w:sz w:val="20"/>
          <w:szCs w:val="20"/>
          <w:color w:val="auto"/>
        </w:rPr>
      </w:pPr>
    </w:p>
    <w:p>
      <w:pPr>
        <w:ind w:left="640" w:hanging="637"/>
        <w:spacing w:after="0"/>
        <w:tabs>
          <w:tab w:leader="none" w:pos="64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Group generates revenues from providing online game services, advertising services and from e-mail, e-commerce and other services.</w:t>
      </w:r>
    </w:p>
    <w:p>
      <w:pPr>
        <w:spacing w:after="0" w:line="2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industry in which the Group operates is subject to a number of industry-specific risk factors, including, but not limited to, rapidly changing technologies; government regulations of the Internet and online game industry in China; significant numbers of new entrants; dependence on key individuals; competition of similar services from larger companies; customer preferences; and the need for the continued successful development, marketing and selling of its services.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VIE Arrangements with Guangzhou NetEase, NetEase Advertising, HZ Leihuo, and Shanghai EaseNet</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principal VIEs with respect to the operation of the NetEase websites, operation of self-developed and licensed online and mobile games, Internet content and wireless value-added services, as well as the provision of advertising services. Our VIEs include: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80"/>
        <w:spacing w:after="0" w:line="278" w:lineRule="auto"/>
        <w:tabs>
          <w:tab w:leader="none" w:pos="124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Guangzhou NetEase (owned by William Lei Ding or Mr. Ding, the Company’s Officer, director and principal shareholder, and a Chinese employee of the Group, (together referred as “the VIE shareholders”)*),</w:t>
      </w:r>
    </w:p>
    <w:p>
      <w:pPr>
        <w:spacing w:after="0" w:line="164" w:lineRule="exact"/>
        <w:rPr>
          <w:rFonts w:ascii="Arial" w:cs="Arial" w:eastAsia="Arial" w:hAnsi="Arial"/>
          <w:sz w:val="17"/>
          <w:szCs w:val="17"/>
          <w:color w:val="auto"/>
        </w:rPr>
      </w:pPr>
    </w:p>
    <w:p>
      <w:pPr>
        <w:ind w:left="1240" w:hanging="620"/>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NetEase Advertising (owned by Mr. Ding and another Chinese employee of the Group* *),</w:t>
      </w:r>
    </w:p>
    <w:p>
      <w:pPr>
        <w:spacing w:after="0" w:line="216" w:lineRule="exact"/>
        <w:rPr>
          <w:rFonts w:ascii="Arial" w:cs="Arial" w:eastAsia="Arial" w:hAnsi="Arial"/>
          <w:sz w:val="17"/>
          <w:szCs w:val="17"/>
          <w:color w:val="auto"/>
        </w:rPr>
      </w:pPr>
    </w:p>
    <w:p>
      <w:pPr>
        <w:ind w:left="1240" w:hanging="620"/>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HZ Leihuo (owned by two employees of the Group), and</w:t>
      </w:r>
    </w:p>
    <w:p>
      <w:pPr>
        <w:spacing w:after="0" w:line="216" w:lineRule="exact"/>
        <w:rPr>
          <w:rFonts w:ascii="Arial" w:cs="Arial" w:eastAsia="Arial" w:hAnsi="Arial"/>
          <w:sz w:val="17"/>
          <w:szCs w:val="17"/>
          <w:color w:val="auto"/>
        </w:rPr>
      </w:pPr>
    </w:p>
    <w:p>
      <w:pPr>
        <w:ind w:left="1240" w:hanging="620"/>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Shanghai EaseNet (owned by Mr. Ding).</w:t>
      </w:r>
    </w:p>
    <w:p>
      <w:pPr>
        <w:spacing w:after="0" w:line="2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Based on the agreements with these VIEs, the Company’s subsidiaries NetEase Beijing, Media Beijing, Boguan and NetEase Hangzhou provided technical consulting and related services to these VIEs. In 2012, these agreements were replaced with the following new cooperative agreements to reflect a change in the tax rules in China which resulted in the Company’s business in China becoming subject to a value-added tax instead of a business tax. The principal agreements that transfer economic benefits of Guangzhou NetEase and NetEase Advertising to the Company and its subsidiaries are:</w:t>
      </w:r>
    </w:p>
    <w:p>
      <w:pPr>
        <w:spacing w:after="0" w:line="164" w:lineRule="exact"/>
        <w:rPr>
          <w:sz w:val="20"/>
          <w:szCs w:val="20"/>
          <w:color w:val="auto"/>
        </w:rPr>
      </w:pPr>
    </w:p>
    <w:p>
      <w:pPr>
        <w:ind w:left="1240" w:right="240" w:hanging="620"/>
        <w:spacing w:after="0" w:line="265" w:lineRule="auto"/>
        <w:tabs>
          <w:tab w:leader="none" w:pos="1206"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Cooperative agreements with Guangzhou NetEase </w:t>
      </w:r>
      <w:r>
        <w:rPr>
          <w:rFonts w:ascii="Arial" w:cs="Arial" w:eastAsia="Arial" w:hAnsi="Arial"/>
          <w:sz w:val="17"/>
          <w:szCs w:val="17"/>
          <w:color w:val="auto"/>
        </w:rPr>
        <w:t>— under these agreements, the Company’s subsidiaries NetEase Beijing, Boguan and NetEase</w:t>
      </w:r>
      <w:r>
        <w:rPr>
          <w:rFonts w:ascii="Arial" w:cs="Arial" w:eastAsia="Arial" w:hAnsi="Arial"/>
          <w:sz w:val="17"/>
          <w:szCs w:val="17"/>
          <w:i w:val="1"/>
          <w:iCs w:val="1"/>
          <w:color w:val="auto"/>
        </w:rPr>
        <w:t xml:space="preserve"> </w:t>
      </w:r>
      <w:r>
        <w:rPr>
          <w:rFonts w:ascii="Arial" w:cs="Arial" w:eastAsia="Arial" w:hAnsi="Arial"/>
          <w:sz w:val="17"/>
          <w:szCs w:val="17"/>
          <w:color w:val="auto"/>
        </w:rPr>
        <w:t>Hangzhou provide various technical consulting and related services to Guangzhou NetEase in exchange for substantially all of Guangzhou NetEase’s net profits.</w:t>
      </w:r>
    </w:p>
    <w:p>
      <w:pPr>
        <w:spacing w:after="0" w:line="175" w:lineRule="exact"/>
        <w:rPr>
          <w:rFonts w:ascii="Arial" w:cs="Arial" w:eastAsia="Arial" w:hAnsi="Arial"/>
          <w:sz w:val="17"/>
          <w:szCs w:val="17"/>
          <w:color w:val="auto"/>
        </w:rPr>
      </w:pPr>
    </w:p>
    <w:p>
      <w:pPr>
        <w:ind w:left="1240" w:right="120" w:hanging="620"/>
        <w:spacing w:after="0" w:line="347" w:lineRule="auto"/>
        <w:tabs>
          <w:tab w:leader="none" w:pos="1206" w:val="left"/>
        </w:tabs>
        <w:numPr>
          <w:ilvl w:val="0"/>
          <w:numId w:val="103"/>
        </w:numPr>
        <w:rPr>
          <w:rFonts w:ascii="Arial" w:cs="Arial" w:eastAsia="Arial" w:hAnsi="Arial"/>
          <w:sz w:val="15"/>
          <w:szCs w:val="15"/>
          <w:color w:val="auto"/>
        </w:rPr>
      </w:pPr>
      <w:r>
        <w:rPr>
          <w:rFonts w:ascii="Arial" w:cs="Arial" w:eastAsia="Arial" w:hAnsi="Arial"/>
          <w:sz w:val="15"/>
          <w:szCs w:val="15"/>
          <w:i w:val="1"/>
          <w:iCs w:val="1"/>
          <w:color w:val="auto"/>
        </w:rPr>
        <w:t xml:space="preserve">Cooperative agreements with NetEase Advertising </w:t>
      </w:r>
      <w:r>
        <w:rPr>
          <w:rFonts w:ascii="Arial" w:cs="Arial" w:eastAsia="Arial" w:hAnsi="Arial"/>
          <w:sz w:val="15"/>
          <w:szCs w:val="15"/>
          <w:color w:val="auto"/>
        </w:rPr>
        <w:t>— under these agreements, NetEase Beijing until October 2013, and Media Beijing from</w:t>
      </w:r>
      <w:r>
        <w:rPr>
          <w:rFonts w:ascii="Arial" w:cs="Arial" w:eastAsia="Arial" w:hAnsi="Arial"/>
          <w:sz w:val="15"/>
          <w:szCs w:val="15"/>
          <w:i w:val="1"/>
          <w:iCs w:val="1"/>
          <w:color w:val="auto"/>
        </w:rPr>
        <w:t xml:space="preserve"> </w:t>
      </w:r>
      <w:r>
        <w:rPr>
          <w:rFonts w:ascii="Arial" w:cs="Arial" w:eastAsia="Arial" w:hAnsi="Arial"/>
          <w:sz w:val="15"/>
          <w:szCs w:val="15"/>
          <w:color w:val="auto"/>
        </w:rPr>
        <w:t>October 2013 onwards, provide various technical consulting and related services in exchange for substantially all of NetEase Advertising’s profits.</w:t>
      </w:r>
    </w:p>
    <w:p>
      <w:pPr>
        <w:spacing w:after="0" w:line="119" w:lineRule="exact"/>
        <w:rPr>
          <w:sz w:val="20"/>
          <w:szCs w:val="20"/>
          <w:color w:val="auto"/>
        </w:rPr>
      </w:pPr>
    </w:p>
    <w:p>
      <w:pPr>
        <w:ind w:left="1240" w:right="120"/>
        <w:spacing w:after="0" w:line="278" w:lineRule="auto"/>
        <w:rPr>
          <w:sz w:val="20"/>
          <w:szCs w:val="20"/>
          <w:color w:val="auto"/>
        </w:rPr>
      </w:pPr>
      <w:r>
        <w:rPr>
          <w:rFonts w:ascii="Arial" w:cs="Arial" w:eastAsia="Arial" w:hAnsi="Arial"/>
          <w:sz w:val="17"/>
          <w:szCs w:val="17"/>
          <w:color w:val="auto"/>
        </w:rPr>
        <w:t>Each cooperative agreement will remain in effect indefinitely unless any one of the contract parties terminates such agreement by written notice or otherwise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agreements that provide the Company and its subsidiaries effective control over Guangzhou NetEase are:</w:t>
      </w:r>
    </w:p>
    <w:p>
      <w:pPr>
        <w:spacing w:after="0" w:line="216" w:lineRule="exact"/>
        <w:rPr>
          <w:sz w:val="20"/>
          <w:szCs w:val="20"/>
          <w:color w:val="auto"/>
        </w:rPr>
      </w:pPr>
    </w:p>
    <w:p>
      <w:pPr>
        <w:jc w:val="both"/>
        <w:ind w:left="1240" w:right="200" w:hanging="620"/>
        <w:spacing w:after="0" w:line="317" w:lineRule="auto"/>
        <w:tabs>
          <w:tab w:leader="none" w:pos="12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Shareholder Voting Rights Trust Agreement among the VIE shareholders and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39" w:lineRule="exact"/>
        <w:rPr>
          <w:rFonts w:ascii="Arial" w:cs="Arial" w:eastAsia="Arial" w:hAnsi="Arial"/>
          <w:sz w:val="15"/>
          <w:szCs w:val="15"/>
          <w:color w:val="auto"/>
        </w:rPr>
      </w:pPr>
    </w:p>
    <w:p>
      <w:pPr>
        <w:jc w:val="both"/>
        <w:ind w:left="1240" w:right="20" w:hanging="620"/>
        <w:spacing w:after="0" w:line="291" w:lineRule="auto"/>
        <w:tabs>
          <w:tab w:leader="none" w:pos="12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William Lei Ding.</w:t>
      </w:r>
    </w:p>
    <w:p>
      <w:pPr>
        <w:ind w:left="1240" w:right="20"/>
        <w:spacing w:after="0" w:line="282" w:lineRule="auto"/>
        <w:rPr>
          <w:rFonts w:ascii="Arial" w:cs="Arial" w:eastAsia="Arial" w:hAnsi="Arial"/>
          <w:sz w:val="15"/>
          <w:szCs w:val="15"/>
          <w:color w:val="auto"/>
        </w:rPr>
      </w:pPr>
      <w:r>
        <w:rPr>
          <w:rFonts w:ascii="Arial" w:cs="Arial" w:eastAsia="Arial" w:hAnsi="Arial"/>
          <w:sz w:val="16"/>
          <w:szCs w:val="16"/>
          <w:color w:val="auto"/>
        </w:rPr>
        <w:t>The VIE shareholders have also agreed that, if any amendments to the above mentioned agreements require a vote of the shareholders of NetEase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20" w:lineRule="exact"/>
        <w:rPr>
          <w:sz w:val="20"/>
          <w:szCs w:val="20"/>
          <w:color w:val="auto"/>
        </w:rPr>
      </w:pPr>
    </w:p>
    <w:p>
      <w:pPr>
        <w:sectPr>
          <w:pgSz w:w="11900" w:h="16873" w:orient="portrait"/>
          <w:cols w:equalWidth="0" w:num="1">
            <w:col w:w="11420"/>
          </w:cols>
          <w:pgMar w:left="240" w:top="118" w:right="239" w:bottom="0" w:gutter="0" w:footer="0" w:header="0"/>
        </w:sectPr>
      </w:pPr>
    </w:p>
    <w:bookmarkStart w:id="86" w:name="page87"/>
    <w:bookmarkEnd w:id="86"/>
    <w:p>
      <w:pPr>
        <w:jc w:val="both"/>
        <w:ind w:left="1240" w:right="80" w:hanging="620"/>
        <w:spacing w:after="0" w:line="289" w:lineRule="auto"/>
        <w:tabs>
          <w:tab w:leader="none" w:pos="120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Other Governance Arrangements. The parties have agreed that upon NetEase’s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29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57" w:lineRule="exact"/>
        <w:rPr>
          <w:sz w:val="20"/>
          <w:szCs w:val="20"/>
          <w:color w:val="auto"/>
        </w:rPr>
      </w:pPr>
    </w:p>
    <w:p>
      <w:pPr>
        <w:ind w:left="620" w:right="20"/>
        <w:spacing w:after="0" w:line="261" w:lineRule="auto"/>
        <w:tabs>
          <w:tab w:leader="none" w:pos="96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May 2014, NetEase Beijing caused the 10.0% interest in Guangzhou NetEase held by Bo Ding to be transferred to William Lei Ding (9.0%) and one Chinese employee of the Group (1.0%). As a result of this transfer, William Lei Ding and that employee of the Group own 99.0% and 1.0% of the equity interest in Guangzhou NetEase, respectively. Concurrently, Bo Ding transferred the 20.0% equity interest in NetEase Advertising held by him to William Lei Ding.</w:t>
      </w:r>
    </w:p>
    <w:p>
      <w:pPr>
        <w:spacing w:after="0" w:line="179" w:lineRule="exact"/>
        <w:rPr>
          <w:sz w:val="20"/>
          <w:szCs w:val="20"/>
          <w:color w:val="auto"/>
        </w:rPr>
      </w:pPr>
    </w:p>
    <w:p>
      <w:pPr>
        <w:ind w:left="620" w:right="140"/>
        <w:spacing w:after="0" w:line="265" w:lineRule="auto"/>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November 2015, Guangzhou NetEase transferred its 80.0% interest in NetEase Advertising to William Lei Ding (79.0%) and one Chinese employee of the Group (1.0%). As a result of this transfer, William Lei Ding and that employee of the Group own 99.0% and 1.0% of the equity interest in NetEase Advertising,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agreements that provide the Company and its subsidiaries effective control over NetEase Advertising are:</w:t>
      </w:r>
    </w:p>
    <w:p>
      <w:pPr>
        <w:spacing w:after="0" w:line="216" w:lineRule="exact"/>
        <w:rPr>
          <w:sz w:val="20"/>
          <w:szCs w:val="20"/>
          <w:color w:val="auto"/>
        </w:rPr>
      </w:pPr>
    </w:p>
    <w:p>
      <w:pPr>
        <w:ind w:left="1240" w:right="100" w:hanging="620"/>
        <w:spacing w:after="0" w:line="274" w:lineRule="auto"/>
        <w:tabs>
          <w:tab w:leader="none" w:pos="120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Operating Agreement among Media Beijing, NetEase Advertising and the VIE shareholders of NetEase Advertising. To ensure the successful performance of the various agreements between the parties, NetEase Advertising and its VIE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VIE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71" w:lineRule="exact"/>
        <w:rPr>
          <w:rFonts w:ascii="Arial" w:cs="Arial" w:eastAsia="Arial" w:hAnsi="Arial"/>
          <w:sz w:val="16"/>
          <w:szCs w:val="16"/>
          <w:color w:val="auto"/>
        </w:rPr>
      </w:pPr>
    </w:p>
    <w:p>
      <w:pPr>
        <w:ind w:left="1240" w:right="60" w:hanging="620"/>
        <w:spacing w:after="0" w:line="259" w:lineRule="auto"/>
        <w:tabs>
          <w:tab w:leader="none" w:pos="120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Shareholder Voting Rights Trust Agreement among Media Beijing and the VIE Shareholders of NetEase Advertising. Under these agreements, each dated November 30, 2015, each of the VIE shareholders agreed to irrevocably entrust a person designated by Media Beijing to represent him to exercise all the voting rights and other shareholders’ rights to which he is entitled as a shareholder of NetEase Advertising. Each agreement shall remain effective for as long as the VIE shareholder remains a shareholder of NetEase Advertising unless Media Beijing unilaterally terminates the agreement by written notice.</w:t>
      </w:r>
    </w:p>
    <w:p>
      <w:pPr>
        <w:spacing w:after="0" w:line="180" w:lineRule="exact"/>
        <w:rPr>
          <w:rFonts w:ascii="Arial" w:cs="Arial" w:eastAsia="Arial" w:hAnsi="Arial"/>
          <w:sz w:val="17"/>
          <w:szCs w:val="17"/>
          <w:color w:val="auto"/>
        </w:rPr>
      </w:pPr>
    </w:p>
    <w:p>
      <w:pPr>
        <w:ind w:left="1240" w:hanging="620"/>
        <w:spacing w:after="0" w:line="273" w:lineRule="auto"/>
        <w:tabs>
          <w:tab w:leader="none" w:pos="120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Exclusive Purchase Option Agreements among Media Beijing, NetEase Advertising and the VIE shareholders of NetEase Advertising. Under the Exclusive Purchase Option Agreements, each dated November 30, 2015, each of the VIE shareholders has granted Media Beijing an option to purchase all or a portion of his equity interest in NetEase Advertising at a price equal to the original paid-in capital paid by the VIE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VIE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agreements that provide the Company and its subsidiaries effective control over HZ Leihuo are:</w:t>
      </w:r>
    </w:p>
    <w:p>
      <w:pPr>
        <w:spacing w:after="0" w:line="216" w:lineRule="exact"/>
        <w:rPr>
          <w:sz w:val="20"/>
          <w:szCs w:val="20"/>
          <w:color w:val="auto"/>
        </w:rPr>
      </w:pPr>
    </w:p>
    <w:p>
      <w:pPr>
        <w:ind w:left="1240" w:right="60" w:hanging="620"/>
        <w:spacing w:after="0" w:line="274" w:lineRule="auto"/>
        <w:tabs>
          <w:tab w:leader="none" w:pos="120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Operating Agreement among NetEase Hangzhou, HZ Leihuo and the VIE shareholders of HZ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71" w:lineRule="exact"/>
        <w:rPr>
          <w:rFonts w:ascii="Arial" w:cs="Arial" w:eastAsia="Arial" w:hAnsi="Arial"/>
          <w:sz w:val="16"/>
          <w:szCs w:val="16"/>
          <w:color w:val="auto"/>
        </w:rPr>
      </w:pPr>
    </w:p>
    <w:p>
      <w:pPr>
        <w:ind w:left="1240" w:right="320" w:hanging="620"/>
        <w:spacing w:after="0" w:line="261" w:lineRule="auto"/>
        <w:tabs>
          <w:tab w:leader="none" w:pos="120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Cooperation Agreement between NetEase Hangzhou and HZ Leihuo. Under this agreement, starting from January 1, 2010, NetEase Hangzhou agreed to provide various technical consulting and related services to HZ Leihuo in exchange for a monthly service fee paid by HZ Leihuo. The agreement will continue to be effective unless it is terminated by written notice of NetEase Hangzhou or, in case of a material breach of the agreement, it is terminated by written notice of the non-breaching party.</w:t>
      </w:r>
    </w:p>
    <w:p>
      <w:pPr>
        <w:spacing w:after="0" w:line="178" w:lineRule="exact"/>
        <w:rPr>
          <w:rFonts w:ascii="Arial" w:cs="Arial" w:eastAsia="Arial" w:hAnsi="Arial"/>
          <w:sz w:val="17"/>
          <w:szCs w:val="17"/>
          <w:color w:val="auto"/>
        </w:rPr>
      </w:pPr>
    </w:p>
    <w:p>
      <w:pPr>
        <w:ind w:left="1240" w:right="20" w:hanging="620"/>
        <w:spacing w:after="0" w:line="259" w:lineRule="auto"/>
        <w:tabs>
          <w:tab w:leader="none" w:pos="120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Shareholder Voting Rights Trust Agreement among NetEase Hangzhou and the VIE shareholders of HZ Leihuo. Under these agreements, each dated December 1, 2015, each of the VIE shareholders of HZ Leihuo has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80" w:lineRule="exact"/>
        <w:rPr>
          <w:rFonts w:ascii="Arial" w:cs="Arial" w:eastAsia="Arial" w:hAnsi="Arial"/>
          <w:sz w:val="17"/>
          <w:szCs w:val="17"/>
          <w:color w:val="auto"/>
        </w:rPr>
      </w:pPr>
    </w:p>
    <w:p>
      <w:pPr>
        <w:ind w:left="1240" w:right="180" w:hanging="620"/>
        <w:spacing w:after="0" w:line="295" w:lineRule="auto"/>
        <w:tabs>
          <w:tab w:leader="none" w:pos="120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Exclusive Purchase Option Agreements among NetEase Hangzhou, HZ Leihuo and the VIE shareholders of HZ Leihuo. Under the Exclusive Purchase Option Agreements, each dated December 1, 2015, each of VIE shareholders of HZ Leihuo has granted NetEase Hangzhou an option to purchase all or a portion of his equity interest in HZ Leihuo at a price equal to the original paid-in capital paid by the ultimate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Joint Venture</w:t>
      </w:r>
    </w:p>
    <w:p>
      <w:pPr>
        <w:spacing w:after="0" w:line="21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addition to the foregoing, in connection with the licensing of certain online games by Blizzard to Shanghai EaseNet for operation in the PRC, there are certain contractual arrangements among Shanghai EaseNet, the joint venture established between Blizzard and the Company, and the Company.</w:t>
      </w:r>
    </w:p>
    <w:p>
      <w:pPr>
        <w:spacing w:after="0" w:line="14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Due to the restriction on the disposition of their respective shares in the joint venture, Blizzard and NetEase are considered related parties for purposes of identifying which party is the primary beneficiary under ASC 810. Since the aggregate variable interests held by Blizzard and NetEase would, if held by a single party, identify that party as the primary beneficiary, either Blizzard or NetEase will be the primary beneficiary. Based on the assessment of all relevant facts and circumstances, the Company determined that NetEase is most closely associated with the JV Group and therefore is the primary beneficiary. As a result, the JV Group’s results of operations, assets and liabilities have been included in the Company’s consolidated financial statements.</w:t>
      </w:r>
    </w:p>
    <w:p>
      <w:pPr>
        <w:spacing w:after="0" w:line="171"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Risks related to the VIE arrangements</w:t>
      </w:r>
    </w:p>
    <w:p>
      <w:pPr>
        <w:spacing w:after="0" w:line="216" w:lineRule="exact"/>
        <w:rPr>
          <w:sz w:val="20"/>
          <w:szCs w:val="20"/>
          <w:color w:val="auto"/>
        </w:rPr>
      </w:pPr>
    </w:p>
    <w:p>
      <w:pPr>
        <w:ind w:right="200"/>
        <w:spacing w:after="0" w:line="292" w:lineRule="auto"/>
        <w:rPr>
          <w:sz w:val="20"/>
          <w:szCs w:val="20"/>
          <w:color w:val="auto"/>
        </w:rPr>
      </w:pPr>
      <w:r>
        <w:rPr>
          <w:rFonts w:ascii="Arial" w:cs="Arial" w:eastAsia="Arial" w:hAnsi="Arial"/>
          <w:sz w:val="15"/>
          <w:szCs w:val="15"/>
          <w:color w:val="auto"/>
        </w:rPr>
        <w:t>The Company believes that its contractual arrangements with the VIEs are in compliance with PRC law and are legally enforceable. Mr. Ding, who is the major shareholder of Guangzhou NetEase, and is in turn the major shareholder of Wangyibao Company, and of Shanghai EaseNet, NetEase Advertising and Youdao Computer,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71" w:lineRule="exact"/>
        <w:rPr>
          <w:sz w:val="20"/>
          <w:szCs w:val="20"/>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revoke the Group’s business and operating licenses;</w:t>
      </w:r>
    </w:p>
    <w:p>
      <w:pPr>
        <w:spacing w:after="0" w:line="21" w:lineRule="exact"/>
        <w:rPr>
          <w:rFonts w:ascii="Arial" w:cs="Arial" w:eastAsia="Arial" w:hAnsi="Arial"/>
          <w:sz w:val="17"/>
          <w:szCs w:val="17"/>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require the Group to discontinue or restrict operations;</w:t>
      </w:r>
    </w:p>
    <w:p>
      <w:pPr>
        <w:spacing w:after="0" w:line="10" w:lineRule="exact"/>
        <w:rPr>
          <w:rFonts w:ascii="Arial" w:cs="Arial" w:eastAsia="Arial" w:hAnsi="Arial"/>
          <w:sz w:val="17"/>
          <w:szCs w:val="17"/>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restrict the Group’s right to collect revenues;</w:t>
      </w:r>
    </w:p>
    <w:p>
      <w:pPr>
        <w:spacing w:after="0" w:line="10" w:lineRule="exact"/>
        <w:rPr>
          <w:rFonts w:ascii="Arial" w:cs="Arial" w:eastAsia="Arial" w:hAnsi="Arial"/>
          <w:sz w:val="17"/>
          <w:szCs w:val="17"/>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block the Group’s websites;</w:t>
      </w:r>
    </w:p>
    <w:p>
      <w:pPr>
        <w:spacing w:after="0" w:line="10" w:lineRule="exact"/>
        <w:rPr>
          <w:rFonts w:ascii="Arial" w:cs="Arial" w:eastAsia="Arial" w:hAnsi="Arial"/>
          <w:sz w:val="17"/>
          <w:szCs w:val="17"/>
          <w:color w:val="auto"/>
        </w:rPr>
      </w:pPr>
    </w:p>
    <w:p>
      <w:pPr>
        <w:ind w:left="1860" w:right="640" w:hanging="622"/>
        <w:spacing w:after="0" w:line="252" w:lineRule="auto"/>
        <w:tabs>
          <w:tab w:leader="none" w:pos="182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require the Group to restructure the operations in such a way as to compel the Group to establish a new enterprise, re-apply for the necessary licenses or relocate the Group’s businesses, staff and assets;</w:t>
      </w:r>
    </w:p>
    <w:p>
      <w:pPr>
        <w:spacing w:after="0" w:line="1" w:lineRule="exact"/>
        <w:rPr>
          <w:rFonts w:ascii="Arial" w:cs="Arial" w:eastAsia="Arial" w:hAnsi="Arial"/>
          <w:sz w:val="17"/>
          <w:szCs w:val="17"/>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impose additional conditions or requirements with which the Group may not be able to comply; or</w:t>
      </w:r>
    </w:p>
    <w:p>
      <w:pPr>
        <w:spacing w:after="0" w:line="10" w:lineRule="exact"/>
        <w:rPr>
          <w:rFonts w:ascii="Arial" w:cs="Arial" w:eastAsia="Arial" w:hAnsi="Arial"/>
          <w:sz w:val="17"/>
          <w:szCs w:val="17"/>
          <w:color w:val="auto"/>
        </w:rPr>
      </w:pPr>
    </w:p>
    <w:p>
      <w:pPr>
        <w:ind w:left="1820" w:hanging="582"/>
        <w:spacing w:after="0"/>
        <w:tabs>
          <w:tab w:leader="none" w:pos="18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take other regulatory or enforcement actions against the Group that could be harmful to the Group’s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73" w:lineRule="exact"/>
        <w:rPr>
          <w:sz w:val="20"/>
          <w:szCs w:val="20"/>
          <w:color w:val="auto"/>
        </w:rPr>
      </w:pPr>
    </w:p>
    <w:p>
      <w:pPr>
        <w:ind w:left="620" w:hanging="617"/>
        <w:spacing w:after="0"/>
        <w:tabs>
          <w:tab w:leader="none" w:pos="62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w:t>
      </w:r>
    </w:p>
    <w:p>
      <w:pPr>
        <w:spacing w:after="0" w:line="216" w:lineRule="exact"/>
        <w:rPr>
          <w:sz w:val="20"/>
          <w:szCs w:val="20"/>
          <w:color w:val="auto"/>
        </w:rPr>
      </w:pPr>
    </w:p>
    <w:p>
      <w:pPr>
        <w:ind w:left="620" w:hanging="617"/>
        <w:spacing w:after="0"/>
        <w:tabs>
          <w:tab w:leader="none" w:pos="62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Basis of consolidation</w:t>
      </w:r>
    </w:p>
    <w:p>
      <w:pPr>
        <w:spacing w:after="0" w:line="22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74" w:lineRule="exact"/>
        <w:rPr>
          <w:sz w:val="20"/>
          <w:szCs w:val="20"/>
          <w:color w:val="auto"/>
        </w:rPr>
      </w:pPr>
    </w:p>
    <w:p>
      <w:pPr>
        <w:ind w:left="640" w:hanging="637"/>
        <w:spacing w:after="0"/>
        <w:tabs>
          <w:tab w:leader="none" w:pos="6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2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ectPr>
          <w:pgSz w:w="11900" w:h="16838" w:orient="portrait"/>
          <w:cols w:equalWidth="0" w:num="1">
            <w:col w:w="11400"/>
          </w:cols>
          <w:pgMar w:left="240" w:top="359" w:right="259" w:bottom="0" w:gutter="0" w:footer="0" w:header="0"/>
        </w:sectPr>
      </w:pPr>
    </w:p>
    <w:bookmarkStart w:id="88" w:name="page89"/>
    <w:bookmarkEnd w:id="88"/>
    <w:p>
      <w:pPr>
        <w:ind w:right="40"/>
        <w:spacing w:after="0" w:line="25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lives of the permanent in-game items, average playing period of paying players of mobile games, the determination of whether sales prices are fixed or determinable and collectability is reasonably assured, realization of deferred tax assets and the determination of uncertain tax positions, lower of cost and market value of inventories, useful lives and impairment provision of property, equipment and software and intangibles, assumptions related to stock-based compensation and assumptions related to the valuation of long-term investments.</w:t>
      </w:r>
    </w:p>
    <w:p>
      <w:pPr>
        <w:spacing w:after="0" w:line="175" w:lineRule="exact"/>
        <w:rPr>
          <w:sz w:val="20"/>
          <w:szCs w:val="20"/>
          <w:color w:val="auto"/>
        </w:rPr>
      </w:pPr>
    </w:p>
    <w:p>
      <w:pPr>
        <w:ind w:left="640" w:hanging="637"/>
        <w:spacing w:after="0"/>
        <w:tabs>
          <w:tab w:leader="none" w:pos="6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Group recognizes revenue when persuasive evidence of an arrangement exists, delivery has occurred, the sales price is fixed or determinable and collectability is reasonably assured.</w:t>
      </w:r>
    </w:p>
    <w:p>
      <w:pPr>
        <w:spacing w:after="0" w:line="165"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Net revenues presented in the consolidated statements of operations and comprehensive income represent revenues from service and product sales net off sales discount, sales tax and related surcharges. Service sales represent revenues from online game services, advertising services, certain e-commerce, e-mail and others. Service sales are recognized when service has been rendered. Product sales represent revenue from the sale of products through our e-commerce platform where the Group record revenue on a gross basis. Product sales are recorded when the products are shipped and title passes to customers.</w:t>
      </w:r>
    </w:p>
    <w:p>
      <w:pPr>
        <w:spacing w:after="0" w:line="149" w:lineRule="exact"/>
        <w:rPr>
          <w:sz w:val="20"/>
          <w:szCs w:val="20"/>
          <w:color w:val="auto"/>
        </w:rPr>
      </w:pPr>
    </w:p>
    <w:p>
      <w:pPr>
        <w:ind w:left="640" w:hanging="637"/>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Online game services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games</w:t>
      </w:r>
    </w:p>
    <w:p>
      <w:pPr>
        <w:spacing w:after="0" w:line="216" w:lineRule="exact"/>
        <w:rPr>
          <w:sz w:val="20"/>
          <w:szCs w:val="20"/>
          <w:color w:val="auto"/>
        </w:rPr>
      </w:pPr>
    </w:p>
    <w:p>
      <w:pPr>
        <w:ind w:right="120"/>
        <w:spacing w:after="0" w:line="347" w:lineRule="auto"/>
        <w:rPr>
          <w:sz w:val="20"/>
          <w:szCs w:val="20"/>
          <w:color w:val="auto"/>
        </w:rPr>
      </w:pPr>
      <w:r>
        <w:rPr>
          <w:rFonts w:ascii="Arial" w:cs="Arial" w:eastAsia="Arial" w:hAnsi="Arial"/>
          <w:sz w:val="15"/>
          <w:szCs w:val="15"/>
          <w:color w:val="auto"/>
        </w:rPr>
        <w:t>The Group primarily operates mobile games including both self-developed and licensed mobile games primarily through HZ Leihuo and generates mobile game revenues from the sale of in-game virtual items, including items, avatars, skills, privileges or other in-game consumables, features or functionality, within the games.</w:t>
      </w:r>
    </w:p>
    <w:p>
      <w:pPr>
        <w:spacing w:after="0" w:line="11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Group records revenue generated from mobile games on a gross basis as the Group is acting as the principal to fulfill all obligations related to the mobile game operation. Fees paid to game developers, distribution channels (app stores) and payment channels are recorded as cost of revenues.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 the purposes of determining when the service has been provided to the end-users, the Group determined that an implied obligation exists to provide on-going services to the end-users who purchased virtual items to gain an enhanced game-playing experience over an average playing period of the paying players. Accordingly, the Group recognizes the revenues ratably over the estimated average playing period of these paying players, starting from the point in time when virtual items are delivered to the players’ accounts and all other revenue recognition criteria are met.</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Group considers the average period that players typically play the games and other game player behavior patterns, as well as various other factors to arrive at the best estimates for the estimated playing period of the paying players for each game.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PC-client games</w:t>
      </w:r>
    </w:p>
    <w:p>
      <w:pPr>
        <w:spacing w:after="0" w:line="21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Group sells prepaid point cards through Guangzhou NetEase and Shanghai EaseNet to the end user.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and credit cards or bank transfers via the online payment services platforms, and receive the prepaid point information over the Internet. Customers can use the points to play the Group’s online games, pay for in-game items and use other fee-based services. Proceeds received from the sales of prepaid point cards and online points to players are recorded as deferred revenues. The Group earns revenue through providing online game services to players under two types of revenue models: time-based revenue model and item-based revenue model. For online games using the time-based model, players are charged based on the time they spend playing games.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Under the item-based model, the basic game play functions are free of charge, and players are charged for purchases of in-game items. Revenues from the sales of in-game items are recognized when the items are consumed by the customers or over the estimated lives of the in-game items. 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in-game items. The Group assesses the estimated lives of the permanent in-game items for the item-based games on a quarterly basis. Adjustments arising from the changes of estimated lives of permanent in-game items are applied prospectively as such changes are resulted from new information indicating a change in the game player behavior patterns.</w:t>
      </w:r>
    </w:p>
    <w:p>
      <w:pPr>
        <w:spacing w:after="0" w:line="15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Unused online points in a personal game account are recognized as revenues when the likelihood that the Group would provide further online game services with respect to such online points is remote. The revenue recognized from the inactive accounts was insignificant in 2014, 2015 and 2016.</w:t>
      </w:r>
    </w:p>
    <w:p>
      <w:pPr>
        <w:spacing w:after="0" w:line="141" w:lineRule="exact"/>
        <w:rPr>
          <w:sz w:val="20"/>
          <w:szCs w:val="20"/>
          <w:color w:val="auto"/>
        </w:rPr>
      </w:pPr>
    </w:p>
    <w:p>
      <w:pPr>
        <w:ind w:left="640" w:hanging="637"/>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Advertising services</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Group derives its advertising revenues principally from short-term online advertising contracts engaged by NetEase Advertising. Advertising service contracts may consist of multiple elements with a typical term of less than three months. Such elements generally represent different formats of advertisement, including but not limited to banners, text-links, videos, logos, buttons and rich media. Each element is time-based and the service period of the element is usually within three months. In accordance with ASU No.2009-13 Revenue Recognition - Multiple-Deliverable Revenue Arrangements (“ASU No.2009 -13”), the Group treats advertising contracts with multiple deliverable elements as separate units of accounting for revenue recognition purposes and recognizes revenue over the advertising period during the contract when each deliverable elements of advertisements is provided and all the other revenue recognition criteria are met. Since the contract price is for all deliverables, the Group allocates the arrangement consideration to all deliverables at the inception of the arrangement on the basis of their relative selling price according to the selling price hierarchy established by ASU No.2009-13. The Group uses (a) vendor-specific objective evidence of selling price (“VSOE”), if it exists, otherwise, (b) third-party evidence of selling price. If neither (a) nor (b) exists, the Group will use (c) the management’s best estimate of the selling price for that deliverable. As the deliverables are not sold separately, the best estimate of the selling price has taken into consideration the pricing of advertising areas of the Group’s platform with a similar popularities and advertisements with similar formats and quoted prices from competitors as well as other market conditions. Revenues recognized with reference to best estimation of selling price were immaterial for all periods presented.</w:t>
      </w:r>
    </w:p>
    <w:p>
      <w:pPr>
        <w:sectPr>
          <w:pgSz w:w="11900" w:h="16838" w:orient="portrait"/>
          <w:cols w:equalWidth="0" w:num="1">
            <w:col w:w="11420"/>
          </w:cols>
          <w:pgMar w:left="240" w:top="127" w:right="239" w:bottom="0" w:gutter="0" w:footer="0" w:header="0"/>
        </w:sectPr>
      </w:pPr>
    </w:p>
    <w:bookmarkStart w:id="89" w:name="page90"/>
    <w:bookmarkEnd w:id="89"/>
    <w:p>
      <w:pPr>
        <w:ind w:right="340"/>
        <w:spacing w:after="0" w:line="265" w:lineRule="auto"/>
        <w:rPr>
          <w:sz w:val="20"/>
          <w:szCs w:val="20"/>
          <w:color w:val="auto"/>
        </w:rPr>
      </w:pPr>
      <w:r>
        <w:rPr>
          <w:rFonts w:ascii="Arial" w:cs="Arial" w:eastAsia="Arial" w:hAnsi="Arial"/>
          <w:sz w:val="17"/>
          <w:szCs w:val="17"/>
          <w:color w:val="auto"/>
        </w:rPr>
        <w:t>The Group also enters into performance-based advertising arrangements with customers. The Group enters into cost per mille (“CPM”), or cost per thousand impressions, advertising arrangements with customers, under which the Group recognizes revenues based on the number of times that the advertisement has been displayed.</w:t>
      </w:r>
    </w:p>
    <w:p>
      <w:pPr>
        <w:spacing w:after="0" w:line="176"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The Group also enters into cost per action (“CPA”) advertising arrangements with customers, under which the Group recognizes revenues based on the number of actions completed resulted from the advertisements, including but not limited to when users click on links.</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Group recognizes revenue and expense at fair value from a barter transaction involving advertising services provided by the Group only if the fair value of the advertising services surrendered in the transaction is determinable based on the entity’s own historical practice of receiving cash and cash equivalents, marketable securities, or other consideration that is readily convertible to a known amount of cash for similar advertising from buyers unrelated to the counterparty in the barter transaction.</w:t>
      </w:r>
    </w:p>
    <w:p>
      <w:pPr>
        <w:spacing w:after="0" w:line="179" w:lineRule="exact"/>
        <w:rPr>
          <w:sz w:val="20"/>
          <w:szCs w:val="20"/>
          <w:color w:val="auto"/>
        </w:rPr>
      </w:pPr>
    </w:p>
    <w:p>
      <w:pPr>
        <w:ind w:right="440"/>
        <w:spacing w:after="0" w:line="317" w:lineRule="auto"/>
        <w:rPr>
          <w:sz w:val="20"/>
          <w:szCs w:val="20"/>
          <w:color w:val="auto"/>
        </w:rPr>
      </w:pPr>
      <w:r>
        <w:rPr>
          <w:rFonts w:ascii="Arial" w:cs="Arial" w:eastAsia="Arial" w:hAnsi="Arial"/>
          <w:sz w:val="15"/>
          <w:szCs w:val="15"/>
          <w:color w:val="auto"/>
        </w:rPr>
        <w:t>For the years ended December 31, 2014, 2015 and 2016, the Group was engaged in certain advertising barter transactions for which the fair value was not determinable and therefore no revenues or expenses derived from these barter transactions were recognized. These transactions primarily involved exchanges of advertising services rendered by the Group for advertising, promotional benefits, content, consulting services and software provided by the counterparties.</w:t>
      </w:r>
    </w:p>
    <w:p>
      <w:pPr>
        <w:spacing w:after="0" w:line="140" w:lineRule="exact"/>
        <w:rPr>
          <w:sz w:val="20"/>
          <w:szCs w:val="20"/>
          <w:color w:val="auto"/>
        </w:rPr>
      </w:pPr>
    </w:p>
    <w:p>
      <w:pPr>
        <w:ind w:left="660" w:hanging="657"/>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E-mail, e-commerce services and others</w:t>
      </w:r>
    </w:p>
    <w:p>
      <w:pPr>
        <w:spacing w:after="0" w:line="216"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Revenue from e-mail, e-commerce and others is predominantly derived from activities related to fee-based premium services, e-commerce and online payment platform services.</w:t>
      </w:r>
    </w:p>
    <w:p>
      <w:pPr>
        <w:spacing w:after="0" w:line="16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Fee-based premium services revenues, operated on a monthly subscription basis, are derived principally from providing premium e-mail and other wireless value-added services. Prepaid subscription revenues are deferred and are recognized by the Group over the period in which the services are provided.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February 2009, the Group launched its Wangyibao payment platform, through which game players registered for Wangyibao operations can deposit money in their accounts and use the accounts to pay for game point cards and other fee-based services and products rendered by the Group. The Group recognizes revenue when services are rendered to account holders in accordance with service agreement.</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E-commerce revenues are recognized when persuasive evidence of an arrangement exists, delivery has occurred, the sales price is fixed or determinable and collectability is reasonably assured. The Group’s e-commerce businesses mainly include cross-border and domestic e-commerce business, e-commerce services related to third-party virtual products and other e-commerce services. The Group evaluates whether it is appropriate to record the net amount earned as commissions or the gross amount of product sales. When the Group is not the primary obligor, doesn’t bear the inventory risk and doesn’t have the ability to establish the price, revenues are recorded on a net basis. When the Group is primarily obligated in a transaction, is subject to inventory risk, has latitude in establishing prices and selecting suppliers, or has several but not all of these indicators, revenues are recorded on a gross basis.</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Group established its cross-border e-commerce platform, Kaola.com (“Kaola”), in January 2015 and primarily sells imported maternity and baby products, skincare and cosmetics and other general merchandise through online direct sales. The Group also established its domestic e-commerce platform, You.163.com (“Yanxuan”), in April 2016 and sells its private label products, including apparel, homeware, kitchenware and other general merchandise which are sourced directly from original design manufacturers in China. The Group recognizes the revenues from the online direct sales on a gross basis as the Group is primarily obligated in these transactions, is subject to inventory risk, has latitude in establishing prices and selecting suppliers, or has met several but not all of these indicators. The Group also provides discount coupons to its customers for use in purchases on the Kaola and Yanxuan platform, which are treated as a reduction of revenue when the related transaction is recognized.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Group offer e-commerce services related to third- party virtual e-commerce products, which primarily include Caipiao, an online service that facilitates the processing of end users’ purchase orders for lotteries operated by third-party vendors, and Baoxian, an online service that facilitates the sale of insurance products from third-party insurers. The Group acts as an agent and do not buy, sell, manufacture, or design such products. Revenues are recognized when services are rendered to customers based on the pre-determined service fee rate. Caipiao platform suspend accepting online purchase orders for lottery products from February 2015 pursuant to certain regulations.</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Group also operates its “Duobao” platform, which provides services that allow users to purchase the virtual currency, “Duobao Bi”, and use them to exchange for products. For the services where the Group acts as an agent, products are provided by third-party suppliers and revenues are recognized on a net basis when services are rendered.</w:t>
      </w:r>
    </w:p>
    <w:p>
      <w:pPr>
        <w:spacing w:after="0" w:line="170" w:lineRule="exact"/>
        <w:rPr>
          <w:sz w:val="20"/>
          <w:szCs w:val="20"/>
          <w:color w:val="auto"/>
        </w:rPr>
      </w:pPr>
    </w:p>
    <w:p>
      <w:pPr>
        <w:ind w:left="640" w:hanging="637"/>
        <w:spacing w:after="0"/>
        <w:tabs>
          <w:tab w:leader="none" w:pos="6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Cost of revenues</w:t>
      </w:r>
    </w:p>
    <w:p>
      <w:pPr>
        <w:spacing w:after="0" w:line="222" w:lineRule="exact"/>
        <w:rPr>
          <w:sz w:val="20"/>
          <w:szCs w:val="20"/>
          <w:color w:val="auto"/>
        </w:rPr>
      </w:pPr>
    </w:p>
    <w:p>
      <w:pPr>
        <w:jc w:val="both"/>
        <w:ind w:right="260"/>
        <w:spacing w:after="0" w:line="317" w:lineRule="auto"/>
        <w:rPr>
          <w:sz w:val="20"/>
          <w:szCs w:val="20"/>
          <w:color w:val="auto"/>
        </w:rPr>
      </w:pPr>
      <w:r>
        <w:rPr>
          <w:rFonts w:ascii="Arial" w:cs="Arial" w:eastAsia="Arial" w:hAnsi="Arial"/>
          <w:sz w:val="15"/>
          <w:szCs w:val="15"/>
          <w:color w:val="auto"/>
        </w:rPr>
        <w:t>Costs of revenue consist primarily of purchase price and inbound shipping costs relating to merchandise sold, staff costs, royalties and consultancy fees related to licensed games, revenue sharing cost related to mobile games, depreciation and amortization of computers and software, server custody fees, bandwidth, and other direct costs of providing these services. These costs are charged to the consolidated statements of operations and comprehensive income as incurred.</w:t>
      </w:r>
    </w:p>
    <w:p>
      <w:pPr>
        <w:spacing w:after="0" w:line="134" w:lineRule="exact"/>
        <w:rPr>
          <w:sz w:val="20"/>
          <w:szCs w:val="20"/>
          <w:color w:val="auto"/>
        </w:rPr>
      </w:pPr>
    </w:p>
    <w:p>
      <w:pPr>
        <w:ind w:left="640" w:hanging="637"/>
        <w:spacing w:after="0"/>
        <w:tabs>
          <w:tab w:leader="none" w:pos="6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costs</w:t>
      </w:r>
    </w:p>
    <w:p>
      <w:pPr>
        <w:spacing w:after="0" w:line="22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For the years ended December 31, 2014, 2015 and 2016, the costs incurred for development of online game products have not been capitalized because the period after the date technical feasibility is reached and the time when the game is marketed is short historically and the development cost incurred in the period are insignificant.</w:t>
      </w:r>
    </w:p>
    <w:p>
      <w:pPr>
        <w:spacing w:after="0" w:line="158" w:lineRule="exact"/>
        <w:rPr>
          <w:sz w:val="20"/>
          <w:szCs w:val="20"/>
          <w:color w:val="auto"/>
        </w:rPr>
      </w:pPr>
    </w:p>
    <w:p>
      <w:pPr>
        <w:ind w:left="620" w:hanging="617"/>
        <w:spacing w:after="0"/>
        <w:tabs>
          <w:tab w:leader="none" w:pos="62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time deposits</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Cash and cash equivalents mainly represent cash on hand, demand deposits placed with large reputable banks in Hong Kong or China, and highly liquid investments that are readily convertible to known amounts of cash and with original maturities from the date of purchase with terms of less than three months. As of December 31, 2015, there were cash at bank and demand deposits with terms of less than three months denominated in US dollars and Euro amounting to approximately US$541.5 million and Euro1.0 million, respectively. As of December 31, 2016, there were cash at bank and demand deposits with terms of less than three months denominated in US dollars and Euro amounting to approximately US$394.8 million and Euro1.3 million, respectively (equivalent to approximately RMB2,738.8 million and RMB9.3 million, respectively).</w:t>
      </w:r>
    </w:p>
    <w:p>
      <w:pPr>
        <w:sectPr>
          <w:pgSz w:w="11900" w:h="16838" w:orient="portrait"/>
          <w:cols w:equalWidth="0" w:num="1">
            <w:col w:w="11420"/>
          </w:cols>
          <w:pgMar w:left="240" w:top="127" w:right="239" w:bottom="0" w:gutter="0" w:footer="0" w:header="0"/>
        </w:sectPr>
      </w:pPr>
    </w:p>
    <w:bookmarkStart w:id="90" w:name="page91"/>
    <w:bookmarkEnd w:id="90"/>
    <w:p>
      <w:pPr>
        <w:ind w:right="60"/>
        <w:spacing w:after="0" w:line="265" w:lineRule="auto"/>
        <w:rPr>
          <w:sz w:val="20"/>
          <w:szCs w:val="20"/>
          <w:color w:val="auto"/>
        </w:rPr>
      </w:pPr>
      <w:r>
        <w:rPr>
          <w:rFonts w:ascii="Arial" w:cs="Arial" w:eastAsia="Arial" w:hAnsi="Arial"/>
          <w:sz w:val="17"/>
          <w:szCs w:val="17"/>
          <w:color w:val="auto"/>
        </w:rPr>
        <w:t>Time deposits represent time deposits placed with banks with original maturities of three months or more. As of December 31, 2015, there were time deposits denominated in US dollars amounting to approximately US$299.5 million. As of December 31, 2016, there were time deposits denominated in US dollars amounting to approximately US$750.2 million (equivalent to approximately RMB5,204.2 million).</w:t>
      </w:r>
    </w:p>
    <w:p>
      <w:pPr>
        <w:spacing w:after="0" w:line="17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of December 31, 2015 and 2016, the Group had approximately RMB14.7 billion and RMB17.0 billion cash and cash equivalents and time deposits held by its PRC subsidiaries and VIEs, representing 67.6% and 66.9% of total cash and cash equivalents and time deposits of the Group,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As of December 31, 2015 and 2016, the Group had a restricted cash balance approximately RMB3,392.6 million and RMB5,533.3 million, respectively, comprising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87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34"/>
        </w:trPr>
        <w:tc>
          <w:tcPr>
            <w:tcW w:w="87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Escrow account deposit for sales and marketing activities of Blizzard’s licensed games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184.3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134.4</w:t>
            </w:r>
          </w:p>
        </w:tc>
      </w:tr>
      <w:tr>
        <w:trPr>
          <w:trHeight w:val="206"/>
        </w:trPr>
        <w:tc>
          <w:tcPr>
            <w:tcW w:w="8720" w:type="dxa"/>
            <w:vAlign w:val="bottom"/>
          </w:tcPr>
          <w:p>
            <w:pPr>
              <w:spacing w:after="0"/>
              <w:rPr>
                <w:sz w:val="20"/>
                <w:szCs w:val="20"/>
                <w:color w:val="auto"/>
              </w:rPr>
            </w:pPr>
            <w:r>
              <w:rPr>
                <w:rFonts w:ascii="Arial" w:cs="Arial" w:eastAsia="Arial" w:hAnsi="Arial"/>
                <w:sz w:val="17"/>
                <w:szCs w:val="17"/>
                <w:color w:val="auto"/>
              </w:rPr>
              <w:t>Customer deposit of Wangyibao accounts</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759.6</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1,318.0</w:t>
            </w:r>
          </w:p>
        </w:tc>
      </w:tr>
      <w:tr>
        <w:trPr>
          <w:trHeight w:val="206"/>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Pledge deposits for short-term bank borrowings — Current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1,227.6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1,935.0</w:t>
            </w:r>
          </w:p>
        </w:tc>
      </w:tr>
      <w:tr>
        <w:trPr>
          <w:trHeight w:val="206"/>
        </w:trPr>
        <w:tc>
          <w:tcPr>
            <w:tcW w:w="8720" w:type="dxa"/>
            <w:vAlign w:val="bottom"/>
          </w:tcPr>
          <w:p>
            <w:pPr>
              <w:spacing w:after="0"/>
              <w:rPr>
                <w:sz w:val="20"/>
                <w:szCs w:val="20"/>
                <w:color w:val="auto"/>
              </w:rPr>
            </w:pPr>
            <w:r>
              <w:rPr>
                <w:rFonts w:ascii="Arial" w:cs="Arial" w:eastAsia="Arial" w:hAnsi="Arial"/>
                <w:sz w:val="17"/>
                <w:szCs w:val="17"/>
                <w:color w:val="auto"/>
              </w:rPr>
              <w:t>Others</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21.1</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85.9</w:t>
            </w:r>
          </w:p>
        </w:tc>
      </w:tr>
      <w:tr>
        <w:trPr>
          <w:trHeight w:val="199"/>
        </w:trPr>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Subtotal</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2,192.6</w:t>
            </w:r>
          </w:p>
        </w:tc>
        <w:tc>
          <w:tcPr>
            <w:tcW w:w="2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3,473.3</w:t>
            </w:r>
          </w:p>
        </w:tc>
        <w:tc>
          <w:tcPr>
            <w:tcW w:w="100" w:type="dxa"/>
            <w:vAlign w:val="bottom"/>
            <w:tcBorders>
              <w:top w:val="single" w:sz="8" w:color="CCEEFF"/>
            </w:tcBorders>
            <w:shd w:val="clear" w:color="auto" w:fill="CCEEFF"/>
          </w:tcPr>
          <w:p>
            <w:pPr>
              <w:spacing w:after="0"/>
              <w:rPr>
                <w:sz w:val="17"/>
                <w:szCs w:val="17"/>
                <w:color w:val="auto"/>
              </w:rPr>
            </w:pPr>
          </w:p>
        </w:tc>
      </w:tr>
      <w:tr>
        <w:trPr>
          <w:trHeight w:val="199"/>
        </w:trPr>
        <w:tc>
          <w:tcPr>
            <w:tcW w:w="8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Pledge deposits for short-term bank borrowings — Non-current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1,200.0</w:t>
            </w:r>
          </w:p>
        </w:tc>
        <w:tc>
          <w:tcPr>
            <w:tcW w:w="2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2,060.0</w:t>
            </w:r>
          </w:p>
        </w:tc>
        <w:tc>
          <w:tcPr>
            <w:tcW w:w="100" w:type="dxa"/>
            <w:vAlign w:val="bottom"/>
            <w:tcBorders>
              <w:bottom w:val="single" w:sz="8" w:color="CCEEFF"/>
            </w:tcBorders>
          </w:tcPr>
          <w:p>
            <w:pPr>
              <w:spacing w:after="0"/>
              <w:rPr>
                <w:sz w:val="17"/>
                <w:szCs w:val="17"/>
                <w:color w:val="auto"/>
              </w:rPr>
            </w:pPr>
          </w:p>
        </w:tc>
      </w:tr>
      <w:tr>
        <w:trPr>
          <w:trHeight w:val="199"/>
        </w:trPr>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3,392.6</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5,533.3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8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Group had no other lien arrangements during 2015 and 2016.</w:t>
      </w:r>
    </w:p>
    <w:p>
      <w:pPr>
        <w:spacing w:after="0" w:line="210" w:lineRule="exact"/>
        <w:rPr>
          <w:sz w:val="20"/>
          <w:szCs w:val="20"/>
          <w:color w:val="auto"/>
        </w:rPr>
      </w:pPr>
    </w:p>
    <w:p>
      <w:pPr>
        <w:ind w:left="620" w:hanging="617"/>
        <w:spacing w:after="0"/>
        <w:tabs>
          <w:tab w:leader="none" w:pos="62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2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79"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Level 1 — Observable inputs that reflect quoted prices (unadjusted) for identical assets or liabilities in active markets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Level 2 — Include other inputs that are directly or indirectly observable in the marketplace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which are supported by little or no market activity</w:t>
      </w:r>
    </w:p>
    <w:p>
      <w:pPr>
        <w:spacing w:after="0" w:line="21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The Group’s financial instruments include cash and cash equivalents and time deposits, accounts receivable, prepayments and other current assets, short-term investments, accounts payable, short-term loan, deferred revenue and accrued liabilities and other payables, which the carrying values approximate their fair value. Please see Note 26 for additional information.</w:t>
      </w:r>
    </w:p>
    <w:p>
      <w:pPr>
        <w:spacing w:after="0" w:line="170" w:lineRule="exact"/>
        <w:rPr>
          <w:sz w:val="20"/>
          <w:szCs w:val="20"/>
          <w:color w:val="auto"/>
        </w:rPr>
      </w:pPr>
    </w:p>
    <w:p>
      <w:pPr>
        <w:ind w:left="640" w:hanging="637"/>
        <w:spacing w:after="0"/>
        <w:tabs>
          <w:tab w:leader="none" w:pos="6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net</w:t>
      </w:r>
    </w:p>
    <w:p>
      <w:pPr>
        <w:spacing w:after="0" w:line="222"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Inventories,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47" w:lineRule="exact"/>
        <w:rPr>
          <w:sz w:val="20"/>
          <w:szCs w:val="20"/>
          <w:color w:val="auto"/>
        </w:rPr>
      </w:pPr>
    </w:p>
    <w:p>
      <w:pPr>
        <w:ind w:left="620" w:hanging="617"/>
        <w:spacing w:after="0"/>
        <w:tabs>
          <w:tab w:leader="none" w:pos="62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22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Short-term investments include investments in financial instruments with a variable interest rate indexed to performance of underlying assets and investments that the Group has positive intent and ability to hold to maturity, all of which are with an original maturities of less than 12 months.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 /(expense). Fair value is estimated based on quoted prices of similar products provided by banks at the end of each period. The Group classifies the valuation techniques that use these inputs as Level 2 of fair value measurements. Please see Note 6 and Note 26 for additional information.</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investments that the Group has positive intent and ability to hold to maturity are classified as held-to-maturity investments and stated at amortized cost. For individual investment classified as held-to-maturity investments, the Group evaluates whether a decline in fair value below the amortized cost basis is other than temporary in accordance with the Group’s policy and ASC 320-10. If the Group concludes that, it does not intend or is not required to sell an impaired debt investment before the recovery of its amortized cost basis, the impairment is considered temporary and the held-to-maturity investments continue to be recognized at the amortized cost.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27" w:right="239" w:bottom="78" w:gutter="0" w:footer="0" w:header="0"/>
        </w:sectPr>
      </w:pPr>
    </w:p>
    <w:bookmarkStart w:id="91" w:name="page92"/>
    <w:bookmarkEnd w:id="91"/>
    <w:p>
      <w:pPr>
        <w:ind w:right="120"/>
        <w:spacing w:after="0" w:line="259" w:lineRule="auto"/>
        <w:rPr>
          <w:sz w:val="20"/>
          <w:szCs w:val="20"/>
          <w:color w:val="auto"/>
        </w:rPr>
      </w:pPr>
      <w:r>
        <w:rPr>
          <w:rFonts w:ascii="Arial" w:cs="Arial" w:eastAsia="Arial" w:hAnsi="Arial"/>
          <w:sz w:val="17"/>
          <w:szCs w:val="17"/>
          <w:color w:val="auto"/>
        </w:rPr>
        <w:t>Investments not classified as trading or as held-to-maturity are classified as available-for-sale securities. An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long-term investments.</w:t>
      </w:r>
    </w:p>
    <w:p>
      <w:pPr>
        <w:spacing w:after="0" w:line="180"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For investments in an investee over which the Group does not have significant influence and which do not have readily determinable fair value, the Group carries the investment at cost and only adjusts for other-than-temporary declines in fair value and distributions of earnings that exceed the Group’s share of earnings since its investment. Management regularly evaluates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50" w:lineRule="exact"/>
        <w:rPr>
          <w:sz w:val="20"/>
          <w:szCs w:val="20"/>
          <w:color w:val="auto"/>
        </w:rPr>
      </w:pPr>
    </w:p>
    <w:p>
      <w:pPr>
        <w:ind w:left="640" w:hanging="637"/>
        <w:spacing w:after="0"/>
        <w:tabs>
          <w:tab w:leader="none" w:pos="6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associated companies</w:t>
      </w:r>
    </w:p>
    <w:p>
      <w:pPr>
        <w:spacing w:after="0" w:line="222" w:lineRule="exact"/>
        <w:rPr>
          <w:sz w:val="20"/>
          <w:szCs w:val="20"/>
          <w:color w:val="auto"/>
        </w:rPr>
      </w:pPr>
    </w:p>
    <w:p>
      <w:pPr>
        <w:ind w:right="20"/>
        <w:spacing w:after="0" w:line="347" w:lineRule="auto"/>
        <w:rPr>
          <w:sz w:val="20"/>
          <w:szCs w:val="20"/>
          <w:color w:val="auto"/>
        </w:rPr>
      </w:pPr>
      <w:r>
        <w:rPr>
          <w:rFonts w:ascii="Arial" w:cs="Arial" w:eastAsia="Arial" w:hAnsi="Arial"/>
          <w:sz w:val="15"/>
          <w:szCs w:val="15"/>
          <w:color w:val="auto"/>
        </w:rPr>
        <w:t>Investments in associated companies in which the Group is in a position to exercise significant influence by participating in, but not controlling or jointly controlling, the financial and operating policies are accounted for using the equity method and are reported under long-term investments in the consolidated balance sheets.</w:t>
      </w:r>
    </w:p>
    <w:p>
      <w:pPr>
        <w:spacing w:after="0" w:line="113" w:lineRule="exact"/>
        <w:rPr>
          <w:sz w:val="20"/>
          <w:szCs w:val="20"/>
          <w:color w:val="auto"/>
        </w:rPr>
      </w:pPr>
    </w:p>
    <w:p>
      <w:pPr>
        <w:ind w:left="640" w:hanging="637"/>
        <w:spacing w:after="0"/>
        <w:tabs>
          <w:tab w:leader="none" w:pos="6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equipment and software</w:t>
      </w:r>
    </w:p>
    <w:p>
      <w:pPr>
        <w:spacing w:after="0" w:line="22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Property, equipment and software are stated at cost less accumulated depreciation. Depreciation is calculated on the straight-line basis over the following estimated useful lives, taking into account any estimated residual value:</w:t>
      </w:r>
    </w:p>
    <w:p>
      <w:pPr>
        <w:sectPr>
          <w:pgSz w:w="11900" w:h="16838" w:orient="portrait"/>
          <w:cols w:equalWidth="0" w:num="1">
            <w:col w:w="11380"/>
          </w:cols>
          <w:pgMar w:left="240" w:top="127" w:right="279" w:bottom="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Building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Decoration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Furniture, fixtures and office equipment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Vehicles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Servers and computers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Software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20 years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lesser of the term of the lease and the estimated useful lives of the assets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5-10 years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200" w:lineRule="exact"/>
        <w:rPr>
          <w:sz w:val="20"/>
          <w:szCs w:val="20"/>
          <w:color w:val="auto"/>
        </w:rPr>
      </w:pPr>
    </w:p>
    <w:p>
      <w:pPr>
        <w:sectPr>
          <w:pgSz w:w="11900" w:h="16838" w:orient="portrait"/>
          <w:cols w:equalWidth="0" w:num="2">
            <w:col w:w="3480" w:space="720"/>
            <w:col w:w="7180"/>
          </w:cols>
          <w:pgMar w:left="240" w:top="127" w:right="279" w:bottom="0" w:gutter="0" w:footer="0" w:header="0"/>
          <w:type w:val="continuous"/>
        </w:sectPr>
      </w:pPr>
    </w:p>
    <w:p>
      <w:pPr>
        <w:spacing w:after="0" w:line="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Repairs and maintenance expenditures, which are not considered improvements and do not extend the useful life of the property and equipment, are expensed as incurred. When the Group retires or disposes its property, equipment and software, it records any gain or loss arising from the retirement or disposal under Other, net in its consolidated statements of operations and comprehensive income.</w:t>
      </w:r>
    </w:p>
    <w:p>
      <w:pPr>
        <w:spacing w:after="0" w:line="170" w:lineRule="exact"/>
        <w:rPr>
          <w:sz w:val="20"/>
          <w:szCs w:val="20"/>
          <w:color w:val="auto"/>
        </w:rPr>
      </w:pPr>
    </w:p>
    <w:p>
      <w:pPr>
        <w:ind w:left="620" w:hanging="617"/>
        <w:spacing w:after="0"/>
        <w:tabs>
          <w:tab w:leader="none" w:pos="62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22"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Finite-lived intangible assets are tested for impairment if impairment indicators arise. The Group amortizes its finite-lived intangible assets using the straight-line method:</w:t>
      </w:r>
    </w:p>
    <w:p>
      <w:pPr>
        <w:sectPr>
          <w:pgSz w:w="11900" w:h="16838" w:orient="portrait"/>
          <w:cols w:equalWidth="0" w:num="1">
            <w:col w:w="11380"/>
          </w:cols>
          <w:pgMar w:left="240" w:top="127" w:right="279" w:bottom="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Land use right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License right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Technology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over the remaining term of the land use right period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over the license period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10 years</w:t>
      </w:r>
    </w:p>
    <w:p>
      <w:pPr>
        <w:spacing w:after="0" w:line="199" w:lineRule="exact"/>
        <w:rPr>
          <w:sz w:val="20"/>
          <w:szCs w:val="20"/>
          <w:color w:val="auto"/>
        </w:rPr>
      </w:pPr>
    </w:p>
    <w:p>
      <w:pPr>
        <w:sectPr>
          <w:pgSz w:w="11900" w:h="16838" w:orient="portrait"/>
          <w:cols w:equalWidth="0" w:num="2">
            <w:col w:w="4240" w:space="720"/>
            <w:col w:w="6420"/>
          </w:cols>
          <w:pgMar w:left="240" w:top="127" w:right="279" w:bottom="0" w:gutter="0" w:footer="0" w:header="0"/>
          <w:type w:val="continuous"/>
        </w:sectPr>
      </w:pPr>
    </w:p>
    <w:p>
      <w:pPr>
        <w:ind w:left="640" w:hanging="637"/>
        <w:spacing w:after="0"/>
        <w:tabs>
          <w:tab w:leader="none" w:pos="6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Advertising expenses</w:t>
      </w:r>
    </w:p>
    <w:p>
      <w:pPr>
        <w:spacing w:after="0" w:line="222"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color w:val="auto"/>
        </w:rPr>
        <w:t>The Group expenses advertising costs as incurred and reports these costs under selling and marketing expense. Advertising expenses totaled approximately RMB466.6 million, RMB697.9 million and RMB1,116.9 million for the years ended December 31, 2014, 2015 and 2016, respectively.</w:t>
      </w:r>
    </w:p>
    <w:p>
      <w:pPr>
        <w:spacing w:after="0" w:line="135" w:lineRule="exact"/>
        <w:rPr>
          <w:sz w:val="20"/>
          <w:szCs w:val="20"/>
          <w:color w:val="auto"/>
        </w:rPr>
      </w:pPr>
    </w:p>
    <w:p>
      <w:pPr>
        <w:ind w:left="640" w:hanging="637"/>
        <w:spacing w:after="0"/>
        <w:tabs>
          <w:tab w:leader="none" w:pos="6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Foreign currency translation</w:t>
      </w:r>
    </w:p>
    <w:p>
      <w:pPr>
        <w:spacing w:after="0" w:line="2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functional currency of the entities within the Group is RMB, which is also the Company’s reporting currency. Transactions denominated in currencies other than RMB are translated into RMB at the exchange rates quoted by the People’s Bank of China (the “PBOC”) prevailing at the dates of the transactions. Monetary assets and liabilities denominated in foreign currencies are translated into RMB using the applicable exchange rates quoted by the PBOC at the balance sheet dates. The resulting exchange differences are included in the consolidated statements of operations and comprehensive income.</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Translations of amounts from RMB into United States dollars for the convenience of the reader were calculated at the noon buying rate of US$1.00 = RMB6.9430 on the last trading day of 2016 (December 30, 2016) as set forth in the H.10 statistical release of the U.S. Federal Reserve Board. No representation is made that the RMB amounts could have been, or could be, converted into United States dollars at such rate.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hanging="617"/>
        <w:spacing w:after="0"/>
        <w:tabs>
          <w:tab w:leader="none" w:pos="62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22"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Company measures the cost of employee services received in exchange for stock options at the grant date fair value of the award under its 2000 Stock Incentive Plan (see Note 19(a)). The Company recognizes the share-based compensation costs, net of a forfeiture rate, on a straight-line basis of 25% a year over a vesting term of four years. The Company adopts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4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Under its 2009 Restricted Share Unit Plan (see Note 19(b)),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ectPr>
          <w:pgSz w:w="11900" w:h="16838" w:orient="portrait"/>
          <w:cols w:equalWidth="0" w:num="1">
            <w:col w:w="11380"/>
          </w:cols>
          <w:pgMar w:left="240" w:top="127" w:right="279" w:bottom="0" w:gutter="0" w:footer="0" w:header="0"/>
          <w:type w:val="continuous"/>
        </w:sectPr>
      </w:pPr>
    </w:p>
    <w:bookmarkStart w:id="92" w:name="page93"/>
    <w:bookmarkEnd w:id="92"/>
    <w:p>
      <w:pPr>
        <w:spacing w:after="0" w:line="6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 On the other hand, for RSUs which will either be settled in stock or cash as discussed above, the Company continues to mark to market such awards and, in accordance with the vesting schedules of such awards, record the resulting potential liabilities under other long-term payables and accrued liabilities which totaled nil and RMB172.8 million, respectively, as of December 31, 2016. There were no significant cash payments for share-based liabilities for the years ended December 31, 2014, 2015 and 2016.</w:t>
      </w:r>
    </w:p>
    <w:p>
      <w:pPr>
        <w:spacing w:after="0" w:line="165"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Certain subsidiaries of the Company granted options exercisable for ordinary shares to certain of the Group’s employees. The options expire five to seven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40" w:lineRule="exact"/>
        <w:rPr>
          <w:sz w:val="20"/>
          <w:szCs w:val="20"/>
          <w:color w:val="auto"/>
        </w:rPr>
      </w:pPr>
    </w:p>
    <w:p>
      <w:pPr>
        <w:ind w:right="20"/>
        <w:spacing w:after="0" w:line="347" w:lineRule="auto"/>
        <w:rPr>
          <w:sz w:val="20"/>
          <w:szCs w:val="20"/>
          <w:color w:val="auto"/>
        </w:rPr>
      </w:pPr>
      <w:r>
        <w:rPr>
          <w:rFonts w:ascii="Arial" w:cs="Arial" w:eastAsia="Arial" w:hAnsi="Arial"/>
          <w:sz w:val="15"/>
          <w:szCs w:val="15"/>
          <w:color w:val="auto"/>
        </w:rPr>
        <w:t>Forfeitures were estimated based on the Group’s weighted average historical forfeiture rate of the past five years. Differences between actual and estimated forfeitures are expensed in the period that the differences occur. See Note 19 for further information regarding share-based compensation assumptions and expense.</w:t>
      </w:r>
    </w:p>
    <w:p>
      <w:pPr>
        <w:spacing w:after="0" w:line="113" w:lineRule="exact"/>
        <w:rPr>
          <w:sz w:val="20"/>
          <w:szCs w:val="20"/>
          <w:color w:val="auto"/>
        </w:rPr>
      </w:pPr>
    </w:p>
    <w:p>
      <w:pPr>
        <w:ind w:left="640" w:hanging="637"/>
        <w:spacing w:after="0"/>
        <w:tabs>
          <w:tab w:leader="none" w:pos="6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Taxation</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 The Group classifies deferred tax assets and liabilities into current and non-current based on the classification of the related asset or liability for financial reporting. A deferred tax liability or asset that is not related to an asset or liability for financial reporting, including deferred tax assets related to tax loss carry forwards, is classified according to the expected reversal date of the temporary difference.</w:t>
      </w:r>
    </w:p>
    <w:p>
      <w:pPr>
        <w:spacing w:after="0" w:line="180" w:lineRule="exact"/>
        <w:rPr>
          <w:sz w:val="20"/>
          <w:szCs w:val="20"/>
          <w:color w:val="auto"/>
        </w:rPr>
      </w:pPr>
    </w:p>
    <w:p>
      <w:pPr>
        <w:ind w:right="440"/>
        <w:spacing w:after="0" w:line="347" w:lineRule="auto"/>
        <w:rPr>
          <w:sz w:val="20"/>
          <w:szCs w:val="20"/>
          <w:color w:val="auto"/>
        </w:rPr>
      </w:pPr>
      <w:r>
        <w:rPr>
          <w:rFonts w:ascii="Arial" w:cs="Arial" w:eastAsia="Arial" w:hAnsi="Arial"/>
          <w:sz w:val="15"/>
          <w:szCs w:val="15"/>
          <w:color w:val="auto"/>
        </w:rPr>
        <w:t>Valuation allowances are established, when necessary, to reduce deferred tax assets to the amount “more likely than not” to be realized in future tax returns. The valuation allowance for a particular tax jurisdiction is allocated between current and non-current deferred tax assets for that tax jurisdiction on a pro rata basis.</w:t>
      </w:r>
    </w:p>
    <w:p>
      <w:pPr>
        <w:spacing w:after="0" w:line="119"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For a particular tax-paying component of an enterprise and within a particular tax jurisdiction, (a) all current deferred tax assets and liabilities are offset and presented as a single amount and (b) all non-current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76" w:lineRule="exact"/>
        <w:rPr>
          <w:sz w:val="20"/>
          <w:szCs w:val="20"/>
          <w:color w:val="auto"/>
        </w:rPr>
      </w:pPr>
    </w:p>
    <w:p>
      <w:pPr>
        <w:ind w:right="120"/>
        <w:spacing w:after="0" w:line="347" w:lineRule="auto"/>
        <w:rPr>
          <w:sz w:val="20"/>
          <w:szCs w:val="20"/>
          <w:color w:val="auto"/>
        </w:rPr>
      </w:pPr>
      <w:r>
        <w:rPr>
          <w:rFonts w:ascii="Arial" w:cs="Arial" w:eastAsia="Arial" w:hAnsi="Arial"/>
          <w:sz w:val="15"/>
          <w:szCs w:val="15"/>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2014, 2015 and 2016.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Group did not have any significant unrecognized uncertain tax positions as of December 31, 2015 and 2016.</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40" w:hanging="637"/>
        <w:spacing w:after="0"/>
        <w:tabs>
          <w:tab w:leader="none" w:pos="6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Net earnings per share (“EPS”) and per American Depositary Share (“ADS”)</w:t>
      </w:r>
    </w:p>
    <w:p>
      <w:pPr>
        <w:spacing w:after="0" w:line="22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Basic earnings per share are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73" w:lineRule="exact"/>
        <w:rPr>
          <w:sz w:val="20"/>
          <w:szCs w:val="20"/>
          <w:color w:val="auto"/>
        </w:rPr>
      </w:pPr>
    </w:p>
    <w:p>
      <w:pPr>
        <w:ind w:left="640" w:hanging="637"/>
        <w:spacing w:after="0"/>
        <w:tabs>
          <w:tab w:leader="none" w:pos="6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Statutory reserves</w:t>
      </w: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71"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40"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65"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following table presents the Group’s appropriations to general reserve funds and statutory surplus funds for the years ended December 31, 2014, 2015 and 2016 (in thousands):</w:t>
      </w:r>
    </w:p>
    <w:p>
      <w:pPr>
        <w:spacing w:after="0" w:line="155"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1905</wp:posOffset>
            </wp:positionV>
            <wp:extent cx="2973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ind w:left="7200"/>
        <w:spacing w:after="0"/>
        <w:tabs>
          <w:tab w:leader="none" w:pos="8840" w:val="left"/>
          <w:tab w:leader="none" w:pos="104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1"/>
          <w:szCs w:val="11"/>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-3175</wp:posOffset>
            </wp:positionV>
            <wp:extent cx="29730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ind w:left="7160"/>
        <w:spacing w:after="0" w:line="222" w:lineRule="auto"/>
        <w:tabs>
          <w:tab w:leader="none" w:pos="8820" w:val="left"/>
          <w:tab w:leader="none" w:pos="1046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2970" cy="1263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970" cy="126365"/>
                    </a:xfrm>
                    <a:prstGeom prst="rect">
                      <a:avLst/>
                    </a:prstGeom>
                    <a:noFill/>
                  </pic:spPr>
                </pic:pic>
              </a:graphicData>
            </a:graphic>
          </wp:anchor>
        </w:drawing>
      </w:r>
    </w:p>
    <w:p>
      <w:pPr>
        <w:sectPr>
          <w:pgSz w:w="11900" w:h="16898" w:orient="portrait"/>
          <w:cols w:equalWidth="0" w:num="1">
            <w:col w:w="11420"/>
          </w:cols>
          <w:pgMar w:left="240" w:top="127" w:right="239" w:bottom="0" w:gutter="0" w:footer="0" w:header="0"/>
        </w:sectPr>
      </w:pPr>
    </w:p>
    <w:p>
      <w:pPr>
        <w:spacing w:after="0" w:line="1" w:lineRule="exact"/>
        <w:rPr>
          <w:sz w:val="20"/>
          <w:szCs w:val="20"/>
          <w:color w:val="auto"/>
        </w:rPr>
      </w:pPr>
    </w:p>
    <w:p>
      <w:pPr>
        <w:spacing w:after="0"/>
        <w:tabs>
          <w:tab w:leader="none" w:pos="7520" w:val="left"/>
          <w:tab w:leader="none" w:pos="9180" w:val="left"/>
          <w:tab w:leader="none" w:pos="10740" w:val="left"/>
        </w:tabs>
        <w:rPr>
          <w:sz w:val="20"/>
          <w:szCs w:val="20"/>
          <w:color w:val="auto"/>
        </w:rPr>
      </w:pPr>
      <w:r>
        <w:rPr>
          <w:rFonts w:ascii="Arial" w:cs="Arial" w:eastAsia="Arial" w:hAnsi="Arial"/>
          <w:sz w:val="17"/>
          <w:szCs w:val="17"/>
          <w:color w:val="auto"/>
        </w:rPr>
        <w:t>Appropriations to general reserve funds and statutory surplus funds</w:t>
      </w:r>
      <w:r>
        <w:rPr>
          <w:sz w:val="20"/>
          <w:szCs w:val="20"/>
          <w:color w:val="auto"/>
        </w:rPr>
        <w:tab/>
      </w:r>
      <w:r>
        <w:rPr>
          <w:rFonts w:ascii="Arial" w:cs="Arial" w:eastAsia="Arial" w:hAnsi="Arial"/>
          <w:sz w:val="17"/>
          <w:szCs w:val="17"/>
          <w:color w:val="auto"/>
        </w:rPr>
        <w:t>58,816</w:t>
      </w:r>
      <w:r>
        <w:rPr>
          <w:sz w:val="20"/>
          <w:szCs w:val="20"/>
          <w:color w:val="auto"/>
        </w:rPr>
        <w:tab/>
      </w:r>
      <w:r>
        <w:rPr>
          <w:rFonts w:ascii="Arial" w:cs="Arial" w:eastAsia="Arial" w:hAnsi="Arial"/>
          <w:sz w:val="17"/>
          <w:szCs w:val="17"/>
          <w:color w:val="auto"/>
        </w:rPr>
        <w:t>73,635</w:t>
      </w:r>
      <w:r>
        <w:rPr>
          <w:sz w:val="20"/>
          <w:szCs w:val="20"/>
          <w:color w:val="auto"/>
        </w:rPr>
        <w:tab/>
      </w:r>
      <w:r>
        <w:rPr>
          <w:rFonts w:ascii="Arial" w:cs="Arial" w:eastAsia="Arial" w:hAnsi="Arial"/>
          <w:sz w:val="15"/>
          <w:szCs w:val="15"/>
          <w:color w:val="auto"/>
        </w:rPr>
        <w:t>149,244</w:t>
      </w:r>
    </w:p>
    <w:p>
      <w:pPr>
        <w:sectPr>
          <w:pgSz w:w="11900" w:h="16898" w:orient="portrait"/>
          <w:cols w:equalWidth="0" w:num="1">
            <w:col w:w="11420"/>
          </w:cols>
          <w:pgMar w:left="240" w:top="127" w:right="239" w:bottom="0" w:gutter="0" w:footer="0" w:header="0"/>
          <w:type w:val="continuous"/>
        </w:sectPr>
      </w:pPr>
    </w:p>
    <w:bookmarkStart w:id="93" w:name="page94"/>
    <w:bookmarkEnd w:id="93"/>
    <w:p>
      <w:pPr>
        <w:ind w:right="360"/>
        <w:spacing w:after="0" w:line="265" w:lineRule="auto"/>
        <w:rPr>
          <w:sz w:val="20"/>
          <w:szCs w:val="20"/>
          <w:color w:val="auto"/>
        </w:rPr>
      </w:pPr>
      <w:r>
        <w:rPr>
          <w:rFonts w:ascii="Arial" w:cs="Arial" w:eastAsia="Arial" w:hAnsi="Arial"/>
          <w:sz w:val="17"/>
          <w:szCs w:val="17"/>
          <w:color w:val="auto"/>
        </w:rPr>
        <w:t xml:space="preserve">NetEase Beijing, Boguan and Netease Hangzhou did not make appropriations to statutory reserves for the years ended December 31, 2014, 2015 and 2016, and </w:t>
      </w:r>
      <w:r>
        <w:rPr>
          <w:rFonts w:ascii="Arial" w:cs="Arial" w:eastAsia="Arial" w:hAnsi="Arial"/>
          <w:sz w:val="16"/>
          <w:szCs w:val="16"/>
          <w:color w:val="auto"/>
        </w:rPr>
        <w:t xml:space="preserve">Guangzhou NetEase </w:t>
      </w:r>
      <w:r>
        <w:rPr>
          <w:rFonts w:ascii="Arial" w:cs="Arial" w:eastAsia="Arial" w:hAnsi="Arial"/>
          <w:sz w:val="17"/>
          <w:szCs w:val="17"/>
          <w:color w:val="auto"/>
        </w:rPr>
        <w:t>did not make appropriations to statutory reserves for the years ended December 31, 2016, as their cumulative appropriations in the past have</w:t>
      </w:r>
      <w:r>
        <w:rPr>
          <w:rFonts w:ascii="Arial" w:cs="Arial" w:eastAsia="Arial" w:hAnsi="Arial"/>
          <w:sz w:val="16"/>
          <w:szCs w:val="16"/>
          <w:color w:val="auto"/>
        </w:rPr>
        <w:t xml:space="preserve"> </w:t>
      </w:r>
      <w:r>
        <w:rPr>
          <w:rFonts w:ascii="Arial" w:cs="Arial" w:eastAsia="Arial" w:hAnsi="Arial"/>
          <w:sz w:val="17"/>
          <w:szCs w:val="17"/>
          <w:color w:val="auto"/>
        </w:rPr>
        <w:t>already reached the statutory limit, namely 50% of the registered capital of the respective companies.</w:t>
      </w:r>
    </w:p>
    <w:p>
      <w:pPr>
        <w:spacing w:after="0" w:line="170" w:lineRule="exact"/>
        <w:rPr>
          <w:sz w:val="20"/>
          <w:szCs w:val="20"/>
          <w:color w:val="auto"/>
        </w:rPr>
      </w:pPr>
    </w:p>
    <w:p>
      <w:pPr>
        <w:ind w:left="640" w:hanging="637"/>
        <w:spacing w:after="0"/>
        <w:tabs>
          <w:tab w:leader="none" w:pos="6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 and Mezzanine classified noncontrolling interests</w:t>
      </w:r>
    </w:p>
    <w:p>
      <w:pPr>
        <w:spacing w:after="0" w:line="22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Noncontrolling interests are recognized to reflect the portion of the equity of majority-owned subsidiaries and VIEs which is not attributable, directly or indirectly, to the controlling shareholder.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noncontrolling interest will continue to be attributed its share of losses even if that attribution results in a deficit noncontrolling interest balance.</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Mezzanine classified noncontrolling interests represent Series A convertible redeemable preferred shares (“preferred shares”) issued by Lede Inc. to certain investors, and have been classified as mezzanine classified noncontrolling interests in the consolidated financial statements as these preferred shares are contingently redeemable upon the occurrence of a conditional event, which is not solely within the control of the Company. All the preferred shares have been repurchased by Lede Inc. by the end of 2015.</w:t>
      </w:r>
    </w:p>
    <w:p>
      <w:pPr>
        <w:spacing w:after="0" w:line="179"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color w:val="auto"/>
        </w:rPr>
        <w:t>As of April 21, 2017, a subsidiary of the Group, completed its first round of fund raising. The Group remains control of the subsidiary upon the completion of financing.</w:t>
      </w:r>
    </w:p>
    <w:p>
      <w:pPr>
        <w:spacing w:after="0" w:line="159" w:lineRule="exact"/>
        <w:rPr>
          <w:sz w:val="20"/>
          <w:szCs w:val="20"/>
          <w:color w:val="auto"/>
        </w:rPr>
      </w:pPr>
    </w:p>
    <w:p>
      <w:pPr>
        <w:ind w:left="640" w:hanging="637"/>
        <w:spacing w:after="0"/>
        <w:tabs>
          <w:tab w:leader="none" w:pos="6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parties</w:t>
      </w:r>
    </w:p>
    <w:p>
      <w:pPr>
        <w:spacing w:after="0" w:line="22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40" w:hanging="637"/>
        <w:spacing w:after="0"/>
        <w:tabs>
          <w:tab w:leader="none" w:pos="6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22" w:lineRule="exact"/>
        <w:rPr>
          <w:sz w:val="20"/>
          <w:szCs w:val="20"/>
          <w:color w:val="auto"/>
        </w:rPr>
      </w:pPr>
    </w:p>
    <w:p>
      <w:pPr>
        <w:ind w:right="500"/>
        <w:spacing w:after="0" w:line="278" w:lineRule="auto"/>
        <w:rPr>
          <w:sz w:val="20"/>
          <w:szCs w:val="20"/>
          <w:color w:val="auto"/>
        </w:rPr>
      </w:pPr>
      <w:r>
        <w:rPr>
          <w:rFonts w:ascii="Arial" w:cs="Arial" w:eastAsia="Arial" w:hAnsi="Arial"/>
          <w:sz w:val="17"/>
          <w:szCs w:val="17"/>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Comprehensive income for the periods presented includes net income and change in unrealized gains (losses) on marketable securities classified as available-for-sale securities (net of tax).</w:t>
      </w:r>
    </w:p>
    <w:p>
      <w:pPr>
        <w:spacing w:after="0" w:line="159" w:lineRule="exact"/>
        <w:rPr>
          <w:sz w:val="20"/>
          <w:szCs w:val="20"/>
          <w:color w:val="auto"/>
        </w:rPr>
      </w:pPr>
    </w:p>
    <w:p>
      <w:pPr>
        <w:ind w:left="620" w:hanging="617"/>
        <w:spacing w:after="0"/>
        <w:tabs>
          <w:tab w:leader="none" w:pos="62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22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Group’s internal organizational structure as well as information about geographical areas, business segments and major customers in financial statements is set out in detail under Note 25.</w:t>
      </w:r>
    </w:p>
    <w:p>
      <w:pPr>
        <w:spacing w:after="0" w:line="159" w:lineRule="exact"/>
        <w:rPr>
          <w:sz w:val="20"/>
          <w:szCs w:val="20"/>
          <w:color w:val="auto"/>
        </w:rPr>
      </w:pPr>
    </w:p>
    <w:p>
      <w:pPr>
        <w:ind w:left="640" w:hanging="637"/>
        <w:spacing w:after="0"/>
        <w:tabs>
          <w:tab w:leader="none" w:pos="64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Dividends of the Company are recognized when declared.</w:t>
      </w:r>
    </w:p>
    <w:p>
      <w:pPr>
        <w:spacing w:after="0" w:line="210" w:lineRule="exact"/>
        <w:rPr>
          <w:sz w:val="20"/>
          <w:szCs w:val="20"/>
          <w:color w:val="auto"/>
        </w:rPr>
      </w:pPr>
    </w:p>
    <w:p>
      <w:pPr>
        <w:ind w:left="620" w:hanging="617"/>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pronouncements</w:t>
      </w:r>
    </w:p>
    <w:p>
      <w:pPr>
        <w:spacing w:after="0" w:line="222"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In May 2014, the FASB issued ASU No. 2014-09, “Revenue from Contracts with Customers (Topic 606)”. This guidance supersedes current guidance on revenue recognition in Topic 605, ‘‘Revenue Recognition.’’ In addition, there are disclosure requirements related to the nature, amount, timing, and uncertainty of revenue recognition. In August 2015, the FASB issued ASU No.2015-14 to defer the effective date of ASU No. 2014-09 for all entities by one year. For public entities that follow U.S. GAAP, the deferral results in the new revenue standard are being effective for fiscal years, and interim periods within those fiscal years, beginning after December 15, 2017, with early adoption permitted for interim and annual periods beginning after December 15, 2016. The FASB has issued several amendments and updates to the new revenue standard, including ASU 2016-08 “Principal versus Agent Considerations (Reporting Revenue Gross versus Net)”, ASU 2016-10 “Identifying Performance Obligations and Licensing”, ASU 2016-12 “Narrow-Scope</w:t>
      </w:r>
    </w:p>
    <w:p>
      <w:pPr>
        <w:spacing w:after="0" w:line="3"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Improvements and Practical Expedients” and ASU 2016-20 “Technical Corrections and Improvements”. The Group has set up an implementation team that is currently in the process of analyzing each of the Group’s revenue streams in accordance with the new revenue standard to determine the impact on the Group’s consolidated financial statements. The Group will apply the new revenue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standard beginning January 1, 2018. The Group currently anticipate adopting the standard using the modified retrospective method.</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In July 2015, the FASB issued ASU 2015-11 “Simplifying the Measurement of Inventory” to reduce the complexity and cost of the subsequent measurement of inventory, in particular when using the first-in, first-out (FIFO) or average cost methods. The provisions of ASU 2015-11 specifically exclude inventory that is measured using the last-in, first-out (LIFO) or the retail inventory method. Entities should measure inventory within the scope of ASU 2015-11 at the lower of cost and net realizable value. ASU 2015-11 is effective for fiscal years and interim periods beginning after December 15, 2016. Early adoption is permitted. The implementation of this update is not expected to have any material impact on the Group’s consolidated financial statements.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The Group will adopt this ASU in Q1 2017 and retrospectively adjust prior periods. Upon adoption, current deferred tax assets of RMB536.3 million and current deferred tax liabilities of RMB358.5 million in our December 31, 2016 consolidated balance sheet will be reclassified as non-current.</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January 2016, the FASB issued Accounting Standards Update No. 2016-01 (ASU 2016-01) “Financial Instruments-Overall (Subtopic 825-10): Recognition and Measurement of Financial Assets and Financial Liabilities.” ASU 2016-01 amends various aspects of the recognition, measurement, presentation, and disclosure for financial instruments. With respect to our consolidated financial statements, the most significant impact relates to the accounting for equity investments. It will impact the disclosure and presentation of financial assets and liabilities. ASU 2016-01 is effective for annual reporting periods, and interim periods within those years beginning after December 15, 2017. Early adoption by public entities is permitted only for certain provisions. The Group is currently in the process of evaluating the impact of the adoption of this standard on its consolidated financial statements.</w:t>
      </w:r>
    </w:p>
    <w:p>
      <w:pPr>
        <w:sectPr>
          <w:pgSz w:w="11900" w:h="16838" w:orient="portrait"/>
          <w:cols w:equalWidth="0" w:num="1">
            <w:col w:w="11400"/>
          </w:cols>
          <w:pgMar w:left="240" w:top="333" w:right="259" w:bottom="0" w:gutter="0" w:footer="0" w:header="0"/>
        </w:sectPr>
      </w:pPr>
    </w:p>
    <w:bookmarkStart w:id="94" w:name="page95"/>
    <w:bookmarkEnd w:id="94"/>
    <w:p>
      <w:pPr>
        <w:ind w:right="60"/>
        <w:spacing w:after="0" w:line="257"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 provisions contained in ASU 2014-09 (see above). ASU 2016-02 is effective for fiscal years and interim periods beginning after December 15, 2018. Early adoption is permitted. The Group is currently assessing the impact of ASU 2016-02 on its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March 2016, the FASB issued ASU 2016-07 “Investments—Equity method and joint ventures (Topic 323)”, to simplify the accounting for equity method investments, which eliminates the requirement in ASC 323 “Investments — equity method and joint ventures”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fiscal years and interim periods beginning after December 15, 2016. Early adoption is permitted. The implementation of this update is not expected to have any material impact on the Group’s consolidated financial statements.</w:t>
      </w:r>
    </w:p>
    <w:p>
      <w:pPr>
        <w:spacing w:after="0" w:line="181" w:lineRule="exact"/>
        <w:rPr>
          <w:sz w:val="20"/>
          <w:szCs w:val="20"/>
          <w:color w:val="auto"/>
        </w:rPr>
      </w:pPr>
    </w:p>
    <w:p>
      <w:pPr>
        <w:jc w:val="both"/>
        <w:ind w:right="380"/>
        <w:spacing w:after="0" w:line="291" w:lineRule="auto"/>
        <w:rPr>
          <w:sz w:val="20"/>
          <w:szCs w:val="20"/>
          <w:color w:val="auto"/>
        </w:rPr>
      </w:pPr>
      <w:r>
        <w:rPr>
          <w:rFonts w:ascii="Arial" w:cs="Arial" w:eastAsia="Arial" w:hAnsi="Arial"/>
          <w:sz w:val="15"/>
          <w:szCs w:val="15"/>
          <w:color w:val="auto"/>
        </w:rPr>
        <w:t>In March 2016, the FASB issued ASU 2016-09 “Compensation — Stock Compensation: Improvements to Employee Share-Based Payment Accounting”, which relates to accounting for employee share-based payments. This standard addresses several aspects of the accounting for share-based payment award transactions, including: (a) income tax consequences; (b) classification of awards as either equity or liabilities; and (c) classification in the statement of cash flows; and</w:t>
      </w:r>
    </w:p>
    <w:p>
      <w:pPr>
        <w:spacing w:after="0" w:line="1" w:lineRule="exact"/>
        <w:rPr>
          <w:sz w:val="20"/>
          <w:szCs w:val="20"/>
          <w:color w:val="auto"/>
        </w:rPr>
      </w:pPr>
    </w:p>
    <w:p>
      <w:pPr>
        <w:jc w:val="both"/>
        <w:ind w:right="120" w:firstLine="3"/>
        <w:spacing w:after="0" w:line="259" w:lineRule="auto"/>
        <w:tabs>
          <w:tab w:leader="none" w:pos="24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accounting for forfeitures of share-based payments. This standard will be effective for fiscal years beginning after December 15, 2016, including interim periods within those fiscal years. The Group will continue to estimate expected forfeitures and the implementation of this update is not expected to have any material impact on the Group’s consolidated financial statements.</w:t>
      </w:r>
    </w:p>
    <w:p>
      <w:pPr>
        <w:spacing w:after="0" w:line="179"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Group is currently evaluating the impact that the standard will have on its consolidated financial statements and related disclosures.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August 2016, the FASB issued ASU 2016-15 “Statement of Cash Flows — Classification of Certain Cash Receipts and Cash Payments”, which clarifies the presentation and classification of certain cash receipts and cash payments in the statement of cash flows. This guidance is effective for financial statements issued for fiscal years beginning after December 15, 2017, and interim periods within those fiscal years. Early adoption is permitted. The Group is currently evaluating the impact that the standard will have on its consolidated financial statements and related disclosures.</w:t>
      </w:r>
    </w:p>
    <w:p>
      <w:pPr>
        <w:spacing w:after="0" w:line="179"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color w:val="auto"/>
        </w:rPr>
        <w:t>In November 2016, the FASB issued ASU 2016-18 “Statement of Cash Flows (Topic 230): Restricted Cash”. The guidance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beginning-of-period and end-of-period total amounts shown in the statement of cash flows. The standard is effective for fiscal years beginning after December 15, 2017, and interim period within those fiscal years. Early adoption is permitted, including adoption in an interim period. The standard should be applied using a retrospective transition method to each period presented. The Group is currently evaluating the impact of adopting this standard on its consolidated financial statements.</w:t>
      </w:r>
    </w:p>
    <w:p>
      <w:pPr>
        <w:spacing w:after="0" w:line="178" w:lineRule="exact"/>
        <w:rPr>
          <w:sz w:val="20"/>
          <w:szCs w:val="20"/>
          <w:color w:val="auto"/>
        </w:rPr>
      </w:pPr>
    </w:p>
    <w:p>
      <w:pPr>
        <w:ind w:left="620" w:hanging="617"/>
        <w:spacing w:after="0"/>
        <w:tabs>
          <w:tab w:leader="none" w:pos="62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Concentrations and Risks</w:t>
      </w:r>
    </w:p>
    <w:p>
      <w:pPr>
        <w:spacing w:after="0" w:line="216" w:lineRule="exact"/>
        <w:rPr>
          <w:sz w:val="20"/>
          <w:szCs w:val="20"/>
          <w:color w:val="auto"/>
        </w:rPr>
      </w:pPr>
    </w:p>
    <w:p>
      <w:pPr>
        <w:ind w:left="620" w:hanging="617"/>
        <w:spacing w:after="0"/>
        <w:tabs>
          <w:tab w:leader="none" w:pos="62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Bandwidth and server custody service provider</w:t>
      </w:r>
    </w:p>
    <w:p>
      <w:pPr>
        <w:spacing w:after="0" w:line="222"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The Group relied on telecommunications service providers and their affiliates for bandwidth and server custody service to support its operations during fiscal years 2014, 2015 and 2016 as follows:</w:t>
      </w:r>
    </w:p>
    <w:p>
      <w:pPr>
        <w:spacing w:after="0" w:line="155"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For the 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359"/>
              <w:spacing w:after="0" w:line="13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359"/>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99"/>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Total number of telecommunications service providers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7"/>
                <w:szCs w:val="17"/>
                <w:color w:val="auto"/>
              </w:rPr>
            </w:pPr>
          </w:p>
        </w:tc>
      </w:tr>
      <w:tr>
        <w:trPr>
          <w:trHeight w:val="193"/>
        </w:trPr>
        <w:tc>
          <w:tcPr>
            <w:tcW w:w="8080" w:type="dxa"/>
            <w:vAlign w:val="bottom"/>
            <w:gridSpan w:val="2"/>
          </w:tcPr>
          <w:p>
            <w:pPr>
              <w:spacing w:after="0" w:line="194" w:lineRule="exact"/>
              <w:rPr>
                <w:sz w:val="20"/>
                <w:szCs w:val="20"/>
                <w:color w:val="auto"/>
              </w:rPr>
            </w:pPr>
            <w:r>
              <w:rPr>
                <w:rFonts w:ascii="Arial" w:cs="Arial" w:eastAsia="Arial" w:hAnsi="Arial"/>
                <w:sz w:val="17"/>
                <w:szCs w:val="17"/>
                <w:color w:val="auto"/>
              </w:rPr>
              <w:t>Number of service providers provided by 10% or more of the Group’s bandwidth and server custody</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8080" w:type="dxa"/>
            <w:vAlign w:val="bottom"/>
            <w:gridSpan w:val="2"/>
          </w:tcPr>
          <w:p>
            <w:pPr>
              <w:ind w:left="180"/>
              <w:spacing w:after="0"/>
              <w:rPr>
                <w:sz w:val="20"/>
                <w:szCs w:val="20"/>
                <w:color w:val="auto"/>
              </w:rPr>
            </w:pPr>
            <w:r>
              <w:rPr>
                <w:rFonts w:ascii="Arial" w:cs="Arial" w:eastAsia="Arial" w:hAnsi="Arial"/>
                <w:sz w:val="17"/>
                <w:szCs w:val="17"/>
                <w:color w:val="auto"/>
              </w:rPr>
              <w:t>expenditure</w:t>
            </w:r>
          </w:p>
        </w:tc>
        <w:tc>
          <w:tcPr>
            <w:tcW w:w="64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r>
      <w:tr>
        <w:trPr>
          <w:trHeight w:val="194"/>
        </w:trPr>
        <w:tc>
          <w:tcPr>
            <w:tcW w:w="80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 of the Group’s bandwidth and server custody expenditure provided by 10% or greater service</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8"/>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providers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90.2%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79.5%</w:t>
            </w:r>
          </w:p>
        </w:tc>
      </w:tr>
    </w:tbl>
    <w:p>
      <w:pPr>
        <w:spacing w:after="0" w:line="187" w:lineRule="exact"/>
        <w:rPr>
          <w:sz w:val="20"/>
          <w:szCs w:val="20"/>
          <w:color w:val="auto"/>
        </w:rPr>
      </w:pPr>
    </w:p>
    <w:p>
      <w:pPr>
        <w:ind w:left="640" w:hanging="637"/>
        <w:spacing w:after="0"/>
        <w:tabs>
          <w:tab w:leader="none" w:pos="64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Credit risk</w:t>
      </w:r>
    </w:p>
    <w:p>
      <w:pPr>
        <w:spacing w:after="0" w:line="22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Financial instruments that potentially subject the Group to significant concentrations of credit risk consist primarily of cash and cash equivalents, time deposits, restricted cash, accounts receivable and short-term investments. As of December 31, 2015 and 2016, substantially all of the Group’s cash equivalents, time deposits and restricted cash were held in major financial institutions located in the PRC or Hong Kong, which management consider being of high credit quality. Accounts receivable are typically unsecured and are generally derived from revenue earned from mobile games services (mainly related to remittances from distribution channels) and advertising services. One distribution channel had a receivable balance exceeding 10% of the total accounts receivable balance for the year ended December 31, 2015 and 2016,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ind w:left="8580"/>
        <w:spacing w:after="0"/>
        <w:tabs>
          <w:tab w:leader="none" w:pos="1022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1"/>
          <w:szCs w:val="11"/>
          <w:b w:val="1"/>
          <w:bCs w:val="1"/>
          <w:color w:val="auto"/>
        </w:rPr>
        <w:t>December 31,</w:t>
      </w:r>
    </w:p>
    <w:p>
      <w:pPr>
        <w:ind w:left="8860"/>
        <w:spacing w:after="0" w:line="220" w:lineRule="auto"/>
        <w:tabs>
          <w:tab w:leader="none" w:pos="10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ectPr>
          <w:pgSz w:w="11900" w:h="16838" w:orient="portrait"/>
          <w:cols w:equalWidth="0" w:num="1">
            <w:col w:w="11420"/>
          </w:cols>
          <w:pgMar w:left="240" w:top="127" w:right="239" w:bottom="0" w:gutter="0" w:footer="0" w:header="0"/>
        </w:sectPr>
      </w:pPr>
    </w:p>
    <w:tbl>
      <w:tblPr>
        <w:tblLayout w:type="fixed"/>
        <w:tblInd w:w="0" w:type="dxa"/>
        <w:tblCellMar>
          <w:top w:w="0" w:type="dxa"/>
          <w:left w:w="0" w:type="dxa"/>
          <w:bottom w:w="0" w:type="dxa"/>
          <w:right w:w="0" w:type="dxa"/>
        </w:tblCellMar>
      </w:tblPr>
      <w:tr>
        <w:trPr>
          <w:trHeight w:val="19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Distribution channel A</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Not applicable</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Not applicable</w:t>
            </w:r>
          </w:p>
        </w:tc>
      </w:tr>
    </w:tbl>
    <w:p>
      <w:pPr>
        <w:sectPr>
          <w:pgSz w:w="11900" w:h="16838" w:orient="portrait"/>
          <w:cols w:equalWidth="0" w:num="1">
            <w:col w:w="11420"/>
          </w:cols>
          <w:pgMar w:left="240" w:top="127" w:right="239" w:bottom="0" w:gutter="0" w:footer="0" w:header="0"/>
          <w:type w:val="continuous"/>
        </w:sectPr>
      </w:pPr>
    </w:p>
    <w:bookmarkStart w:id="95" w:name="page96"/>
    <w:bookmarkEnd w:id="95"/>
    <w:p>
      <w:pPr>
        <w:ind w:right="80"/>
        <w:spacing w:after="0" w:line="257" w:lineRule="auto"/>
        <w:rPr>
          <w:sz w:val="20"/>
          <w:szCs w:val="20"/>
          <w:color w:val="auto"/>
        </w:rPr>
      </w:pPr>
      <w:r>
        <w:rPr>
          <w:rFonts w:ascii="Arial" w:cs="Arial" w:eastAsia="Arial" w:hAnsi="Arial"/>
          <w:sz w:val="17"/>
          <w:szCs w:val="17"/>
          <w:color w:val="auto"/>
        </w:rPr>
        <w:t>Short-term investments consist of the held-to-maturity investment of fixed-rate corporate bonds of well-known Chinese companies and other short-term investments of financial products issued by commercial banks in China with a variable interest rate indexed to performance of underlying assets, both have a maturity date within one year as of the purchase date. The held-to-maturity investments have a credit rating of Aa or Aaa by Moody’s Investors Service, or AA or AAA by Standard &amp; Poor’s Corp., or an equivalent rating by another reputable PRC licensed rating service agency. The effective yields of the held-to-maturity investments and other short-term investments range from 1.90% to 5.30%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75" w:lineRule="exact"/>
        <w:rPr>
          <w:sz w:val="20"/>
          <w:szCs w:val="20"/>
          <w:color w:val="auto"/>
        </w:rPr>
      </w:pPr>
    </w:p>
    <w:p>
      <w:pPr>
        <w:ind w:left="640" w:hanging="637"/>
        <w:spacing w:after="0"/>
        <w:tabs>
          <w:tab w:leader="none" w:pos="64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10% or more of the Group’s total net revenues for the years ended December 31, 2014, 2015 and 2016.</w:t>
      </w:r>
    </w:p>
    <w:p>
      <w:pPr>
        <w:spacing w:after="0" w:line="210" w:lineRule="exact"/>
        <w:rPr>
          <w:sz w:val="20"/>
          <w:szCs w:val="20"/>
          <w:color w:val="auto"/>
        </w:rPr>
      </w:pPr>
    </w:p>
    <w:p>
      <w:pPr>
        <w:ind w:left="640" w:hanging="637"/>
        <w:spacing w:after="0"/>
        <w:tabs>
          <w:tab w:leader="none" w:pos="64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Online Games</w:t>
      </w:r>
    </w:p>
    <w:p>
      <w:pPr>
        <w:spacing w:after="0" w:line="222" w:lineRule="exact"/>
        <w:rPr>
          <w:sz w:val="20"/>
          <w:szCs w:val="20"/>
          <w:color w:val="auto"/>
        </w:rPr>
      </w:pPr>
    </w:p>
    <w:p>
      <w:pPr>
        <w:jc w:val="both"/>
        <w:ind w:right="140"/>
        <w:spacing w:after="0" w:line="267" w:lineRule="auto"/>
        <w:rPr>
          <w:sz w:val="20"/>
          <w:szCs w:val="20"/>
          <w:color w:val="auto"/>
        </w:rPr>
      </w:pPr>
      <w:r>
        <w:rPr>
          <w:rFonts w:ascii="Arial" w:cs="Arial" w:eastAsia="Arial" w:hAnsi="Arial"/>
          <w:sz w:val="17"/>
          <w:szCs w:val="17"/>
          <w:color w:val="auto"/>
        </w:rPr>
        <w:t>The Group derived a combined total of 31.4%, 42.2% and 46.3% of its total net revenues for the years ended December 31, 2014, 2015 and 2016, respectively, from several of the Group’s self-developed massively multi-player online role-playing games, including Fantasy Westward Journey Online (previously known as Fantasy Westward Journey II) and mobile games including the Fantasy Westward Journey mobile game, the Westward Journey Online mobile game and Onmyoji, as well as Blizzard’s Hearthstone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p>
    <w:p>
      <w:pPr>
        <w:spacing w:after="0" w:line="95"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Additionally, 8.0 %, 45.7% and 61.9% of the Group’s total net game revenues were generated from mobile games for the years ended December 31, 2014, 2015 and 2016, respectively.</w:t>
      </w:r>
    </w:p>
    <w:p>
      <w:pPr>
        <w:spacing w:after="0" w:line="159" w:lineRule="exact"/>
        <w:rPr>
          <w:sz w:val="20"/>
          <w:szCs w:val="20"/>
          <w:color w:val="auto"/>
        </w:rPr>
      </w:pPr>
    </w:p>
    <w:p>
      <w:pPr>
        <w:ind w:left="640" w:hanging="637"/>
        <w:spacing w:after="0"/>
        <w:tabs>
          <w:tab w:leader="none" w:pos="6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Chinese Regulations</w:t>
      </w:r>
    </w:p>
    <w:p>
      <w:pPr>
        <w:spacing w:after="0" w:line="22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Chinese market in which the Group operates exposes the Company to certain macro-economic and regulatory risks and uncertainties. These uncertainties extend to the ability of the Group to provide Internet services through contractual arrangements in China as this industry remains highly regulated. The Chinese government may issue from time to time new laws or new interpretations on existing laws to regulate this industry. In January 2015, the Ministry of Commerce published a discussion draft of the proposed Foreign Investment Law. Among other things, the draft Foreign Investment Law expands the definition of foreign investment and introduces the principle of ‘‘actual control’’ in determining whether a company is considered a foreign-invested enterprise. If the actual controlling person(s) is/are of foreign nationalities, then the variable interest entities will be treated as foreign-invested enterprises and any operation in the industry category on the ‘‘negative list’’ without market entry clearance may be considered as illegal. It is uncertain whether the Company would be considered as ultimately controlled by Chinese parties under the draft Foreign Investment Law. Moreover, the draft Foreign Investment Law has not taken a position on what actions will be taken with respect to the existing companies with a VIE structure. Further, it is uncertain when or if the draft Foreign Investment Law will be passed and if it is, when it will become effective. In addition, it is uncertain whether the industries of online games, portal and other virtual products, in which the Company’s VIEs operate, will be subject to the foreign investment restrictions or prohibitions set forth in the ‘‘negative list’’ that is to be issued. If the enacted version of the Foreign Investment Law and the final ‘‘negative list’’ mandate further actions, such as market entry clearance or certain restructuring of the Group’s corporate structure and operations, to be completed by companies with existing VIE structures, there may be substantial uncertainties as to whether the Group can complete these actions in a timely manner, or at all, and the Group’s business and financial condition may be materially and adversely affected.</w:t>
      </w:r>
    </w:p>
    <w:p>
      <w:pPr>
        <w:spacing w:after="0" w:line="179" w:lineRule="exact"/>
        <w:rPr>
          <w:sz w:val="20"/>
          <w:szCs w:val="20"/>
          <w:color w:val="auto"/>
        </w:rPr>
      </w:pPr>
    </w:p>
    <w:p>
      <w:pPr>
        <w:ind w:right="180"/>
        <w:spacing w:after="0" w:line="347" w:lineRule="auto"/>
        <w:rPr>
          <w:sz w:val="20"/>
          <w:szCs w:val="20"/>
          <w:color w:val="auto"/>
        </w:rPr>
      </w:pPr>
      <w:r>
        <w:rPr>
          <w:rFonts w:ascii="Arial" w:cs="Arial" w:eastAsia="Arial" w:hAnsi="Arial"/>
          <w:sz w:val="15"/>
          <w:szCs w:val="15"/>
          <w:color w:val="auto"/>
        </w:rPr>
        <w:t>Regulatory risk also encompasses the interpretation by the tax authorities of current tax laws, the status of properties leased for the Group’s operations, its legal structure and scope of operations in China, which could be subject to further restrictions resulting in limitations on the Group’s ability to conduct business in China.</w:t>
      </w:r>
    </w:p>
    <w:p>
      <w:pPr>
        <w:spacing w:after="0" w:line="113" w:lineRule="exact"/>
        <w:rPr>
          <w:sz w:val="20"/>
          <w:szCs w:val="20"/>
          <w:color w:val="auto"/>
        </w:rPr>
      </w:pPr>
    </w:p>
    <w:p>
      <w:pPr>
        <w:ind w:left="680" w:hanging="677"/>
        <w:spacing w:after="0"/>
        <w:tabs>
          <w:tab w:leader="none" w:pos="68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Allowance for Doubtful Accounts</w:t>
      </w:r>
    </w:p>
    <w:p>
      <w:pPr>
        <w:spacing w:after="0" w:line="22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Group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 customer’s ability to make payments, additional allowances might be required.</w:t>
      </w:r>
    </w:p>
    <w:p>
      <w:pPr>
        <w:spacing w:after="0" w:line="17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Receivable balances are written off when they are determined to be uncollectible. The following table sets out the movements of the allowance for doubtful accounts for the years ended December 31, 2014, 2015 and 2016 (in thousands):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Charged to (write-back</w:t>
            </w:r>
          </w:p>
        </w:tc>
        <w:tc>
          <w:tcPr>
            <w:tcW w:w="2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Write-off of receivable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c>
          <w:tcPr>
            <w:tcW w:w="2240" w:type="dxa"/>
            <w:vAlign w:val="bottom"/>
            <w:gridSpan w:val="2"/>
            <w:vMerge w:val="continue"/>
          </w:tcPr>
          <w:p>
            <w:pPr>
              <w:spacing w:after="0"/>
              <w:rPr>
                <w:sz w:val="12"/>
                <w:szCs w:val="12"/>
                <w:color w:val="auto"/>
              </w:rPr>
            </w:pPr>
          </w:p>
        </w:tc>
        <w:tc>
          <w:tcPr>
            <w:tcW w:w="2320" w:type="dxa"/>
            <w:vAlign w:val="bottom"/>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balances and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5"/>
              </w:rPr>
              <w:t>against) cost and</w:t>
            </w:r>
          </w:p>
        </w:tc>
        <w:tc>
          <w:tcPr>
            <w:tcW w:w="2320" w:type="dxa"/>
            <w:vAlign w:val="bottom"/>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corresponding</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1,</w:t>
            </w:r>
          </w:p>
        </w:tc>
        <w:tc>
          <w:tcPr>
            <w:tcW w:w="2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660" w:type="dxa"/>
            <w:vAlign w:val="bottom"/>
          </w:tcPr>
          <w:p>
            <w:pPr>
              <w:spacing w:after="0"/>
              <w:rPr>
                <w:sz w:val="14"/>
                <w:szCs w:val="14"/>
                <w:color w:val="auto"/>
              </w:rPr>
            </w:pPr>
          </w:p>
        </w:tc>
        <w:tc>
          <w:tcPr>
            <w:tcW w:w="16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provisions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4"/>
        </w:trPr>
        <w:tc>
          <w:tcPr>
            <w:tcW w:w="6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9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591"/>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7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8,275</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3,765</w:t>
            </w:r>
          </w:p>
        </w:tc>
        <w:tc>
          <w:tcPr>
            <w:tcW w:w="23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(878)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11,162</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20"/>
                <w:szCs w:val="20"/>
                <w:color w:val="auto"/>
              </w:rPr>
            </w:pPr>
            <w:r>
              <w:rPr>
                <w:rFonts w:ascii="Arial" w:cs="Arial" w:eastAsia="Arial" w:hAnsi="Arial"/>
                <w:sz w:val="17"/>
                <w:szCs w:val="17"/>
                <w:color w:val="auto"/>
              </w:rPr>
              <w:t>2015</w:t>
            </w:r>
          </w:p>
        </w:tc>
        <w:tc>
          <w:tcPr>
            <w:tcW w:w="4460" w:type="dxa"/>
            <w:vAlign w:val="bottom"/>
            <w:gridSpan w:val="2"/>
          </w:tcPr>
          <w:p>
            <w:pPr>
              <w:jc w:val="right"/>
              <w:spacing w:after="0"/>
              <w:rPr>
                <w:sz w:val="20"/>
                <w:szCs w:val="20"/>
                <w:color w:val="auto"/>
              </w:rPr>
            </w:pPr>
            <w:r>
              <w:rPr>
                <w:rFonts w:ascii="Arial" w:cs="Arial" w:eastAsia="Arial" w:hAnsi="Arial"/>
                <w:sz w:val="17"/>
                <w:szCs w:val="17"/>
                <w:color w:val="auto"/>
              </w:rPr>
              <w:t>11,162</w:t>
            </w:r>
          </w:p>
        </w:tc>
        <w:tc>
          <w:tcPr>
            <w:tcW w:w="300" w:type="dxa"/>
            <w:vAlign w:val="bottom"/>
          </w:tcPr>
          <w:p>
            <w:pPr>
              <w:spacing w:after="0"/>
              <w:rPr>
                <w:sz w:val="17"/>
                <w:szCs w:val="17"/>
                <w:color w:val="auto"/>
              </w:rPr>
            </w:pPr>
          </w:p>
        </w:tc>
        <w:tc>
          <w:tcPr>
            <w:tcW w:w="2240" w:type="dxa"/>
            <w:vAlign w:val="bottom"/>
            <w:gridSpan w:val="2"/>
          </w:tcPr>
          <w:p>
            <w:pPr>
              <w:jc w:val="right"/>
              <w:ind w:right="300"/>
              <w:spacing w:after="0"/>
              <w:rPr>
                <w:sz w:val="20"/>
                <w:szCs w:val="20"/>
                <w:color w:val="auto"/>
              </w:rPr>
            </w:pPr>
            <w:r>
              <w:rPr>
                <w:rFonts w:ascii="Arial" w:cs="Arial" w:eastAsia="Arial" w:hAnsi="Arial"/>
                <w:sz w:val="17"/>
                <w:szCs w:val="17"/>
                <w:color w:val="auto"/>
              </w:rPr>
              <w:t>4,041</w:t>
            </w:r>
          </w:p>
        </w:tc>
        <w:tc>
          <w:tcPr>
            <w:tcW w:w="2320" w:type="dxa"/>
            <w:vAlign w:val="bottom"/>
            <w:gridSpan w:val="3"/>
          </w:tcPr>
          <w:p>
            <w:pPr>
              <w:jc w:val="right"/>
              <w:ind w:right="220"/>
              <w:spacing w:after="0"/>
              <w:rPr>
                <w:sz w:val="20"/>
                <w:szCs w:val="20"/>
                <w:color w:val="auto"/>
              </w:rPr>
            </w:pPr>
            <w:r>
              <w:rPr>
                <w:rFonts w:ascii="Arial" w:cs="Arial" w:eastAsia="Arial" w:hAnsi="Arial"/>
                <w:sz w:val="17"/>
                <w:szCs w:val="17"/>
                <w:color w:val="auto"/>
              </w:rPr>
              <w:t>(1,018)</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14,185</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47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14,185</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9,952</w:t>
            </w:r>
          </w:p>
        </w:tc>
        <w:tc>
          <w:tcPr>
            <w:tcW w:w="23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24,136</w:t>
            </w:r>
          </w:p>
        </w:tc>
        <w:tc>
          <w:tcPr>
            <w:tcW w:w="0" w:type="dxa"/>
            <w:vAlign w:val="bottom"/>
          </w:tcPr>
          <w:p>
            <w:pPr>
              <w:spacing w:after="0"/>
              <w:rPr>
                <w:sz w:val="1"/>
                <w:szCs w:val="1"/>
                <w:color w:val="auto"/>
              </w:rPr>
            </w:pPr>
          </w:p>
        </w:tc>
      </w:tr>
      <w:tr>
        <w:trPr>
          <w:trHeight w:val="410"/>
        </w:trPr>
        <w:tc>
          <w:tcPr>
            <w:tcW w:w="640" w:type="dxa"/>
            <w:vAlign w:val="bottom"/>
          </w:tcPr>
          <w:p>
            <w:pPr>
              <w:spacing w:after="0"/>
              <w:rPr>
                <w:sz w:val="20"/>
                <w:szCs w:val="20"/>
                <w:color w:val="auto"/>
              </w:rPr>
            </w:pPr>
            <w:r>
              <w:rPr>
                <w:rFonts w:ascii="Arial" w:cs="Arial" w:eastAsia="Arial" w:hAnsi="Arial"/>
                <w:sz w:val="17"/>
                <w:szCs w:val="17"/>
                <w:b w:val="1"/>
                <w:bCs w:val="1"/>
                <w:color w:val="auto"/>
              </w:rPr>
              <w:t>5.</w:t>
            </w:r>
          </w:p>
        </w:tc>
        <w:tc>
          <w:tcPr>
            <w:tcW w:w="4760" w:type="dxa"/>
            <w:vAlign w:val="bottom"/>
            <w:gridSpan w:val="3"/>
          </w:tcPr>
          <w:p>
            <w:pPr>
              <w:jc w:val="right"/>
              <w:ind w:right="1820"/>
              <w:spacing w:after="0"/>
              <w:rPr>
                <w:sz w:val="20"/>
                <w:szCs w:val="20"/>
                <w:color w:val="auto"/>
              </w:rPr>
            </w:pPr>
            <w:r>
              <w:rPr>
                <w:rFonts w:ascii="Arial" w:cs="Arial" w:eastAsia="Arial" w:hAnsi="Arial"/>
                <w:sz w:val="17"/>
                <w:szCs w:val="17"/>
                <w:b w:val="1"/>
                <w:bCs w:val="1"/>
                <w:color w:val="auto"/>
                <w:w w:val="91"/>
              </w:rPr>
              <w:t>Prepayments and Other Current Assets</w:t>
            </w: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40" w:type="dxa"/>
            <w:vAlign w:val="bottom"/>
            <w:gridSpan w:val="6"/>
          </w:tcPr>
          <w:p>
            <w:pPr>
              <w:spacing w:after="0"/>
              <w:rPr>
                <w:sz w:val="20"/>
                <w:szCs w:val="20"/>
                <w:color w:val="auto"/>
              </w:rPr>
            </w:pPr>
            <w:r>
              <w:rPr>
                <w:rFonts w:ascii="Arial" w:cs="Arial" w:eastAsia="Arial" w:hAnsi="Arial"/>
                <w:sz w:val="17"/>
                <w:szCs w:val="17"/>
                <w:color w:val="auto"/>
              </w:rPr>
              <w:t>The following is a summary of prepayments and other current assets (in thousands):</w:t>
            </w: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Guarantee payment made to Blizzard - royalty fees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441,115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154,009</w:t>
            </w:r>
          </w:p>
        </w:tc>
        <w:tc>
          <w:tcPr>
            <w:tcW w:w="0" w:type="dxa"/>
            <w:vAlign w:val="bottom"/>
          </w:tcPr>
          <w:p>
            <w:pPr>
              <w:spacing w:after="0"/>
              <w:rPr>
                <w:sz w:val="1"/>
                <w:szCs w:val="1"/>
                <w:color w:val="auto"/>
              </w:rPr>
            </w:pPr>
          </w:p>
        </w:tc>
      </w:tr>
      <w:tr>
        <w:trPr>
          <w:trHeight w:val="206"/>
        </w:trPr>
        <w:tc>
          <w:tcPr>
            <w:tcW w:w="5400" w:type="dxa"/>
            <w:vAlign w:val="bottom"/>
            <w:gridSpan w:val="4"/>
          </w:tcPr>
          <w:p>
            <w:pPr>
              <w:spacing w:after="0"/>
              <w:rPr>
                <w:sz w:val="20"/>
                <w:szCs w:val="20"/>
                <w:color w:val="auto"/>
              </w:rPr>
            </w:pPr>
            <w:r>
              <w:rPr>
                <w:rFonts w:ascii="Arial" w:cs="Arial" w:eastAsia="Arial" w:hAnsi="Arial"/>
                <w:sz w:val="17"/>
                <w:szCs w:val="17"/>
                <w:color w:val="auto"/>
              </w:rPr>
              <w:t>Prepayment for royalties, revenue sharing cost</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280"/>
              <w:spacing w:after="0"/>
              <w:rPr>
                <w:sz w:val="20"/>
                <w:szCs w:val="20"/>
                <w:color w:val="auto"/>
              </w:rPr>
            </w:pPr>
            <w:r>
              <w:rPr>
                <w:rFonts w:ascii="Arial" w:cs="Arial" w:eastAsia="Arial" w:hAnsi="Arial"/>
                <w:sz w:val="17"/>
                <w:szCs w:val="17"/>
                <w:color w:val="auto"/>
              </w:rPr>
              <w:t>1,304,827</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2,399,434</w:t>
            </w:r>
          </w:p>
        </w:tc>
        <w:tc>
          <w:tcPr>
            <w:tcW w:w="0" w:type="dxa"/>
            <w:vAlign w:val="bottom"/>
          </w:tcPr>
          <w:p>
            <w:pPr>
              <w:spacing w:after="0"/>
              <w:rPr>
                <w:sz w:val="1"/>
                <w:szCs w:val="1"/>
                <w:color w:val="auto"/>
              </w:rPr>
            </w:pPr>
          </w:p>
        </w:tc>
      </w:tr>
      <w:tr>
        <w:trPr>
          <w:trHeight w:val="206"/>
        </w:trPr>
        <w:tc>
          <w:tcPr>
            <w:tcW w:w="5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receivable</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257,636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274,020</w:t>
            </w:r>
          </w:p>
        </w:tc>
        <w:tc>
          <w:tcPr>
            <w:tcW w:w="0" w:type="dxa"/>
            <w:vAlign w:val="bottom"/>
          </w:tcPr>
          <w:p>
            <w:pPr>
              <w:spacing w:after="0"/>
              <w:rPr>
                <w:sz w:val="1"/>
                <w:szCs w:val="1"/>
                <w:color w:val="auto"/>
              </w:rPr>
            </w:pPr>
          </w:p>
        </w:tc>
      </w:tr>
      <w:tr>
        <w:trPr>
          <w:trHeight w:val="206"/>
        </w:trPr>
        <w:tc>
          <w:tcPr>
            <w:tcW w:w="5400" w:type="dxa"/>
            <w:vAlign w:val="bottom"/>
            <w:gridSpan w:val="4"/>
          </w:tcPr>
          <w:p>
            <w:pPr>
              <w:spacing w:after="0"/>
              <w:rPr>
                <w:sz w:val="20"/>
                <w:szCs w:val="20"/>
                <w:color w:val="auto"/>
              </w:rPr>
            </w:pPr>
            <w:r>
              <w:rPr>
                <w:rFonts w:ascii="Arial" w:cs="Arial" w:eastAsia="Arial" w:hAnsi="Arial"/>
                <w:sz w:val="17"/>
                <w:szCs w:val="17"/>
                <w:color w:val="auto"/>
                <w:w w:val="94"/>
              </w:rPr>
              <w:t>Prepayments of content and marketing cost and other operational expenses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280"/>
              <w:spacing w:after="0"/>
              <w:rPr>
                <w:sz w:val="20"/>
                <w:szCs w:val="20"/>
                <w:color w:val="auto"/>
              </w:rPr>
            </w:pPr>
            <w:r>
              <w:rPr>
                <w:rFonts w:ascii="Arial" w:cs="Arial" w:eastAsia="Arial" w:hAnsi="Arial"/>
                <w:sz w:val="17"/>
                <w:szCs w:val="17"/>
                <w:color w:val="auto"/>
              </w:rPr>
              <w:t>158,314</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209,147</w:t>
            </w:r>
          </w:p>
        </w:tc>
        <w:tc>
          <w:tcPr>
            <w:tcW w:w="0" w:type="dxa"/>
            <w:vAlign w:val="bottom"/>
          </w:tcPr>
          <w:p>
            <w:pPr>
              <w:spacing w:after="0"/>
              <w:rPr>
                <w:sz w:val="1"/>
                <w:szCs w:val="1"/>
                <w:color w:val="auto"/>
              </w:rPr>
            </w:pPr>
          </w:p>
        </w:tc>
      </w:tr>
      <w:tr>
        <w:trPr>
          <w:trHeight w:val="206"/>
        </w:trPr>
        <w:tc>
          <w:tcPr>
            <w:tcW w:w="5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Prepayment for sales tax</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125,806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148,505</w:t>
            </w:r>
          </w:p>
        </w:tc>
        <w:tc>
          <w:tcPr>
            <w:tcW w:w="0" w:type="dxa"/>
            <w:vAlign w:val="bottom"/>
          </w:tcPr>
          <w:p>
            <w:pPr>
              <w:spacing w:after="0"/>
              <w:rPr>
                <w:sz w:val="1"/>
                <w:szCs w:val="1"/>
                <w:color w:val="auto"/>
              </w:rPr>
            </w:pPr>
          </w:p>
        </w:tc>
      </w:tr>
      <w:tr>
        <w:trPr>
          <w:trHeight w:val="206"/>
        </w:trPr>
        <w:tc>
          <w:tcPr>
            <w:tcW w:w="5400" w:type="dxa"/>
            <w:vAlign w:val="bottom"/>
            <w:gridSpan w:val="4"/>
          </w:tcPr>
          <w:p>
            <w:pPr>
              <w:spacing w:after="0"/>
              <w:rPr>
                <w:sz w:val="20"/>
                <w:szCs w:val="20"/>
                <w:color w:val="auto"/>
              </w:rPr>
            </w:pPr>
            <w:r>
              <w:rPr>
                <w:rFonts w:ascii="Arial" w:cs="Arial" w:eastAsia="Arial" w:hAnsi="Arial"/>
                <w:sz w:val="17"/>
                <w:szCs w:val="17"/>
                <w:color w:val="auto"/>
              </w:rPr>
              <w:t>Bridge loans in connection with ongoing investments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280"/>
              <w:spacing w:after="0"/>
              <w:rPr>
                <w:sz w:val="20"/>
                <w:szCs w:val="20"/>
                <w:color w:val="auto"/>
              </w:rPr>
            </w:pPr>
            <w:r>
              <w:rPr>
                <w:rFonts w:ascii="Arial" w:cs="Arial" w:eastAsia="Arial" w:hAnsi="Arial"/>
                <w:sz w:val="17"/>
                <w:szCs w:val="17"/>
                <w:color w:val="auto"/>
              </w:rPr>
              <w:t>35,510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46,279</w:t>
            </w: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Deposits</w:t>
            </w:r>
          </w:p>
        </w:tc>
        <w:tc>
          <w:tcPr>
            <w:tcW w:w="3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34,894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156,020</w:t>
            </w:r>
          </w:p>
        </w:tc>
        <w:tc>
          <w:tcPr>
            <w:tcW w:w="0" w:type="dxa"/>
            <w:vAlign w:val="bottom"/>
          </w:tcPr>
          <w:p>
            <w:pPr>
              <w:spacing w:after="0"/>
              <w:rPr>
                <w:sz w:val="1"/>
                <w:szCs w:val="1"/>
                <w:color w:val="auto"/>
              </w:rPr>
            </w:pPr>
          </w:p>
        </w:tc>
      </w:tr>
      <w:tr>
        <w:trPr>
          <w:trHeight w:val="206"/>
        </w:trPr>
        <w:tc>
          <w:tcPr>
            <w:tcW w:w="5400" w:type="dxa"/>
            <w:vAlign w:val="bottom"/>
            <w:gridSpan w:val="4"/>
          </w:tcPr>
          <w:p>
            <w:pPr>
              <w:spacing w:after="0"/>
              <w:rPr>
                <w:sz w:val="20"/>
                <w:szCs w:val="20"/>
                <w:color w:val="auto"/>
              </w:rPr>
            </w:pPr>
            <w:r>
              <w:rPr>
                <w:rFonts w:ascii="Arial" w:cs="Arial" w:eastAsia="Arial" w:hAnsi="Arial"/>
                <w:sz w:val="17"/>
                <w:szCs w:val="17"/>
                <w:color w:val="auto"/>
              </w:rPr>
              <w:t>Employee advances</w:t>
            </w: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3"/>
          </w:tcPr>
          <w:p>
            <w:pPr>
              <w:jc w:val="right"/>
              <w:ind w:right="280"/>
              <w:spacing w:after="0"/>
              <w:rPr>
                <w:sz w:val="20"/>
                <w:szCs w:val="20"/>
                <w:color w:val="auto"/>
              </w:rPr>
            </w:pPr>
            <w:r>
              <w:rPr>
                <w:rFonts w:ascii="Arial" w:cs="Arial" w:eastAsia="Arial" w:hAnsi="Arial"/>
                <w:sz w:val="17"/>
                <w:szCs w:val="17"/>
                <w:color w:val="auto"/>
              </w:rPr>
              <w:t>38,363</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50,244</w:t>
            </w:r>
          </w:p>
        </w:tc>
        <w:tc>
          <w:tcPr>
            <w:tcW w:w="0" w:type="dxa"/>
            <w:vAlign w:val="bottom"/>
          </w:tcPr>
          <w:p>
            <w:pPr>
              <w:spacing w:after="0"/>
              <w:rPr>
                <w:sz w:val="1"/>
                <w:szCs w:val="1"/>
                <w:color w:val="auto"/>
              </w:rPr>
            </w:pPr>
          </w:p>
        </w:tc>
      </w:tr>
      <w:tr>
        <w:trPr>
          <w:trHeight w:val="206"/>
        </w:trPr>
        <w:tc>
          <w:tcPr>
            <w:tcW w:w="54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Advance to suppliers</w:t>
            </w:r>
          </w:p>
        </w:tc>
        <w:tc>
          <w:tcPr>
            <w:tcW w:w="1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179,390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173,057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0" w:gutter="0" w:footer="0" w:header="0"/>
        </w:sectPr>
      </w:pPr>
    </w:p>
    <w:bookmarkStart w:id="96" w:name="page97"/>
    <w:bookmarkEnd w:id="96"/>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20"/>
                <w:szCs w:val="20"/>
                <w:color w:val="auto"/>
              </w:rPr>
            </w:pPr>
            <w:r>
              <w:rPr>
                <w:rFonts w:ascii="Arial" w:cs="Arial" w:eastAsia="Arial" w:hAnsi="Arial"/>
                <w:sz w:val="17"/>
                <w:szCs w:val="17"/>
                <w:color w:val="auto"/>
              </w:rPr>
              <w:t>Others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119,655</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87,237</w:t>
            </w:r>
          </w:p>
        </w:tc>
      </w:tr>
      <w:tr>
        <w:trPr>
          <w:trHeight w:val="199"/>
        </w:trPr>
        <w:tc>
          <w:tcPr>
            <w:tcW w:w="83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2,695,510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3,697,952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accordance with the license agreements of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series, Hearthstone, Heroes of the Storm</w:t>
      </w:r>
      <w:r>
        <w:rPr>
          <w:rFonts w:ascii="Arial" w:cs="Arial" w:eastAsia="Arial" w:hAnsi="Arial"/>
          <w:sz w:val="22"/>
          <w:szCs w:val="22"/>
          <w:color w:val="auto"/>
          <w:vertAlign w:val="superscript"/>
        </w:rPr>
        <w:t>®</w:t>
      </w:r>
      <w:r>
        <w:rPr>
          <w:rFonts w:ascii="Arial" w:cs="Arial" w:eastAsia="Arial" w:hAnsi="Arial"/>
          <w:sz w:val="17"/>
          <w:szCs w:val="17"/>
          <w:color w:val="auto"/>
        </w:rPr>
        <w:t>,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III and Overwatch</w:t>
      </w:r>
      <w:r>
        <w:rPr>
          <w:rFonts w:ascii="Arial" w:cs="Arial" w:eastAsia="Arial" w:hAnsi="Arial"/>
          <w:sz w:val="22"/>
          <w:szCs w:val="22"/>
          <w:color w:val="auto"/>
          <w:vertAlign w:val="superscript"/>
        </w:rPr>
        <w:t>®</w:t>
      </w:r>
      <w:r>
        <w:rPr>
          <w:rFonts w:ascii="Arial" w:cs="Arial" w:eastAsia="Arial" w:hAnsi="Arial"/>
          <w:sz w:val="17"/>
          <w:szCs w:val="17"/>
          <w:color w:val="auto"/>
        </w:rPr>
        <w:t>, the Group made certain guarantee payments to Blizzard on behalf of Shanghai EaseNet for the minimum guaranteed royalties as of December 31, 2015 and 2016. The guarantee amounts will be released to the Group when actual royalties are paid by Shanghai EaseNet to Blizzard.</w:t>
      </w:r>
    </w:p>
    <w:p>
      <w:pPr>
        <w:spacing w:after="0" w:line="19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As of December 31, 2015 and 2016, prepayments for royalties and revenue sharing cost representing prepaid royalties or revenue sharing cost related to operations of licensed PC and mobile games.</w:t>
      </w:r>
    </w:p>
    <w:p>
      <w:pPr>
        <w:spacing w:after="0" w:line="16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amount of employee advances listed above included staff housing loan balances of RMB34.1 million and RMB45.5 million repayable within 12 months from December 31, 2015 and 2016, respectively (see Note 10). No advances were made directly or indirectly to the Group’s executive officers for their personal benefit for the years ended December 31, 2015 and 2016.</w:t>
      </w:r>
    </w:p>
    <w:p>
      <w:pPr>
        <w:spacing w:after="0" w:line="170" w:lineRule="exact"/>
        <w:rPr>
          <w:sz w:val="20"/>
          <w:szCs w:val="20"/>
          <w:color w:val="auto"/>
        </w:rPr>
      </w:pPr>
    </w:p>
    <w:p>
      <w:pPr>
        <w:ind w:left="680" w:hanging="677"/>
        <w:spacing w:after="0"/>
        <w:tabs>
          <w:tab w:leader="none" w:pos="68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Investments</w:t>
      </w:r>
    </w:p>
    <w:p>
      <w:pPr>
        <w:spacing w:after="0" w:line="222"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As of December 31, 2015 and 2016, the Group’s short-term investments mainly consisted of held-to-maturity investments which are fixed-rate corporate bonds and financial products issued by commercial banks in China with a variable interest rate indexed to the performance of underlying assets and a maturity date within one year when purchased. As of December 31, 2016, the effective yields of short-term investments ranged from 1.90% to 5.30% per annum (2015: 2.60% to 5.30% per annum).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short-term investments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2015</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64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Unrecognized</w:t>
            </w:r>
          </w:p>
        </w:tc>
        <w:tc>
          <w:tcPr>
            <w:tcW w:w="13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Estimated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Gains/(Losses)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4"/>
        </w:trPr>
        <w:tc>
          <w:tcPr>
            <w:tcW w:w="66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Held-to-maturity securities - fixed rate investments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153,522</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153,522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Other short-term investments</w:t>
            </w:r>
          </w:p>
        </w:tc>
        <w:tc>
          <w:tcPr>
            <w:tcW w:w="1380" w:type="dxa"/>
            <w:vAlign w:val="bottom"/>
          </w:tcPr>
          <w:p>
            <w:pPr>
              <w:jc w:val="right"/>
              <w:spacing w:after="0"/>
              <w:rPr>
                <w:sz w:val="20"/>
                <w:szCs w:val="20"/>
                <w:color w:val="auto"/>
              </w:rPr>
            </w:pPr>
            <w:r>
              <w:rPr>
                <w:rFonts w:ascii="Arial" w:cs="Arial" w:eastAsia="Arial" w:hAnsi="Arial"/>
                <w:sz w:val="17"/>
                <w:szCs w:val="17"/>
                <w:color w:val="auto"/>
              </w:rPr>
              <w:t>4,859,977</w:t>
            </w:r>
          </w:p>
        </w:tc>
        <w:tc>
          <w:tcPr>
            <w:tcW w:w="300" w:type="dxa"/>
            <w:vAlign w:val="bottom"/>
          </w:tcPr>
          <w:p>
            <w:pPr>
              <w:spacing w:after="0"/>
              <w:rPr>
                <w:sz w:val="17"/>
                <w:szCs w:val="17"/>
                <w:color w:val="auto"/>
              </w:rPr>
            </w:pPr>
          </w:p>
        </w:tc>
        <w:tc>
          <w:tcPr>
            <w:tcW w:w="164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4,859,977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5,013,499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5,013,499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6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2016</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64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Unrecognized</w:t>
            </w:r>
          </w:p>
        </w:tc>
        <w:tc>
          <w:tcPr>
            <w:tcW w:w="13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Estimated</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Gains/(Losses)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34"/>
        </w:trPr>
        <w:tc>
          <w:tcPr>
            <w:tcW w:w="66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11,582,116</w:t>
            </w:r>
          </w:p>
        </w:tc>
        <w:tc>
          <w:tcPr>
            <w:tcW w:w="3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11,582,116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11,582,116</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11,582,116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780"/>
        <w:spacing w:after="0" w:line="311" w:lineRule="auto"/>
        <w:rPr>
          <w:sz w:val="20"/>
          <w:szCs w:val="20"/>
          <w:color w:val="auto"/>
        </w:rPr>
      </w:pPr>
      <w:r>
        <w:rPr>
          <w:rFonts w:ascii="Arial" w:cs="Arial" w:eastAsia="Arial" w:hAnsi="Arial"/>
          <w:sz w:val="16"/>
          <w:szCs w:val="16"/>
          <w:color w:val="auto"/>
        </w:rPr>
        <w:t>During the years ended December 31, 2014, 2015 and 2016, the Group recorded investment income related to short-term investments of RMB64.2 million, RMB143.1 million and RMB303.4 million in the consolidated statements of operations and comprehensive income,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Arial" w:cs="Arial" w:eastAsia="Arial" w:hAnsi="Arial"/>
                <w:sz w:val="17"/>
                <w:szCs w:val="17"/>
                <w:b w:val="1"/>
                <w:bCs w:val="1"/>
                <w:color w:val="auto"/>
              </w:rPr>
              <w:t>7.</w:t>
            </w:r>
          </w:p>
        </w:tc>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Property, Equipment and Software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7"/>
                <w:szCs w:val="17"/>
                <w:color w:val="auto"/>
              </w:rPr>
              <w:t>The following is a summary of property, equipment and software (in thousands):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6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66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4"/>
        </w:trPr>
        <w:tc>
          <w:tcPr>
            <w:tcW w:w="66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 and decoration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666,685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1,207,607</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24,691</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39,880</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fixtures and office equipment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68,984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104,779</w:t>
            </w:r>
          </w:p>
        </w:tc>
        <w:tc>
          <w:tcPr>
            <w:tcW w:w="80" w:type="dxa"/>
            <w:vAlign w:val="bottom"/>
            <w:shd w:val="clear" w:color="auto" w:fill="CCEEFF"/>
          </w:tcPr>
          <w:p>
            <w:pPr>
              <w:spacing w:after="0"/>
              <w:rPr>
                <w:sz w:val="17"/>
                <w:szCs w:val="17"/>
                <w:color w:val="auto"/>
              </w:rPr>
            </w:pPr>
          </w:p>
        </w:tc>
      </w:tr>
      <w:tr>
        <w:trPr>
          <w:trHeight w:val="206"/>
        </w:trPr>
        <w:tc>
          <w:tcPr>
            <w:tcW w:w="660" w:type="dxa"/>
            <w:vAlign w:val="bottom"/>
          </w:tcPr>
          <w:p>
            <w:pPr>
              <w:spacing w:after="0"/>
              <w:rPr>
                <w:sz w:val="20"/>
                <w:szCs w:val="20"/>
                <w:color w:val="auto"/>
              </w:rPr>
            </w:pPr>
            <w:r>
              <w:rPr>
                <w:rFonts w:ascii="Arial" w:cs="Arial" w:eastAsia="Arial" w:hAnsi="Arial"/>
                <w:sz w:val="17"/>
                <w:szCs w:val="17"/>
                <w:color w:val="auto"/>
                <w:w w:val="99"/>
              </w:rPr>
              <w:t>Vehicles</w:t>
            </w:r>
          </w:p>
        </w:tc>
        <w:tc>
          <w:tcPr>
            <w:tcW w:w="764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40,997</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52,396</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Servers and computers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1,268,028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1,700,463</w:t>
            </w:r>
          </w:p>
        </w:tc>
        <w:tc>
          <w:tcPr>
            <w:tcW w:w="80" w:type="dxa"/>
            <w:vAlign w:val="bottom"/>
            <w:shd w:val="clear" w:color="auto" w:fill="CCEEFF"/>
          </w:tcPr>
          <w:p>
            <w:pPr>
              <w:spacing w:after="0"/>
              <w:rPr>
                <w:sz w:val="17"/>
                <w:szCs w:val="17"/>
                <w:color w:val="auto"/>
              </w:rPr>
            </w:pPr>
          </w:p>
        </w:tc>
      </w:tr>
      <w:tr>
        <w:trPr>
          <w:trHeight w:val="206"/>
        </w:trPr>
        <w:tc>
          <w:tcPr>
            <w:tcW w:w="660" w:type="dxa"/>
            <w:vAlign w:val="bottom"/>
          </w:tcPr>
          <w:p>
            <w:pPr>
              <w:spacing w:after="0"/>
              <w:rPr>
                <w:sz w:val="20"/>
                <w:szCs w:val="20"/>
                <w:color w:val="auto"/>
              </w:rPr>
            </w:pPr>
            <w:r>
              <w:rPr>
                <w:rFonts w:ascii="Arial" w:cs="Arial" w:eastAsia="Arial" w:hAnsi="Arial"/>
                <w:sz w:val="17"/>
                <w:szCs w:val="17"/>
                <w:color w:val="auto"/>
                <w:w w:val="95"/>
              </w:rPr>
              <w:t>Software</w:t>
            </w:r>
          </w:p>
        </w:tc>
        <w:tc>
          <w:tcPr>
            <w:tcW w:w="764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49,633</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54,273</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1,091,443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663,374</w:t>
            </w:r>
          </w:p>
        </w:tc>
        <w:tc>
          <w:tcPr>
            <w:tcW w:w="80" w:type="dxa"/>
            <w:vAlign w:val="bottom"/>
            <w:shd w:val="clear" w:color="auto" w:fill="CCEEFF"/>
          </w:tcPr>
          <w:p>
            <w:pPr>
              <w:spacing w:after="0"/>
              <w:rPr>
                <w:sz w:val="17"/>
                <w:szCs w:val="17"/>
                <w:color w:val="auto"/>
              </w:rPr>
            </w:pPr>
          </w:p>
        </w:tc>
      </w:tr>
      <w:tr>
        <w:trPr>
          <w:trHeight w:val="199"/>
        </w:trPr>
        <w:tc>
          <w:tcPr>
            <w:tcW w:w="660" w:type="dxa"/>
            <w:vAlign w:val="bottom"/>
            <w:tcBorders>
              <w:bottom w:val="single" w:sz="8" w:color="CCEEFF"/>
            </w:tcBorders>
          </w:tcPr>
          <w:p>
            <w:pPr>
              <w:spacing w:after="0"/>
              <w:rPr>
                <w:sz w:val="17"/>
                <w:szCs w:val="17"/>
                <w:color w:val="auto"/>
              </w:rPr>
            </w:pPr>
          </w:p>
        </w:tc>
        <w:tc>
          <w:tcPr>
            <w:tcW w:w="764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3,210,461</w:t>
            </w:r>
          </w:p>
        </w:tc>
        <w:tc>
          <w:tcPr>
            <w:tcW w:w="2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3,822,772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9"/>
        </w:trPr>
        <w:tc>
          <w:tcPr>
            <w:tcW w:w="66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(1,118,415)</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(1,403,262)</w:t>
            </w:r>
          </w:p>
        </w:tc>
      </w:tr>
      <w:tr>
        <w:trPr>
          <w:trHeight w:val="199"/>
        </w:trPr>
        <w:tc>
          <w:tcPr>
            <w:tcW w:w="660" w:type="dxa"/>
            <w:vAlign w:val="bottom"/>
            <w:tcBorders>
              <w:top w:val="single" w:sz="8" w:color="CCEEFF"/>
            </w:tcBorders>
            <w:shd w:val="clear" w:color="auto" w:fill="CCEEFF"/>
          </w:tcPr>
          <w:p>
            <w:pPr>
              <w:spacing w:after="0"/>
              <w:rPr>
                <w:sz w:val="17"/>
                <w:szCs w:val="17"/>
                <w:color w:val="auto"/>
              </w:rPr>
            </w:pPr>
          </w:p>
        </w:tc>
        <w:tc>
          <w:tcPr>
            <w:tcW w:w="76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Net book value</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2,092,046</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2,419,510</w:t>
            </w:r>
          </w:p>
        </w:tc>
        <w:tc>
          <w:tcPr>
            <w:tcW w:w="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RMB172.4 million, RMB178.9million and RMB312.9 million for the years ended December 31, 2014, 2015 and 2016, respectively.</w:t>
      </w:r>
    </w:p>
    <w:p>
      <w:pPr>
        <w:spacing w:after="0" w:line="2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As of December 31, 2015 and 2016, the construction in progress balance mainly represented a prepayment of RMB1,075.0 million and RMB642.4 million, respectively, for the construction of office buildings in Hangzhou, Zhoushan, Guangzhou and Ningbo. All the related cost is capitalized in construction in progress to the extent it is incurred for the purposes of bringing the construction development to a usable state.</w:t>
      </w:r>
    </w:p>
    <w:p>
      <w:pPr>
        <w:spacing w:after="0" w:line="170" w:lineRule="exact"/>
        <w:rPr>
          <w:sz w:val="20"/>
          <w:szCs w:val="20"/>
          <w:color w:val="auto"/>
        </w:rPr>
      </w:pPr>
    </w:p>
    <w:p>
      <w:pPr>
        <w:ind w:left="680" w:hanging="677"/>
        <w:spacing w:after="0"/>
        <w:tabs>
          <w:tab w:leader="none" w:pos="68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Land Use Right</w:t>
      </w:r>
    </w:p>
    <w:p>
      <w:pPr>
        <w:spacing w:after="0" w:line="22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Land use right represents the land acquired for the purpose of constructing offices and warehouses. In 2015, the Group acquired land use rights in Ningbo for warehouse construction. In 2016, the Group obtained the land use right certificate for Boguan from the local authorities. Amortization of the land use right is made over the remaining term of the land use right period from the date when the Group first obtained the land use right certificate from the local authorities. The land use right is summarized as follows (in thousands):</w:t>
      </w:r>
    </w:p>
    <w:p>
      <w:pPr>
        <w:spacing w:after="0" w:line="149" w:lineRule="exact"/>
        <w:rPr>
          <w:sz w:val="20"/>
          <w:szCs w:val="20"/>
          <w:color w:val="auto"/>
        </w:rPr>
      </w:pPr>
    </w:p>
    <w:tbl>
      <w:tblPr>
        <w:tblLayout w:type="fixed"/>
        <w:tblInd w:w="8300" w:type="dxa"/>
        <w:tblCellMar>
          <w:top w:w="0" w:type="dxa"/>
          <w:left w:w="0" w:type="dxa"/>
          <w:bottom w:w="0" w:type="dxa"/>
          <w:right w:w="0" w:type="dxa"/>
        </w:tblCellMar>
      </w:tblPr>
      <w:tr>
        <w:trPr>
          <w:trHeight w:val="161"/>
        </w:trPr>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36"/>
        </w:trPr>
        <w:tc>
          <w:tcPr>
            <w:tcW w:w="13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rPr>
              <w:t>RMB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252970" cy="1308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970" cy="130810"/>
                    </a:xfrm>
                    <a:prstGeom prst="rect">
                      <a:avLst/>
                    </a:prstGeom>
                    <a:noFill/>
                  </pic:spPr>
                </pic:pic>
              </a:graphicData>
            </a:graphic>
          </wp:anchor>
        </w:drawing>
      </w:r>
    </w:p>
    <w:p>
      <w:pPr>
        <w:sectPr>
          <w:pgSz w:w="11900" w:h="16886" w:orient="portrait"/>
          <w:cols w:equalWidth="0" w:num="1">
            <w:col w:w="11420"/>
          </w:cols>
          <w:pgMar w:left="240" w:top="127" w:right="239" w:bottom="0" w:gutter="0" w:footer="0" w:header="0"/>
        </w:sectPr>
      </w:pPr>
    </w:p>
    <w:p>
      <w:pPr>
        <w:spacing w:after="0"/>
        <w:tabs>
          <w:tab w:leader="none" w:pos="9100" w:val="left"/>
          <w:tab w:leader="none" w:pos="10740" w:val="left"/>
        </w:tabs>
        <w:rPr>
          <w:sz w:val="20"/>
          <w:szCs w:val="20"/>
          <w:color w:val="auto"/>
        </w:rPr>
      </w:pPr>
      <w:r>
        <w:rPr>
          <w:rFonts w:ascii="Arial" w:cs="Arial" w:eastAsia="Arial" w:hAnsi="Arial"/>
          <w:sz w:val="17"/>
          <w:szCs w:val="17"/>
          <w:color w:val="auto"/>
        </w:rPr>
        <w:t>Cost</w:t>
      </w:r>
      <w:r>
        <w:rPr>
          <w:sz w:val="20"/>
          <w:szCs w:val="20"/>
          <w:color w:val="auto"/>
        </w:rPr>
        <w:tab/>
      </w:r>
      <w:r>
        <w:rPr>
          <w:rFonts w:ascii="Arial" w:cs="Arial" w:eastAsia="Arial" w:hAnsi="Arial"/>
          <w:sz w:val="17"/>
          <w:szCs w:val="17"/>
          <w:color w:val="auto"/>
        </w:rPr>
        <w:t>258,734</w:t>
      </w:r>
      <w:r>
        <w:rPr>
          <w:sz w:val="20"/>
          <w:szCs w:val="20"/>
          <w:color w:val="auto"/>
        </w:rPr>
        <w:tab/>
      </w:r>
      <w:r>
        <w:rPr>
          <w:rFonts w:ascii="Arial" w:cs="Arial" w:eastAsia="Arial" w:hAnsi="Arial"/>
          <w:sz w:val="15"/>
          <w:szCs w:val="15"/>
          <w:color w:val="auto"/>
        </w:rPr>
        <w:t>620,127</w:t>
      </w:r>
    </w:p>
    <w:p>
      <w:pPr>
        <w:sectPr>
          <w:pgSz w:w="11900" w:h="16886" w:orient="portrait"/>
          <w:cols w:equalWidth="0" w:num="1">
            <w:col w:w="11420"/>
          </w:cols>
          <w:pgMar w:left="240" w:top="127" w:right="239"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20"/>
                <w:szCs w:val="20"/>
                <w:color w:val="auto"/>
              </w:rPr>
            </w:pPr>
            <w:r>
              <w:rPr>
                <w:rFonts w:ascii="Arial" w:cs="Arial" w:eastAsia="Arial" w:hAnsi="Arial"/>
                <w:sz w:val="17"/>
                <w:szCs w:val="17"/>
                <w:color w:val="auto"/>
              </w:rPr>
              <w:t>Incentive payment from local government</w:t>
            </w: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(15,000)</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(15,000)</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(4,856)</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(16,240)</w:t>
            </w:r>
          </w:p>
        </w:tc>
      </w:tr>
      <w:tr>
        <w:trPr>
          <w:trHeight w:val="199"/>
        </w:trPr>
        <w:tc>
          <w:tcPr>
            <w:tcW w:w="8300" w:type="dxa"/>
            <w:vAlign w:val="bottom"/>
          </w:tcPr>
          <w:p>
            <w:pPr>
              <w:spacing w:after="0"/>
              <w:rPr>
                <w:sz w:val="20"/>
                <w:szCs w:val="20"/>
                <w:color w:val="auto"/>
              </w:rPr>
            </w:pPr>
            <w:r>
              <w:rPr>
                <w:rFonts w:ascii="Arial" w:cs="Arial" w:eastAsia="Arial" w:hAnsi="Arial"/>
                <w:sz w:val="17"/>
                <w:szCs w:val="17"/>
                <w:color w:val="auto"/>
              </w:rPr>
              <w:t>Land use right,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238,878</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588,887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The total amortization expense for each of the years ended December 31, 2014, 2015 and 2016 amounted to approximately RMB580,000, RMB2,768,000, and RMB11,384,000,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Arial" w:cs="Arial" w:eastAsia="Arial" w:hAnsi="Arial"/>
                <w:sz w:val="17"/>
                <w:szCs w:val="17"/>
                <w:b w:val="1"/>
                <w:bCs w:val="1"/>
                <w:color w:val="auto"/>
              </w:rPr>
              <w:t>9.</w:t>
            </w:r>
          </w:p>
        </w:tc>
        <w:tc>
          <w:tcPr>
            <w:tcW w:w="7900" w:type="dxa"/>
            <w:vAlign w:val="bottom"/>
          </w:tcPr>
          <w:p>
            <w:pPr>
              <w:ind w:left="280"/>
              <w:spacing w:after="0"/>
              <w:rPr>
                <w:sz w:val="20"/>
                <w:szCs w:val="20"/>
                <w:color w:val="auto"/>
              </w:rPr>
            </w:pPr>
            <w:r>
              <w:rPr>
                <w:rFonts w:ascii="Arial" w:cs="Arial" w:eastAsia="Arial" w:hAnsi="Arial"/>
                <w:sz w:val="17"/>
                <w:szCs w:val="17"/>
                <w:b w:val="1"/>
                <w:bCs w:val="1"/>
                <w:color w:val="auto"/>
              </w:rPr>
              <w:t>Long-term Investments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6"/>
        </w:trPr>
        <w:tc>
          <w:tcPr>
            <w:tcW w:w="4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40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4"/>
        </w:trPr>
        <w:tc>
          <w:tcPr>
            <w:tcW w:w="40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Investments in associated companies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318,888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652,635</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Equity investments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309,691</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461,664</w:t>
            </w:r>
          </w:p>
        </w:tc>
        <w:tc>
          <w:tcPr>
            <w:tcW w:w="80" w:type="dxa"/>
            <w:vAlign w:val="bottom"/>
          </w:tcPr>
          <w:p>
            <w:pPr>
              <w:spacing w:after="0"/>
              <w:rPr>
                <w:sz w:val="17"/>
                <w:szCs w:val="17"/>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1,136,073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855,728</w:t>
            </w:r>
          </w:p>
        </w:tc>
        <w:tc>
          <w:tcPr>
            <w:tcW w:w="80" w:type="dxa"/>
            <w:vAlign w:val="bottom"/>
            <w:shd w:val="clear" w:color="auto" w:fill="CCEEFF"/>
          </w:tcPr>
          <w:p>
            <w:pPr>
              <w:spacing w:after="0"/>
              <w:rPr>
                <w:sz w:val="17"/>
                <w:szCs w:val="17"/>
                <w:color w:val="auto"/>
              </w:rPr>
            </w:pPr>
          </w:p>
        </w:tc>
      </w:tr>
      <w:tr>
        <w:trPr>
          <w:trHeight w:val="199"/>
        </w:trPr>
        <w:tc>
          <w:tcPr>
            <w:tcW w:w="4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1,764,652</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1,970,027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hanging="617"/>
        <w:spacing w:after="0"/>
        <w:tabs>
          <w:tab w:leader="none" w:pos="62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associated companies</w:t>
      </w:r>
    </w:p>
    <w:p>
      <w:pPr>
        <w:spacing w:after="0" w:line="222" w:lineRule="exact"/>
        <w:rPr>
          <w:sz w:val="20"/>
          <w:szCs w:val="20"/>
          <w:color w:val="auto"/>
        </w:rPr>
      </w:pPr>
    </w:p>
    <w:p>
      <w:pPr>
        <w:ind w:left="620" w:right="280"/>
        <w:spacing w:after="0" w:line="289" w:lineRule="auto"/>
        <w:rPr>
          <w:sz w:val="20"/>
          <w:szCs w:val="20"/>
          <w:color w:val="auto"/>
        </w:rPr>
      </w:pPr>
      <w:r>
        <w:rPr>
          <w:rFonts w:ascii="Arial" w:cs="Arial" w:eastAsia="Arial" w:hAnsi="Arial"/>
          <w:sz w:val="16"/>
          <w:szCs w:val="16"/>
          <w:color w:val="auto"/>
        </w:rPr>
        <w:t>The Group recorded equity share of loss of RMB33.6 million, RMB76.1 million and RMB85.8 million for the years ended December 31, 2014, 2015 and 2016, respectively, which was included in “investment income, net” in the consolidated statements of comprehensive income. The Group received cash dividends for each of the years ended December 31, 2014, 2015 and 2016 of RMB15.3 million, nil and nil, respectively.</w:t>
      </w:r>
    </w:p>
    <w:p>
      <w:pPr>
        <w:spacing w:after="0" w:line="159" w:lineRule="exact"/>
        <w:rPr>
          <w:sz w:val="20"/>
          <w:szCs w:val="20"/>
          <w:color w:val="auto"/>
        </w:rPr>
      </w:pPr>
    </w:p>
    <w:p>
      <w:pPr>
        <w:ind w:left="620" w:hanging="617"/>
        <w:spacing w:after="0" w:line="265" w:lineRule="auto"/>
        <w:tabs>
          <w:tab w:leader="none" w:pos="62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August 2013, the Group established a joint venture with China Telecom Corp. Ltd. (“China Telecom”), Hangzhou Yixin Technology Co., Ltd. (“Yixin”) to launch “YiChat”, a proprietary social instant messaging application for smart phones. The Group contributed RMB200.0 million cash in exchange for a 27.0% equity interest in Yixin.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investment was accounted for under the equity method of accounting with allocation of the investment cost as follows (in thousands):</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RMB</w:t>
            </w:r>
          </w:p>
        </w:tc>
      </w:tr>
      <w:tr>
        <w:trPr>
          <w:trHeight w:val="199"/>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Tangible assets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Intangible assets</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15,876</w:t>
            </w: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129,773</w:t>
            </w: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(3,969)</w:t>
            </w:r>
          </w:p>
        </w:tc>
      </w:tr>
      <w:tr>
        <w:trPr>
          <w:trHeight w:val="199"/>
        </w:trPr>
        <w:tc>
          <w:tcPr>
            <w:tcW w:w="83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0" w:right="220"/>
        <w:spacing w:after="0" w:line="278" w:lineRule="auto"/>
        <w:rPr>
          <w:sz w:val="20"/>
          <w:szCs w:val="20"/>
          <w:color w:val="auto"/>
        </w:rPr>
      </w:pPr>
      <w:r>
        <w:rPr>
          <w:rFonts w:ascii="Arial" w:cs="Arial" w:eastAsia="Arial" w:hAnsi="Arial"/>
          <w:sz w:val="17"/>
          <w:szCs w:val="17"/>
          <w:color w:val="auto"/>
        </w:rPr>
        <w:t>In July 2015, the Group increased its equity shares in Yixin to 35.0% with a cash consideration of approximately RMB127.5 million. The allocation of the purchase price of the assets acquired and liabilities assumed based on their fair values was as follows (in thousands):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fair valuesfairvalues fair values was as follows (in thousands):</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834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RMB</w:t>
            </w:r>
          </w:p>
        </w:tc>
      </w:tr>
      <w:tr>
        <w:trPr>
          <w:trHeight w:val="199"/>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Tangible assets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Intangible assets</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15,564</w:t>
            </w:r>
          </w:p>
        </w:tc>
      </w:tr>
      <w:tr>
        <w:trPr>
          <w:trHeight w:val="206"/>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107,280</w:t>
            </w:r>
          </w:p>
        </w:tc>
      </w:tr>
      <w:tr>
        <w:trPr>
          <w:trHeight w:val="206"/>
        </w:trPr>
        <w:tc>
          <w:tcPr>
            <w:tcW w:w="83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(3,891)</w:t>
            </w:r>
          </w:p>
        </w:tc>
      </w:tr>
      <w:tr>
        <w:trPr>
          <w:trHeight w:val="199"/>
        </w:trPr>
        <w:tc>
          <w:tcPr>
            <w:tcW w:w="83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620" w:right="640" w:hanging="617"/>
        <w:spacing w:after="0" w:line="278" w:lineRule="auto"/>
        <w:tabs>
          <w:tab w:leader="none" w:pos="62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September 2014, the Group established a joint venture with several individuals to launch an e-commerce related business. The Group contributed RMB20.0 million cash in exchange for a 40.0% equity interest.</w:t>
      </w:r>
    </w:p>
    <w:p>
      <w:pPr>
        <w:spacing w:after="0" w:line="164" w:lineRule="exact"/>
        <w:rPr>
          <w:rFonts w:ascii="Arial" w:cs="Arial" w:eastAsia="Arial" w:hAnsi="Arial"/>
          <w:sz w:val="17"/>
          <w:szCs w:val="17"/>
          <w:color w:val="auto"/>
        </w:rPr>
      </w:pPr>
    </w:p>
    <w:p>
      <w:pPr>
        <w:ind w:left="620" w:hanging="617"/>
        <w:spacing w:after="0" w:line="265" w:lineRule="auto"/>
        <w:tabs>
          <w:tab w:leader="none" w:pos="62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2015, the Group also established two joint ventures to operate internet finance related businesses. The Group contributed RMB30.0 million cash to each of the two joint ventures in exchange for a 30.0% equity interest in each joint venture. In July 2016, the Group increase its equity shares in one of the joint ventures to 31.8% with a cash consideration of approximately 15.0 million.</w:t>
      </w:r>
    </w:p>
    <w:p>
      <w:pPr>
        <w:spacing w:after="0" w:line="175" w:lineRule="exact"/>
        <w:rPr>
          <w:rFonts w:ascii="Arial" w:cs="Arial" w:eastAsia="Arial" w:hAnsi="Arial"/>
          <w:sz w:val="17"/>
          <w:szCs w:val="17"/>
          <w:color w:val="auto"/>
        </w:rPr>
      </w:pPr>
    </w:p>
    <w:p>
      <w:pPr>
        <w:ind w:left="620" w:right="560" w:hanging="617"/>
        <w:spacing w:after="0" w:line="278" w:lineRule="auto"/>
        <w:tabs>
          <w:tab w:leader="none" w:pos="62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2016, the Group acquired a 49.0% equity interest in MAXWIN (B.V.I) LIMITED, which is engaged in the retail business of casual and sportswear apparel, for a consideration of approximately RMB344.6 million in cash.</w:t>
      </w:r>
    </w:p>
    <w:p>
      <w:pPr>
        <w:spacing w:after="0" w:line="159" w:lineRule="exact"/>
        <w:rPr>
          <w:sz w:val="20"/>
          <w:szCs w:val="20"/>
          <w:color w:val="auto"/>
        </w:rPr>
      </w:pPr>
    </w:p>
    <w:p>
      <w:pPr>
        <w:ind w:left="640" w:hanging="637"/>
        <w:spacing w:after="0"/>
        <w:tabs>
          <w:tab w:leader="none" w:pos="6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Equity investments</w:t>
      </w:r>
    </w:p>
    <w:p>
      <w:pPr>
        <w:spacing w:after="0" w:line="222" w:lineRule="exact"/>
        <w:rPr>
          <w:rFonts w:ascii="Arial" w:cs="Arial" w:eastAsia="Arial" w:hAnsi="Arial"/>
          <w:sz w:val="17"/>
          <w:szCs w:val="17"/>
          <w:b w:val="1"/>
          <w:bCs w:val="1"/>
          <w:color w:val="auto"/>
        </w:rPr>
      </w:pPr>
    </w:p>
    <w:p>
      <w:pPr>
        <w:ind w:left="620" w:right="42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Equity investments represent investments in privately held companies. The Group carries the investment at cost as the Group does not have significant influence and the investments do not have readily determinable fair value.</w:t>
      </w:r>
    </w:p>
    <w:p>
      <w:pPr>
        <w:spacing w:after="0" w:line="164" w:lineRule="exact"/>
        <w:rPr>
          <w:rFonts w:ascii="Arial" w:cs="Arial" w:eastAsia="Arial" w:hAnsi="Arial"/>
          <w:sz w:val="17"/>
          <w:szCs w:val="17"/>
          <w:b w:val="1"/>
          <w:bCs w:val="1"/>
          <w:color w:val="auto"/>
        </w:rPr>
      </w:pPr>
    </w:p>
    <w:p>
      <w:pPr>
        <w:ind w:left="620" w:right="1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In 2016, a gain of RMB234.1 million related to the partial disposal of the Group’s investment in an equity investee was recognized as “investment income, net” in the consolidated statements of comprehensive income for the years ended December 31, 2016.</w:t>
      </w:r>
    </w:p>
    <w:p>
      <w:pPr>
        <w:spacing w:after="0" w:line="164" w:lineRule="exact"/>
        <w:rPr>
          <w:rFonts w:ascii="Arial" w:cs="Arial" w:eastAsia="Arial" w:hAnsi="Arial"/>
          <w:sz w:val="17"/>
          <w:szCs w:val="17"/>
          <w:b w:val="1"/>
          <w:bCs w:val="1"/>
          <w:color w:val="auto"/>
        </w:rPr>
      </w:pPr>
    </w:p>
    <w:p>
      <w:pPr>
        <w:ind w:left="620" w:right="1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Impairment provision of RMB24.0 million, RMB12.0 million and RMB12.2 million related to certain of the equity investments were recognized as “investment income, net” in the consolidated statements of comprehensive income for the years ended December 31, 2014, 2015 and 2016, respectively, as the Group determined that the decline in its fair value is determined to be other-than-temporary.</w:t>
      </w:r>
    </w:p>
    <w:p>
      <w:pPr>
        <w:spacing w:after="0" w:line="169" w:lineRule="exact"/>
        <w:rPr>
          <w:rFonts w:ascii="Arial" w:cs="Arial" w:eastAsia="Arial" w:hAnsi="Arial"/>
          <w:sz w:val="17"/>
          <w:szCs w:val="17"/>
          <w:b w:val="1"/>
          <w:bCs w:val="1"/>
          <w:color w:val="auto"/>
        </w:rPr>
      </w:pPr>
    </w:p>
    <w:p>
      <w:pPr>
        <w:ind w:left="640" w:hanging="637"/>
        <w:spacing w:after="0"/>
        <w:tabs>
          <w:tab w:leader="none" w:pos="6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Available-for-sale securities</w:t>
      </w:r>
    </w:p>
    <w:p>
      <w:pPr>
        <w:spacing w:after="0" w:line="222" w:lineRule="exact"/>
        <w:rPr>
          <w:rFonts w:ascii="Arial" w:cs="Arial" w:eastAsia="Arial" w:hAnsi="Arial"/>
          <w:sz w:val="17"/>
          <w:szCs w:val="17"/>
          <w:b w:val="1"/>
          <w:bCs w:val="1"/>
          <w:color w:val="auto"/>
        </w:rPr>
      </w:pPr>
    </w:p>
    <w:p>
      <w:pPr>
        <w:jc w:val="both"/>
        <w:ind w:left="620" w:right="60"/>
        <w:spacing w:after="0" w:line="347" w:lineRule="auto"/>
        <w:rPr>
          <w:rFonts w:ascii="Arial" w:cs="Arial" w:eastAsia="Arial" w:hAnsi="Arial"/>
          <w:sz w:val="17"/>
          <w:szCs w:val="17"/>
          <w:b w:val="1"/>
          <w:bCs w:val="1"/>
          <w:color w:val="auto"/>
        </w:rPr>
      </w:pPr>
      <w:r>
        <w:rPr>
          <w:rFonts w:ascii="Arial" w:cs="Arial" w:eastAsia="Arial" w:hAnsi="Arial"/>
          <w:sz w:val="15"/>
          <w:szCs w:val="15"/>
          <w:color w:val="auto"/>
        </w:rPr>
        <w:t>As of December 31, 2016, available-for-sale securities included RMB620.8 million invested in shares of Huatai Securities Company Limited (“Huatai”) and RMB234.9 million invested in shares of Caissa Touristic Group (“Caissa”). Total net unrealized gains of RMB27.5 million and RMB34.0 million (net of tax</w:t>
      </w:r>
    </w:p>
    <w:p>
      <w:pPr>
        <w:sectPr>
          <w:pgSz w:w="11900" w:h="16838" w:orient="portrait"/>
          <w:cols w:equalWidth="0" w:num="1">
            <w:col w:w="11420"/>
          </w:cols>
          <w:pgMar w:left="240" w:top="127" w:right="239" w:bottom="0" w:gutter="0" w:footer="0" w:header="0"/>
        </w:sectPr>
      </w:pPr>
    </w:p>
    <w:bookmarkStart w:id="98" w:name="page99"/>
    <w:bookmarkEnd w:id="98"/>
    <w:p>
      <w:pPr>
        <w:ind w:left="620" w:right="320"/>
        <w:spacing w:after="0" w:line="278" w:lineRule="auto"/>
        <w:rPr>
          <w:sz w:val="20"/>
          <w:szCs w:val="20"/>
          <w:color w:val="auto"/>
        </w:rPr>
      </w:pPr>
      <w:r>
        <w:rPr>
          <w:rFonts w:ascii="Arial" w:cs="Arial" w:eastAsia="Arial" w:hAnsi="Arial"/>
          <w:sz w:val="17"/>
          <w:szCs w:val="17"/>
          <w:color w:val="auto"/>
        </w:rPr>
        <w:t>expenses of RMB81.4 million and tax benefit of RMB47.7 million) were recorded in other comprehensive income for the year ended December 31, 2015 and 2016,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31, 2015</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64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Unrealized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Gains/(Losses)</w:t>
            </w: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Huatai</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927,188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(216,851)</w:t>
            </w: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710,337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780" w:type="dxa"/>
            <w:vAlign w:val="bottom"/>
          </w:tcPr>
          <w:p>
            <w:pPr>
              <w:ind w:left="180"/>
              <w:spacing w:after="0"/>
              <w:rPr>
                <w:sz w:val="20"/>
                <w:szCs w:val="20"/>
                <w:color w:val="auto"/>
              </w:rPr>
            </w:pPr>
            <w:r>
              <w:rPr>
                <w:rFonts w:ascii="Arial" w:cs="Arial" w:eastAsia="Arial" w:hAnsi="Arial"/>
                <w:sz w:val="17"/>
                <w:szCs w:val="17"/>
                <w:color w:val="auto"/>
              </w:rPr>
              <w:t>Caissa</w:t>
            </w:r>
          </w:p>
        </w:tc>
        <w:tc>
          <w:tcPr>
            <w:tcW w:w="4720" w:type="dxa"/>
            <w:vAlign w:val="bottom"/>
            <w:gridSpan w:val="3"/>
          </w:tcPr>
          <w:p>
            <w:pPr>
              <w:jc w:val="right"/>
              <w:ind w:right="280"/>
              <w:spacing w:after="0"/>
              <w:rPr>
                <w:sz w:val="20"/>
                <w:szCs w:val="20"/>
                <w:color w:val="auto"/>
              </w:rPr>
            </w:pPr>
            <w:r>
              <w:rPr>
                <w:rFonts w:ascii="Arial" w:cs="Arial" w:eastAsia="Arial" w:hAnsi="Arial"/>
                <w:sz w:val="17"/>
                <w:szCs w:val="17"/>
                <w:color w:val="auto"/>
              </w:rPr>
              <w:t>100,000</w:t>
            </w:r>
          </w:p>
        </w:tc>
        <w:tc>
          <w:tcPr>
            <w:tcW w:w="1360" w:type="dxa"/>
            <w:vAlign w:val="bottom"/>
          </w:tcPr>
          <w:p>
            <w:pPr>
              <w:jc w:val="right"/>
              <w:spacing w:after="0"/>
              <w:rPr>
                <w:sz w:val="20"/>
                <w:szCs w:val="20"/>
                <w:color w:val="auto"/>
              </w:rPr>
            </w:pPr>
            <w:r>
              <w:rPr>
                <w:rFonts w:ascii="Arial" w:cs="Arial" w:eastAsia="Arial" w:hAnsi="Arial"/>
                <w:sz w:val="17"/>
                <w:szCs w:val="17"/>
                <w:color w:val="auto"/>
              </w:rPr>
              <w:t>325,736</w:t>
            </w:r>
          </w:p>
        </w:tc>
        <w:tc>
          <w:tcPr>
            <w:tcW w:w="280" w:type="dxa"/>
            <w:vAlign w:val="bottom"/>
          </w:tcPr>
          <w:p>
            <w:pPr>
              <w:spacing w:after="0"/>
              <w:rPr>
                <w:sz w:val="17"/>
                <w:szCs w:val="17"/>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425,736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2780" w:type="dxa"/>
            <w:vAlign w:val="bottom"/>
            <w:tcBorders>
              <w:top w:val="single" w:sz="8" w:color="CCEEFF"/>
              <w:bottom w:val="single" w:sz="8" w:color="CCEEFF"/>
            </w:tcBorders>
            <w:shd w:val="clear" w:color="auto" w:fill="CCEEFF"/>
          </w:tcPr>
          <w:p>
            <w:pPr>
              <w:spacing w:after="0"/>
              <w:rPr>
                <w:sz w:val="17"/>
                <w:szCs w:val="17"/>
                <w:color w:val="auto"/>
              </w:rPr>
            </w:pPr>
          </w:p>
        </w:tc>
        <w:tc>
          <w:tcPr>
            <w:tcW w:w="30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1,027,188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108,885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w w:val="87"/>
              </w:rPr>
              <w:t>1,136,073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31, 2016</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Adjusted Cost</w:t>
            </w:r>
          </w:p>
        </w:tc>
        <w:tc>
          <w:tcPr>
            <w:tcW w:w="1640" w:type="dxa"/>
            <w:vAlign w:val="bottom"/>
            <w:gridSpan w:val="2"/>
          </w:tcPr>
          <w:p>
            <w:pPr>
              <w:jc w:val="center"/>
              <w:ind w:right="280"/>
              <w:spacing w:after="0" w:line="112" w:lineRule="exact"/>
              <w:rPr>
                <w:sz w:val="20"/>
                <w:szCs w:val="20"/>
                <w:color w:val="auto"/>
              </w:rPr>
            </w:pPr>
            <w:r>
              <w:rPr>
                <w:rFonts w:ascii="Arial" w:cs="Arial" w:eastAsia="Arial" w:hAnsi="Arial"/>
                <w:sz w:val="11"/>
                <w:szCs w:val="11"/>
                <w:b w:val="1"/>
                <w:bCs w:val="1"/>
                <w:color w:val="auto"/>
              </w:rPr>
              <w:t>Unrealized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Gains/(Losses)</w:t>
            </w: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Huatai</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660,528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(39,684)</w:t>
            </w: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620,844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780" w:type="dxa"/>
            <w:vAlign w:val="bottom"/>
          </w:tcPr>
          <w:p>
            <w:pPr>
              <w:ind w:left="180"/>
              <w:spacing w:after="0"/>
              <w:rPr>
                <w:sz w:val="20"/>
                <w:szCs w:val="20"/>
                <w:color w:val="auto"/>
              </w:rPr>
            </w:pPr>
            <w:r>
              <w:rPr>
                <w:rFonts w:ascii="Arial" w:cs="Arial" w:eastAsia="Arial" w:hAnsi="Arial"/>
                <w:sz w:val="17"/>
                <w:szCs w:val="17"/>
                <w:color w:val="auto"/>
              </w:rPr>
              <w:t>Caissa</w:t>
            </w:r>
          </w:p>
        </w:tc>
        <w:tc>
          <w:tcPr>
            <w:tcW w:w="4720" w:type="dxa"/>
            <w:vAlign w:val="bottom"/>
            <w:gridSpan w:val="3"/>
          </w:tcPr>
          <w:p>
            <w:pPr>
              <w:jc w:val="right"/>
              <w:ind w:right="280"/>
              <w:spacing w:after="0"/>
              <w:rPr>
                <w:sz w:val="20"/>
                <w:szCs w:val="20"/>
                <w:color w:val="auto"/>
              </w:rPr>
            </w:pPr>
            <w:r>
              <w:rPr>
                <w:rFonts w:ascii="Arial" w:cs="Arial" w:eastAsia="Arial" w:hAnsi="Arial"/>
                <w:sz w:val="17"/>
                <w:szCs w:val="17"/>
                <w:color w:val="auto"/>
              </w:rPr>
              <w:t>100,000</w:t>
            </w:r>
          </w:p>
        </w:tc>
        <w:tc>
          <w:tcPr>
            <w:tcW w:w="1360" w:type="dxa"/>
            <w:vAlign w:val="bottom"/>
          </w:tcPr>
          <w:p>
            <w:pPr>
              <w:jc w:val="right"/>
              <w:spacing w:after="0"/>
              <w:rPr>
                <w:sz w:val="20"/>
                <w:szCs w:val="20"/>
                <w:color w:val="auto"/>
              </w:rPr>
            </w:pPr>
            <w:r>
              <w:rPr>
                <w:rFonts w:ascii="Arial" w:cs="Arial" w:eastAsia="Arial" w:hAnsi="Arial"/>
                <w:sz w:val="17"/>
                <w:szCs w:val="17"/>
                <w:color w:val="auto"/>
              </w:rPr>
              <w:t>134,884</w:t>
            </w:r>
          </w:p>
        </w:tc>
        <w:tc>
          <w:tcPr>
            <w:tcW w:w="280" w:type="dxa"/>
            <w:vAlign w:val="bottom"/>
          </w:tcPr>
          <w:p>
            <w:pPr>
              <w:spacing w:after="0"/>
              <w:rPr>
                <w:sz w:val="17"/>
                <w:szCs w:val="17"/>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234,884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0" w:type="dxa"/>
            <w:vAlign w:val="bottom"/>
          </w:tcPr>
          <w:p>
            <w:pPr>
              <w:spacing w:after="0"/>
              <w:rPr>
                <w:sz w:val="17"/>
                <w:szCs w:val="17"/>
                <w:color w:val="auto"/>
              </w:rPr>
            </w:pPr>
          </w:p>
        </w:tc>
        <w:tc>
          <w:tcPr>
            <w:tcW w:w="2780" w:type="dxa"/>
            <w:vAlign w:val="bottom"/>
            <w:tcBorders>
              <w:top w:val="single" w:sz="8" w:color="CCEEFF"/>
              <w:bottom w:val="single" w:sz="8" w:color="CCEEFF"/>
            </w:tcBorders>
            <w:shd w:val="clear" w:color="auto" w:fill="CCEEFF"/>
          </w:tcPr>
          <w:p>
            <w:pPr>
              <w:spacing w:after="0"/>
              <w:rPr>
                <w:sz w:val="17"/>
                <w:szCs w:val="17"/>
                <w:color w:val="auto"/>
              </w:rPr>
            </w:pPr>
          </w:p>
        </w:tc>
        <w:tc>
          <w:tcPr>
            <w:tcW w:w="30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760,528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w w:val="84"/>
              </w:rPr>
              <w:t>855,728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720" w:type="dxa"/>
            <w:vAlign w:val="bottom"/>
            <w:gridSpan w:val="3"/>
          </w:tcPr>
          <w:p>
            <w:pPr>
              <w:ind w:left="2160"/>
              <w:spacing w:after="0"/>
              <w:rPr>
                <w:sz w:val="20"/>
                <w:szCs w:val="20"/>
                <w:color w:val="auto"/>
              </w:rPr>
            </w:pPr>
            <w:r>
              <w:rPr>
                <w:rFonts w:ascii="Arial" w:cs="Arial" w:eastAsia="Arial" w:hAnsi="Arial"/>
                <w:sz w:val="17"/>
                <w:szCs w:val="17"/>
                <w:color w:val="auto"/>
              </w:rPr>
              <w:t>F-24</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2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620" w:right="80"/>
        <w:spacing w:after="0" w:line="275" w:lineRule="auto"/>
        <w:rPr>
          <w:sz w:val="20"/>
          <w:szCs w:val="20"/>
          <w:color w:val="auto"/>
        </w:rPr>
      </w:pPr>
      <w:r>
        <w:rPr>
          <w:rFonts w:ascii="Arial" w:cs="Arial" w:eastAsia="Arial" w:hAnsi="Arial"/>
          <w:sz w:val="16"/>
          <w:szCs w:val="16"/>
          <w:color w:val="auto"/>
        </w:rPr>
        <w:t>The Group reviews its available-for-sale investments regularly to determine if an investment is other-than-temporarily impaired due to changes in quoted market price or other impairment indicators. Changes in market conditions and other facts and circumstances may change the business prospects of these issuers. The assessment that these investments are not other-than-temporarily impaired included a review of the business and financial outlook, the financial condition, the severity and duration of the drop in share price compared to the carrying value, as well as the Group’s ability and current intent to hold these securities until the prices recover. For the year ended December 31, 2015 and 2016, nil and RMB266.7 million impairment provision for Huatai was recognized as “investment income, net” in the consolidated statements of comprehensive income, respectively. The Group also received cash dividends from Huatai for the years ended December 31, 2015 and 2016 of nil and RMB21.4 million,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7"/>
                <w:szCs w:val="17"/>
                <w:b w:val="1"/>
                <w:bCs w:val="1"/>
                <w:color w:val="auto"/>
              </w:rPr>
              <w:t>10.</w:t>
            </w:r>
          </w:p>
        </w:tc>
        <w:tc>
          <w:tcPr>
            <w:tcW w:w="7740" w:type="dxa"/>
            <w:vAlign w:val="bottom"/>
          </w:tcPr>
          <w:p>
            <w:pPr>
              <w:ind w:left="80"/>
              <w:spacing w:after="0"/>
              <w:rPr>
                <w:sz w:val="20"/>
                <w:szCs w:val="20"/>
                <w:color w:val="auto"/>
              </w:rPr>
            </w:pPr>
            <w:r>
              <w:rPr>
                <w:rFonts w:ascii="Arial" w:cs="Arial" w:eastAsia="Arial" w:hAnsi="Arial"/>
                <w:sz w:val="17"/>
                <w:szCs w:val="17"/>
                <w:b w:val="1"/>
                <w:bCs w:val="1"/>
                <w:color w:val="auto"/>
              </w:rPr>
              <w:t>Other Long-term Assets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7"/>
                <w:szCs w:val="17"/>
                <w:color w:val="auto"/>
              </w:rPr>
              <w:t>The following is a summary of other long-term assets (in thousands):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6"/>
        </w:trPr>
        <w:tc>
          <w:tcPr>
            <w:tcW w:w="5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5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34"/>
        </w:trPr>
        <w:tc>
          <w:tcPr>
            <w:tcW w:w="56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Copyrights, licenses and domain names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190,983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254,067</w:t>
            </w: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Staff housing loans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77,962</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105,208</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deposits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25,040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88,398</w:t>
            </w:r>
          </w:p>
        </w:tc>
      </w:tr>
      <w:tr>
        <w:trPr>
          <w:trHeight w:val="206"/>
        </w:trPr>
        <w:tc>
          <w:tcPr>
            <w:tcW w:w="560" w:type="dxa"/>
            <w:vAlign w:val="bottom"/>
          </w:tcPr>
          <w:p>
            <w:pPr>
              <w:spacing w:after="0"/>
              <w:rPr>
                <w:sz w:val="20"/>
                <w:szCs w:val="20"/>
                <w:color w:val="auto"/>
              </w:rPr>
            </w:pPr>
            <w:r>
              <w:rPr>
                <w:rFonts w:ascii="Arial" w:cs="Arial" w:eastAsia="Arial" w:hAnsi="Arial"/>
                <w:sz w:val="17"/>
                <w:szCs w:val="17"/>
                <w:color w:val="auto"/>
              </w:rPr>
              <w:t>Others</w:t>
            </w:r>
          </w:p>
        </w:tc>
        <w:tc>
          <w:tcPr>
            <w:tcW w:w="774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24,260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52,075</w:t>
            </w:r>
          </w:p>
        </w:tc>
      </w:tr>
      <w:tr>
        <w:trPr>
          <w:trHeight w:val="199"/>
        </w:trPr>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77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499,748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3.5% per annum for the years ended December 31, 2015 and 2016, respectively. The outstanding portion of the staff housing loans repayable within 12 months as of December 31, 2015 and 2016 amounted to approximately RMB34.1 million and RMB45.5 million, respectively, and are reported under prepayments and other current assets in the consolidated balance sheets (see Note 5).</w:t>
      </w:r>
    </w:p>
    <w:p>
      <w:pPr>
        <w:spacing w:after="0" w:line="147" w:lineRule="exact"/>
        <w:rPr>
          <w:sz w:val="20"/>
          <w:szCs w:val="20"/>
          <w:color w:val="auto"/>
        </w:rPr>
      </w:pPr>
    </w:p>
    <w:p>
      <w:pPr>
        <w:ind w:left="640" w:hanging="637"/>
        <w:spacing w:after="0"/>
        <w:tabs>
          <w:tab w:leader="none" w:pos="640"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Taxation</w:t>
      </w:r>
    </w:p>
    <w:p>
      <w:pPr>
        <w:spacing w:after="0" w:line="216" w:lineRule="exact"/>
        <w:rPr>
          <w:sz w:val="20"/>
          <w:szCs w:val="20"/>
          <w:color w:val="auto"/>
        </w:rPr>
      </w:pPr>
    </w:p>
    <w:p>
      <w:pPr>
        <w:ind w:left="620" w:hanging="617"/>
        <w:spacing w:after="0"/>
        <w:tabs>
          <w:tab w:leader="none" w:pos="62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Cayman Islands</w:t>
      </w:r>
    </w:p>
    <w:p>
      <w:pPr>
        <w:spacing w:after="0" w:line="21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British Virgin Islands (“BVI”)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the BVI are exempted from income tax on its foreign-derived income in the BVI. There are no withholding taxes in the BVI.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Hong Kong</w:t>
      </w:r>
    </w:p>
    <w:p>
      <w:pPr>
        <w:spacing w:after="0" w:line="21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Subsidiaries in Hong Kong are subject to 16.5% income tax for 2014, 2015 and 2016 on their taxable income generated from operations in Hong Kong. The payments of dividends by these companies to their shareholders are not subject to any Hong Kong withholding tax.</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China</w:t>
      </w:r>
    </w:p>
    <w:p>
      <w:pPr>
        <w:spacing w:after="0" w:line="2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64"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auto"/>
        </w:rPr>
        <w:t>In 2013, each of NetEase Beijing, Boguan and NetEase Hangzhou was approved as a Key Software Enterprise and enjoyed a preferential tax rate of 10% from 2011 to 2014. These three entities were qualified as HNTEs in 2014 and enjoyed a preferential tax rate of 15% from 2015 to 2016. In 2016, Boguan and Netease Hangzhou was qualified as a Key Software Enterprise and enjoyed a further reduced preferential tax rate of 10% for 2015 and the related tax benefit was recorded in 2016.</w:t>
      </w:r>
    </w:p>
    <w:p>
      <w:pPr>
        <w:sectPr>
          <w:pgSz w:w="11900" w:h="16838" w:orient="portrait"/>
          <w:cols w:equalWidth="0" w:num="1">
            <w:col w:w="11460"/>
          </w:cols>
          <w:pgMar w:left="240" w:top="127" w:right="199" w:bottom="40" w:gutter="0" w:footer="0" w:header="0"/>
        </w:sectPr>
      </w:pPr>
    </w:p>
    <w:bookmarkStart w:id="99" w:name="page100"/>
    <w:bookmarkEnd w:id="99"/>
    <w:p>
      <w:pPr>
        <w:ind w:right="520"/>
        <w:spacing w:after="0" w:line="311" w:lineRule="auto"/>
        <w:rPr>
          <w:sz w:val="20"/>
          <w:szCs w:val="20"/>
          <w:color w:val="auto"/>
        </w:rPr>
      </w:pPr>
      <w:r>
        <w:rPr>
          <w:rFonts w:ascii="Arial" w:cs="Arial" w:eastAsia="Arial" w:hAnsi="Arial"/>
          <w:sz w:val="16"/>
          <w:szCs w:val="16"/>
          <w:color w:val="auto"/>
        </w:rPr>
        <w:t>In 2014, Media Beijing was qualified as a HNTE and enjoyed a preferential tax rate of 15% from 2014 to 2016. In 2016, Media Beijing was qualified as a Key Software Enterprise and enjoyed a further reduced preferential tax rate of 10% for 2015 and the related tax benefit was recorded in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Hangzhou Langhe was recognized as a Software Enterprise in 2010. It was exempt from EIT for 2010 and 2011 and subject to a 50% reduction in its EIT rate from 2012 to 2014. Hangzhou Langhe was also qualified as a HNTE in 2014 and enjoyed a preferential tax rate of 15% from 2015 to 2016.</w:t>
      </w:r>
    </w:p>
    <w:p>
      <w:pPr>
        <w:spacing w:after="0" w:line="16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Wangyibao was recognized as a Software Enterprise in 2011. Accordingly it was exempt from EIT for 2011 and 2012 and subject to a 50% reduction in its EIT rate from 2013 to 2015. In 2015, Wangyibao was also qualified as a HNTE and enjoyed a preferential tax rate of 15% from 2016 to 2017.</w:t>
      </w:r>
    </w:p>
    <w:p>
      <w:pPr>
        <w:spacing w:after="0" w:line="165"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Lede Technology was recognized as a Software Enterprise in 2014. It was exempt from EIT for 2014 and 2015 and subject to a 50% reduction in its EIT rate from 2016 to 2018.</w:t>
      </w:r>
    </w:p>
    <w:p>
      <w:pPr>
        <w:spacing w:after="0" w:line="165"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Tianjin Technology was recognised by the tax bureau as a Software Enterprise and it was exempt from EIT for 2015 and 2016 and subject to a 50% reduction in its EIT rate from 2017 to 2019. The related tax benefit for 2015 was recorded in 2016.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StormNet IT SH was qualified as a HNTE in 2016 and enjoyed a preferential tax rate of 15% from 2016 to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preferential tax rates are subject to annual review by the relevant tax authorities in China.</w:t>
      </w:r>
    </w:p>
    <w:p>
      <w:pPr>
        <w:spacing w:after="0" w:line="21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following table presents the combined effects of EIT exemptions and tax rate reductions enjoyed by the Group for the years ended December 31, 2014, 2015 and 2016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3320" w:type="dxa"/>
            <w:vAlign w:val="bottom"/>
            <w:tcBorders>
              <w:bottom w:val="single" w:sz="8" w:color="auto"/>
            </w:tcBorders>
            <w:gridSpan w:val="4"/>
          </w:tcPr>
          <w:p>
            <w:pPr>
              <w:jc w:val="center"/>
              <w:ind w:left="1283"/>
              <w:spacing w:after="0"/>
              <w:rPr>
                <w:sz w:val="20"/>
                <w:szCs w:val="20"/>
                <w:color w:val="auto"/>
              </w:rPr>
            </w:pPr>
            <w:r>
              <w:rPr>
                <w:rFonts w:ascii="Arial" w:cs="Arial" w:eastAsia="Arial" w:hAnsi="Arial"/>
                <w:sz w:val="14"/>
                <w:szCs w:val="14"/>
                <w:b w:val="1"/>
                <w:bCs w:val="1"/>
                <w:color w:val="auto"/>
                <w:w w:val="87"/>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40" w:type="dxa"/>
            <w:vAlign w:val="bottom"/>
          </w:tcPr>
          <w:p>
            <w:pPr>
              <w:spacing w:after="0"/>
              <w:rPr>
                <w:sz w:val="11"/>
                <w:szCs w:val="11"/>
                <w:color w:val="auto"/>
              </w:rPr>
            </w:pPr>
          </w:p>
        </w:tc>
        <w:tc>
          <w:tcPr>
            <w:tcW w:w="1380" w:type="dxa"/>
            <w:vAlign w:val="bottom"/>
            <w:tcBorders>
              <w:bottom w:val="single" w:sz="8" w:color="auto"/>
            </w:tcBorders>
          </w:tcPr>
          <w:p>
            <w:pPr>
              <w:jc w:val="right"/>
              <w:ind w:right="483"/>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right"/>
              <w:ind w:right="461"/>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40" w:type="dxa"/>
            <w:vAlign w:val="bottom"/>
          </w:tcPr>
          <w:p>
            <w:pPr>
              <w:spacing w:after="0"/>
              <w:rPr>
                <w:sz w:val="11"/>
                <w:szCs w:val="11"/>
                <w:color w:val="auto"/>
              </w:rPr>
            </w:pPr>
          </w:p>
        </w:tc>
        <w:tc>
          <w:tcPr>
            <w:tcW w:w="1380" w:type="dxa"/>
            <w:vAlign w:val="bottom"/>
          </w:tcPr>
          <w:p>
            <w:pPr>
              <w:jc w:val="right"/>
              <w:ind w:right="463"/>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right"/>
              <w:ind w:right="44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Aggregate amount of EIT exemptions and tax rate reductions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824,007</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895,725</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1,417,150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Earnings per share effect, basic</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0.25</w:t>
            </w:r>
          </w:p>
        </w:tc>
        <w:tc>
          <w:tcPr>
            <w:tcW w:w="3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0.27</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64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Earnings per share effect, diluted</w:t>
            </w:r>
          </w:p>
        </w:tc>
        <w:tc>
          <w:tcPr>
            <w:tcW w:w="13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0.25</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0.27</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 of income tax expenses of the Group for the years ended December 31, 2014, 2015 and 2016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3320" w:type="dxa"/>
            <w:vAlign w:val="bottom"/>
            <w:tcBorders>
              <w:bottom w:val="single" w:sz="8" w:color="auto"/>
            </w:tcBorders>
            <w:gridSpan w:val="4"/>
          </w:tcPr>
          <w:p>
            <w:pPr>
              <w:jc w:val="center"/>
              <w:ind w:left="1283"/>
              <w:spacing w:after="0"/>
              <w:rPr>
                <w:sz w:val="20"/>
                <w:szCs w:val="20"/>
                <w:color w:val="auto"/>
              </w:rPr>
            </w:pPr>
            <w:r>
              <w:rPr>
                <w:rFonts w:ascii="Arial" w:cs="Arial" w:eastAsia="Arial" w:hAnsi="Arial"/>
                <w:sz w:val="14"/>
                <w:szCs w:val="14"/>
                <w:b w:val="1"/>
                <w:bCs w:val="1"/>
                <w:color w:val="auto"/>
                <w:w w:val="87"/>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6640" w:type="dxa"/>
            <w:vAlign w:val="bottom"/>
          </w:tcPr>
          <w:p>
            <w:pPr>
              <w:spacing w:after="0"/>
              <w:rPr>
                <w:sz w:val="11"/>
                <w:szCs w:val="11"/>
                <w:color w:val="auto"/>
              </w:rPr>
            </w:pPr>
          </w:p>
        </w:tc>
        <w:tc>
          <w:tcPr>
            <w:tcW w:w="1380" w:type="dxa"/>
            <w:vAlign w:val="bottom"/>
            <w:tcBorders>
              <w:bottom w:val="single" w:sz="8" w:color="auto"/>
            </w:tcBorders>
          </w:tcPr>
          <w:p>
            <w:pPr>
              <w:jc w:val="right"/>
              <w:ind w:right="483"/>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right"/>
              <w:ind w:right="461"/>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34"/>
        </w:trPr>
        <w:tc>
          <w:tcPr>
            <w:tcW w:w="6640" w:type="dxa"/>
            <w:vAlign w:val="bottom"/>
          </w:tcPr>
          <w:p>
            <w:pPr>
              <w:spacing w:after="0"/>
              <w:rPr>
                <w:sz w:val="11"/>
                <w:szCs w:val="11"/>
                <w:color w:val="auto"/>
              </w:rPr>
            </w:pPr>
          </w:p>
        </w:tc>
        <w:tc>
          <w:tcPr>
            <w:tcW w:w="1380" w:type="dxa"/>
            <w:vAlign w:val="bottom"/>
          </w:tcPr>
          <w:p>
            <w:pPr>
              <w:jc w:val="right"/>
              <w:ind w:right="463"/>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right"/>
              <w:ind w:right="44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Current tax expense</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780,077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1,420,693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2,035,822</w:t>
            </w: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Deferred tax (benefit)/expense</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(117,342)</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(147,285)</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66,676</w:t>
            </w:r>
          </w:p>
        </w:tc>
      </w:tr>
      <w:tr>
        <w:trPr>
          <w:trHeight w:val="19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662,735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1,273,408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2,102,498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reconciliation of the differences between the statutory income tax rate and the Group’s effective income tax rate for the years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2015 and 2016:</w:t>
      </w:r>
    </w:p>
    <w:p>
      <w:pPr>
        <w:spacing w:after="0" w:line="19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For the year ended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40" w:type="dxa"/>
            <w:vAlign w:val="bottom"/>
          </w:tcPr>
          <w:p>
            <w:pPr>
              <w:spacing w:after="0"/>
              <w:rPr>
                <w:sz w:val="11"/>
                <w:szCs w:val="11"/>
                <w:color w:val="auto"/>
              </w:rPr>
            </w:pPr>
          </w:p>
        </w:tc>
        <w:tc>
          <w:tcPr>
            <w:tcW w:w="920" w:type="dxa"/>
            <w:vAlign w:val="bottom"/>
            <w:tcBorders>
              <w:top w:val="single" w:sz="8" w:color="auto"/>
            </w:tcBorders>
          </w:tcPr>
          <w:p>
            <w:pPr>
              <w:jc w:val="right"/>
              <w:ind w:right="31"/>
              <w:spacing w:after="0" w:line="135" w:lineRule="exact"/>
              <w:rPr>
                <w:sz w:val="20"/>
                <w:szCs w:val="20"/>
                <w:color w:val="auto"/>
              </w:rPr>
            </w:pPr>
            <w:r>
              <w:rPr>
                <w:rFonts w:ascii="Arial" w:cs="Arial" w:eastAsia="Arial" w:hAnsi="Arial"/>
                <w:sz w:val="14"/>
                <w:szCs w:val="14"/>
                <w:b w:val="1"/>
                <w:bCs w:val="1"/>
                <w:color w:val="auto"/>
              </w:rPr>
              <w:t>2014</w:t>
            </w:r>
          </w:p>
        </w:tc>
        <w:tc>
          <w:tcPr>
            <w:tcW w:w="1660" w:type="dxa"/>
            <w:vAlign w:val="bottom"/>
            <w:tcBorders>
              <w:top w:val="single" w:sz="8" w:color="auto"/>
            </w:tcBorders>
            <w:gridSpan w:val="3"/>
          </w:tcPr>
          <w:p>
            <w:pPr>
              <w:jc w:val="right"/>
              <w:ind w:right="11"/>
              <w:spacing w:after="0" w:line="13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458"/>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34"/>
        </w:trPr>
        <w:tc>
          <w:tcPr>
            <w:tcW w:w="6640" w:type="dxa"/>
            <w:vAlign w:val="bottom"/>
          </w:tcPr>
          <w:p>
            <w:pPr>
              <w:spacing w:after="0"/>
              <w:rPr>
                <w:sz w:val="11"/>
                <w:szCs w:val="11"/>
                <w:color w:val="auto"/>
              </w:rPr>
            </w:pPr>
          </w:p>
        </w:tc>
        <w:tc>
          <w:tcPr>
            <w:tcW w:w="920" w:type="dxa"/>
            <w:vAlign w:val="bottom"/>
            <w:tcBorders>
              <w:top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Borders>
              <w:top w:val="single" w:sz="8" w:color="auto"/>
            </w:tcBorders>
          </w:tcPr>
          <w:p>
            <w:pPr>
              <w:jc w:val="right"/>
              <w:ind w:right="91"/>
              <w:spacing w:after="0" w:line="13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Borders>
              <w:top w:val="single" w:sz="8" w:color="auto"/>
            </w:tcBorders>
          </w:tcPr>
          <w:p>
            <w:pPr>
              <w:jc w:val="right"/>
              <w:ind w:right="538"/>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r>
      <w:tr>
        <w:trPr>
          <w:trHeight w:val="206"/>
        </w:trPr>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Statutory income tax rate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25.0</w:t>
            </w:r>
          </w:p>
        </w:tc>
        <w:tc>
          <w:tcPr>
            <w:tcW w:w="9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auto"/>
              </w:rPr>
              <w:t>Permanent differences</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(1.4)</w:t>
            </w:r>
          </w:p>
        </w:tc>
        <w:tc>
          <w:tcPr>
            <w:tcW w:w="9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(1.5)</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(0.8)</w:t>
            </w:r>
          </w:p>
        </w:tc>
      </w:tr>
      <w:tr>
        <w:trPr>
          <w:trHeight w:val="206"/>
        </w:trPr>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due to overseas tax-exempt entities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w:t>
            </w:r>
          </w:p>
        </w:tc>
        <w:tc>
          <w:tcPr>
            <w:tcW w:w="9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r>
      <w:tr>
        <w:trPr>
          <w:trHeight w:val="193"/>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auto"/>
              </w:rPr>
              <w:t>Effect of lower tax rate applicable to Software Enterprises, Key Software Enterprise and</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560" w:type="dxa"/>
            <w:vAlign w:val="bottom"/>
            <w:gridSpan w:val="2"/>
          </w:tcPr>
          <w:p>
            <w:pPr>
              <w:ind w:left="180"/>
              <w:spacing w:after="0"/>
              <w:rPr>
                <w:sz w:val="20"/>
                <w:szCs w:val="20"/>
                <w:color w:val="auto"/>
              </w:rPr>
            </w:pPr>
            <w:r>
              <w:rPr>
                <w:rFonts w:ascii="Arial" w:cs="Arial" w:eastAsia="Arial" w:hAnsi="Arial"/>
                <w:sz w:val="17"/>
                <w:szCs w:val="17"/>
                <w:color w:val="auto"/>
              </w:rPr>
              <w:t>HNTEs</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(15.0)</w:t>
            </w:r>
          </w:p>
        </w:tc>
        <w:tc>
          <w:tcPr>
            <w:tcW w:w="9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(11.6)</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r>
      <w:tr>
        <w:trPr>
          <w:trHeight w:val="207"/>
        </w:trPr>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w:t>
            </w:r>
          </w:p>
        </w:tc>
        <w:tc>
          <w:tcPr>
            <w:tcW w:w="9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auto"/>
              </w:rPr>
              <w:t>Effect of withholding income tax</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2.3</w:t>
            </w:r>
          </w:p>
        </w:tc>
        <w:tc>
          <w:tcPr>
            <w:tcW w:w="9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r>
      <w:tr>
        <w:trPr>
          <w:trHeight w:val="19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Effective income tax rate</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27" w:right="239" w:bottom="52" w:gutter="0" w:footer="0" w:header="0"/>
        </w:sectPr>
      </w:pPr>
    </w:p>
    <w:p>
      <w:pPr>
        <w:spacing w:after="0"/>
        <w:rPr>
          <w:sz w:val="20"/>
          <w:szCs w:val="20"/>
          <w:color w:val="auto"/>
        </w:rPr>
      </w:pPr>
      <w:r>
        <w:rPr>
          <w:rFonts w:ascii="Arial" w:cs="Arial" w:eastAsia="Arial" w:hAnsi="Arial"/>
          <w:sz w:val="15"/>
          <w:szCs w:val="15"/>
          <w:color w:val="auto"/>
        </w:rPr>
        <w:t>As of December 31, 2016, certain entities of the Group had net operating tax loss carry forwards as follows (in thousands):</w:t>
      </w:r>
    </w:p>
    <w:p>
      <w:pPr>
        <w:spacing w:after="0" w:line="3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 expiring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-115570</wp:posOffset>
            </wp:positionV>
            <wp:extent cx="6525895" cy="1390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25895" cy="13906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 expiring in 2018</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-122555</wp:posOffset>
            </wp:positionV>
            <wp:extent cx="6525895" cy="1308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25895" cy="13081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Loss expiring in 2020</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Loss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-122555</wp:posOffset>
            </wp:positionV>
            <wp:extent cx="6525895" cy="1308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25895"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RMB</w:t>
      </w:r>
    </w:p>
    <w:p>
      <w:pPr>
        <w:spacing w:after="0" w:line="17" w:lineRule="exact"/>
        <w:rPr>
          <w:sz w:val="20"/>
          <w:szCs w:val="20"/>
          <w:color w:val="auto"/>
        </w:rPr>
      </w:pPr>
    </w:p>
    <w:p>
      <w:pPr>
        <w:jc w:val="right"/>
        <w:ind w:right="320"/>
        <w:spacing w:after="0"/>
        <w:rPr>
          <w:sz w:val="20"/>
          <w:szCs w:val="20"/>
          <w:color w:val="auto"/>
        </w:rPr>
      </w:pPr>
      <w:r>
        <w:rPr>
          <w:rFonts w:ascii="Arial" w:cs="Arial" w:eastAsia="Arial" w:hAnsi="Arial"/>
          <w:sz w:val="17"/>
          <w:szCs w:val="17"/>
          <w:color w:val="auto"/>
        </w:rPr>
        <w:t>152,352</w:t>
      </w:r>
    </w:p>
    <w:p>
      <w:pPr>
        <w:spacing w:after="0" w:line="7" w:lineRule="exact"/>
        <w:rPr>
          <w:sz w:val="20"/>
          <w:szCs w:val="20"/>
          <w:color w:val="auto"/>
        </w:rPr>
      </w:pPr>
    </w:p>
    <w:p>
      <w:pPr>
        <w:jc w:val="right"/>
        <w:ind w:right="320"/>
        <w:spacing w:after="0"/>
        <w:rPr>
          <w:sz w:val="20"/>
          <w:szCs w:val="20"/>
          <w:color w:val="auto"/>
        </w:rPr>
      </w:pPr>
      <w:r>
        <w:rPr>
          <w:rFonts w:ascii="Arial" w:cs="Arial" w:eastAsia="Arial" w:hAnsi="Arial"/>
          <w:sz w:val="17"/>
          <w:szCs w:val="17"/>
          <w:color w:val="auto"/>
        </w:rPr>
        <w:t>142,616</w:t>
      </w:r>
    </w:p>
    <w:p>
      <w:pPr>
        <w:spacing w:after="0" w:line="10" w:lineRule="exact"/>
        <w:rPr>
          <w:sz w:val="20"/>
          <w:szCs w:val="20"/>
          <w:color w:val="auto"/>
        </w:rPr>
      </w:pPr>
    </w:p>
    <w:p>
      <w:pPr>
        <w:jc w:val="right"/>
        <w:ind w:right="320"/>
        <w:spacing w:after="0"/>
        <w:rPr>
          <w:sz w:val="20"/>
          <w:szCs w:val="20"/>
          <w:color w:val="auto"/>
        </w:rPr>
      </w:pPr>
      <w:r>
        <w:rPr>
          <w:rFonts w:ascii="Arial" w:cs="Arial" w:eastAsia="Arial" w:hAnsi="Arial"/>
          <w:sz w:val="17"/>
          <w:szCs w:val="17"/>
          <w:color w:val="auto"/>
        </w:rPr>
        <w:t>145,816</w:t>
      </w:r>
    </w:p>
    <w:p>
      <w:pPr>
        <w:spacing w:after="0" w:line="10" w:lineRule="exact"/>
        <w:rPr>
          <w:sz w:val="20"/>
          <w:szCs w:val="20"/>
          <w:color w:val="auto"/>
        </w:rPr>
      </w:pPr>
    </w:p>
    <w:p>
      <w:pPr>
        <w:jc w:val="right"/>
        <w:ind w:right="320"/>
        <w:spacing w:after="0"/>
        <w:rPr>
          <w:sz w:val="20"/>
          <w:szCs w:val="20"/>
          <w:color w:val="auto"/>
        </w:rPr>
      </w:pPr>
      <w:r>
        <w:rPr>
          <w:rFonts w:ascii="Arial" w:cs="Arial" w:eastAsia="Arial" w:hAnsi="Arial"/>
          <w:sz w:val="17"/>
          <w:szCs w:val="17"/>
          <w:color w:val="auto"/>
        </w:rPr>
        <w:t>124,434</w:t>
      </w:r>
    </w:p>
    <w:p>
      <w:pPr>
        <w:spacing w:after="0" w:line="10" w:lineRule="exact"/>
        <w:rPr>
          <w:sz w:val="20"/>
          <w:szCs w:val="20"/>
          <w:color w:val="auto"/>
        </w:rPr>
      </w:pPr>
    </w:p>
    <w:p>
      <w:pPr>
        <w:jc w:val="right"/>
        <w:ind w:right="320"/>
        <w:spacing w:after="0"/>
        <w:rPr>
          <w:sz w:val="20"/>
          <w:szCs w:val="20"/>
          <w:color w:val="auto"/>
        </w:rPr>
      </w:pPr>
      <w:r>
        <w:rPr>
          <w:rFonts w:ascii="Arial" w:cs="Arial" w:eastAsia="Arial" w:hAnsi="Arial"/>
          <w:sz w:val="17"/>
          <w:szCs w:val="17"/>
          <w:color w:val="auto"/>
        </w:rPr>
        <w:t>336,959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7620</wp:posOffset>
            </wp:positionV>
            <wp:extent cx="8655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jc w:val="right"/>
        <w:ind w:right="320"/>
        <w:spacing w:after="0"/>
        <w:rPr>
          <w:sz w:val="20"/>
          <w:szCs w:val="20"/>
          <w:color w:val="auto"/>
        </w:rPr>
      </w:pPr>
      <w:r>
        <w:rPr>
          <w:rFonts w:ascii="Arial" w:cs="Arial" w:eastAsia="Arial" w:hAnsi="Arial"/>
          <w:sz w:val="17"/>
          <w:szCs w:val="17"/>
          <w:color w:val="auto"/>
        </w:rPr>
        <w:t>902,177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14605</wp:posOffset>
            </wp:positionV>
            <wp:extent cx="8655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30480</wp:posOffset>
            </wp:positionV>
            <wp:extent cx="8655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720"/>
            <w:col w:w="1160"/>
          </w:cols>
          <w:pgMar w:left="240" w:top="127" w:right="239" w:bottom="52" w:gutter="0" w:footer="0" w:header="0"/>
          <w:type w:val="continuous"/>
        </w:sectPr>
      </w:pPr>
    </w:p>
    <w:p>
      <w:pPr>
        <w:spacing w:after="0" w:line="55"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59" w:lineRule="exact"/>
        <w:rPr>
          <w:sz w:val="20"/>
          <w:szCs w:val="20"/>
          <w:color w:val="auto"/>
        </w:rPr>
      </w:pPr>
    </w:p>
    <w:p>
      <w:pPr>
        <w:ind w:left="640" w:hanging="637"/>
        <w:spacing w:after="0"/>
        <w:tabs>
          <w:tab w:leader="none" w:pos="6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Sales tax</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Sales tax includes business tax and value added tax.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27" w:right="239" w:bottom="52" w:gutter="0" w:footer="0" w:header="0"/>
          <w:type w:val="continuous"/>
        </w:sectPr>
      </w:pPr>
    </w:p>
    <w:bookmarkStart w:id="100" w:name="page101"/>
    <w:bookmarkEnd w:id="100"/>
    <w:p>
      <w:pPr>
        <w:ind w:right="40"/>
        <w:spacing w:after="0" w:line="261" w:lineRule="auto"/>
        <w:rPr>
          <w:sz w:val="20"/>
          <w:szCs w:val="20"/>
          <w:color w:val="auto"/>
        </w:rPr>
      </w:pPr>
      <w:r>
        <w:rPr>
          <w:rFonts w:ascii="Arial" w:cs="Arial" w:eastAsia="Arial" w:hAnsi="Arial"/>
          <w:sz w:val="17"/>
          <w:szCs w:val="17"/>
          <w:color w:val="auto"/>
        </w:rPr>
        <w:t>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the Group’s revenues generally ranges from 3% to 5%. The Group is also subject to cultural development fee on the provision of advertising services in China. The applicable tax rate is 3% of the advertising services revenue.</w:t>
      </w:r>
    </w:p>
    <w:p>
      <w:pPr>
        <w:spacing w:after="0" w:line="179" w:lineRule="exact"/>
        <w:rPr>
          <w:sz w:val="20"/>
          <w:szCs w:val="20"/>
          <w:color w:val="auto"/>
        </w:rPr>
      </w:pPr>
    </w:p>
    <w:p>
      <w:pPr>
        <w:jc w:val="both"/>
        <w:ind w:right="480"/>
        <w:spacing w:after="0" w:line="265" w:lineRule="auto"/>
        <w:rPr>
          <w:sz w:val="20"/>
          <w:szCs w:val="20"/>
          <w:color w:val="auto"/>
        </w:rPr>
      </w:pPr>
      <w:r>
        <w:rPr>
          <w:rFonts w:ascii="Arial" w:cs="Arial" w:eastAsia="Arial" w:hAnsi="Arial"/>
          <w:sz w:val="17"/>
          <w:szCs w:val="17"/>
          <w:color w:val="auto"/>
        </w:rPr>
        <w:t>Pursuant to the provision regulation of the PRC on value added tax and its implementation rules, all entities engaged in the sale of goods in China are generally required to pay value added tax at a rate of 17.0% or other applicable value added tax rate implemented by the provision regulation of the gross sales proceeds received, less any creditable value added tax already paid or borne by the taxpayer.</w:t>
      </w:r>
    </w:p>
    <w:p>
      <w:pPr>
        <w:spacing w:after="0" w:line="17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Since 2012, a pilot program transitioning specified industries from being subject to Business Tax (“BT”) to Value Added Tax (“VAT”) formally commenced in certain provinces (“Pilot Program”) and subsequently expanded nationwide in 2013. In March 2016, the PRC Ministry of Finance and the State Administration of Taxation jointly issued a circular setting out the detailed implementation guidance on the further roll-out of the value-added tax reform to all industries from May 2016. According to the implementation circulars, the Company’s subsidiaries and VIEs were subject to VAT at a rate of 6%, as compared to the original BT rate of 5%.</w:t>
      </w:r>
    </w:p>
    <w:p>
      <w:pPr>
        <w:spacing w:after="0" w:line="143" w:lineRule="exact"/>
        <w:rPr>
          <w:sz w:val="20"/>
          <w:szCs w:val="20"/>
          <w:color w:val="auto"/>
        </w:rPr>
      </w:pPr>
    </w:p>
    <w:p>
      <w:pPr>
        <w:ind w:left="640" w:hanging="637"/>
        <w:spacing w:after="0"/>
        <w:tabs>
          <w:tab w:leader="none" w:pos="64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Deferred tax assets and liabilities</w:t>
      </w:r>
    </w:p>
    <w:p>
      <w:pPr>
        <w:spacing w:after="0" w:line="222"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 following table presents the tax impact of significant temporary differences that give rise to the deferred tax assets and liabilities as of December 31, 2015 and 2016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8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4"/>
        </w:trPr>
        <w:tc>
          <w:tcPr>
            <w:tcW w:w="83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r>
      <w:tr>
        <w:trPr>
          <w:trHeight w:val="206"/>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 - Current:</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8300" w:type="dxa"/>
            <w:vAlign w:val="bottom"/>
          </w:tcPr>
          <w:p>
            <w:pPr>
              <w:ind w:left="180"/>
              <w:spacing w:after="0"/>
              <w:rPr>
                <w:sz w:val="20"/>
                <w:szCs w:val="20"/>
                <w:color w:val="auto"/>
              </w:rPr>
            </w:pPr>
            <w:r>
              <w:rPr>
                <w:rFonts w:ascii="Arial" w:cs="Arial" w:eastAsia="Arial" w:hAnsi="Arial"/>
                <w:sz w:val="17"/>
                <w:szCs w:val="17"/>
                <w:color w:val="auto"/>
              </w:rPr>
              <w:t>Deferred revenue, primarily for advanced payments from online games customers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202,352</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224,994</w:t>
            </w:r>
          </w:p>
        </w:tc>
        <w:tc>
          <w:tcPr>
            <w:tcW w:w="80" w:type="dxa"/>
            <w:vAlign w:val="bottom"/>
          </w:tcPr>
          <w:p>
            <w:pPr>
              <w:spacing w:after="0"/>
              <w:rPr>
                <w:sz w:val="17"/>
                <w:szCs w:val="17"/>
                <w:color w:val="auto"/>
              </w:rPr>
            </w:pPr>
          </w:p>
        </w:tc>
      </w:tr>
      <w:tr>
        <w:trPr>
          <w:trHeight w:val="206"/>
        </w:trPr>
        <w:tc>
          <w:tcPr>
            <w:tcW w:w="8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Accruals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225,857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336,063</w:t>
            </w:r>
          </w:p>
        </w:tc>
        <w:tc>
          <w:tcPr>
            <w:tcW w:w="80" w:type="dxa"/>
            <w:vAlign w:val="bottom"/>
            <w:shd w:val="clear" w:color="auto" w:fill="CCEEFF"/>
          </w:tcPr>
          <w:p>
            <w:pPr>
              <w:spacing w:after="0"/>
              <w:rPr>
                <w:sz w:val="17"/>
                <w:szCs w:val="17"/>
                <w:color w:val="auto"/>
              </w:rPr>
            </w:pPr>
          </w:p>
        </w:tc>
      </w:tr>
      <w:tr>
        <w:trPr>
          <w:trHeight w:val="199"/>
        </w:trPr>
        <w:tc>
          <w:tcPr>
            <w:tcW w:w="83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428,209</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561,057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valuation allowance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(17,620)</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(24,718)</w:t>
            </w:r>
          </w:p>
        </w:tc>
      </w:tr>
      <w:tr>
        <w:trPr>
          <w:trHeight w:val="239"/>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410,589</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536,339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84"/>
        </w:trPr>
        <w:tc>
          <w:tcPr>
            <w:tcW w:w="8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8300" w:type="dxa"/>
            <w:vAlign w:val="bottom"/>
          </w:tcPr>
          <w:p>
            <w:pPr>
              <w:spacing w:after="0"/>
              <w:rPr>
                <w:sz w:val="20"/>
                <w:szCs w:val="20"/>
                <w:color w:val="auto"/>
              </w:rPr>
            </w:pPr>
            <w:r>
              <w:rPr>
                <w:rFonts w:ascii="Arial" w:cs="Arial" w:eastAsia="Arial" w:hAnsi="Arial"/>
                <w:sz w:val="17"/>
                <w:szCs w:val="17"/>
                <w:color w:val="auto"/>
              </w:rPr>
              <w:t>Deferred tax assets - Non-current:</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of fixed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3,096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1,732</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tcPr>
          <w:p>
            <w:pPr>
              <w:ind w:left="180"/>
              <w:spacing w:after="0"/>
              <w:rPr>
                <w:sz w:val="20"/>
                <w:szCs w:val="20"/>
                <w:color w:val="auto"/>
              </w:rPr>
            </w:pPr>
            <w:r>
              <w:rPr>
                <w:rFonts w:ascii="Arial" w:cs="Arial" w:eastAsia="Arial" w:hAnsi="Arial"/>
                <w:sz w:val="17"/>
                <w:szCs w:val="17"/>
                <w:color w:val="auto"/>
              </w:rPr>
              <w:t>Net operating tax loss carry forward</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206,024</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342,710</w:t>
            </w:r>
          </w:p>
        </w:tc>
        <w:tc>
          <w:tcPr>
            <w:tcW w:w="80" w:type="dxa"/>
            <w:vAlign w:val="bottom"/>
          </w:tcPr>
          <w:p>
            <w:pPr>
              <w:spacing w:after="0"/>
              <w:rPr>
                <w:sz w:val="17"/>
                <w:szCs w:val="17"/>
                <w:color w:val="auto"/>
              </w:rPr>
            </w:pPr>
          </w:p>
        </w:tc>
      </w:tr>
      <w:tr>
        <w:trPr>
          <w:trHeight w:val="206"/>
        </w:trPr>
        <w:tc>
          <w:tcPr>
            <w:tcW w:w="8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21,589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22,252</w:t>
            </w:r>
          </w:p>
        </w:tc>
        <w:tc>
          <w:tcPr>
            <w:tcW w:w="80" w:type="dxa"/>
            <w:vAlign w:val="bottom"/>
            <w:shd w:val="clear" w:color="auto" w:fill="CCEEFF"/>
          </w:tcPr>
          <w:p>
            <w:pPr>
              <w:spacing w:after="0"/>
              <w:rPr>
                <w:sz w:val="17"/>
                <w:szCs w:val="17"/>
                <w:color w:val="auto"/>
              </w:rPr>
            </w:pPr>
          </w:p>
        </w:tc>
      </w:tr>
      <w:tr>
        <w:trPr>
          <w:trHeight w:val="199"/>
        </w:trPr>
        <w:tc>
          <w:tcPr>
            <w:tcW w:w="83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230,709</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366,694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8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valuation allowance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(206,024)</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(342,710)</w:t>
            </w:r>
          </w:p>
        </w:tc>
      </w:tr>
      <w:tr>
        <w:trPr>
          <w:trHeight w:val="199"/>
        </w:trPr>
        <w:tc>
          <w:tcPr>
            <w:tcW w:w="8300" w:type="dxa"/>
            <w:vAlign w:val="bottom"/>
          </w:tcPr>
          <w:p>
            <w:pPr>
              <w:ind w:left="180"/>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24,685</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23,984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1">
            <w:col w:w="11420"/>
          </w:cols>
          <w:pgMar w:left="240" w:top="127" w:right="239" w:bottom="0" w:gutter="0" w:footer="0" w:header="0"/>
        </w:sectPr>
      </w:pPr>
    </w:p>
    <w:p>
      <w:pPr>
        <w:jc w:val="center"/>
        <w:ind w:left="8440"/>
        <w:spacing w:after="0"/>
        <w:rPr>
          <w:sz w:val="20"/>
          <w:szCs w:val="20"/>
          <w:color w:val="auto"/>
        </w:rPr>
      </w:pPr>
      <w:r>
        <w:rPr>
          <w:rFonts w:ascii="Arial" w:cs="Arial" w:eastAsia="Arial" w:hAnsi="Arial"/>
          <w:sz w:val="11"/>
          <w:szCs w:val="11"/>
          <w:b w:val="1"/>
          <w:bCs w:val="1"/>
          <w:color w:val="auto"/>
        </w:rPr>
        <w:t>December 31,</w:t>
      </w:r>
    </w:p>
    <w:p>
      <w:pPr>
        <w:spacing w:after="0" w:line="2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5269865</wp:posOffset>
            </wp:positionH>
            <wp:positionV relativeFrom="paragraph">
              <wp:posOffset>-3175</wp:posOffset>
            </wp:positionV>
            <wp:extent cx="873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ind w:left="8820"/>
        <w:spacing w:after="0"/>
        <w:rPr>
          <w:sz w:val="20"/>
          <w:szCs w:val="20"/>
          <w:color w:val="auto"/>
        </w:rPr>
      </w:pP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1"/>
          <w:szCs w:val="11"/>
          <w:b w:val="1"/>
          <w:bCs w:val="1"/>
          <w:color w:val="auto"/>
        </w:rPr>
        <w:t>December 31,</w:t>
      </w:r>
    </w:p>
    <w:p>
      <w:pPr>
        <w:spacing w:after="0" w:line="24"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-3175</wp:posOffset>
            </wp:positionV>
            <wp:extent cx="8655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b w:val="1"/>
          <w:bCs w:val="1"/>
          <w:color w:val="auto"/>
        </w:rPr>
        <w:t>RMB</w:t>
      </w:r>
    </w:p>
    <w:p>
      <w:pPr>
        <w:spacing w:after="0" w:line="193" w:lineRule="exact"/>
        <w:rPr>
          <w:sz w:val="20"/>
          <w:szCs w:val="20"/>
          <w:color w:val="auto"/>
        </w:rPr>
      </w:pPr>
    </w:p>
    <w:p>
      <w:pPr>
        <w:sectPr>
          <w:pgSz w:w="11900" w:h="16838" w:orient="portrait"/>
          <w:cols w:equalWidth="0" w:num="2">
            <w:col w:w="9520" w:space="720"/>
            <w:col w:w="1180"/>
          </w:cols>
          <w:pgMar w:left="240" w:top="127" w:right="239" w:bottom="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 - Current: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166,787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358,514</w:t>
            </w:r>
          </w:p>
        </w:tc>
      </w:tr>
      <w:tr>
        <w:trPr>
          <w:trHeight w:val="206"/>
        </w:trPr>
        <w:tc>
          <w:tcPr>
            <w:tcW w:w="8300" w:type="dxa"/>
            <w:vAlign w:val="bottom"/>
          </w:tcPr>
          <w:p>
            <w:pPr>
              <w:spacing w:after="0"/>
              <w:rPr>
                <w:sz w:val="20"/>
                <w:szCs w:val="20"/>
                <w:color w:val="auto"/>
              </w:rPr>
            </w:pPr>
            <w:r>
              <w:rPr>
                <w:rFonts w:ascii="Arial" w:cs="Arial" w:eastAsia="Arial" w:hAnsi="Arial"/>
                <w:sz w:val="17"/>
                <w:szCs w:val="17"/>
                <w:color w:val="auto"/>
              </w:rPr>
              <w:t>Deferred tax liabilities - Non-current:</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81,434</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33,721</w:t>
            </w:r>
          </w:p>
        </w:tc>
      </w:tr>
      <w:tr>
        <w:trPr>
          <w:trHeight w:val="199"/>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248,221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2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at</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Provision/(reversal)</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at</w:t>
            </w:r>
          </w:p>
        </w:tc>
      </w:tr>
      <w:tr>
        <w:trPr>
          <w:trHeight w:val="164"/>
        </w:trPr>
        <w:tc>
          <w:tcPr>
            <w:tcW w:w="56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January 1</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 year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34"/>
        </w:trPr>
        <w:tc>
          <w:tcPr>
            <w:tcW w:w="562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5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1"/>
                <w:szCs w:val="11"/>
                <w:color w:val="auto"/>
              </w:rPr>
            </w:pPr>
          </w:p>
        </w:tc>
      </w:tr>
      <w:tr>
        <w:trPr>
          <w:trHeight w:val="206"/>
        </w:trPr>
        <w:tc>
          <w:tcPr>
            <w:tcW w:w="5620" w:type="dxa"/>
            <w:vAlign w:val="bottom"/>
            <w:shd w:val="clear" w:color="auto" w:fill="CCEEFF"/>
          </w:tcPr>
          <w:p>
            <w:pPr>
              <w:jc w:val="right"/>
              <w:ind w:right="5194"/>
              <w:spacing w:after="0"/>
              <w:rPr>
                <w:sz w:val="20"/>
                <w:szCs w:val="20"/>
                <w:color w:val="auto"/>
              </w:rPr>
            </w:pPr>
            <w:r>
              <w:rPr>
                <w:rFonts w:ascii="Arial" w:cs="Arial" w:eastAsia="Arial" w:hAnsi="Arial"/>
                <w:sz w:val="17"/>
                <w:szCs w:val="17"/>
                <w:color w:val="auto"/>
                <w:w w:val="84"/>
              </w:rPr>
              <w:t>2014</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189,863</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19,464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209,327</w:t>
            </w:r>
          </w:p>
        </w:tc>
      </w:tr>
      <w:tr>
        <w:trPr>
          <w:trHeight w:val="206"/>
        </w:trPr>
        <w:tc>
          <w:tcPr>
            <w:tcW w:w="5620" w:type="dxa"/>
            <w:vAlign w:val="bottom"/>
          </w:tcPr>
          <w:p>
            <w:pPr>
              <w:jc w:val="right"/>
              <w:ind w:right="5194"/>
              <w:spacing w:after="0"/>
              <w:rPr>
                <w:sz w:val="20"/>
                <w:szCs w:val="20"/>
                <w:color w:val="auto"/>
              </w:rPr>
            </w:pPr>
            <w:r>
              <w:rPr>
                <w:rFonts w:ascii="Arial" w:cs="Arial" w:eastAsia="Arial" w:hAnsi="Arial"/>
                <w:sz w:val="17"/>
                <w:szCs w:val="17"/>
                <w:color w:val="auto"/>
                <w:w w:val="84"/>
              </w:rPr>
              <w:t>2015</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209,327</w:t>
            </w:r>
          </w:p>
        </w:tc>
        <w:tc>
          <w:tcPr>
            <w:tcW w:w="1860" w:type="dxa"/>
            <w:vAlign w:val="bottom"/>
            <w:gridSpan w:val="2"/>
          </w:tcPr>
          <w:p>
            <w:pPr>
              <w:jc w:val="right"/>
              <w:ind w:right="280"/>
              <w:spacing w:after="0"/>
              <w:rPr>
                <w:sz w:val="20"/>
                <w:szCs w:val="20"/>
                <w:color w:val="auto"/>
              </w:rPr>
            </w:pPr>
            <w:r>
              <w:rPr>
                <w:rFonts w:ascii="Arial" w:cs="Arial" w:eastAsia="Arial" w:hAnsi="Arial"/>
                <w:sz w:val="17"/>
                <w:szCs w:val="17"/>
                <w:color w:val="auto"/>
              </w:rPr>
              <w:t>14,317</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223,644</w:t>
            </w:r>
          </w:p>
        </w:tc>
      </w:tr>
      <w:tr>
        <w:trPr>
          <w:trHeight w:val="206"/>
        </w:trPr>
        <w:tc>
          <w:tcPr>
            <w:tcW w:w="5620" w:type="dxa"/>
            <w:vAlign w:val="bottom"/>
            <w:shd w:val="clear" w:color="auto" w:fill="CCEEFF"/>
          </w:tcPr>
          <w:p>
            <w:pPr>
              <w:jc w:val="right"/>
              <w:ind w:right="5194"/>
              <w:spacing w:after="0"/>
              <w:rPr>
                <w:sz w:val="20"/>
                <w:szCs w:val="20"/>
                <w:color w:val="auto"/>
              </w:rPr>
            </w:pPr>
            <w:r>
              <w:rPr>
                <w:rFonts w:ascii="Arial" w:cs="Arial" w:eastAsia="Arial" w:hAnsi="Arial"/>
                <w:sz w:val="17"/>
                <w:szCs w:val="17"/>
                <w:color w:val="auto"/>
                <w:w w:val="84"/>
              </w:rPr>
              <w:t>2016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223,644</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143,784</w:t>
            </w: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367,428</w:t>
            </w:r>
          </w:p>
        </w:tc>
      </w:tr>
    </w:tbl>
    <w:p>
      <w:pPr>
        <w:spacing w:after="0" w:line="187" w:lineRule="exact"/>
        <w:rPr>
          <w:sz w:val="20"/>
          <w:szCs w:val="20"/>
          <w:color w:val="auto"/>
        </w:rPr>
      </w:pPr>
    </w:p>
    <w:p>
      <w:pPr>
        <w:ind w:left="640" w:hanging="637"/>
        <w:spacing w:after="0"/>
        <w:tabs>
          <w:tab w:leader="none" w:pos="64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income tax</w:t>
      </w:r>
    </w:p>
    <w:p>
      <w:pPr>
        <w:spacing w:after="0" w:line="22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are not subject to taxation on dividends they receive from the Company’s PRC subsidiaries.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ind w:right="680"/>
        <w:spacing w:after="0" w:line="347" w:lineRule="auto"/>
        <w:rPr>
          <w:sz w:val="20"/>
          <w:szCs w:val="20"/>
          <w:color w:val="auto"/>
        </w:rPr>
      </w:pPr>
      <w:r>
        <w:rPr>
          <w:rFonts w:ascii="Arial" w:cs="Arial" w:eastAsia="Arial" w:hAnsi="Arial"/>
          <w:sz w:val="15"/>
          <w:szCs w:val="15"/>
          <w:color w:val="auto"/>
        </w:rPr>
        <w:t>In 2014, 2015 and 2016, the Group accrued RMB125.1 million, RMB180.7 million, and RMB404.8 million (US$58.3 million) of withholding tax liabilities, respectively, associated with its quarterly dividend and cash expected to be distributed from its PRC subsidiaries to overseas for general corporate purposes.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Aside from the above distributions, the Group intends to indefinitely reinvest all remaining undistributed earnings as of December 31, 2016 in its PRC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Accordingly, no other withholding tax is expected to be incurred, and the unrecognized deferred tax liabilities as of December 31, 2015 and 2016 were approximately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RMB1,160.6 million and RMB1,088.3 million (US$156.7 million), respectively.</w:t>
      </w:r>
    </w:p>
    <w:p>
      <w:pPr>
        <w:spacing w:after="0" w:line="199" w:lineRule="exact"/>
        <w:rPr>
          <w:sz w:val="20"/>
          <w:szCs w:val="20"/>
          <w:color w:val="auto"/>
        </w:rPr>
      </w:pPr>
    </w:p>
    <w:p>
      <w:pPr>
        <w:ind w:left="640" w:hanging="637"/>
        <w:spacing w:after="0"/>
        <w:tabs>
          <w:tab w:leader="none" w:pos="64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Taxes Payable</w:t>
      </w:r>
    </w:p>
    <w:p>
      <w:pPr>
        <w:sectPr>
          <w:pgSz w:w="11900" w:h="16838" w:orient="portrait"/>
          <w:cols w:equalWidth="0" w:num="1">
            <w:col w:w="11420"/>
          </w:cols>
          <w:pgMar w:left="240" w:top="127" w:right="239" w:bottom="0" w:gutter="0" w:footer="0" w:header="0"/>
          <w:type w:val="continuous"/>
        </w:sectPr>
      </w:pPr>
    </w:p>
    <w:bookmarkStart w:id="101" w:name="page102"/>
    <w:bookmarkEnd w:id="101"/>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taxes payable as of December 31, 2015 and 2016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8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34"/>
        </w:trPr>
        <w:tc>
          <w:tcPr>
            <w:tcW w:w="830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Sales tax</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60,631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55,996</w:t>
            </w:r>
          </w:p>
        </w:tc>
      </w:tr>
      <w:tr>
        <w:trPr>
          <w:trHeight w:val="206"/>
        </w:trPr>
        <w:tc>
          <w:tcPr>
            <w:tcW w:w="8300" w:type="dxa"/>
            <w:vAlign w:val="bottom"/>
          </w:tcPr>
          <w:p>
            <w:pPr>
              <w:spacing w:after="0"/>
              <w:rPr>
                <w:sz w:val="20"/>
                <w:szCs w:val="20"/>
                <w:color w:val="auto"/>
              </w:rPr>
            </w:pPr>
            <w:r>
              <w:rPr>
                <w:rFonts w:ascii="Arial" w:cs="Arial" w:eastAsia="Arial" w:hAnsi="Arial"/>
                <w:sz w:val="17"/>
                <w:szCs w:val="17"/>
                <w:color w:val="auto"/>
              </w:rPr>
              <w:t>Withholding individual income taxes for employees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88,548</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131,006</w:t>
            </w:r>
          </w:p>
        </w:tc>
      </w:tr>
      <w:tr>
        <w:trPr>
          <w:trHeight w:val="206"/>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Enterprise income taxes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531,788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1,360,686</w:t>
            </w:r>
          </w:p>
        </w:tc>
      </w:tr>
      <w:tr>
        <w:trPr>
          <w:trHeight w:val="206"/>
        </w:trPr>
        <w:tc>
          <w:tcPr>
            <w:tcW w:w="8300" w:type="dxa"/>
            <w:vAlign w:val="bottom"/>
          </w:tcPr>
          <w:p>
            <w:pPr>
              <w:spacing w:after="0"/>
              <w:rPr>
                <w:sz w:val="20"/>
                <w:szCs w:val="20"/>
                <w:color w:val="auto"/>
              </w:rPr>
            </w:pPr>
            <w:r>
              <w:rPr>
                <w:rFonts w:ascii="Arial" w:cs="Arial" w:eastAsia="Arial" w:hAnsi="Arial"/>
                <w:sz w:val="17"/>
                <w:szCs w:val="17"/>
                <w:color w:val="auto"/>
              </w:rPr>
              <w:t>Others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55,247</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174,813</w:t>
            </w:r>
          </w:p>
        </w:tc>
      </w:tr>
      <w:tr>
        <w:trPr>
          <w:trHeight w:val="199"/>
        </w:trPr>
        <w:tc>
          <w:tcPr>
            <w:tcW w:w="83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736,214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1,722,501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640" w:hanging="637"/>
        <w:spacing w:after="0"/>
        <w:tabs>
          <w:tab w:leader="none" w:pos="64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Loan</w:t>
      </w:r>
    </w:p>
    <w:p>
      <w:pPr>
        <w:spacing w:after="0" w:line="22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As of December 31, 2015, the short-term loan balances represent short-term loan arrangements with a bank. The commitments of the loans were RMB714.3 million (US$110.0 million), RMB584.4 million (US$90.0 million), and RMB974.0 million (US$150.0 million), with a fixed interest rate of 1.00%, 0.96%, and 0.93% per annum, respectively, and all with a maturity term of three months. As of December 31, 2015, the loans were secured by RMB deposits of the Group in an onshore branch of this bank in the amount of RMB2,427.6 million (US$374.8 million), which was recognized as restricted cash.</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As of December 31, 2016, the short-term loan balances represent short-term loan arrangements with a bank. The commitments of the loans were RMB693.7 million (US$100.0 million), RMB763.1 million (US$110.0 million), RMB1,040.6 million (US$150.0 million), RMB694.0 million (HK$775.9 million) and RMB624.3 million (US$90.0 million), with a fixed interest rate of 1.29%, 1.28%, 1.15%, 0.98%, and 1.19% per annum, respectively, and all with a maturity term of three months. As of December 31, 2016, the loans were secured by RMB deposits of the Group in an onshore branch of this bank in the amount of RMB3,995.0 million (US$575.4 million), which was recognized as restricted cash (see Note 2(f)).</w:t>
      </w:r>
    </w:p>
    <w:p>
      <w:pPr>
        <w:spacing w:after="0" w:line="180"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In 2016, the Group entered into two credit facility agreements in the aggregate amount of US$78.0 million. As at December 31, 2016, neither of such credit facilities had been utilized. In addition, in February and March 2017, the Group entered into two new credit facility agreements amounted to US$100.0 million and US$200.0 million, respectively. As of April 21, 2017, the aggregate amount of the credit facility was US$378.0 million and US$100.0 million was utilized.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7"/>
                <w:szCs w:val="17"/>
                <w:b w:val="1"/>
                <w:bCs w:val="1"/>
                <w:color w:val="auto"/>
              </w:rPr>
              <w:t>14.</w:t>
            </w:r>
          </w:p>
        </w:tc>
        <w:tc>
          <w:tcPr>
            <w:tcW w:w="7740" w:type="dxa"/>
            <w:vAlign w:val="bottom"/>
          </w:tcPr>
          <w:p>
            <w:pPr>
              <w:ind w:left="80"/>
              <w:spacing w:after="0"/>
              <w:rPr>
                <w:sz w:val="20"/>
                <w:szCs w:val="20"/>
                <w:color w:val="auto"/>
              </w:rPr>
            </w:pPr>
            <w:r>
              <w:rPr>
                <w:rFonts w:ascii="Arial" w:cs="Arial" w:eastAsia="Arial" w:hAnsi="Arial"/>
                <w:sz w:val="17"/>
                <w:szCs w:val="17"/>
                <w:b w:val="1"/>
                <w:bCs w:val="1"/>
                <w:color w:val="auto"/>
              </w:rPr>
              <w:t>Accrued Liabilities and Other Payables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7"/>
                <w:szCs w:val="17"/>
                <w:color w:val="auto"/>
                <w:w w:val="92"/>
              </w:rPr>
              <w:t>The following is a summary of accrued liabilities and other payables as of December 31, 2015 and 2016 (in thousands):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5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5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4"/>
        </w:trPr>
        <w:tc>
          <w:tcPr>
            <w:tcW w:w="56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deposits on Wangyibao accounts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756,433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1,321,762</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Marketing expenses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587,118</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689,055</w:t>
            </w:r>
          </w:p>
        </w:tc>
        <w:tc>
          <w:tcPr>
            <w:tcW w:w="80" w:type="dxa"/>
            <w:vAlign w:val="bottom"/>
          </w:tcPr>
          <w:p>
            <w:pPr>
              <w:spacing w:after="0"/>
              <w:rPr>
                <w:sz w:val="17"/>
                <w:szCs w:val="17"/>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RSU payables (see Note 2(o))</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155,624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172,815</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Accrued fixed assets related payables</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171,733</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259,675</w:t>
            </w:r>
          </w:p>
        </w:tc>
        <w:tc>
          <w:tcPr>
            <w:tcW w:w="80" w:type="dxa"/>
            <w:vAlign w:val="bottom"/>
          </w:tcPr>
          <w:p>
            <w:pPr>
              <w:spacing w:after="0"/>
              <w:rPr>
                <w:sz w:val="17"/>
                <w:szCs w:val="17"/>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Server custody fees and telecommunication charges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91,861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132,062</w:t>
            </w:r>
          </w:p>
        </w:tc>
        <w:tc>
          <w:tcPr>
            <w:tcW w:w="80" w:type="dxa"/>
            <w:vAlign w:val="bottom"/>
            <w:shd w:val="clear" w:color="auto" w:fill="CCEEFF"/>
          </w:tcPr>
          <w:p>
            <w:pPr>
              <w:spacing w:after="0"/>
              <w:rPr>
                <w:sz w:val="17"/>
                <w:szCs w:val="17"/>
                <w:color w:val="auto"/>
              </w:rPr>
            </w:pP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Accrued revenue sharing</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56,720</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68,474</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staff related cost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26,793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49,423</w:t>
            </w: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Content cost</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82,998</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67,742</w:t>
            </w: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16,594</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40,863</w:t>
            </w: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color w:val="auto"/>
              </w:rPr>
              <w:t>Accrued freight and warehousing charge</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86,817</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107,760</w:t>
            </w:r>
          </w:p>
        </w:tc>
        <w:tc>
          <w:tcPr>
            <w:tcW w:w="80" w:type="dxa"/>
            <w:vAlign w:val="bottom"/>
          </w:tcPr>
          <w:p>
            <w:pPr>
              <w:spacing w:after="0"/>
              <w:rPr>
                <w:sz w:val="17"/>
                <w:szCs w:val="17"/>
                <w:color w:val="auto"/>
              </w:rPr>
            </w:pPr>
          </w:p>
        </w:tc>
      </w:tr>
      <w:tr>
        <w:trPr>
          <w:trHeight w:val="206"/>
        </w:trPr>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77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185,639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309,788</w:t>
            </w:r>
          </w:p>
        </w:tc>
        <w:tc>
          <w:tcPr>
            <w:tcW w:w="80" w:type="dxa"/>
            <w:vAlign w:val="bottom"/>
            <w:shd w:val="clear" w:color="auto" w:fill="CCEEFF"/>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2,218,330</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3,219,419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640" w:hanging="637"/>
        <w:spacing w:after="0"/>
        <w:tabs>
          <w:tab w:leader="none" w:pos="64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222"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Deferred revenue represents sales proceeds from prepaid point cards, online points sold, unamortized mobile game in-game spending and prepaid subscription fees for Internet value-added services for which services are yet to be provided as of the balance sheet dates.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Arial" w:cs="Arial" w:eastAsia="Arial" w:hAnsi="Arial"/>
                <w:sz w:val="17"/>
                <w:szCs w:val="17"/>
                <w:b w:val="1"/>
                <w:bCs w:val="1"/>
                <w:color w:val="auto"/>
              </w:rPr>
              <w:t>16.</w:t>
            </w:r>
          </w:p>
        </w:tc>
        <w:tc>
          <w:tcPr>
            <w:tcW w:w="7780" w:type="dxa"/>
            <w:vAlign w:val="bottom"/>
            <w:gridSpan w:val="2"/>
          </w:tcPr>
          <w:p>
            <w:pPr>
              <w:ind w:left="120"/>
              <w:spacing w:after="0"/>
              <w:rPr>
                <w:sz w:val="20"/>
                <w:szCs w:val="20"/>
                <w:color w:val="auto"/>
              </w:rPr>
            </w:pPr>
            <w:r>
              <w:rPr>
                <w:rFonts w:ascii="Arial" w:cs="Arial" w:eastAsia="Arial" w:hAnsi="Arial"/>
                <w:sz w:val="17"/>
                <w:szCs w:val="17"/>
                <w:b w:val="1"/>
                <w:bCs w:val="1"/>
                <w:color w:val="auto"/>
              </w:rPr>
              <w:t>Other Long-term Payable</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2"/>
        </w:trPr>
        <w:tc>
          <w:tcPr>
            <w:tcW w:w="8300" w:type="dxa"/>
            <w:vAlign w:val="bottom"/>
            <w:gridSpan w:val="3"/>
          </w:tcPr>
          <w:p>
            <w:pPr>
              <w:spacing w:after="0"/>
              <w:rPr>
                <w:sz w:val="20"/>
                <w:szCs w:val="20"/>
                <w:color w:val="auto"/>
              </w:rPr>
            </w:pPr>
            <w:r>
              <w:rPr>
                <w:rFonts w:ascii="Arial" w:cs="Arial" w:eastAsia="Arial" w:hAnsi="Arial"/>
                <w:sz w:val="17"/>
                <w:szCs w:val="17"/>
                <w:color w:val="auto"/>
              </w:rPr>
              <w:t>The following is a summary of other long-term payables as of December 31, 2015 and 2016 (in thousands):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80" w:type="dxa"/>
            <w:vAlign w:val="bottom"/>
          </w:tcPr>
          <w:p>
            <w:pPr>
              <w:ind w:left="4340"/>
              <w:spacing w:after="0"/>
              <w:rPr>
                <w:sz w:val="20"/>
                <w:szCs w:val="20"/>
                <w:color w:val="auto"/>
              </w:rPr>
            </w:pPr>
            <w:r>
              <w:rPr>
                <w:rFonts w:ascii="Arial" w:cs="Arial" w:eastAsia="Arial" w:hAnsi="Arial"/>
                <w:sz w:val="17"/>
                <w:szCs w:val="17"/>
                <w:color w:val="auto"/>
              </w:rPr>
              <w:t>F-28</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1220" w:type="dxa"/>
            <w:vAlign w:val="bottom"/>
            <w:tcBorders>
              <w:bottom w:val="single" w:sz="8" w:color="808080"/>
            </w:tcBorders>
            <w:gridSpan w:val="2"/>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8"/>
        </w:trPr>
        <w:tc>
          <w:tcPr>
            <w:tcW w:w="8300" w:type="dxa"/>
            <w:vAlign w:val="bottom"/>
            <w:gridSpan w:val="3"/>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3"/>
        </w:trPr>
        <w:tc>
          <w:tcPr>
            <w:tcW w:w="5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08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r>
      <w:tr>
        <w:trPr>
          <w:trHeight w:val="164"/>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4"/>
        </w:trPr>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140" w:type="dxa"/>
            <w:vAlign w:val="bottom"/>
            <w:gridSpan w:val="2"/>
          </w:tcPr>
          <w:p>
            <w:pPr>
              <w:spacing w:after="0"/>
              <w:rPr>
                <w:sz w:val="11"/>
                <w:szCs w:val="11"/>
                <w:color w:val="auto"/>
              </w:rPr>
            </w:pPr>
          </w:p>
        </w:tc>
      </w:tr>
      <w:tr>
        <w:trPr>
          <w:trHeight w:val="206"/>
        </w:trPr>
        <w:tc>
          <w:tcPr>
            <w:tcW w:w="8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RSU long-term payable (see Note 2(o))</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84,774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6"/>
        </w:trPr>
        <w:tc>
          <w:tcPr>
            <w:tcW w:w="520" w:type="dxa"/>
            <w:vAlign w:val="bottom"/>
          </w:tcPr>
          <w:p>
            <w:pPr>
              <w:spacing w:after="0"/>
              <w:rPr>
                <w:sz w:val="20"/>
                <w:szCs w:val="20"/>
                <w:color w:val="auto"/>
              </w:rPr>
            </w:pPr>
            <w:r>
              <w:rPr>
                <w:rFonts w:ascii="Arial" w:cs="Arial" w:eastAsia="Arial" w:hAnsi="Arial"/>
                <w:sz w:val="17"/>
                <w:szCs w:val="17"/>
                <w:color w:val="auto"/>
              </w:rPr>
              <w:t>Other</w:t>
            </w:r>
          </w:p>
        </w:tc>
        <w:tc>
          <w:tcPr>
            <w:tcW w:w="70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200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c>
          <w:tcPr>
            <w:tcW w:w="40" w:type="dxa"/>
            <w:vAlign w:val="bottom"/>
          </w:tcPr>
          <w:p>
            <w:pPr>
              <w:spacing w:after="0"/>
              <w:rPr>
                <w:sz w:val="17"/>
                <w:szCs w:val="17"/>
                <w:color w:val="auto"/>
              </w:rPr>
            </w:pPr>
          </w:p>
        </w:tc>
      </w:tr>
      <w:tr>
        <w:trPr>
          <w:trHeight w:val="199"/>
        </w:trPr>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84,974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-1202055</wp:posOffset>
            </wp:positionV>
            <wp:extent cx="12700" cy="29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-1202055</wp:posOffset>
            </wp:positionV>
            <wp:extent cx="12700" cy="29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67" w:lineRule="exact"/>
        <w:rPr>
          <w:sz w:val="20"/>
          <w:szCs w:val="20"/>
          <w:color w:val="auto"/>
        </w:rPr>
      </w:pPr>
    </w:p>
    <w:p>
      <w:pPr>
        <w:ind w:left="620" w:hanging="617"/>
        <w:spacing w:after="0"/>
        <w:tabs>
          <w:tab w:leader="none" w:pos="62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22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0" w:lineRule="exact"/>
        <w:rPr>
          <w:sz w:val="20"/>
          <w:szCs w:val="20"/>
          <w:color w:val="auto"/>
        </w:rPr>
      </w:pPr>
    </w:p>
    <w:p>
      <w:pPr>
        <w:ind w:left="620" w:hanging="617"/>
        <w:spacing w:after="0"/>
        <w:tabs>
          <w:tab w:leader="none" w:pos="62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w:t>
      </w:r>
    </w:p>
    <w:p>
      <w:pPr>
        <w:spacing w:after="0" w:line="22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2014, 2015 and 2016 (in millions):</w:t>
      </w:r>
    </w:p>
    <w:p>
      <w:pPr>
        <w:sectPr>
          <w:pgSz w:w="11900" w:h="16923" w:orient="portrait"/>
          <w:cols w:equalWidth="0" w:num="1">
            <w:col w:w="11460"/>
          </w:cols>
          <w:pgMar w:left="240" w:top="127" w:right="199" w:bottom="0" w:gutter="0" w:footer="0" w:header="0"/>
        </w:sectPr>
      </w:pPr>
    </w:p>
    <w:bookmarkStart w:id="102" w:name="page103"/>
    <w:bookmarkEnd w:id="10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For the 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860" w:type="dxa"/>
            <w:vAlign w:val="bottom"/>
          </w:tcPr>
          <w:p>
            <w:pPr>
              <w:spacing w:after="0"/>
              <w:rPr>
                <w:sz w:val="11"/>
                <w:szCs w:val="11"/>
                <w:color w:val="auto"/>
              </w:rPr>
            </w:pPr>
          </w:p>
        </w:tc>
        <w:tc>
          <w:tcPr>
            <w:tcW w:w="1360" w:type="dxa"/>
            <w:vAlign w:val="bottom"/>
          </w:tcPr>
          <w:p>
            <w:pPr>
              <w:jc w:val="right"/>
              <w:ind w:right="461"/>
              <w:spacing w:after="0" w:line="135" w:lineRule="exact"/>
              <w:rPr>
                <w:sz w:val="20"/>
                <w:szCs w:val="20"/>
                <w:color w:val="auto"/>
              </w:rPr>
            </w:pPr>
            <w:r>
              <w:rPr>
                <w:rFonts w:ascii="Arial" w:cs="Arial" w:eastAsia="Arial" w:hAnsi="Arial"/>
                <w:sz w:val="14"/>
                <w:szCs w:val="14"/>
                <w:b w:val="1"/>
                <w:bCs w:val="1"/>
                <w:color w:val="auto"/>
              </w:rPr>
              <w:t>2014</w:t>
            </w:r>
          </w:p>
        </w:tc>
        <w:tc>
          <w:tcPr>
            <w:tcW w:w="1640" w:type="dxa"/>
            <w:vAlign w:val="bottom"/>
            <w:gridSpan w:val="2"/>
          </w:tcPr>
          <w:p>
            <w:pPr>
              <w:jc w:val="center"/>
              <w:ind w:left="203"/>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80" w:type="dxa"/>
            <w:vAlign w:val="bottom"/>
          </w:tcPr>
          <w:p>
            <w:pPr>
              <w:jc w:val="right"/>
              <w:ind w:right="481"/>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34"/>
        </w:trPr>
        <w:tc>
          <w:tcPr>
            <w:tcW w:w="5860" w:type="dxa"/>
            <w:vAlign w:val="bottom"/>
          </w:tcPr>
          <w:p>
            <w:pPr>
              <w:spacing w:after="0"/>
              <w:rPr>
                <w:sz w:val="11"/>
                <w:szCs w:val="11"/>
                <w:color w:val="auto"/>
              </w:rPr>
            </w:pPr>
          </w:p>
        </w:tc>
        <w:tc>
          <w:tcPr>
            <w:tcW w:w="1360" w:type="dxa"/>
            <w:vAlign w:val="bottom"/>
            <w:tcBorders>
              <w:top w:val="single" w:sz="8" w:color="auto"/>
            </w:tcBorders>
          </w:tcPr>
          <w:p>
            <w:pPr>
              <w:jc w:val="right"/>
              <w:ind w:right="441"/>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80" w:type="dxa"/>
            <w:vAlign w:val="bottom"/>
            <w:tcBorders>
              <w:top w:val="single" w:sz="8" w:color="auto"/>
            </w:tcBorders>
          </w:tcPr>
          <w:p>
            <w:pPr>
              <w:jc w:val="right"/>
              <w:ind w:right="44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Contributions to medical and pension schemes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264.0</w:t>
            </w:r>
          </w:p>
        </w:tc>
        <w:tc>
          <w:tcPr>
            <w:tcW w:w="1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366.4</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w:t>
            </w:r>
          </w:p>
        </w:tc>
        <w:tc>
          <w:tcPr>
            <w:tcW w:w="100" w:type="dxa"/>
            <w:vAlign w:val="bottom"/>
            <w:shd w:val="clear" w:color="auto" w:fill="CCEEFF"/>
          </w:tcPr>
          <w:p>
            <w:pPr>
              <w:spacing w:after="0"/>
              <w:rPr>
                <w:sz w:val="17"/>
                <w:szCs w:val="17"/>
                <w:color w:val="auto"/>
              </w:rPr>
            </w:pP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Other employee benefits</w:t>
            </w:r>
          </w:p>
        </w:tc>
        <w:tc>
          <w:tcPr>
            <w:tcW w:w="1360" w:type="dxa"/>
            <w:vAlign w:val="bottom"/>
          </w:tcPr>
          <w:p>
            <w:pPr>
              <w:jc w:val="right"/>
              <w:spacing w:after="0"/>
              <w:rPr>
                <w:sz w:val="20"/>
                <w:szCs w:val="20"/>
                <w:color w:val="auto"/>
              </w:rPr>
            </w:pPr>
            <w:r>
              <w:rPr>
                <w:rFonts w:ascii="Arial" w:cs="Arial" w:eastAsia="Arial" w:hAnsi="Arial"/>
                <w:sz w:val="17"/>
                <w:szCs w:val="17"/>
                <w:color w:val="auto"/>
              </w:rPr>
              <w:t>159.2</w:t>
            </w:r>
          </w:p>
        </w:tc>
        <w:tc>
          <w:tcPr>
            <w:tcW w:w="1920" w:type="dxa"/>
            <w:vAlign w:val="bottom"/>
            <w:gridSpan w:val="3"/>
          </w:tcPr>
          <w:p>
            <w:pPr>
              <w:jc w:val="right"/>
              <w:ind w:right="280"/>
              <w:spacing w:after="0"/>
              <w:rPr>
                <w:sz w:val="20"/>
                <w:szCs w:val="20"/>
                <w:color w:val="auto"/>
              </w:rPr>
            </w:pPr>
            <w:r>
              <w:rPr>
                <w:rFonts w:ascii="Arial" w:cs="Arial" w:eastAsia="Arial" w:hAnsi="Arial"/>
                <w:sz w:val="17"/>
                <w:szCs w:val="17"/>
                <w:color w:val="auto"/>
              </w:rPr>
              <w:t>235.5</w:t>
            </w:r>
          </w:p>
        </w:tc>
        <w:tc>
          <w:tcPr>
            <w:tcW w:w="1380" w:type="dxa"/>
            <w:vAlign w:val="bottom"/>
          </w:tcPr>
          <w:p>
            <w:pPr>
              <w:jc w:val="right"/>
              <w:spacing w:after="0"/>
              <w:rPr>
                <w:sz w:val="20"/>
                <w:szCs w:val="20"/>
                <w:color w:val="auto"/>
              </w:rPr>
            </w:pPr>
            <w:r>
              <w:rPr>
                <w:rFonts w:ascii="Arial" w:cs="Arial" w:eastAsia="Arial" w:hAnsi="Arial"/>
                <w:sz w:val="17"/>
                <w:szCs w:val="17"/>
                <w:color w:val="auto"/>
              </w:rPr>
              <w:t>315.1</w:t>
            </w:r>
          </w:p>
        </w:tc>
        <w:tc>
          <w:tcPr>
            <w:tcW w:w="100" w:type="dxa"/>
            <w:vAlign w:val="bottom"/>
          </w:tcPr>
          <w:p>
            <w:pPr>
              <w:spacing w:after="0"/>
              <w:rPr>
                <w:sz w:val="17"/>
                <w:szCs w:val="17"/>
                <w:color w:val="auto"/>
              </w:rPr>
            </w:pPr>
          </w:p>
        </w:tc>
      </w:tr>
      <w:tr>
        <w:trPr>
          <w:trHeight w:val="199"/>
        </w:trPr>
        <w:tc>
          <w:tcPr>
            <w:tcW w:w="586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hanging="617"/>
        <w:spacing w:after="0"/>
        <w:tabs>
          <w:tab w:leader="none" w:pos="62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16" w:lineRule="exact"/>
        <w:rPr>
          <w:sz w:val="20"/>
          <w:szCs w:val="20"/>
          <w:color w:val="auto"/>
        </w:rPr>
      </w:pPr>
    </w:p>
    <w:p>
      <w:pPr>
        <w:ind w:left="620" w:hanging="617"/>
        <w:spacing w:after="0"/>
        <w:tabs>
          <w:tab w:leader="none" w:pos="620"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stock option plan</w:t>
      </w:r>
    </w:p>
    <w:p>
      <w:pPr>
        <w:spacing w:after="0" w:line="22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According to a resolution of the board of directors of the Company in 2000, the Company adopted its 2000 Stock Incentive Plan which was amended and restated in 2001 (the “2000 Stock Incentive Plan”).</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According to resolutions of the board of directors and the shareholders of the Company in 2001, the 2000 Stock Incentive Plan was amended and restated. Under the amended plan, the number of ordinary shares available for issuance was increased to 323,715,000. The amended plan also included a mechanism for the automatic increase in the number of ordinary shares available for future issuance. This mechanism, which is known as “Evergreen Provision”, provided for a periodic increase so that the number of ordinary shares available under the plan would automatically increase by 3% each year up to a maximum at any given time of 17.5% of the Company’s total outstanding ordinary shares, on a fully-diluted basis. These increases would occur on June 1 of 2001 and January 1 of each year thereafter. The “Evergreen Provision” was suspended following a resolution of the board of directors dated March 25, 2002. The 2000 Stock Incentive Plan expired in February 2010.</w:t>
      </w:r>
    </w:p>
    <w:p>
      <w:pPr>
        <w:spacing w:after="0" w:line="175" w:lineRule="exact"/>
        <w:rPr>
          <w:sz w:val="20"/>
          <w:szCs w:val="20"/>
          <w:color w:val="auto"/>
        </w:rPr>
      </w:pPr>
    </w:p>
    <w:p>
      <w:pPr>
        <w:ind w:left="640" w:hanging="637"/>
        <w:spacing w:after="0"/>
        <w:tabs>
          <w:tab w:leader="none" w:pos="64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share units plan</w:t>
      </w:r>
    </w:p>
    <w:p>
      <w:pPr>
        <w:spacing w:after="0" w:line="22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November 2009, the Company adopted a restricted share units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w:t>
      </w:r>
    </w:p>
    <w:p>
      <w:pPr>
        <w:spacing w:after="0" w:line="170" w:lineRule="exact"/>
        <w:rPr>
          <w:sz w:val="20"/>
          <w:szCs w:val="20"/>
          <w:color w:val="auto"/>
        </w:rPr>
      </w:pPr>
    </w:p>
    <w:p>
      <w:pPr>
        <w:ind w:left="640" w:hanging="637"/>
        <w:spacing w:after="0"/>
        <w:tabs>
          <w:tab w:leader="none" w:pos="64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expense</w:t>
      </w:r>
    </w:p>
    <w:p>
      <w:pPr>
        <w:spacing w:after="0" w:line="22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Group’s share-based compensation cost for the years ended December 31, 2014, 2015 and 2016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20" w:type="dxa"/>
            <w:vAlign w:val="bottom"/>
            <w:tcBorders>
              <w:bottom w:val="single" w:sz="8" w:color="auto"/>
            </w:tcBorders>
            <w:gridSpan w:val="4"/>
          </w:tcPr>
          <w:p>
            <w:pPr>
              <w:jc w:val="center"/>
              <w:ind w:left="1287"/>
              <w:spacing w:after="0"/>
              <w:rPr>
                <w:sz w:val="20"/>
                <w:szCs w:val="20"/>
                <w:color w:val="auto"/>
              </w:rPr>
            </w:pPr>
            <w:r>
              <w:rPr>
                <w:rFonts w:ascii="Arial" w:cs="Arial" w:eastAsia="Arial" w:hAnsi="Arial"/>
                <w:sz w:val="14"/>
                <w:szCs w:val="14"/>
                <w:b w:val="1"/>
                <w:bCs w:val="1"/>
                <w:color w:val="auto"/>
                <w:w w:val="87"/>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4"/>
        </w:trPr>
        <w:tc>
          <w:tcPr>
            <w:tcW w:w="4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380" w:type="dxa"/>
            <w:vAlign w:val="bottom"/>
            <w:tcBorders>
              <w:bottom w:val="single" w:sz="8" w:color="auto"/>
            </w:tcBorders>
          </w:tcPr>
          <w:p>
            <w:pPr>
              <w:jc w:val="right"/>
              <w:ind w:right="487"/>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right"/>
              <w:ind w:right="459"/>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4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380" w:type="dxa"/>
            <w:vAlign w:val="bottom"/>
          </w:tcPr>
          <w:p>
            <w:pPr>
              <w:jc w:val="right"/>
              <w:ind w:right="467"/>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right"/>
              <w:ind w:right="439"/>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42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169,621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328,480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444,187</w:t>
            </w:r>
          </w:p>
        </w:tc>
        <w:tc>
          <w:tcPr>
            <w:tcW w:w="40" w:type="dxa"/>
            <w:vAlign w:val="bottom"/>
          </w:tcPr>
          <w:p>
            <w:pPr>
              <w:spacing w:after="0"/>
              <w:rPr>
                <w:sz w:val="17"/>
                <w:szCs w:val="17"/>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7"/>
                <w:szCs w:val="17"/>
                <w:color w:val="auto"/>
              </w:rPr>
              <w:t>Selling and marketing expenses</w:t>
            </w:r>
          </w:p>
        </w:tc>
        <w:tc>
          <w:tcPr>
            <w:tcW w:w="4280" w:type="dxa"/>
            <w:vAlign w:val="bottom"/>
            <w:gridSpan w:val="3"/>
          </w:tcPr>
          <w:p>
            <w:pPr>
              <w:jc w:val="right"/>
              <w:ind w:right="300"/>
              <w:spacing w:after="0"/>
              <w:rPr>
                <w:sz w:val="20"/>
                <w:szCs w:val="20"/>
                <w:color w:val="auto"/>
              </w:rPr>
            </w:pPr>
            <w:r>
              <w:rPr>
                <w:rFonts w:ascii="Arial" w:cs="Arial" w:eastAsia="Arial" w:hAnsi="Arial"/>
                <w:sz w:val="17"/>
                <w:szCs w:val="17"/>
                <w:color w:val="auto"/>
              </w:rPr>
              <w:t>23,253</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36,023</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52,689</w:t>
            </w:r>
          </w:p>
        </w:tc>
        <w:tc>
          <w:tcPr>
            <w:tcW w:w="40" w:type="dxa"/>
            <w:vAlign w:val="bottom"/>
          </w:tcPr>
          <w:p>
            <w:pPr>
              <w:spacing w:after="0"/>
              <w:rPr>
                <w:sz w:val="17"/>
                <w:szCs w:val="17"/>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42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51,475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120,925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238,750</w:t>
            </w:r>
          </w:p>
        </w:tc>
        <w:tc>
          <w:tcPr>
            <w:tcW w:w="40" w:type="dxa"/>
            <w:vAlign w:val="bottom"/>
          </w:tcPr>
          <w:p>
            <w:pPr>
              <w:spacing w:after="0"/>
              <w:rPr>
                <w:sz w:val="17"/>
                <w:szCs w:val="17"/>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4280" w:type="dxa"/>
            <w:vAlign w:val="bottom"/>
            <w:gridSpan w:val="3"/>
          </w:tcPr>
          <w:p>
            <w:pPr>
              <w:jc w:val="right"/>
              <w:ind w:right="300"/>
              <w:spacing w:after="0"/>
              <w:rPr>
                <w:sz w:val="20"/>
                <w:szCs w:val="20"/>
                <w:color w:val="auto"/>
              </w:rPr>
            </w:pPr>
            <w:r>
              <w:rPr>
                <w:rFonts w:ascii="Arial" w:cs="Arial" w:eastAsia="Arial" w:hAnsi="Arial"/>
                <w:sz w:val="17"/>
                <w:szCs w:val="17"/>
                <w:color w:val="auto"/>
              </w:rPr>
              <w:t>104,928</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199,039</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254,505</w:t>
            </w:r>
          </w:p>
        </w:tc>
        <w:tc>
          <w:tcPr>
            <w:tcW w:w="40" w:type="dxa"/>
            <w:vAlign w:val="bottom"/>
          </w:tcPr>
          <w:p>
            <w:pPr>
              <w:spacing w:after="0"/>
              <w:rPr>
                <w:sz w:val="17"/>
                <w:szCs w:val="17"/>
                <w:color w:val="auto"/>
              </w:rPr>
            </w:pPr>
          </w:p>
        </w:tc>
      </w:tr>
      <w:tr>
        <w:trPr>
          <w:trHeight w:val="199"/>
        </w:trPr>
        <w:tc>
          <w:tcPr>
            <w:tcW w:w="4040" w:type="dxa"/>
            <w:vAlign w:val="bottom"/>
            <w:tcBorders>
              <w:top w:val="single" w:sz="8" w:color="CCEEFF"/>
              <w:bottom w:val="single" w:sz="8" w:color="CCEEFF"/>
            </w:tcBorders>
            <w:shd w:val="clear" w:color="auto" w:fill="CCEEFF"/>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349,277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684,467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990,131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9"/>
        </w:trPr>
        <w:tc>
          <w:tcPr>
            <w:tcW w:w="4040" w:type="dxa"/>
            <w:vAlign w:val="bottom"/>
          </w:tcPr>
          <w:p>
            <w:pPr>
              <w:spacing w:after="0"/>
              <w:rPr>
                <w:sz w:val="24"/>
                <w:szCs w:val="24"/>
                <w:color w:val="auto"/>
              </w:rPr>
            </w:pPr>
          </w:p>
        </w:tc>
        <w:tc>
          <w:tcPr>
            <w:tcW w:w="4280" w:type="dxa"/>
            <w:vAlign w:val="bottom"/>
            <w:gridSpan w:val="3"/>
          </w:tcPr>
          <w:p>
            <w:pPr>
              <w:ind w:left="1520"/>
              <w:spacing w:after="0"/>
              <w:rPr>
                <w:sz w:val="20"/>
                <w:szCs w:val="20"/>
                <w:color w:val="auto"/>
              </w:rPr>
            </w:pPr>
            <w:r>
              <w:rPr>
                <w:rFonts w:ascii="Arial" w:cs="Arial" w:eastAsia="Arial" w:hAnsi="Arial"/>
                <w:sz w:val="17"/>
                <w:szCs w:val="17"/>
                <w:color w:val="auto"/>
              </w:rPr>
              <w:t>F-29</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404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98"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2016, there was no unrecognized compensation cost under the 2000 Stock Incentive Plan as the options granted thereunder were fully vested.</w:t>
      </w:r>
    </w:p>
    <w:p>
      <w:pPr>
        <w:spacing w:after="0" w:line="239" w:lineRule="exact"/>
        <w:rPr>
          <w:sz w:val="20"/>
          <w:szCs w:val="20"/>
          <w:color w:val="auto"/>
        </w:rPr>
      </w:pPr>
    </w:p>
    <w:p>
      <w:pPr>
        <w:jc w:val="both"/>
        <w:ind w:right="640"/>
        <w:spacing w:after="0" w:line="265" w:lineRule="auto"/>
        <w:rPr>
          <w:sz w:val="20"/>
          <w:szCs w:val="20"/>
          <w:color w:val="auto"/>
        </w:rPr>
      </w:pPr>
      <w:r>
        <w:rPr>
          <w:rFonts w:ascii="Arial" w:cs="Arial" w:eastAsia="Arial" w:hAnsi="Arial"/>
          <w:sz w:val="17"/>
          <w:szCs w:val="17"/>
          <w:color w:val="auto"/>
        </w:rPr>
        <w:t>As of December 31, 2016, total unrecognized compensation cost related to unvested awards under the 2009 RSU Plan, adjusted for estimated forfeitures, was US$384.6 million (RMB2,670.1 million) and is expected to be recognized through the remaining vesting period of each grant. As of December 31, 2016, the weighted average remaining vesting period was 3.21 years.</w:t>
      </w:r>
    </w:p>
    <w:p>
      <w:pPr>
        <w:spacing w:after="0" w:line="170" w:lineRule="exact"/>
        <w:rPr>
          <w:sz w:val="20"/>
          <w:szCs w:val="20"/>
          <w:color w:val="auto"/>
        </w:rPr>
      </w:pPr>
    </w:p>
    <w:p>
      <w:pPr>
        <w:ind w:left="640" w:hanging="637"/>
        <w:spacing w:after="0"/>
        <w:tabs>
          <w:tab w:leader="none" w:pos="64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Valuation assumptions</w:t>
      </w:r>
    </w:p>
    <w:p>
      <w:pPr>
        <w:spacing w:after="0" w:line="22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Company uses the Black-Scholes option pricing model to determine the fair value of stock options. The Company did not grant any stock options in 2014, 2015 and 2016 Refer to Note 2(o) for the description of the bases the Company follows in the valuation of RSUs.</w:t>
      </w:r>
    </w:p>
    <w:p>
      <w:pPr>
        <w:spacing w:after="0" w:line="159" w:lineRule="exact"/>
        <w:rPr>
          <w:sz w:val="20"/>
          <w:szCs w:val="20"/>
          <w:color w:val="auto"/>
        </w:rPr>
      </w:pPr>
    </w:p>
    <w:p>
      <w:pPr>
        <w:ind w:left="640" w:hanging="637"/>
        <w:spacing w:after="0"/>
        <w:tabs>
          <w:tab w:leader="none" w:pos="64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Stock options and restricted share units award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Company’s stock options and RSUs award activities for the years ended December 31, 2014, 2015 and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Employees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Senior</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Director and</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64"/>
        </w:trPr>
        <w:tc>
          <w:tcPr>
            <w:tcW w:w="34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Management</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Consultants</w:t>
            </w:r>
          </w:p>
        </w:tc>
        <w:tc>
          <w:tcPr>
            <w:tcW w:w="142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4"/>
                <w:szCs w:val="14"/>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6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Number of ordinary shares issuable upon</w:t>
            </w: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exercise of stock options:</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285</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285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1.659</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Exercised during the year</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(285)</w:t>
            </w:r>
          </w:p>
        </w:tc>
        <w:tc>
          <w:tcPr>
            <w:tcW w:w="14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ind w:left="142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7"/>
                <w:szCs w:val="17"/>
                <w:color w:val="auto"/>
              </w:rPr>
              <w:t>(285)</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1.659</w:t>
            </w: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82"/>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ind w:left="14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Exercised during the year</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880" w:type="dxa"/>
            <w:vAlign w:val="bottom"/>
            <w:gridSpan w:val="2"/>
          </w:tcPr>
          <w:p>
            <w:pPr>
              <w:ind w:left="142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82"/>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23" w:right="199"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60" w:type="dxa"/>
            <w:vAlign w:val="bottom"/>
            <w:gridSpan w:val="4"/>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54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Exercised during the year</w:t>
            </w:r>
          </w:p>
        </w:tc>
        <w:tc>
          <w:tcPr>
            <w:tcW w:w="144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60" w:type="dxa"/>
            <w:vAlign w:val="bottom"/>
            <w:gridSpan w:val="4"/>
          </w:tcPr>
          <w:p>
            <w:pPr>
              <w:jc w:val="right"/>
              <w:ind w:right="620"/>
              <w:spacing w:after="0"/>
              <w:rPr>
                <w:sz w:val="20"/>
                <w:szCs w:val="20"/>
                <w:color w:val="auto"/>
              </w:rPr>
            </w:pPr>
            <w:r>
              <w:rPr>
                <w:rFonts w:ascii="Arial" w:cs="Arial" w:eastAsia="Arial" w:hAnsi="Arial"/>
                <w:sz w:val="17"/>
                <w:szCs w:val="17"/>
                <w:color w:val="auto"/>
              </w:rPr>
              <w:t>—</w:t>
            </w:r>
          </w:p>
        </w:tc>
        <w:tc>
          <w:tcPr>
            <w:tcW w:w="1540" w:type="dxa"/>
            <w:vAlign w:val="bottom"/>
            <w:gridSpan w:val="3"/>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40" w:type="dxa"/>
            <w:vAlign w:val="bottom"/>
            <w:gridSpan w:val="4"/>
          </w:tcPr>
          <w:p>
            <w:pPr>
              <w:ind w:left="840"/>
              <w:spacing w:after="0"/>
              <w:rPr>
                <w:sz w:val="20"/>
                <w:szCs w:val="20"/>
                <w:color w:val="auto"/>
              </w:rPr>
            </w:pPr>
            <w:r>
              <w:rPr>
                <w:rFonts w:ascii="Arial" w:cs="Arial" w:eastAsia="Arial" w:hAnsi="Arial"/>
                <w:sz w:val="17"/>
                <w:szCs w:val="17"/>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93"/>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Employees</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Senior</w:t>
            </w:r>
          </w:p>
        </w:tc>
        <w:tc>
          <w:tcPr>
            <w:tcW w:w="120" w:type="dxa"/>
            <w:vAlign w:val="bottom"/>
          </w:tcPr>
          <w:p>
            <w:pPr>
              <w:spacing w:after="0"/>
              <w:rPr>
                <w:sz w:val="24"/>
                <w:szCs w:val="2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Director and</w:t>
            </w:r>
          </w:p>
        </w:tc>
        <w:tc>
          <w:tcPr>
            <w:tcW w:w="14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Management</w:t>
            </w:r>
          </w:p>
        </w:tc>
        <w:tc>
          <w:tcPr>
            <w:tcW w:w="12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Consultants</w:t>
            </w: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4"/>
                <w:szCs w:val="14"/>
                <w:color w:val="auto"/>
              </w:rPr>
            </w:pPr>
          </w:p>
        </w:tc>
        <w:tc>
          <w:tcPr>
            <w:tcW w:w="136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00" w:type="dxa"/>
            <w:vAlign w:val="bottom"/>
            <w:gridSpan w:val="3"/>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6"/>
              </w:rPr>
              <w:t>Number of ordinary shares issuable upon vesting of restricted</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share units:</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Outstanding at January 1, 2014</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25,152</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287</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25,439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30,429</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195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Vested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7"/>
                <w:szCs w:val="17"/>
                <w:color w:val="auto"/>
              </w:rPr>
              <w:t>(17,200)</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20"/>
              <w:spacing w:after="0"/>
              <w:rPr>
                <w:sz w:val="20"/>
                <w:szCs w:val="20"/>
                <w:color w:val="auto"/>
              </w:rPr>
            </w:pPr>
            <w:r>
              <w:rPr>
                <w:rFonts w:ascii="Arial" w:cs="Arial" w:eastAsia="Arial" w:hAnsi="Arial"/>
                <w:sz w:val="17"/>
                <w:szCs w:val="17"/>
                <w:color w:val="auto"/>
              </w:rPr>
              <w:t>(250)</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(17,450)</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40"/>
              <w:spacing w:after="0"/>
              <w:rPr>
                <w:sz w:val="20"/>
                <w:szCs w:val="20"/>
                <w:color w:val="auto"/>
              </w:rPr>
            </w:pPr>
            <w:r>
              <w:rPr>
                <w:rFonts w:ascii="Arial" w:cs="Arial" w:eastAsia="Arial" w:hAnsi="Arial"/>
                <w:sz w:val="17"/>
                <w:szCs w:val="17"/>
                <w:color w:val="auto"/>
              </w:rPr>
              <w:t>(1,539)</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(1,539)</w:t>
            </w:r>
          </w:p>
        </w:tc>
        <w:tc>
          <w:tcPr>
            <w:tcW w:w="0" w:type="dxa"/>
            <w:vAlign w:val="bottom"/>
          </w:tcPr>
          <w:p>
            <w:pPr>
              <w:spacing w:after="0"/>
              <w:rPr>
                <w:sz w:val="1"/>
                <w:szCs w:val="1"/>
                <w:color w:val="auto"/>
              </w:rPr>
            </w:pPr>
          </w:p>
        </w:tc>
      </w:tr>
      <w:tr>
        <w:trPr>
          <w:trHeight w:val="239"/>
        </w:trPr>
        <w:tc>
          <w:tcPr>
            <w:tcW w:w="3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Outstanding at December 31, 2014</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36,842</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7"/>
                <w:szCs w:val="17"/>
                <w:color w:val="auto"/>
                <w:w w:val="82"/>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232</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37,074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Outstanding at January 1, 2015</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36,842</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232</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37,074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27,968</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132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Vested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7"/>
                <w:szCs w:val="17"/>
                <w:color w:val="auto"/>
              </w:rPr>
              <w:t>(23,339)</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20"/>
              <w:spacing w:after="0"/>
              <w:rPr>
                <w:sz w:val="20"/>
                <w:szCs w:val="20"/>
                <w:color w:val="auto"/>
              </w:rPr>
            </w:pPr>
            <w:r>
              <w:rPr>
                <w:rFonts w:ascii="Arial" w:cs="Arial" w:eastAsia="Arial" w:hAnsi="Arial"/>
                <w:sz w:val="17"/>
                <w:szCs w:val="17"/>
                <w:color w:val="auto"/>
              </w:rPr>
              <w:t>(202)</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(23,541)</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40"/>
              <w:spacing w:after="0"/>
              <w:rPr>
                <w:sz w:val="20"/>
                <w:szCs w:val="20"/>
                <w:color w:val="auto"/>
              </w:rPr>
            </w:pPr>
            <w:r>
              <w:rPr>
                <w:rFonts w:ascii="Arial" w:cs="Arial" w:eastAsia="Arial" w:hAnsi="Arial"/>
                <w:sz w:val="17"/>
                <w:szCs w:val="17"/>
                <w:color w:val="auto"/>
              </w:rPr>
              <w:t>(1,848)</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(1,848)</w:t>
            </w:r>
          </w:p>
        </w:tc>
        <w:tc>
          <w:tcPr>
            <w:tcW w:w="0" w:type="dxa"/>
            <w:vAlign w:val="bottom"/>
          </w:tcPr>
          <w:p>
            <w:pPr>
              <w:spacing w:after="0"/>
              <w:rPr>
                <w:sz w:val="1"/>
                <w:szCs w:val="1"/>
                <w:color w:val="auto"/>
              </w:rPr>
            </w:pPr>
          </w:p>
        </w:tc>
      </w:tr>
      <w:tr>
        <w:trPr>
          <w:trHeight w:val="239"/>
        </w:trPr>
        <w:tc>
          <w:tcPr>
            <w:tcW w:w="3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Outstanding at December 31, 2015</w:t>
            </w:r>
          </w:p>
        </w:tc>
        <w:tc>
          <w:tcPr>
            <w:tcW w:w="1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39,623</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7"/>
                <w:szCs w:val="17"/>
                <w:color w:val="auto"/>
                <w:w w:val="82"/>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162</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39,785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Outstanding at January 1, 2016</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39,623</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80"/>
              <w:spacing w:after="0"/>
              <w:rPr>
                <w:sz w:val="20"/>
                <w:szCs w:val="20"/>
                <w:color w:val="auto"/>
              </w:rPr>
            </w:pPr>
            <w:r>
              <w:rPr>
                <w:rFonts w:ascii="Arial" w:cs="Arial" w:eastAsia="Arial" w:hAnsi="Arial"/>
                <w:sz w:val="17"/>
                <w:szCs w:val="17"/>
                <w:color w:val="auto"/>
              </w:rPr>
              <w:t>162</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39,785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30,980</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color w:val="auto"/>
              </w:rPr>
              <w:t>100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7"/>
                <w:szCs w:val="17"/>
                <w:color w:val="auto"/>
              </w:rPr>
              <w:t>Vested</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7"/>
                <w:szCs w:val="17"/>
                <w:color w:val="auto"/>
              </w:rPr>
              <w:t>(27,545)</w:t>
            </w:r>
          </w:p>
        </w:tc>
        <w:tc>
          <w:tcPr>
            <w:tcW w:w="1540" w:type="dxa"/>
            <w:vAlign w:val="bottom"/>
            <w:gridSpan w:val="3"/>
          </w:tcPr>
          <w:p>
            <w:pPr>
              <w:ind w:left="1200"/>
              <w:spacing w:after="0"/>
              <w:rPr>
                <w:sz w:val="20"/>
                <w:szCs w:val="20"/>
                <w:color w:val="auto"/>
              </w:rPr>
            </w:pPr>
            <w:r>
              <w:rPr>
                <w:rFonts w:ascii="Arial" w:cs="Arial" w:eastAsia="Arial" w:hAnsi="Arial"/>
                <w:sz w:val="17"/>
                <w:szCs w:val="17"/>
                <w:color w:val="auto"/>
              </w:rPr>
              <w:t>—</w:t>
            </w:r>
          </w:p>
        </w:tc>
        <w:tc>
          <w:tcPr>
            <w:tcW w:w="1760" w:type="dxa"/>
            <w:vAlign w:val="bottom"/>
            <w:gridSpan w:val="5"/>
          </w:tcPr>
          <w:p>
            <w:pPr>
              <w:jc w:val="right"/>
              <w:ind w:right="220"/>
              <w:spacing w:after="0"/>
              <w:rPr>
                <w:sz w:val="20"/>
                <w:szCs w:val="20"/>
                <w:color w:val="auto"/>
              </w:rPr>
            </w:pPr>
            <w:r>
              <w:rPr>
                <w:rFonts w:ascii="Arial" w:cs="Arial" w:eastAsia="Arial" w:hAnsi="Arial"/>
                <w:sz w:val="17"/>
                <w:szCs w:val="17"/>
                <w:color w:val="auto"/>
              </w:rPr>
              <w:t>(119)</w:t>
            </w:r>
          </w:p>
        </w:tc>
        <w:tc>
          <w:tcPr>
            <w:tcW w:w="1460" w:type="dxa"/>
            <w:vAlign w:val="bottom"/>
            <w:gridSpan w:val="3"/>
          </w:tcPr>
          <w:p>
            <w:pPr>
              <w:jc w:val="right"/>
              <w:ind w:right="40"/>
              <w:spacing w:after="0"/>
              <w:rPr>
                <w:sz w:val="20"/>
                <w:szCs w:val="20"/>
                <w:color w:val="auto"/>
              </w:rPr>
            </w:pPr>
            <w:r>
              <w:rPr>
                <w:rFonts w:ascii="Arial" w:cs="Arial" w:eastAsia="Arial" w:hAnsi="Arial"/>
                <w:sz w:val="17"/>
                <w:szCs w:val="17"/>
                <w:color w:val="auto"/>
              </w:rPr>
              <w:t>(27,664)</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5"/>
            <w:shd w:val="clear" w:color="auto" w:fill="CCEEFF"/>
          </w:tcPr>
          <w:p>
            <w:pPr>
              <w:jc w:val="right"/>
              <w:ind w:right="240"/>
              <w:spacing w:after="0"/>
              <w:rPr>
                <w:sz w:val="20"/>
                <w:szCs w:val="20"/>
                <w:color w:val="auto"/>
              </w:rPr>
            </w:pPr>
            <w:r>
              <w:rPr>
                <w:rFonts w:ascii="Arial" w:cs="Arial" w:eastAsia="Arial" w:hAnsi="Arial"/>
                <w:sz w:val="17"/>
                <w:szCs w:val="17"/>
                <w:color w:val="auto"/>
              </w:rPr>
              <w:t>(1,633)</w:t>
            </w:r>
          </w:p>
        </w:tc>
        <w:tc>
          <w:tcPr>
            <w:tcW w:w="1540" w:type="dxa"/>
            <w:vAlign w:val="bottom"/>
            <w:gridSpan w:val="3"/>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(1,633)</w:t>
            </w: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Arial" w:cs="Arial" w:eastAsia="Arial" w:hAnsi="Arial"/>
                <w:sz w:val="17"/>
                <w:szCs w:val="17"/>
                <w:color w:val="auto"/>
              </w:rPr>
              <w:t>Outstanding at December 31, 2016</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41,425</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7"/>
                <w:szCs w:val="17"/>
                <w:color w:val="auto"/>
                <w:w w:val="82"/>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143</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41,568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The following table presents the total intrinsic value of options exercised and the total fair value of RSUs on vesting dates for the years ended December 31, 2014, 2015 and 2016,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96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86"/>
              </w:rPr>
              <w:t>Stock Options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4"/>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96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87"/>
              </w:rPr>
              <w:t>US$</w:t>
            </w:r>
          </w:p>
        </w:tc>
        <w:tc>
          <w:tcPr>
            <w:tcW w:w="10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221"/>
              <w:spacing w:after="0" w:line="135"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intrinsic value exercised: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8300" w:type="dxa"/>
            <w:vAlign w:val="bottom"/>
            <w:gridSpan w:val="2"/>
          </w:tcPr>
          <w:p>
            <w:pPr>
              <w:jc w:val="right"/>
              <w:ind w:right="214"/>
              <w:spacing w:after="0"/>
              <w:rPr>
                <w:sz w:val="20"/>
                <w:szCs w:val="20"/>
                <w:color w:val="auto"/>
              </w:rPr>
            </w:pPr>
            <w:r>
              <w:rPr>
                <w:rFonts w:ascii="Arial" w:cs="Arial" w:eastAsia="Arial" w:hAnsi="Arial"/>
                <w:sz w:val="17"/>
                <w:szCs w:val="17"/>
                <w:color w:val="auto"/>
              </w:rPr>
              <w:t>2014</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0.4</w:t>
            </w: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7"/>
                <w:szCs w:val="17"/>
                <w:color w:val="auto"/>
              </w:rPr>
            </w:pPr>
          </w:p>
        </w:tc>
      </w:tr>
      <w:tr>
        <w:trPr>
          <w:trHeight w:val="206"/>
        </w:trPr>
        <w:tc>
          <w:tcPr>
            <w:tcW w:w="83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2015</w:t>
            </w: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7"/>
        </w:trPr>
        <w:tc>
          <w:tcPr>
            <w:tcW w:w="8300" w:type="dxa"/>
            <w:vAlign w:val="bottom"/>
            <w:gridSpan w:val="2"/>
          </w:tcPr>
          <w:p>
            <w:pPr>
              <w:jc w:val="right"/>
              <w:ind w:right="214"/>
              <w:spacing w:after="0"/>
              <w:rPr>
                <w:sz w:val="20"/>
                <w:szCs w:val="20"/>
                <w:color w:val="auto"/>
              </w:rPr>
            </w:pPr>
            <w:r>
              <w:rPr>
                <w:rFonts w:ascii="Arial" w:cs="Arial" w:eastAsia="Arial" w:hAnsi="Arial"/>
                <w:sz w:val="17"/>
                <w:szCs w:val="17"/>
                <w:color w:val="auto"/>
              </w:rPr>
              <w:t>2016</w:t>
            </w:r>
          </w:p>
        </w:tc>
        <w:tc>
          <w:tcPr>
            <w:tcW w:w="1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399"/>
        </w:trPr>
        <w:tc>
          <w:tcPr>
            <w:tcW w:w="1220" w:type="dxa"/>
            <w:vAlign w:val="bottom"/>
          </w:tcPr>
          <w:p>
            <w:pPr>
              <w:spacing w:after="0"/>
              <w:rPr>
                <w:sz w:val="24"/>
                <w:szCs w:val="24"/>
                <w:color w:val="auto"/>
              </w:rPr>
            </w:pPr>
          </w:p>
        </w:tc>
        <w:tc>
          <w:tcPr>
            <w:tcW w:w="7080" w:type="dxa"/>
            <w:vAlign w:val="bottom"/>
          </w:tcPr>
          <w:p>
            <w:pPr>
              <w:jc w:val="right"/>
              <w:ind w:right="2334"/>
              <w:spacing w:after="0"/>
              <w:rPr>
                <w:sz w:val="20"/>
                <w:szCs w:val="20"/>
                <w:color w:val="auto"/>
              </w:rPr>
            </w:pPr>
            <w:r>
              <w:rPr>
                <w:rFonts w:ascii="Arial" w:cs="Arial" w:eastAsia="Arial" w:hAnsi="Arial"/>
                <w:sz w:val="17"/>
                <w:szCs w:val="17"/>
                <w:color w:val="auto"/>
              </w:rPr>
              <w:t>F-30</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122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8"/>
        </w:trPr>
        <w:tc>
          <w:tcPr>
            <w:tcW w:w="8300" w:type="dxa"/>
            <w:vAlign w:val="bottom"/>
            <w:gridSpan w:val="2"/>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6"/>
        </w:trPr>
        <w:tc>
          <w:tcPr>
            <w:tcW w:w="1220" w:type="dxa"/>
            <w:vAlign w:val="bottom"/>
            <w:tcBorders>
              <w:top w:val="single" w:sz="8" w:color="0000EE"/>
            </w:tcBorders>
          </w:tcPr>
          <w:p>
            <w:pPr>
              <w:spacing w:after="0"/>
              <w:rPr>
                <w:sz w:val="24"/>
                <w:szCs w:val="24"/>
                <w:color w:val="auto"/>
              </w:rPr>
            </w:pPr>
          </w:p>
        </w:tc>
        <w:tc>
          <w:tcPr>
            <w:tcW w:w="708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87"/>
              </w:rPr>
              <w:t>RSU</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96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87"/>
              </w:rPr>
              <w:t>US$</w:t>
            </w:r>
          </w:p>
        </w:tc>
        <w:tc>
          <w:tcPr>
            <w:tcW w:w="1060" w:type="dxa"/>
            <w:vAlign w:val="bottom"/>
          </w:tcPr>
          <w:p>
            <w:pPr>
              <w:jc w:val="center"/>
              <w:ind w:right="221"/>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221"/>
              <w:spacing w:after="0" w:line="135"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6"/>
        </w:trPr>
        <w:tc>
          <w:tcPr>
            <w:tcW w:w="8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fair value vested: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8300" w:type="dxa"/>
            <w:vAlign w:val="bottom"/>
            <w:gridSpan w:val="2"/>
          </w:tcPr>
          <w:p>
            <w:pPr>
              <w:jc w:val="right"/>
              <w:ind w:right="214"/>
              <w:spacing w:after="0"/>
              <w:rPr>
                <w:sz w:val="20"/>
                <w:szCs w:val="20"/>
                <w:color w:val="auto"/>
              </w:rPr>
            </w:pPr>
            <w:r>
              <w:rPr>
                <w:rFonts w:ascii="Arial" w:cs="Arial" w:eastAsia="Arial" w:hAnsi="Arial"/>
                <w:sz w:val="17"/>
                <w:szCs w:val="17"/>
                <w:color w:val="auto"/>
              </w:rPr>
              <w:t>2014</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48.6</w:t>
            </w: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301.6</w:t>
            </w:r>
          </w:p>
        </w:tc>
        <w:tc>
          <w:tcPr>
            <w:tcW w:w="40" w:type="dxa"/>
            <w:vAlign w:val="bottom"/>
          </w:tcPr>
          <w:p>
            <w:pPr>
              <w:spacing w:after="0"/>
              <w:rPr>
                <w:sz w:val="17"/>
                <w:szCs w:val="17"/>
                <w:color w:val="auto"/>
              </w:rPr>
            </w:pPr>
          </w:p>
        </w:tc>
      </w:tr>
      <w:tr>
        <w:trPr>
          <w:trHeight w:val="206"/>
        </w:trPr>
        <w:tc>
          <w:tcPr>
            <w:tcW w:w="83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2015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99.0</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641.3</w:t>
            </w:r>
          </w:p>
        </w:tc>
        <w:tc>
          <w:tcPr>
            <w:tcW w:w="40" w:type="dxa"/>
            <w:vAlign w:val="bottom"/>
          </w:tcPr>
          <w:p>
            <w:pPr>
              <w:spacing w:after="0"/>
              <w:rPr>
                <w:sz w:val="17"/>
                <w:szCs w:val="17"/>
                <w:color w:val="auto"/>
              </w:rPr>
            </w:pPr>
          </w:p>
        </w:tc>
      </w:tr>
      <w:tr>
        <w:trPr>
          <w:trHeight w:val="217"/>
        </w:trPr>
        <w:tc>
          <w:tcPr>
            <w:tcW w:w="8300" w:type="dxa"/>
            <w:vAlign w:val="bottom"/>
            <w:gridSpan w:val="2"/>
          </w:tcPr>
          <w:p>
            <w:pPr>
              <w:jc w:val="right"/>
              <w:ind w:right="214"/>
              <w:spacing w:after="0"/>
              <w:rPr>
                <w:sz w:val="20"/>
                <w:szCs w:val="20"/>
                <w:color w:val="auto"/>
              </w:rPr>
            </w:pPr>
            <w:r>
              <w:rPr>
                <w:rFonts w:ascii="Arial" w:cs="Arial" w:eastAsia="Arial" w:hAnsi="Arial"/>
                <w:sz w:val="17"/>
                <w:szCs w:val="17"/>
                <w:color w:val="auto"/>
              </w:rPr>
              <w:t>2016</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177.2</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1,230.4</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-1315720</wp:posOffset>
            </wp:positionV>
            <wp:extent cx="12700" cy="29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-1315720</wp:posOffset>
            </wp:positionV>
            <wp:extent cx="12700" cy="29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weighted average remaining contractual life for the RSUs outstanding as of December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Number Outstanding</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Weighted Average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200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9"/>
              </w:rPr>
              <w:t>Remaining</w:t>
            </w: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4"/>
        </w:trPr>
        <w:tc>
          <w:tcPr>
            <w:tcW w:w="5620" w:type="dxa"/>
            <w:vAlign w:val="bottom"/>
            <w:gridSpan w:val="2"/>
            <w:vMerge w:val="continue"/>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 Exercisable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Contractual Life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34"/>
        </w:trPr>
        <w:tc>
          <w:tcPr>
            <w:tcW w:w="53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Share Units</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7"/>
                <w:szCs w:val="17"/>
                <w:color w:val="auto"/>
              </w:rPr>
              <w:t>Performance-based settled in stock</w:t>
            </w:r>
          </w:p>
        </w:tc>
        <w:tc>
          <w:tcPr>
            <w:tcW w:w="2000" w:type="dxa"/>
            <w:vAlign w:val="bottom"/>
            <w:gridSpan w:val="2"/>
          </w:tcPr>
          <w:p>
            <w:pPr>
              <w:jc w:val="right"/>
              <w:ind w:right="280"/>
              <w:spacing w:after="0"/>
              <w:rPr>
                <w:sz w:val="20"/>
                <w:szCs w:val="20"/>
                <w:color w:val="auto"/>
              </w:rPr>
            </w:pPr>
            <w:r>
              <w:rPr>
                <w:rFonts w:ascii="Arial" w:cs="Arial" w:eastAsia="Arial" w:hAnsi="Arial"/>
                <w:sz w:val="17"/>
                <w:szCs w:val="17"/>
                <w:color w:val="auto"/>
              </w:rPr>
              <w:t>11,193</w:t>
            </w:r>
          </w:p>
        </w:tc>
        <w:tc>
          <w:tcPr>
            <w:tcW w:w="2000" w:type="dxa"/>
            <w:vAlign w:val="bottom"/>
            <w:gridSpan w:val="2"/>
          </w:tcPr>
          <w:p>
            <w:pPr>
              <w:ind w:left="1400"/>
              <w:spacing w:after="0"/>
              <w:rPr>
                <w:sz w:val="20"/>
                <w:szCs w:val="20"/>
                <w:color w:val="auto"/>
              </w:rPr>
            </w:pPr>
            <w:r>
              <w:rPr>
                <w:rFonts w:ascii="Arial" w:cs="Arial" w:eastAsia="Arial" w:hAnsi="Arial"/>
                <w:sz w:val="17"/>
                <w:szCs w:val="17"/>
                <w:color w:val="auto"/>
              </w:rPr>
              <w:t>2.17</w:t>
            </w:r>
          </w:p>
        </w:tc>
        <w:tc>
          <w:tcPr>
            <w:tcW w:w="1800" w:type="dxa"/>
            <w:vAlign w:val="bottom"/>
            <w:gridSpan w:val="2"/>
          </w:tcPr>
          <w:p>
            <w:pPr>
              <w:ind w:left="15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Time-based-settled in stock/cash</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66,160</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7"/>
                <w:szCs w:val="17"/>
                <w:color w:val="auto"/>
              </w:rPr>
              <w:t>3.12</w:t>
            </w:r>
          </w:p>
        </w:tc>
        <w:tc>
          <w:tcPr>
            <w:tcW w:w="180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7"/>
                <w:szCs w:val="17"/>
                <w:color w:val="auto"/>
              </w:rPr>
              <w:t>Time-based-settled in stock</w:t>
            </w:r>
          </w:p>
        </w:tc>
        <w:tc>
          <w:tcPr>
            <w:tcW w:w="2000" w:type="dxa"/>
            <w:vAlign w:val="bottom"/>
            <w:gridSpan w:val="2"/>
          </w:tcPr>
          <w:p>
            <w:pPr>
              <w:jc w:val="right"/>
              <w:ind w:right="280"/>
              <w:spacing w:after="0"/>
              <w:rPr>
                <w:sz w:val="20"/>
                <w:szCs w:val="20"/>
                <w:color w:val="auto"/>
              </w:rPr>
            </w:pPr>
            <w:r>
              <w:rPr>
                <w:rFonts w:ascii="Arial" w:cs="Arial" w:eastAsia="Arial" w:hAnsi="Arial"/>
                <w:sz w:val="17"/>
                <w:szCs w:val="17"/>
                <w:color w:val="auto"/>
              </w:rPr>
              <w:t>13,111</w:t>
            </w:r>
          </w:p>
        </w:tc>
        <w:tc>
          <w:tcPr>
            <w:tcW w:w="2000" w:type="dxa"/>
            <w:vAlign w:val="bottom"/>
            <w:gridSpan w:val="2"/>
          </w:tcPr>
          <w:p>
            <w:pPr>
              <w:ind w:left="1400"/>
              <w:spacing w:after="0"/>
              <w:rPr>
                <w:sz w:val="20"/>
                <w:szCs w:val="20"/>
                <w:color w:val="auto"/>
              </w:rPr>
            </w:pPr>
            <w:r>
              <w:rPr>
                <w:rFonts w:ascii="Arial" w:cs="Arial" w:eastAsia="Arial" w:hAnsi="Arial"/>
                <w:sz w:val="17"/>
                <w:szCs w:val="17"/>
                <w:color w:val="auto"/>
              </w:rPr>
              <w:t>2.51</w:t>
            </w:r>
          </w:p>
        </w:tc>
        <w:tc>
          <w:tcPr>
            <w:tcW w:w="1800" w:type="dxa"/>
            <w:vAlign w:val="bottom"/>
            <w:gridSpan w:val="2"/>
          </w:tcPr>
          <w:p>
            <w:pPr>
              <w:ind w:left="15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99"/>
        </w:trPr>
        <w:tc>
          <w:tcPr>
            <w:tcW w:w="5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90,464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7"/>
                <w:szCs w:val="17"/>
                <w:color w:val="auto"/>
                <w:w w:val="84"/>
              </w:rPr>
              <w:t>2.92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7"/>
                <w:szCs w:val="17"/>
                <w:color w:val="auto"/>
                <w:w w:val="75"/>
              </w:rPr>
              <w:t>n/a</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00"/>
        <w:spacing w:after="0" w:line="278" w:lineRule="auto"/>
        <w:rPr>
          <w:sz w:val="20"/>
          <w:szCs w:val="20"/>
          <w:color w:val="auto"/>
        </w:rPr>
      </w:pPr>
      <w:r>
        <w:rPr>
          <w:rFonts w:ascii="Arial" w:cs="Arial" w:eastAsia="Arial" w:hAnsi="Arial"/>
          <w:sz w:val="17"/>
          <w:szCs w:val="17"/>
          <w:color w:val="auto"/>
        </w:rPr>
        <w:t>The aggregate intrinsic value of RSUs outstanding as of December 31, 2016 was US$768.5 million. The intrinsic value was calculated based on the Company’s closing stock price of US$215.34 per ADS, or US$8.6136 per ordinary share as of December 31, 2016.</w:t>
      </w:r>
    </w:p>
    <w:p>
      <w:pPr>
        <w:spacing w:after="0" w:line="165" w:lineRule="exact"/>
        <w:rPr>
          <w:sz w:val="20"/>
          <w:szCs w:val="20"/>
          <w:color w:val="auto"/>
        </w:rPr>
      </w:pPr>
    </w:p>
    <w:p>
      <w:pPr>
        <w:ind w:right="840"/>
        <w:spacing w:after="0" w:line="278" w:lineRule="auto"/>
        <w:rPr>
          <w:sz w:val="20"/>
          <w:szCs w:val="20"/>
          <w:color w:val="auto"/>
        </w:rPr>
      </w:pPr>
      <w:r>
        <w:rPr>
          <w:rFonts w:ascii="Arial" w:cs="Arial" w:eastAsia="Arial" w:hAnsi="Arial"/>
          <w:sz w:val="17"/>
          <w:szCs w:val="17"/>
          <w:color w:val="auto"/>
        </w:rPr>
        <w:t>It is the Company’s policy to issue new shares upon share option exercise s and vesting of RSUs. The number of shares available for future grant under the Company’s 2009 RSU Plan was 136,777,575 as of December 31, 2016.</w:t>
      </w:r>
    </w:p>
    <w:p>
      <w:pPr>
        <w:spacing w:after="0" w:line="159" w:lineRule="exact"/>
        <w:rPr>
          <w:sz w:val="20"/>
          <w:szCs w:val="20"/>
          <w:color w:val="auto"/>
        </w:rPr>
      </w:pPr>
    </w:p>
    <w:p>
      <w:pPr>
        <w:ind w:left="620" w:hanging="617"/>
        <w:spacing w:after="0"/>
        <w:tabs>
          <w:tab w:leader="none" w:pos="62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Other Option Plan</w:t>
      </w:r>
    </w:p>
    <w:p>
      <w:pPr>
        <w:spacing w:after="0" w:line="222"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Certain of the Company’s subsidiaries have adopted stock option plans, which allow the related subsidiaries to grant options to certain employees of the Group. The options expire in five to seven years from the date of grant and either vest or have a vesting commencement date upon certain conditions being met (“Vesting Commencement Date”). The award can become 100% vested on the Vesting Commencement Date, or vests in two, four or five substantially equal annual installments with the first installment vesting on the Vesting Commencement Date.</w:t>
      </w:r>
    </w:p>
    <w:p>
      <w:pPr>
        <w:spacing w:after="0" w:line="179"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The Group has used the binomial model to estimate the fair value of the options granted. While all share options granted will become vested or commence vesting beginning on the Vesting Commencement Date, the effectiveness of the conditions is not within the control of the Group and is not deemed probable to occur for accounting purposes until the Vesting Commencement Date. Therefore, for the years ended December 31, 2014, 2015 and 2016, no compensation expenses were recorded for the share options granted.</w:t>
      </w:r>
    </w:p>
    <w:p>
      <w:pPr>
        <w:sectPr>
          <w:pgSz w:w="11900" w:h="16838" w:orient="portrait"/>
          <w:cols w:equalWidth="0" w:num="1">
            <w:col w:w="11460"/>
          </w:cols>
          <w:pgMar w:left="240" w:top="140" w:right="199" w:bottom="0" w:gutter="0" w:footer="0" w:header="0"/>
        </w:sectPr>
      </w:pPr>
    </w:p>
    <w:bookmarkStart w:id="104" w:name="page105"/>
    <w:bookmarkEnd w:id="104"/>
    <w:p>
      <w:pPr>
        <w:spacing w:after="0" w:line="56" w:lineRule="exact"/>
        <w:rPr>
          <w:sz w:val="20"/>
          <w:szCs w:val="20"/>
          <w:color w:val="auto"/>
        </w:rPr>
      </w:pPr>
    </w:p>
    <w:p>
      <w:pPr>
        <w:ind w:left="620" w:hanging="617"/>
        <w:spacing w:after="0"/>
        <w:tabs>
          <w:tab w:leader="none" w:pos="62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income per share for the years ended December 31, 2014, 2015 and 2016:</w:t>
      </w:r>
    </w:p>
    <w:p>
      <w:pPr>
        <w:sectPr>
          <w:pgSz w:w="11900" w:h="16894"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Numerator (RMB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2970" cy="1308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970" cy="130810"/>
                    </a:xfrm>
                    <a:prstGeom prst="rect">
                      <a:avLst/>
                    </a:prstGeom>
                    <a:noFill/>
                  </pic:spPr>
                </pic:pic>
              </a:graphicData>
            </a:graphic>
          </wp:anchor>
        </w:drawing>
      </w:r>
    </w:p>
    <w:p>
      <w:pPr>
        <w:spacing w:after="0" w:line="1" w:lineRule="exact"/>
        <w:rPr>
          <w:sz w:val="20"/>
          <w:szCs w:val="20"/>
          <w:color w:val="auto"/>
        </w:rPr>
      </w:pPr>
    </w:p>
    <w:p>
      <w:pPr>
        <w:ind w:left="180" w:right="420" w:hanging="172"/>
        <w:spacing w:after="0" w:line="251" w:lineRule="auto"/>
        <w:rPr>
          <w:sz w:val="20"/>
          <w:szCs w:val="20"/>
          <w:color w:val="auto"/>
        </w:rPr>
      </w:pPr>
      <w:r>
        <w:rPr>
          <w:rFonts w:ascii="Arial" w:cs="Arial" w:eastAsia="Arial" w:hAnsi="Arial"/>
          <w:sz w:val="17"/>
          <w:szCs w:val="17"/>
          <w:color w:val="auto"/>
        </w:rPr>
        <w:t>Net income attributable to NetEase, Inc.’s shareholders for basic/dilutive net income per share calculation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1905</wp:posOffset>
            </wp:positionV>
            <wp:extent cx="29730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tabs>
          <w:tab w:leader="none" w:pos="1640" w:val="left"/>
          <w:tab w:leader="none" w:pos="32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1"/>
          <w:szCs w:val="11"/>
          <w:b w:val="1"/>
          <w:bCs w:val="1"/>
          <w:color w:val="auto"/>
        </w:rPr>
        <w:t>2016</w:t>
      </w:r>
    </w:p>
    <w:p>
      <w:pPr>
        <w:spacing w:after="0" w:line="373" w:lineRule="exact"/>
        <w:rPr>
          <w:sz w:val="20"/>
          <w:szCs w:val="20"/>
          <w:color w:val="auto"/>
        </w:rPr>
      </w:pPr>
    </w:p>
    <w:p>
      <w:pPr>
        <w:ind w:left="140"/>
        <w:spacing w:after="0"/>
        <w:tabs>
          <w:tab w:leader="none" w:pos="1780" w:val="left"/>
          <w:tab w:leader="none" w:pos="3340" w:val="left"/>
        </w:tabs>
        <w:rPr>
          <w:sz w:val="20"/>
          <w:szCs w:val="20"/>
          <w:color w:val="auto"/>
        </w:rPr>
      </w:pPr>
      <w:r>
        <w:rPr>
          <w:rFonts w:ascii="Arial" w:cs="Arial" w:eastAsia="Arial" w:hAnsi="Arial"/>
          <w:sz w:val="17"/>
          <w:szCs w:val="17"/>
          <w:color w:val="auto"/>
        </w:rPr>
        <w:t>4,756,623</w:t>
      </w:r>
      <w:r>
        <w:rPr>
          <w:sz w:val="20"/>
          <w:szCs w:val="20"/>
          <w:color w:val="auto"/>
        </w:rPr>
        <w:tab/>
      </w:r>
      <w:r>
        <w:rPr>
          <w:rFonts w:ascii="Arial" w:cs="Arial" w:eastAsia="Arial" w:hAnsi="Arial"/>
          <w:sz w:val="17"/>
          <w:szCs w:val="17"/>
          <w:color w:val="auto"/>
        </w:rPr>
        <w:t>6,735,108</w:t>
      </w:r>
      <w:r>
        <w:rPr>
          <w:sz w:val="20"/>
          <w:szCs w:val="20"/>
          <w:color w:val="auto"/>
        </w:rPr>
        <w:tab/>
      </w:r>
      <w:r>
        <w:rPr>
          <w:rFonts w:ascii="Arial" w:cs="Arial" w:eastAsia="Arial" w:hAnsi="Arial"/>
          <w:sz w:val="15"/>
          <w:szCs w:val="15"/>
          <w:color w:val="auto"/>
        </w:rPr>
        <w:t>11,604,520</w:t>
      </w:r>
    </w:p>
    <w:p>
      <w:pPr>
        <w:spacing w:after="0" w:line="32" w:lineRule="exact"/>
        <w:rPr>
          <w:sz w:val="20"/>
          <w:szCs w:val="20"/>
          <w:color w:val="auto"/>
        </w:rPr>
      </w:pPr>
    </w:p>
    <w:p>
      <w:pPr>
        <w:sectPr>
          <w:pgSz w:w="11900" w:h="16894" w:orient="portrait"/>
          <w:cols w:equalWidth="0" w:num="2">
            <w:col w:w="6480" w:space="720"/>
            <w:col w:w="422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6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Denominator (No. of shares in thousands):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ordinary shares outstanding, basic</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3,264,450</w:t>
            </w:r>
          </w:p>
        </w:tc>
        <w:tc>
          <w:tcPr>
            <w:tcW w:w="3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3,284,382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3,281,729</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Dilutive effect of employee stock options and restricted share units</w:t>
            </w:r>
          </w:p>
        </w:tc>
        <w:tc>
          <w:tcPr>
            <w:tcW w:w="1680" w:type="dxa"/>
            <w:vAlign w:val="bottom"/>
            <w:gridSpan w:val="2"/>
          </w:tcPr>
          <w:p>
            <w:pPr>
              <w:jc w:val="right"/>
              <w:ind w:right="300"/>
              <w:spacing w:after="0"/>
              <w:rPr>
                <w:sz w:val="20"/>
                <w:szCs w:val="20"/>
                <w:color w:val="auto"/>
              </w:rPr>
            </w:pPr>
            <w:r>
              <w:rPr>
                <w:rFonts w:ascii="Arial" w:cs="Arial" w:eastAsia="Arial" w:hAnsi="Arial"/>
                <w:sz w:val="17"/>
                <w:szCs w:val="17"/>
                <w:color w:val="auto"/>
              </w:rPr>
              <w:t>12,599</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20,831</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25,380</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number of ordinary shares outstanding, 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3,277,049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3,305,213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3,307,109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Net income per share, basic (RMB)</w:t>
            </w:r>
          </w:p>
        </w:tc>
        <w:tc>
          <w:tcPr>
            <w:tcW w:w="16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tcBorders>
              <w:bottom w:val="single" w:sz="8" w:color="CCEEFF"/>
            </w:tcBorders>
            <w:vMerge w:val="continue"/>
          </w:tcPr>
          <w:p>
            <w:pPr>
              <w:spacing w:after="0"/>
              <w:rPr>
                <w:sz w:val="19"/>
                <w:szCs w:val="19"/>
                <w:color w:val="auto"/>
              </w:rPr>
            </w:pPr>
          </w:p>
        </w:tc>
        <w:tc>
          <w:tcPr>
            <w:tcW w:w="138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1.46</w:t>
            </w:r>
          </w:p>
        </w:tc>
        <w:tc>
          <w:tcPr>
            <w:tcW w:w="30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2.05</w:t>
            </w:r>
          </w:p>
        </w:tc>
        <w:tc>
          <w:tcPr>
            <w:tcW w:w="2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64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Net income per share, diluted (RMB)</w:t>
            </w:r>
          </w:p>
        </w:tc>
        <w:tc>
          <w:tcPr>
            <w:tcW w:w="138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1.45</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2.04</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2014, 2015 and 2016, options to purchase ordinary shares and RSUs that were anti-dilutive and excluded from the calculation of diluted net income per share totaled approximately 3.2 million shares, 2.1 million shares and 2.7 million shares,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hanging="617"/>
        <w:spacing w:after="0"/>
        <w:tabs>
          <w:tab w:leader="none" w:pos="62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6" w:lineRule="exact"/>
        <w:rPr>
          <w:sz w:val="20"/>
          <w:szCs w:val="20"/>
          <w:color w:val="auto"/>
        </w:rPr>
      </w:pPr>
    </w:p>
    <w:p>
      <w:pPr>
        <w:ind w:left="620" w:hanging="617"/>
        <w:spacing w:after="0"/>
        <w:tabs>
          <w:tab w:leader="none" w:pos="620"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w:t>
      </w:r>
    </w:p>
    <w:p>
      <w:pPr>
        <w:spacing w:after="0" w:line="222"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The Group leases office space, staff quarters and certain equipment under non-cancelable operating lease agreements, which expire at various dates through December 2022. As of December 31, 2016, future minimum lease under non-cancelable operating lease agreements, capital commitments and other commitment related to content and services purchases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Rental</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Server Custody</w:t>
            </w: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Office Machines</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Fee</w:t>
            </w: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and Other</w:t>
            </w:r>
          </w:p>
        </w:tc>
        <w:tc>
          <w:tcPr>
            <w:tcW w:w="15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76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Commitments</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Commitments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Commitments</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Commitments</w:t>
            </w:r>
          </w:p>
        </w:tc>
        <w:tc>
          <w:tcPr>
            <w:tcW w:w="1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4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5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4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4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480" w:type="dxa"/>
            <w:vAlign w:val="bottom"/>
            <w:tcBorders>
              <w:top w:val="single" w:sz="8" w:color="auto"/>
            </w:tcBorders>
          </w:tcPr>
          <w:p>
            <w:pPr>
              <w:jc w:val="right"/>
              <w:ind w:right="499"/>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144,159</w:t>
            </w:r>
          </w:p>
        </w:tc>
        <w:tc>
          <w:tcPr>
            <w:tcW w:w="3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56,687</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774,530</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442,123</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1,417,499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7"/>
                <w:szCs w:val="17"/>
                <w:color w:val="auto"/>
              </w:rPr>
              <w:t>2018</w:t>
            </w:r>
          </w:p>
        </w:tc>
        <w:tc>
          <w:tcPr>
            <w:tcW w:w="1780" w:type="dxa"/>
            <w:vAlign w:val="bottom"/>
            <w:gridSpan w:val="2"/>
          </w:tcPr>
          <w:p>
            <w:pPr>
              <w:jc w:val="right"/>
              <w:ind w:right="300"/>
              <w:spacing w:after="0"/>
              <w:rPr>
                <w:sz w:val="20"/>
                <w:szCs w:val="20"/>
                <w:color w:val="auto"/>
              </w:rPr>
            </w:pPr>
            <w:r>
              <w:rPr>
                <w:rFonts w:ascii="Arial" w:cs="Arial" w:eastAsia="Arial" w:hAnsi="Arial"/>
                <w:sz w:val="17"/>
                <w:szCs w:val="17"/>
                <w:color w:val="auto"/>
              </w:rPr>
              <w:t>96,133</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color w:val="auto"/>
              </w:rPr>
              <w:t>8,892</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341,295</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122,401</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568,721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30,425</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4,254</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17,695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152,015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204,389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7"/>
                <w:szCs w:val="17"/>
                <w:color w:val="auto"/>
              </w:rPr>
              <w:t>2020</w:t>
            </w:r>
          </w:p>
        </w:tc>
        <w:tc>
          <w:tcPr>
            <w:tcW w:w="1780" w:type="dxa"/>
            <w:vAlign w:val="bottom"/>
            <w:gridSpan w:val="2"/>
          </w:tcPr>
          <w:p>
            <w:pPr>
              <w:jc w:val="right"/>
              <w:ind w:right="300"/>
              <w:spacing w:after="0"/>
              <w:rPr>
                <w:sz w:val="20"/>
                <w:szCs w:val="20"/>
                <w:color w:val="auto"/>
              </w:rPr>
            </w:pPr>
            <w:r>
              <w:rPr>
                <w:rFonts w:ascii="Arial" w:cs="Arial" w:eastAsia="Arial" w:hAnsi="Arial"/>
                <w:sz w:val="17"/>
                <w:szCs w:val="17"/>
                <w:color w:val="auto"/>
              </w:rPr>
              <w:t>20,274</w:t>
            </w:r>
          </w:p>
        </w:tc>
        <w:tc>
          <w:tcPr>
            <w:tcW w:w="17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15,682</w:t>
            </w:r>
          </w:p>
        </w:tc>
        <w:tc>
          <w:tcPr>
            <w:tcW w:w="1760" w:type="dxa"/>
            <w:vAlign w:val="bottom"/>
            <w:gridSpan w:val="2"/>
          </w:tcPr>
          <w:p>
            <w:pPr>
              <w:jc w:val="right"/>
              <w:ind w:right="280"/>
              <w:spacing w:after="0"/>
              <w:rPr>
                <w:sz w:val="20"/>
                <w:szCs w:val="20"/>
                <w:color w:val="auto"/>
              </w:rPr>
            </w:pPr>
            <w:r>
              <w:rPr>
                <w:rFonts w:ascii="Arial" w:cs="Arial" w:eastAsia="Arial" w:hAnsi="Arial"/>
                <w:sz w:val="17"/>
                <w:szCs w:val="17"/>
                <w:color w:val="auto"/>
              </w:rPr>
              <w:t>151,967</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187,923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Beyond 2020</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23,237</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183,990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207,227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314,228</w:t>
            </w:r>
          </w:p>
        </w:tc>
        <w:tc>
          <w:tcPr>
            <w:tcW w:w="3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69,833</w:t>
            </w:r>
          </w:p>
        </w:tc>
        <w:tc>
          <w:tcPr>
            <w:tcW w:w="2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1,149,202</w:t>
            </w:r>
          </w:p>
        </w:tc>
        <w:tc>
          <w:tcPr>
            <w:tcW w:w="2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1,052,496</w:t>
            </w:r>
          </w:p>
        </w:tc>
        <w:tc>
          <w:tcPr>
            <w:tcW w:w="2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2,585,759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For the years ended December 31, 2014, 2015 and 2016, the Group incurred rental expenses in the amounts of approximately RMB79.4 million, RMB139.4 million and RMB146.3 million, respectively.</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Additionally, in August 2008, Blizzard agreed to license to Shanghai EaseNet on an exclusive basis in China three personal computer strategy games and its Battle.net platform. The term of the license was three years, with an additional one year extension upon agreement of the parties, commencing from the commercial release of StarCraft II series in China in April 2011. In April 2014, Blizzard and Shanghai EaseNet agreed to extend the term of the StarCraft II series license agreement for another additional three years commencing from April 2014. In April 2009, Blizzard and the Group announced that Blizzard’s World of Warcraft would also be licensed to Shanghai EaseNet in the PRC for a term of three years following the expiration of its previous license agreement on June 5, 2009 with another game operator. In March 2012, Blizzard and Shanghai EaseNet renewed the license agreement of World of Warcraft, and extended the license period for a three-year period commencing from September 2012. In May 2015, Blizzard and Shanghai EaseNet both agreed to extend the license period of World of Warcraft to January 2017. In July 2013, Shanghai EaseNet obtained the right to operate Hearthstone in China from Blizzard. The term of the license is three years, with an additional one year extension upon agreement of the parties, commencing from January 2014. In November 2012, Blizzard agreed to license to Shanghai EaseNet the exclusive right to operate Heroes of the Storm in the PRC for a period of three years commencing from June 2015. Additionally, in June 2014, Blizzard and Shanghai EaseNet entered into a license agreement, which allows Shanghai EaseNet to obtain the exclusive right to operate Diablo III in the PRC for a period of two years commencing from May 2015. In May 2015, Blizzard agreed to license to Shanghai EaseNet the exclusive right to operate Overwatch in the PRC for a period of three years commencing from May 2016.</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Under these license agreements, Shanghai EaseNet was required to pay license fees (except Hearthstone, Heroes of the Storm and Diablo III for which no license fee was required to be paid), royalties and consultancy fees (except Hearthstone, Heroes of the Storm and Diablo III for which no consultancy fee was required to be paid) to Blizzard for the games, and it also had a minimum marketing expenditure commitment. In September 2016, Shanghai EaseNet renewed its operation agreement with Blizzard, extending its collaboration with Blizzard in mainland China for a period of 3 years commencing from January 2017. The renewed operation agreement includes licenses for Blizzard’s World of Warcraft, StarCraft II series, Diablo III, Hearthstone, Heroes of the Storm, and Overwatch, as well as new content for these games during the agreement period. Under the new liscense agreements, Shanghai EaseNet is required to pay royalties and a minimum marketing expenditure commitment for the games.</w:t>
      </w:r>
    </w:p>
    <w:p>
      <w:pPr>
        <w:spacing w:after="0" w:line="18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accordance with the above-mentioned license agreements, the Group has incurred an overall commitment totaling approximately RMB7.4 billion (US$1.1 billion). As of December 31, 2016, the Group’s outstanding commitments under these license agreements totaled RMB3.5 billion which can be summarized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96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199"/>
        </w:trPr>
        <w:tc>
          <w:tcPr>
            <w:tcW w:w="9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9960" w:type="dxa"/>
            <w:vAlign w:val="bottom"/>
          </w:tcPr>
          <w:p>
            <w:pPr>
              <w:spacing w:after="0"/>
              <w:rPr>
                <w:sz w:val="20"/>
                <w:szCs w:val="20"/>
                <w:color w:val="auto"/>
              </w:rPr>
            </w:pPr>
            <w:r>
              <w:rPr>
                <w:rFonts w:ascii="Arial" w:cs="Arial" w:eastAsia="Arial" w:hAnsi="Arial"/>
                <w:sz w:val="17"/>
                <w:szCs w:val="17"/>
                <w:color w:val="auto"/>
              </w:rPr>
              <w:t>2018</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1,058</w:t>
            </w:r>
          </w:p>
        </w:tc>
      </w:tr>
      <w:tr>
        <w:trPr>
          <w:trHeight w:val="206"/>
        </w:trPr>
        <w:tc>
          <w:tcPr>
            <w:tcW w:w="99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984</w:t>
            </w:r>
          </w:p>
        </w:tc>
      </w:tr>
      <w:tr>
        <w:trPr>
          <w:trHeight w:val="206"/>
        </w:trPr>
        <w:tc>
          <w:tcPr>
            <w:tcW w:w="9960" w:type="dxa"/>
            <w:vAlign w:val="bottom"/>
          </w:tcPr>
          <w:p>
            <w:pPr>
              <w:spacing w:after="0"/>
              <w:rPr>
                <w:sz w:val="20"/>
                <w:szCs w:val="20"/>
                <w:color w:val="auto"/>
              </w:rPr>
            </w:pPr>
            <w:r>
              <w:rPr>
                <w:rFonts w:ascii="Arial" w:cs="Arial" w:eastAsia="Arial" w:hAnsi="Arial"/>
                <w:sz w:val="17"/>
                <w:szCs w:val="17"/>
                <w:color w:val="auto"/>
              </w:rPr>
              <w:t>2020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945</w:t>
            </w:r>
          </w:p>
        </w:tc>
      </w:tr>
      <w:tr>
        <w:trPr>
          <w:trHeight w:val="199"/>
        </w:trPr>
        <w:tc>
          <w:tcPr>
            <w:tcW w:w="9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ectPr>
          <w:pgSz w:w="11900" w:h="16894" w:orient="portrait"/>
          <w:cols w:equalWidth="0" w:num="1">
            <w:col w:w="11420"/>
          </w:cols>
          <w:pgMar w:left="240" w:top="121" w:right="239" w:bottom="0" w:gutter="0" w:footer="0" w:header="0"/>
          <w:type w:val="continuous"/>
        </w:sectPr>
      </w:pPr>
    </w:p>
    <w:bookmarkStart w:id="105" w:name="page106"/>
    <w:bookmarkEnd w:id="105"/>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6476365</wp:posOffset>
            </wp:positionH>
            <wp:positionV relativeFrom="page">
              <wp:posOffset>88900</wp:posOffset>
            </wp:positionV>
            <wp:extent cx="8655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65505" cy="8255"/>
                    </a:xfrm>
                    <a:prstGeom prst="rect">
                      <a:avLst/>
                    </a:prstGeom>
                    <a:noFill/>
                  </pic:spPr>
                </pic:pic>
              </a:graphicData>
            </a:graphic>
          </wp:anchor>
        </w:drawing>
        <w:t>In addition, Shanghai EaseNet is also obligated to purchase or lease certain prescribed hardware and then make such prescribed hardware available to fulfill its obligations under the license agreements with Blizzard in the aggregate amount of up to approximately RMB195.0 million over the remaining term of licenses as of December 31, 2016. This amount represents the maximum expenditure Shanghai EaseNet would have to make for the prescribed hardware, but it may not be required to spend this amount in order to satisfy its obligations with respect to such hardware.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300"/>
        <w:spacing w:after="0" w:line="306" w:lineRule="auto"/>
        <w:rPr>
          <w:sz w:val="20"/>
          <w:szCs w:val="20"/>
          <w:color w:val="auto"/>
        </w:rPr>
      </w:pPr>
      <w:r>
        <w:rPr>
          <w:rFonts w:ascii="Arial" w:cs="Arial" w:eastAsia="Arial" w:hAnsi="Arial"/>
          <w:sz w:val="15"/>
          <w:szCs w:val="15"/>
          <w:color w:val="auto"/>
        </w:rPr>
        <w:t>With respect to the above commitment table related to Blizzard licensed games, the Group has guaranteed the foregoing amounts if and to the extent Shanghai EaseNet has insufficient funds to make such payments. The Group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the Group and the joint venture with Blizzard which provides technical services to Shanghai EaseNet.</w:t>
      </w:r>
    </w:p>
    <w:p>
      <w:pPr>
        <w:spacing w:after="0" w:line="143" w:lineRule="exact"/>
        <w:rPr>
          <w:sz w:val="20"/>
          <w:szCs w:val="20"/>
          <w:color w:val="auto"/>
        </w:rPr>
      </w:pPr>
    </w:p>
    <w:p>
      <w:pPr>
        <w:ind w:left="640" w:hanging="637"/>
        <w:spacing w:after="0"/>
        <w:tabs>
          <w:tab w:leader="none" w:pos="64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w:t>
      </w:r>
    </w:p>
    <w:p>
      <w:pPr>
        <w:spacing w:after="0" w:line="222"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w:t>
      </w:r>
    </w:p>
    <w:p>
      <w:pPr>
        <w:spacing w:after="0" w:line="159" w:lineRule="exact"/>
        <w:rPr>
          <w:sz w:val="20"/>
          <w:szCs w:val="20"/>
          <w:color w:val="auto"/>
        </w:rPr>
      </w:pPr>
    </w:p>
    <w:p>
      <w:pPr>
        <w:ind w:left="620" w:hanging="617"/>
        <w:spacing w:after="0"/>
        <w:tabs>
          <w:tab w:leader="none" w:pos="62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p>
    <w:p>
      <w:pPr>
        <w:spacing w:after="0" w:line="21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Annual Dividend</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February 11, 2014, the Company’s board of directors approved an annual cash dividend with respect to fiscal year 2013 in the amount of US$1.41 per ADS, amounting to an aggregate of RMB1,109.7 million (US$183.3 million). Such dividend was payable to shareholders of record as of February 26, 2014 and was paid on March 7,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Dividend Policy</w:t>
      </w:r>
    </w:p>
    <w:p>
      <w:pPr>
        <w:spacing w:after="0" w:line="22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Dividends are recognized when declared. There is no dividend payable as of December 31, 2015 and 2016 respectively. The cash dividend declared and paid with respect to fiscal year 2015 and fiscal year 2016 was RMB1,708.3 million and RMB2,910.5 million (US$419.2 million) in total, respectively.</w:t>
      </w:r>
    </w:p>
    <w:p>
      <w:pPr>
        <w:spacing w:after="0" w:line="16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73" w:lineRule="exact"/>
        <w:rPr>
          <w:sz w:val="20"/>
          <w:szCs w:val="20"/>
          <w:color w:val="auto"/>
        </w:rPr>
      </w:pPr>
    </w:p>
    <w:p>
      <w:pPr>
        <w:ind w:left="620" w:hanging="617"/>
        <w:spacing w:after="0"/>
        <w:tabs>
          <w:tab w:leader="none" w:pos="62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Share Repurchase Programs</w:t>
      </w:r>
    </w:p>
    <w:p>
      <w:pPr>
        <w:spacing w:after="0" w:line="2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pacing w:after="0" w:line="15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February 2014, the Company’s board of directors approved a new share repurchase program authorizing management to repurchase up to US$100 million of the Company’s ordinary shares to enhance shareholder value for a period not to exceed twelve months. The timing and actual number of shares subject to repurchase are at the discretion of the Company’s management and contingent on a number of factors and limitations, including the price of the Company’s stock, corporate and regulatory requirements, alternative investment opportunities and other market conditions. The share repurchase program specifies a maximum dollar value of shares subject to repurchase and has an expiration date and can be limited or terminated at any time without prior notice. As of the expiration date of the program, no ADSs had been repurchased under this program.</w:t>
      </w:r>
    </w:p>
    <w:p>
      <w:pPr>
        <w:spacing w:after="0" w:line="185"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In September 2015, the Company announced that its board of directors approved a new share repurchase program of up to US$500 million of the Company’s outstanding ADSs for a period not to exceed 12 months. As of December 31, 2016, the Company has repurchased approximately 1.5 million ADSs (equivalent to 37.7 million ordinary shares) for approximately US$205.3 million under this program.</w:t>
      </w:r>
    </w:p>
    <w:p>
      <w:pPr>
        <w:spacing w:after="0" w:line="176"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color w:val="auto"/>
        </w:rPr>
        <w:t>In November 2016, the Company announced that its board of directors approved a new share repurchase program of up to US$1.0 billion of the Company’s outstanding ADSs for a period not to exceed 12 months. As of December 31, 2016, no ADSs were repurchased under this program.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hanging="617"/>
        <w:spacing w:after="0"/>
        <w:tabs>
          <w:tab w:leader="none" w:pos="620"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2" w:lineRule="exact"/>
        <w:rPr>
          <w:sz w:val="20"/>
          <w:szCs w:val="20"/>
          <w:color w:val="auto"/>
        </w:rPr>
      </w:pPr>
    </w:p>
    <w:p>
      <w:pPr>
        <w:jc w:val="both"/>
        <w:ind w:right="20"/>
        <w:spacing w:after="0" w:line="306" w:lineRule="auto"/>
        <w:rPr>
          <w:sz w:val="20"/>
          <w:szCs w:val="20"/>
          <w:color w:val="auto"/>
        </w:rPr>
      </w:pPr>
      <w:r>
        <w:rPr>
          <w:rFonts w:ascii="Arial" w:cs="Arial" w:eastAsia="Arial" w:hAnsi="Arial"/>
          <w:sz w:val="15"/>
          <w:szCs w:val="15"/>
          <w:color w:val="auto"/>
        </w:rPr>
        <w:t>In November, 2014, one of the Company’s subsidiaries, Lede Inc., issued 5,673,796 preferred shares to certain investors, including LNT Holdings, Shining Globe and two Directors of the Company, for US$3.74 per share in exchange of a total consideration of US$21.2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William Lei Ding, the Company’s Chief Executive Officer and a director of the Company.</w:t>
      </w:r>
    </w:p>
    <w:p>
      <w:pPr>
        <w:spacing w:after="0" w:line="14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November 2015, Lede Inc. repurchased all the preferred shares from LNT Holdings, Shining Globe and the two Directors of the Company at the price of US$3.74 per shares for a total consideration of US$21.2 million (RMB134.7 million).</w:t>
      </w:r>
    </w:p>
    <w:p>
      <w:pPr>
        <w:sectPr>
          <w:pgSz w:w="11900" w:h="16838" w:orient="portrait"/>
          <w:cols w:equalWidth="0" w:num="1">
            <w:col w:w="11420"/>
          </w:cols>
          <w:pgMar w:left="240" w:top="346" w:right="239" w:bottom="0" w:gutter="0" w:footer="0" w:header="0"/>
        </w:sectPr>
      </w:pPr>
    </w:p>
    <w:bookmarkStart w:id="106" w:name="page107"/>
    <w:bookmarkEnd w:id="106"/>
    <w:p>
      <w:pPr>
        <w:ind w:right="140"/>
        <w:spacing w:after="0" w:line="278" w:lineRule="auto"/>
        <w:rPr>
          <w:sz w:val="20"/>
          <w:szCs w:val="20"/>
          <w:color w:val="auto"/>
        </w:rPr>
      </w:pPr>
      <w:r>
        <w:rPr>
          <w:rFonts w:ascii="Arial" w:cs="Arial" w:eastAsia="Arial" w:hAnsi="Arial"/>
          <w:sz w:val="17"/>
          <w:szCs w:val="17"/>
          <w:color w:val="auto"/>
        </w:rPr>
        <w:t>Other than the above issuance and repurchase of preferred shares, the Group had no material transactions with related parties for the year ended December 31, 2014, 2015 and 2016, and no material related parties’ balances as of December 31, 2016.</w:t>
      </w:r>
    </w:p>
    <w:p>
      <w:pPr>
        <w:spacing w:after="0" w:line="159" w:lineRule="exact"/>
        <w:rPr>
          <w:sz w:val="20"/>
          <w:szCs w:val="20"/>
          <w:color w:val="auto"/>
        </w:rPr>
      </w:pPr>
    </w:p>
    <w:p>
      <w:pPr>
        <w:ind w:left="620" w:hanging="617"/>
        <w:spacing w:after="0"/>
        <w:tabs>
          <w:tab w:leader="none" w:pos="62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16" w:lineRule="exact"/>
        <w:rPr>
          <w:sz w:val="20"/>
          <w:szCs w:val="20"/>
          <w:color w:val="auto"/>
        </w:rPr>
      </w:pPr>
    </w:p>
    <w:p>
      <w:pPr>
        <w:ind w:left="620" w:hanging="617"/>
        <w:spacing w:after="0"/>
        <w:tabs>
          <w:tab w:leader="none" w:pos="62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segments</w:t>
      </w:r>
    </w:p>
    <w:p>
      <w:pPr>
        <w:spacing w:after="0" w:line="222"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 The Group has determined that its operations are organized into three reportable segments: 1) Online Game Services; 2) Advertising Services; 3) Email, E-commerce and Others.</w:t>
      </w:r>
    </w:p>
    <w:p>
      <w:pPr>
        <w:spacing w:after="0" w:line="173" w:lineRule="exact"/>
        <w:rPr>
          <w:sz w:val="20"/>
          <w:szCs w:val="20"/>
          <w:color w:val="auto"/>
        </w:rPr>
      </w:pPr>
    </w:p>
    <w:p>
      <w:pPr>
        <w:ind w:left="640" w:hanging="637"/>
        <w:spacing w:after="0"/>
        <w:tabs>
          <w:tab w:leader="none" w:pos="64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Segment data</w:t>
      </w:r>
    </w:p>
    <w:p>
      <w:pPr>
        <w:spacing w:after="0" w:line="222" w:lineRule="exact"/>
        <w:rPr>
          <w:sz w:val="20"/>
          <w:szCs w:val="20"/>
          <w:color w:val="auto"/>
        </w:rPr>
      </w:pPr>
    </w:p>
    <w:p>
      <w:pPr>
        <w:ind w:right="180"/>
        <w:spacing w:after="0" w:line="317" w:lineRule="auto"/>
        <w:rPr>
          <w:sz w:val="20"/>
          <w:szCs w:val="20"/>
          <w:color w:val="auto"/>
        </w:rPr>
      </w:pPr>
      <w:r>
        <w:rPr>
          <w:rFonts w:ascii="Arial" w:cs="Arial" w:eastAsia="Arial" w:hAnsi="Arial"/>
          <w:sz w:val="15"/>
          <w:szCs w:val="15"/>
          <w:color w:val="auto"/>
        </w:rPr>
        <w:t>The table below provides a summary of the Group’s operating segment results for the years ended December 31, 2014, 2015 and 2016.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2014, 2015 and 2016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3320" w:type="dxa"/>
            <w:vAlign w:val="bottom"/>
            <w:tcBorders>
              <w:bottom w:val="single" w:sz="8" w:color="auto"/>
            </w:tcBorders>
            <w:gridSpan w:val="4"/>
          </w:tcPr>
          <w:p>
            <w:pPr>
              <w:jc w:val="center"/>
              <w:ind w:left="1278"/>
              <w:spacing w:after="0"/>
              <w:rPr>
                <w:sz w:val="20"/>
                <w:szCs w:val="20"/>
                <w:color w:val="auto"/>
              </w:rPr>
            </w:pPr>
            <w:r>
              <w:rPr>
                <w:rFonts w:ascii="Arial" w:cs="Arial" w:eastAsia="Arial" w:hAnsi="Arial"/>
                <w:sz w:val="14"/>
                <w:szCs w:val="14"/>
                <w:b w:val="1"/>
                <w:bCs w:val="1"/>
                <w:color w:val="auto"/>
                <w:w w:val="87"/>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6640" w:type="dxa"/>
            <w:vAlign w:val="bottom"/>
          </w:tcPr>
          <w:p>
            <w:pPr>
              <w:spacing w:after="0"/>
              <w:rPr>
                <w:sz w:val="11"/>
                <w:szCs w:val="11"/>
                <w:color w:val="auto"/>
              </w:rPr>
            </w:pPr>
          </w:p>
        </w:tc>
        <w:tc>
          <w:tcPr>
            <w:tcW w:w="1380" w:type="dxa"/>
            <w:vAlign w:val="bottom"/>
            <w:tcBorders>
              <w:bottom w:val="single" w:sz="8" w:color="auto"/>
            </w:tcBorders>
          </w:tcPr>
          <w:p>
            <w:pPr>
              <w:jc w:val="right"/>
              <w:ind w:right="478"/>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1"/>
                <w:szCs w:val="11"/>
                <w:color w:val="auto"/>
              </w:rPr>
            </w:pPr>
          </w:p>
        </w:tc>
        <w:tc>
          <w:tcPr>
            <w:tcW w:w="1360" w:type="dxa"/>
            <w:vAlign w:val="bottom"/>
            <w:tcBorders>
              <w:bottom w:val="single" w:sz="8" w:color="auto"/>
            </w:tcBorders>
          </w:tcPr>
          <w:p>
            <w:pPr>
              <w:jc w:val="right"/>
              <w:ind w:right="457"/>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34"/>
        </w:trPr>
        <w:tc>
          <w:tcPr>
            <w:tcW w:w="6640" w:type="dxa"/>
            <w:vAlign w:val="bottom"/>
          </w:tcPr>
          <w:p>
            <w:pPr>
              <w:spacing w:after="0"/>
              <w:rPr>
                <w:sz w:val="11"/>
                <w:szCs w:val="11"/>
                <w:color w:val="auto"/>
              </w:rPr>
            </w:pPr>
          </w:p>
        </w:tc>
        <w:tc>
          <w:tcPr>
            <w:tcW w:w="1380" w:type="dxa"/>
            <w:vAlign w:val="bottom"/>
          </w:tcPr>
          <w:p>
            <w:pPr>
              <w:jc w:val="right"/>
              <w:ind w:right="458"/>
              <w:spacing w:after="0" w:line="13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1"/>
                <w:szCs w:val="11"/>
                <w:color w:val="auto"/>
              </w:rPr>
            </w:pPr>
          </w:p>
        </w:tc>
        <w:tc>
          <w:tcPr>
            <w:tcW w:w="1360" w:type="dxa"/>
            <w:vAlign w:val="bottom"/>
          </w:tcPr>
          <w:p>
            <w:pPr>
              <w:jc w:val="right"/>
              <w:ind w:right="437"/>
              <w:spacing w:after="0" w:line="13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1"/>
                <w:szCs w:val="1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Online game services</w:t>
            </w:r>
          </w:p>
        </w:tc>
        <w:tc>
          <w:tcPr>
            <w:tcW w:w="1380" w:type="dxa"/>
            <w:vAlign w:val="bottom"/>
          </w:tcPr>
          <w:p>
            <w:pPr>
              <w:jc w:val="right"/>
              <w:spacing w:after="0"/>
              <w:rPr>
                <w:sz w:val="20"/>
                <w:szCs w:val="20"/>
                <w:color w:val="auto"/>
              </w:rPr>
            </w:pPr>
            <w:r>
              <w:rPr>
                <w:rFonts w:ascii="Arial" w:cs="Arial" w:eastAsia="Arial" w:hAnsi="Arial"/>
                <w:sz w:val="17"/>
                <w:szCs w:val="17"/>
                <w:color w:val="auto"/>
              </w:rPr>
              <w:t>9,266,158</w:t>
            </w:r>
          </w:p>
        </w:tc>
        <w:tc>
          <w:tcPr>
            <w:tcW w:w="3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17,314,148</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27,980,491</w:t>
            </w: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1,344,829</w:t>
            </w:r>
          </w:p>
        </w:tc>
        <w:tc>
          <w:tcPr>
            <w:tcW w:w="3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1,789,377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2,152,379</w:t>
            </w: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380" w:type="dxa"/>
            <w:vAlign w:val="bottom"/>
          </w:tcPr>
          <w:p>
            <w:pPr>
              <w:jc w:val="right"/>
              <w:spacing w:after="0"/>
              <w:rPr>
                <w:sz w:val="20"/>
                <w:szCs w:val="20"/>
                <w:color w:val="auto"/>
              </w:rPr>
            </w:pPr>
            <w:r>
              <w:rPr>
                <w:rFonts w:ascii="Arial" w:cs="Arial" w:eastAsia="Arial" w:hAnsi="Arial"/>
                <w:sz w:val="17"/>
                <w:szCs w:val="17"/>
                <w:color w:val="auto"/>
              </w:rPr>
              <w:t>1,101,847</w:t>
            </w:r>
          </w:p>
        </w:tc>
        <w:tc>
          <w:tcPr>
            <w:tcW w:w="3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3,699,370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8,045,974</w:t>
            </w:r>
          </w:p>
        </w:tc>
      </w:tr>
      <w:tr>
        <w:trPr>
          <w:trHeight w:val="19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11,712,834</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22,802,895</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38,178,844</w:t>
            </w:r>
          </w:p>
        </w:tc>
        <w:tc>
          <w:tcPr>
            <w:tcW w:w="100" w:type="dxa"/>
            <w:vAlign w:val="bottom"/>
            <w:tcBorders>
              <w:top w:val="single" w:sz="8" w:color="CCEEFF"/>
            </w:tcBorders>
            <w:shd w:val="clear" w:color="auto" w:fill="CCEEFF"/>
          </w:tcPr>
          <w:p>
            <w:pPr>
              <w:spacing w:after="0"/>
              <w:rPr>
                <w:sz w:val="17"/>
                <w:szCs w:val="17"/>
                <w:color w:val="auto"/>
              </w:rPr>
            </w:pPr>
          </w:p>
        </w:tc>
      </w:tr>
      <w:tr>
        <w:trPr>
          <w:trHeight w:val="199"/>
        </w:trPr>
        <w:tc>
          <w:tcPr>
            <w:tcW w:w="6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Online game services</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(2,111,701)</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(5,393,555)</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(9,974,146)</w:t>
            </w: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(518,691)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(599,032)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(749,652)</w:t>
            </w: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80" w:type="dxa"/>
            <w:vAlign w:val="bottom"/>
            <w:gridSpan w:val="2"/>
          </w:tcPr>
          <w:p>
            <w:pPr>
              <w:jc w:val="right"/>
              <w:ind w:right="240"/>
              <w:spacing w:after="0"/>
              <w:rPr>
                <w:sz w:val="20"/>
                <w:szCs w:val="20"/>
                <w:color w:val="auto"/>
              </w:rPr>
            </w:pPr>
            <w:r>
              <w:rPr>
                <w:rFonts w:ascii="Arial" w:cs="Arial" w:eastAsia="Arial" w:hAnsi="Arial"/>
                <w:sz w:val="17"/>
                <w:szCs w:val="17"/>
                <w:color w:val="auto"/>
              </w:rPr>
              <w:t>(631,152)</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(3,406,673)</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(5,791,234)</w:t>
            </w:r>
          </w:p>
        </w:tc>
      </w:tr>
      <w:tr>
        <w:trPr>
          <w:trHeight w:val="19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(3,261,544)</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(9,399,260)</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(16,515,032)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9"/>
        </w:trPr>
        <w:tc>
          <w:tcPr>
            <w:tcW w:w="6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Online game services</w:t>
            </w:r>
          </w:p>
        </w:tc>
        <w:tc>
          <w:tcPr>
            <w:tcW w:w="1380" w:type="dxa"/>
            <w:vAlign w:val="bottom"/>
          </w:tcPr>
          <w:p>
            <w:pPr>
              <w:jc w:val="right"/>
              <w:spacing w:after="0"/>
              <w:rPr>
                <w:sz w:val="20"/>
                <w:szCs w:val="20"/>
                <w:color w:val="auto"/>
              </w:rPr>
            </w:pPr>
            <w:r>
              <w:rPr>
                <w:rFonts w:ascii="Arial" w:cs="Arial" w:eastAsia="Arial" w:hAnsi="Arial"/>
                <w:sz w:val="17"/>
                <w:szCs w:val="17"/>
                <w:color w:val="auto"/>
              </w:rPr>
              <w:t>7,154,457</w:t>
            </w:r>
          </w:p>
        </w:tc>
        <w:tc>
          <w:tcPr>
            <w:tcW w:w="3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11,920,593</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18,006,345</w:t>
            </w: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Advertising services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826,138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1,190,345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1,402,727</w:t>
            </w: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E-mail, e-commerce and others</w:t>
            </w:r>
          </w:p>
        </w:tc>
        <w:tc>
          <w:tcPr>
            <w:tcW w:w="1680" w:type="dxa"/>
            <w:vAlign w:val="bottom"/>
            <w:gridSpan w:val="2"/>
          </w:tcPr>
          <w:p>
            <w:pPr>
              <w:jc w:val="right"/>
              <w:ind w:right="300"/>
              <w:spacing w:after="0"/>
              <w:rPr>
                <w:sz w:val="20"/>
                <w:szCs w:val="20"/>
                <w:color w:val="auto"/>
              </w:rPr>
            </w:pPr>
            <w:r>
              <w:rPr>
                <w:rFonts w:ascii="Arial" w:cs="Arial" w:eastAsia="Arial" w:hAnsi="Arial"/>
                <w:sz w:val="17"/>
                <w:szCs w:val="17"/>
                <w:color w:val="auto"/>
              </w:rPr>
              <w:t>470,695</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292,697</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2,254,740</w:t>
            </w:r>
          </w:p>
        </w:tc>
      </w:tr>
      <w:tr>
        <w:trPr>
          <w:trHeight w:val="19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gross profit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8,451,290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13,403,635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21,663,812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All revenues of the Group’s reportable segments are derived from China based on the geographical locations where services are provided to customers.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620" w:hanging="617"/>
        <w:spacing w:after="0"/>
        <w:tabs>
          <w:tab w:leader="none" w:pos="62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2015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 Measurements</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rPr>
              <w:t>(RMB)</w:t>
            </w: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Quoted Prices in</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Significant Other</w:t>
            </w: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4"/>
              </w:rPr>
              <w:t>Active Market</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for Identical</w:t>
            </w:r>
          </w:p>
        </w:tc>
        <w:tc>
          <w:tcPr>
            <w:tcW w:w="14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Observable</w:t>
            </w: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4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78"/>
              </w:rPr>
              <w:t>Assets</w:t>
            </w:r>
          </w:p>
        </w:tc>
        <w:tc>
          <w:tcPr>
            <w:tcW w:w="146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(Level 2)</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14,593,291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14,593,291</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Time deposits-long term</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1,110,000</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1,110,000</w:t>
            </w:r>
          </w:p>
        </w:tc>
        <w:tc>
          <w:tcPr>
            <w:tcW w:w="14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1,136,073</w:t>
            </w:r>
          </w:p>
        </w:tc>
        <w:tc>
          <w:tcPr>
            <w:tcW w:w="10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1,136,073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Held-to-maturity securities-fixed rate investments</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153,522</w:t>
            </w:r>
          </w:p>
        </w:tc>
        <w:tc>
          <w:tcPr>
            <w:tcW w:w="2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153,522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4,859,977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4,859,977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4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21,852,863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16,839,364</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5,013,499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2016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 Measurements</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tcPr>
          <w:p>
            <w:pPr>
              <w:jc w:val="center"/>
              <w:ind w:right="300"/>
              <w:spacing w:after="0" w:line="112" w:lineRule="exact"/>
              <w:rPr>
                <w:sz w:val="20"/>
                <w:szCs w:val="20"/>
                <w:color w:val="auto"/>
              </w:rPr>
            </w:pPr>
            <w:r>
              <w:rPr>
                <w:rFonts w:ascii="Arial" w:cs="Arial" w:eastAsia="Arial" w:hAnsi="Arial"/>
                <w:sz w:val="11"/>
                <w:szCs w:val="11"/>
                <w:b w:val="1"/>
                <w:bCs w:val="1"/>
                <w:color w:val="auto"/>
              </w:rPr>
              <w:t>(RMB)</w:t>
            </w: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8"/>
              </w:rPr>
              <w:t>Quoted Prices in</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Significant Other</w:t>
            </w: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4"/>
              </w:rPr>
              <w:t>Active Market</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for Identical</w:t>
            </w:r>
          </w:p>
        </w:tc>
        <w:tc>
          <w:tcPr>
            <w:tcW w:w="146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Observable</w:t>
            </w:r>
          </w:p>
        </w:tc>
        <w:tc>
          <w:tcPr>
            <w:tcW w:w="0" w:type="dxa"/>
            <w:vAlign w:val="bottom"/>
          </w:tcPr>
          <w:p>
            <w:pPr>
              <w:spacing w:after="0"/>
              <w:rPr>
                <w:sz w:val="1"/>
                <w:szCs w:val="1"/>
                <w:color w:val="auto"/>
              </w:rPr>
            </w:pPr>
          </w:p>
        </w:tc>
      </w:tr>
      <w:tr>
        <w:trPr>
          <w:trHeight w:val="141"/>
        </w:trPr>
        <w:tc>
          <w:tcPr>
            <w:tcW w:w="6640" w:type="dxa"/>
            <w:vAlign w:val="bottom"/>
          </w:tcPr>
          <w:p>
            <w:pPr>
              <w:spacing w:after="0"/>
              <w:rPr>
                <w:sz w:val="12"/>
                <w:szCs w:val="12"/>
                <w:color w:val="auto"/>
              </w:rPr>
            </w:pPr>
          </w:p>
        </w:tc>
        <w:tc>
          <w:tcPr>
            <w:tcW w:w="14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78"/>
              </w:rPr>
              <w:t>Assets</w:t>
            </w:r>
          </w:p>
        </w:tc>
        <w:tc>
          <w:tcPr>
            <w:tcW w:w="14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4"/>
        </w:trPr>
        <w:tc>
          <w:tcPr>
            <w:tcW w:w="66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1)</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(Level 2)</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19,361,098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19,361,098</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Time deposits-long term</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550,000</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550,000</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855,728</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855,728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Other short-term investments</w:t>
            </w:r>
          </w:p>
        </w:tc>
        <w:tc>
          <w:tcPr>
            <w:tcW w:w="1380" w:type="dxa"/>
            <w:vAlign w:val="bottom"/>
          </w:tcPr>
          <w:p>
            <w:pPr>
              <w:jc w:val="right"/>
              <w:spacing w:after="0"/>
              <w:rPr>
                <w:sz w:val="20"/>
                <w:szCs w:val="20"/>
                <w:color w:val="auto"/>
              </w:rPr>
            </w:pPr>
            <w:r>
              <w:rPr>
                <w:rFonts w:ascii="Arial" w:cs="Arial" w:eastAsia="Arial" w:hAnsi="Arial"/>
                <w:sz w:val="17"/>
                <w:szCs w:val="17"/>
                <w:color w:val="auto"/>
              </w:rPr>
              <w:t>11,582,116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11,582,116</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32,348,942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20,766,826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11,582,116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7" w:right="239" w:bottom="4" w:gutter="0" w:footer="0" w:header="0"/>
        </w:sectPr>
      </w:pPr>
    </w:p>
    <w:bookmarkStart w:id="107" w:name="page108"/>
    <w:bookmarkEnd w:id="107"/>
    <w:p>
      <w:pPr>
        <w:ind w:right="20"/>
        <w:spacing w:after="0" w:line="257" w:lineRule="auto"/>
        <w:rPr>
          <w:sz w:val="20"/>
          <w:szCs w:val="20"/>
          <w:color w:val="auto"/>
        </w:rPr>
      </w:pPr>
      <w:r>
        <w:rPr>
          <w:rFonts w:ascii="Arial" w:cs="Arial" w:eastAsia="Arial" w:hAnsi="Arial"/>
          <w:sz w:val="17"/>
          <w:szCs w:val="17"/>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2015 and 2016, certain cost method investments (Note 9) were measured using significant unobservable inputs (Level 3) and written down from their respective carrying value to fair value, with impairment charges of RMB12.0 million and RMB12.2 million incurred and recorded in earnings for the years then ended.</w:t>
      </w:r>
    </w:p>
    <w:p>
      <w:pPr>
        <w:spacing w:after="0" w:line="179" w:lineRule="exact"/>
        <w:rPr>
          <w:sz w:val="20"/>
          <w:szCs w:val="20"/>
          <w:color w:val="auto"/>
        </w:rPr>
      </w:pPr>
    </w:p>
    <w:p>
      <w:pPr>
        <w:ind w:left="620" w:hanging="617"/>
        <w:spacing w:after="0"/>
        <w:tabs>
          <w:tab w:leader="none" w:pos="62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Net Assets</w:t>
      </w: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 4.5 billion, or 12% of the Company’s total consolidated net assets, as of December 31, 2016.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 VOTING RIGHT TRUST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This Shareholder Voting Right Trust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September 26, 2016 between the following two parties in Beijing.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Party A: </w:t>
      </w:r>
      <w:r>
        <w:rPr>
          <w:rFonts w:ascii="Arial" w:cs="Arial" w:eastAsia="Arial" w:hAnsi="Arial"/>
          <w:sz w:val="16"/>
          <w:szCs w:val="16"/>
          <w:color w:val="auto"/>
        </w:rPr>
        <w:t>NetEase Youdao Information Technology (Beijing) Co., Ltd., a Wholly foreign owned enterprise registered in Beijing, PRC under the laws of the PRC</w:t>
      </w:r>
    </w:p>
    <w:p>
      <w:pPr>
        <w:spacing w:after="0" w:line="22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color w:val="auto"/>
        </w:rPr>
        <w:t xml:space="preserve">Party B: </w:t>
      </w:r>
      <w:r>
        <w:rPr>
          <w:rFonts w:ascii="Arial" w:cs="Arial" w:eastAsia="Arial" w:hAnsi="Arial"/>
          <w:sz w:val="17"/>
          <w:szCs w:val="17"/>
          <w:color w:val="auto"/>
        </w:rPr>
        <w:t>William Lei Ding (ID Number: 330224197110180074), a citizen of the People’s Republic of China with his address at Room 6-401, A90, Shuguang Road,</w:t>
      </w:r>
      <w:r>
        <w:rPr>
          <w:rFonts w:ascii="Arial" w:cs="Arial" w:eastAsia="Arial" w:hAnsi="Arial"/>
          <w:sz w:val="17"/>
          <w:szCs w:val="17"/>
          <w:b w:val="1"/>
          <w:bCs w:val="1"/>
          <w:color w:val="auto"/>
        </w:rPr>
        <w:t xml:space="preserve"> </w:t>
      </w:r>
      <w:r>
        <w:rPr>
          <w:rFonts w:ascii="Arial" w:cs="Arial" w:eastAsia="Arial" w:hAnsi="Arial"/>
          <w:sz w:val="17"/>
          <w:szCs w:val="17"/>
          <w:color w:val="auto"/>
        </w:rPr>
        <w:t>Jiangdong District, Ningbo, Zhejiang Province(the “</w:t>
      </w:r>
      <w:r>
        <w:rPr>
          <w:rFonts w:ascii="Arial" w:cs="Arial" w:eastAsia="Arial" w:hAnsi="Arial"/>
          <w:sz w:val="17"/>
          <w:szCs w:val="17"/>
          <w:b w:val="1"/>
          <w:bCs w:val="1"/>
          <w:color w:val="auto"/>
        </w:rPr>
        <w:t>PRC</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Party A and Party B are called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and each of them is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16" w:lineRule="exact"/>
        <w:rPr>
          <w:sz w:val="20"/>
          <w:szCs w:val="20"/>
          <w:color w:val="auto"/>
        </w:rPr>
      </w:pPr>
    </w:p>
    <w:p>
      <w:pPr>
        <w:ind w:left="620" w:right="260" w:hanging="617"/>
        <w:spacing w:after="0" w:line="286"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Party B is a shareholder of NetEase Youdao Computer System Co., Ltd.(the “</w:t>
      </w:r>
      <w:r>
        <w:rPr>
          <w:rFonts w:ascii="Arial" w:cs="Arial" w:eastAsia="Arial" w:hAnsi="Arial"/>
          <w:sz w:val="17"/>
          <w:szCs w:val="17"/>
          <w:b w:val="1"/>
          <w:bCs w:val="1"/>
          <w:color w:val="auto"/>
        </w:rPr>
        <w:t>Company</w:t>
      </w:r>
      <w:r>
        <w:rPr>
          <w:rFonts w:ascii="Arial" w:cs="Arial" w:eastAsia="Arial" w:hAnsi="Arial"/>
          <w:sz w:val="17"/>
          <w:szCs w:val="17"/>
          <w:color w:val="auto"/>
        </w:rPr>
        <w:t>”) on September 26, 2016, in which Party B owns 71.073% of the equity interests.</w:t>
      </w:r>
    </w:p>
    <w:p>
      <w:pPr>
        <w:spacing w:after="0" w:line="157" w:lineRule="exact"/>
        <w:rPr>
          <w:rFonts w:ascii="Arial" w:cs="Arial" w:eastAsia="Arial" w:hAnsi="Arial"/>
          <w:sz w:val="17"/>
          <w:szCs w:val="17"/>
          <w:color w:val="auto"/>
        </w:rPr>
      </w:pPr>
    </w:p>
    <w:p>
      <w:pPr>
        <w:ind w:left="620" w:right="200" w:hanging="617"/>
        <w:spacing w:after="0" w:line="278"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Party B is willing to entrust the person designated by Party A with full authority to exercise his shareholder’s voting rights at the Company’s shareholders’ meetings.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spacing w:after="0" w:line="222" w:lineRule="exact"/>
        <w:rPr>
          <w:sz w:val="20"/>
          <w:szCs w:val="20"/>
          <w:color w:val="auto"/>
        </w:rPr>
      </w:pPr>
    </w:p>
    <w:p>
      <w:pPr>
        <w:ind w:left="620" w:right="60" w:hanging="617"/>
        <w:spacing w:after="0" w:line="261" w:lineRule="auto"/>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78" w:lineRule="exact"/>
        <w:rPr>
          <w:rFonts w:ascii="Arial" w:cs="Arial" w:eastAsia="Arial" w:hAnsi="Arial"/>
          <w:sz w:val="17"/>
          <w:szCs w:val="17"/>
          <w:color w:val="auto"/>
        </w:rPr>
      </w:pPr>
    </w:p>
    <w:p>
      <w:pPr>
        <w:ind w:left="620" w:right="60" w:hanging="617"/>
        <w:spacing w:after="0" w:line="278" w:lineRule="auto"/>
        <w:tabs>
          <w:tab w:leader="none" w:pos="6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64" w:lineRule="exact"/>
        <w:rPr>
          <w:rFonts w:ascii="Arial" w:cs="Arial" w:eastAsia="Arial" w:hAnsi="Arial"/>
          <w:sz w:val="17"/>
          <w:szCs w:val="17"/>
          <w:color w:val="auto"/>
        </w:rPr>
      </w:pPr>
    </w:p>
    <w:p>
      <w:pPr>
        <w:ind w:left="620" w:right="40" w:hanging="617"/>
        <w:spacing w:after="0" w:line="295" w:lineRule="auto"/>
        <w:tabs>
          <w:tab w:leader="none" w:pos="62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5"/>
          <w:szCs w:val="15"/>
          <w:b w:val="1"/>
          <w:bCs w:val="1"/>
          <w:color w:val="auto"/>
        </w:rPr>
        <w:t>Transferee</w:t>
      </w:r>
      <w:r>
        <w:rPr>
          <w:rFonts w:ascii="Arial" w:cs="Arial" w:eastAsia="Arial" w:hAnsi="Arial"/>
          <w:sz w:val="15"/>
          <w:szCs w:val="15"/>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right="20" w:hanging="617"/>
        <w:spacing w:after="0" w:line="289" w:lineRule="auto"/>
        <w:tabs>
          <w:tab w:leader="none" w:pos="6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58" w:lineRule="exact"/>
        <w:rPr>
          <w:rFonts w:ascii="Arial" w:cs="Arial" w:eastAsia="Arial" w:hAnsi="Arial"/>
          <w:sz w:val="16"/>
          <w:szCs w:val="16"/>
          <w:color w:val="auto"/>
        </w:rPr>
      </w:pPr>
    </w:p>
    <w:p>
      <w:pPr>
        <w:ind w:left="620" w:hanging="617"/>
        <w:spacing w:after="0"/>
        <w:tabs>
          <w:tab w:leader="none" w:pos="6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This Agreement shall become effective as of the date it is duly executed by the Parties’ authorized representatives.</w:t>
      </w:r>
    </w:p>
    <w:p>
      <w:pPr>
        <w:spacing w:after="0" w:line="216" w:lineRule="exact"/>
        <w:rPr>
          <w:rFonts w:ascii="Arial" w:cs="Arial" w:eastAsia="Arial" w:hAnsi="Arial"/>
          <w:sz w:val="17"/>
          <w:szCs w:val="17"/>
          <w:color w:val="auto"/>
        </w:rPr>
      </w:pPr>
    </w:p>
    <w:p>
      <w:pPr>
        <w:ind w:left="620" w:right="20" w:hanging="617"/>
        <w:spacing w:after="0" w:line="311" w:lineRule="auto"/>
        <w:tabs>
          <w:tab w:leader="none" w:pos="6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40" w:lineRule="exact"/>
        <w:rPr>
          <w:rFonts w:ascii="Arial" w:cs="Arial" w:eastAsia="Arial" w:hAnsi="Arial"/>
          <w:sz w:val="16"/>
          <w:szCs w:val="16"/>
          <w:color w:val="auto"/>
        </w:rPr>
      </w:pPr>
    </w:p>
    <w:p>
      <w:pPr>
        <w:ind w:left="620" w:right="100" w:hanging="617"/>
        <w:spacing w:after="0" w:line="311" w:lineRule="auto"/>
        <w:tabs>
          <w:tab w:leader="none" w:pos="6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40" w:lineRule="exact"/>
        <w:rPr>
          <w:rFonts w:ascii="Arial" w:cs="Arial" w:eastAsia="Arial" w:hAnsi="Arial"/>
          <w:sz w:val="16"/>
          <w:szCs w:val="16"/>
          <w:color w:val="auto"/>
        </w:rPr>
      </w:pPr>
    </w:p>
    <w:p>
      <w:pPr>
        <w:ind w:left="620" w:hanging="617"/>
        <w:spacing w:after="0"/>
        <w:tabs>
          <w:tab w:leader="none" w:pos="6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amendment to, and/or cancellation of, this Agreement shall be agreed by the Parties in writing.</w:t>
      </w:r>
    </w:p>
    <w:p>
      <w:pPr>
        <w:spacing w:after="0" w:line="216" w:lineRule="exact"/>
        <w:rPr>
          <w:rFonts w:ascii="Arial" w:cs="Arial" w:eastAsia="Arial" w:hAnsi="Arial"/>
          <w:sz w:val="17"/>
          <w:szCs w:val="17"/>
          <w:color w:val="auto"/>
        </w:rPr>
      </w:pPr>
    </w:p>
    <w:p>
      <w:pPr>
        <w:ind w:left="620" w:right="40" w:hanging="617"/>
        <w:spacing w:after="0" w:line="274" w:lineRule="auto"/>
        <w:tabs>
          <w:tab w:leader="none" w:pos="6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71" w:lineRule="exact"/>
        <w:rPr>
          <w:rFonts w:ascii="Arial" w:cs="Arial" w:eastAsia="Arial" w:hAnsi="Arial"/>
          <w:sz w:val="16"/>
          <w:szCs w:val="16"/>
          <w:color w:val="auto"/>
        </w:rPr>
      </w:pPr>
    </w:p>
    <w:p>
      <w:pPr>
        <w:ind w:left="620" w:hanging="617"/>
        <w:spacing w:after="0"/>
        <w:tabs>
          <w:tab w:leader="none" w:pos="6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Applicable Laws and Dispute Resolution</w:t>
      </w:r>
    </w:p>
    <w:p>
      <w:pPr>
        <w:spacing w:after="0" w:line="216" w:lineRule="exact"/>
        <w:rPr>
          <w:sz w:val="20"/>
          <w:szCs w:val="20"/>
          <w:color w:val="auto"/>
        </w:rPr>
      </w:pPr>
    </w:p>
    <w:p>
      <w:pPr>
        <w:ind w:left="1240" w:right="340" w:hanging="311"/>
        <w:spacing w:after="0" w:line="278" w:lineRule="auto"/>
        <w:tabs>
          <w:tab w:leader="none" w:pos="123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formation, validity, interpretation and performance of and settlement of disputes under this Agreement shall be governed by the laws of the PRC.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hanging="311"/>
        <w:spacing w:after="0" w:line="317" w:lineRule="auto"/>
        <w:tabs>
          <w:tab w:leader="none" w:pos="124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w:t>
      </w:r>
    </w:p>
    <w:p>
      <w:pPr>
        <w:sectPr>
          <w:pgSz w:w="11900" w:h="16838" w:orient="portrait"/>
          <w:cols w:equalWidth="0" w:num="1">
            <w:col w:w="11420"/>
          </w:cols>
          <w:pgMar w:left="240" w:top="121" w:right="239" w:bottom="0" w:gutter="0" w:footer="0" w:header="0"/>
        </w:sectPr>
      </w:pPr>
    </w:p>
    <w:bookmarkStart w:id="109" w:name="page110"/>
    <w:bookmarkEnd w:id="109"/>
    <w:p>
      <w:pPr>
        <w:ind w:left="1240"/>
        <w:spacing w:after="0" w:line="273" w:lineRule="auto"/>
        <w:rPr>
          <w:sz w:val="20"/>
          <w:szCs w:val="20"/>
          <w:color w:val="auto"/>
        </w:rPr>
      </w:pPr>
      <w:r>
        <w:rPr>
          <w:rFonts w:ascii="Arial" w:cs="Arial" w:eastAsia="Arial" w:hAnsi="Arial"/>
          <w:sz w:val="16"/>
          <w:szCs w:val="16"/>
          <w:color w:val="auto"/>
        </w:rPr>
        <w:t>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 NetEase Youdao Information Technology (Beijing)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 William Lei Ding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14605</wp:posOffset>
            </wp:positionV>
            <wp:extent cx="2973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730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is agreed and accepted by: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NetEase Youdao Computer System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4.51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AGREEMENT</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Loan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among the following parties on September 26, 2016:</w:t>
      </w:r>
    </w:p>
    <w:p>
      <w:pPr>
        <w:spacing w:after="0" w:line="216" w:lineRule="exact"/>
        <w:rPr>
          <w:sz w:val="20"/>
          <w:szCs w:val="20"/>
          <w:color w:val="auto"/>
        </w:rPr>
      </w:pPr>
    </w:p>
    <w:p>
      <w:pPr>
        <w:ind w:left="1240" w:right="20" w:hanging="620"/>
        <w:spacing w:after="0" w:line="269" w:lineRule="auto"/>
        <w:tabs>
          <w:tab w:leader="none" w:pos="124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NetEase Youdao Information Technology (Beijing) Co., Ltd.(“</w:t>
      </w:r>
      <w:r>
        <w:rPr>
          <w:rFonts w:ascii="Arial" w:cs="Arial" w:eastAsia="Arial" w:hAnsi="Arial"/>
          <w:sz w:val="17"/>
          <w:szCs w:val="17"/>
          <w:b w:val="1"/>
          <w:bCs w:val="1"/>
          <w:color w:val="auto"/>
        </w:rPr>
        <w:t>Lender</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1/F, Tower C, Building No. 7, West Zone Zhongguancun Software Park (Phase II) No. 10 Xibeiwang East Road, Haidian District; and</w:t>
      </w:r>
    </w:p>
    <w:p>
      <w:pPr>
        <w:spacing w:after="0" w:line="165" w:lineRule="exact"/>
        <w:rPr>
          <w:rFonts w:ascii="Arial" w:cs="Arial" w:eastAsia="Arial" w:hAnsi="Arial"/>
          <w:sz w:val="17"/>
          <w:szCs w:val="17"/>
          <w:color w:val="auto"/>
        </w:rPr>
      </w:pPr>
    </w:p>
    <w:p>
      <w:pPr>
        <w:ind w:left="1240" w:right="640" w:hanging="620"/>
        <w:spacing w:after="0" w:line="286" w:lineRule="auto"/>
        <w:tabs>
          <w:tab w:leader="none" w:pos="124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William Lei Ding(ID Number: 330224197110180074, “</w:t>
      </w:r>
      <w:r>
        <w:rPr>
          <w:rFonts w:ascii="Arial" w:cs="Arial" w:eastAsia="Arial" w:hAnsi="Arial"/>
          <w:sz w:val="17"/>
          <w:szCs w:val="17"/>
          <w:b w:val="1"/>
          <w:bCs w:val="1"/>
          <w:color w:val="auto"/>
        </w:rPr>
        <w:t>Borrower</w:t>
      </w:r>
      <w:r>
        <w:rPr>
          <w:rFonts w:ascii="Arial" w:cs="Arial" w:eastAsia="Arial" w:hAnsi="Arial"/>
          <w:sz w:val="17"/>
          <w:szCs w:val="17"/>
          <w:color w:val="auto"/>
        </w:rPr>
        <w:t>”), a PRC citizen with his address at Room 6-401, A90, Shuguang Road, Jiangdong District, Ningbo, Zhejiang Province.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Lender and Borrower are hereinafter jointly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individually, as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p>
    <w:p>
      <w:pPr>
        <w:spacing w:after="0" w:line="216" w:lineRule="exact"/>
        <w:rPr>
          <w:sz w:val="20"/>
          <w:szCs w:val="20"/>
          <w:color w:val="auto"/>
        </w:rPr>
      </w:pPr>
    </w:p>
    <w:p>
      <w:pPr>
        <w:ind w:left="1240" w:right="40" w:hanging="620"/>
        <w:spacing w:after="0" w:line="285" w:lineRule="auto"/>
        <w:tabs>
          <w:tab w:leader="none" w:pos="125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Borrower intends to make an investment of RMB 3,553,650 Yuan (the “</w:t>
      </w:r>
      <w:r>
        <w:rPr>
          <w:rFonts w:ascii="Arial" w:cs="Arial" w:eastAsia="Arial" w:hAnsi="Arial"/>
          <w:sz w:val="16"/>
          <w:szCs w:val="16"/>
          <w:b w:val="1"/>
          <w:bCs w:val="1"/>
          <w:color w:val="auto"/>
        </w:rPr>
        <w:t>Capital Contribution Amount”</w:t>
      </w:r>
      <w:r>
        <w:rPr>
          <w:rFonts w:ascii="Arial" w:cs="Arial" w:eastAsia="Arial" w:hAnsi="Arial"/>
          <w:sz w:val="16"/>
          <w:szCs w:val="16"/>
          <w:color w:val="auto"/>
        </w:rPr>
        <w:t>) in the registered capital of Beijing NetEase Youdao Computer System Co., Ltd., a limited liability company registered in Beijing, PRC with its address at 2/F, Tower A, Building No. 7, West Zone Zhongguancun Software Park (Phase II) No. 10 Xibeiwang East Road, Haidian District (the “</w:t>
      </w:r>
      <w:r>
        <w:rPr>
          <w:rFonts w:ascii="Arial" w:cs="Arial" w:eastAsia="Arial" w:hAnsi="Arial"/>
          <w:sz w:val="16"/>
          <w:szCs w:val="16"/>
          <w:b w:val="1"/>
          <w:bCs w:val="1"/>
          <w:color w:val="auto"/>
        </w:rPr>
        <w:t>Domestic Company</w:t>
      </w:r>
      <w:r>
        <w:rPr>
          <w:rFonts w:ascii="Arial" w:cs="Arial" w:eastAsia="Arial" w:hAnsi="Arial"/>
          <w:sz w:val="16"/>
          <w:szCs w:val="16"/>
          <w:color w:val="auto"/>
        </w:rPr>
        <w:t>”), in return for which Borrower will acquire 71.073% (the “</w:t>
      </w:r>
      <w:r>
        <w:rPr>
          <w:rFonts w:ascii="Arial" w:cs="Arial" w:eastAsia="Arial" w:hAnsi="Arial"/>
          <w:sz w:val="16"/>
          <w:szCs w:val="16"/>
          <w:b w:val="1"/>
          <w:bCs w:val="1"/>
          <w:color w:val="auto"/>
        </w:rPr>
        <w:t>Target Equity</w:t>
      </w:r>
      <w:r>
        <w:rPr>
          <w:rFonts w:ascii="Arial" w:cs="Arial" w:eastAsia="Arial" w:hAnsi="Arial"/>
          <w:sz w:val="16"/>
          <w:szCs w:val="16"/>
          <w:color w:val="auto"/>
        </w:rPr>
        <w:t>”) of the equity interest in the Domestic Company.</w:t>
      </w:r>
    </w:p>
    <w:p>
      <w:pPr>
        <w:spacing w:after="0" w:line="161" w:lineRule="exact"/>
        <w:rPr>
          <w:rFonts w:ascii="Arial" w:cs="Arial" w:eastAsia="Arial" w:hAnsi="Arial"/>
          <w:sz w:val="16"/>
          <w:szCs w:val="16"/>
          <w:color w:val="auto"/>
        </w:rPr>
      </w:pPr>
    </w:p>
    <w:p>
      <w:pPr>
        <w:ind w:left="1240" w:right="40" w:hanging="620"/>
        <w:spacing w:after="0" w:line="289" w:lineRule="auto"/>
        <w:tabs>
          <w:tab w:leader="none" w:pos="125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Lender agrees to provide to Borrower a loan in an amount equal to the Capital Contribution Amount in accordance with this Agreement in order for Borrower to have sufficient funds to make such capital contribution in return for the Target Equity, and Lender may in its absolute discretion provide to Borrower additional loans from time to time in accordance with this Agreement in amounts as agreed to by Lender and Borrower.</w:t>
      </w:r>
    </w:p>
    <w:p>
      <w:pPr>
        <w:spacing w:after="0" w:line="158" w:lineRule="exact"/>
        <w:rPr>
          <w:rFonts w:ascii="Arial" w:cs="Arial" w:eastAsia="Arial" w:hAnsi="Arial"/>
          <w:sz w:val="16"/>
          <w:szCs w:val="16"/>
          <w:color w:val="auto"/>
        </w:rPr>
      </w:pPr>
    </w:p>
    <w:p>
      <w:pPr>
        <w:ind w:left="1240" w:hanging="620"/>
        <w:spacing w:after="0"/>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Parties desire to enter into this Agreement to clarify and confirm the rights and obligations of Lender and Borrower.</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Therefore</w:t>
      </w:r>
      <w:r>
        <w:rPr>
          <w:rFonts w:ascii="Arial" w:cs="Arial" w:eastAsia="Arial" w:hAnsi="Arial"/>
          <w:sz w:val="17"/>
          <w:szCs w:val="17"/>
          <w:color w:val="auto"/>
        </w:rPr>
        <w:t>, the Parties enter into this Agreement as follows upon friendly negotiation:</w:t>
      </w:r>
    </w:p>
    <w:p>
      <w:pPr>
        <w:spacing w:after="0" w:line="216" w:lineRule="exact"/>
        <w:rPr>
          <w:sz w:val="20"/>
          <w:szCs w:val="20"/>
          <w:color w:val="auto"/>
        </w:rPr>
      </w:pPr>
    </w:p>
    <w:p>
      <w:pPr>
        <w:ind w:left="620" w:hanging="617"/>
        <w:spacing w:after="0"/>
        <w:tabs>
          <w:tab w:leader="none" w:pos="62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w:t>
      </w:r>
    </w:p>
    <w:p>
      <w:pPr>
        <w:spacing w:after="0" w:line="222" w:lineRule="exact"/>
        <w:rPr>
          <w:rFonts w:ascii="Arial" w:cs="Arial" w:eastAsia="Arial" w:hAnsi="Arial"/>
          <w:sz w:val="17"/>
          <w:szCs w:val="17"/>
          <w:b w:val="1"/>
          <w:bCs w:val="1"/>
          <w:color w:val="auto"/>
        </w:rPr>
      </w:pPr>
    </w:p>
    <w:p>
      <w:pPr>
        <w:ind w:left="1240" w:right="40" w:hanging="617"/>
        <w:spacing w:after="0" w:line="296" w:lineRule="auto"/>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On and subject to the terms and conditions hereof, Lender provides Borrower with a loan in an aggregate amount of RMB 3,553,650 Yuan on the date hereof (the “</w:t>
      </w:r>
      <w:r>
        <w:rPr>
          <w:rFonts w:ascii="Arial" w:cs="Arial" w:eastAsia="Arial" w:hAnsi="Arial"/>
          <w:sz w:val="15"/>
          <w:szCs w:val="15"/>
          <w:b w:val="1"/>
          <w:bCs w:val="1"/>
          <w:color w:val="auto"/>
        </w:rPr>
        <w:t>Loan</w:t>
      </w:r>
      <w:r>
        <w:rPr>
          <w:rFonts w:ascii="Arial" w:cs="Arial" w:eastAsia="Arial" w:hAnsi="Arial"/>
          <w:sz w:val="15"/>
          <w:szCs w:val="15"/>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5"/>
          <w:szCs w:val="15"/>
          <w:b w:val="1"/>
          <w:bCs w:val="1"/>
          <w:color w:val="auto"/>
        </w:rPr>
        <w:t>Additional Loan</w:t>
      </w:r>
      <w:r>
        <w:rPr>
          <w:rFonts w:ascii="Arial" w:cs="Arial" w:eastAsia="Arial" w:hAnsi="Arial"/>
          <w:sz w:val="15"/>
          <w:szCs w:val="15"/>
          <w:color w:val="auto"/>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Both Parties agree and confirm that the Loan shall be interest-free, except as provided in Article 1.5 below. The Borrower agrees to use the Loan to pay for the Capital Contribution Amount to acquire the Target Equity and, unless with the prior written consent of the Lender, will not use the Loan for any other purpose.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33" w:lineRule="exact"/>
        <w:rPr>
          <w:rFonts w:ascii="Arial" w:cs="Arial" w:eastAsia="Arial" w:hAnsi="Arial"/>
          <w:sz w:val="17"/>
          <w:szCs w:val="17"/>
          <w:b w:val="1"/>
          <w:bCs w:val="1"/>
          <w:color w:val="auto"/>
        </w:rPr>
      </w:pPr>
    </w:p>
    <w:p>
      <w:pPr>
        <w:ind w:left="1240" w:hanging="617"/>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1.2.The term of this Agreement (“</w:t>
      </w:r>
      <w:r>
        <w:rPr>
          <w:rFonts w:ascii="Arial" w:cs="Arial" w:eastAsia="Arial" w:hAnsi="Arial"/>
          <w:sz w:val="17"/>
          <w:szCs w:val="17"/>
          <w:b w:val="1"/>
          <w:bCs w:val="1"/>
          <w:color w:val="auto"/>
        </w:rPr>
        <w:t>Term</w:t>
      </w:r>
      <w:r>
        <w:rPr>
          <w:rFonts w:ascii="Arial" w:cs="Arial" w:eastAsia="Arial" w:hAnsi="Arial"/>
          <w:sz w:val="17"/>
          <w:szCs w:val="17"/>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78" w:lineRule="exact"/>
        <w:rPr>
          <w:rFonts w:ascii="Arial" w:cs="Arial" w:eastAsia="Arial" w:hAnsi="Arial"/>
          <w:sz w:val="17"/>
          <w:szCs w:val="17"/>
          <w:b w:val="1"/>
          <w:bCs w:val="1"/>
          <w:color w:val="auto"/>
        </w:rPr>
      </w:pPr>
    </w:p>
    <w:p>
      <w:pPr>
        <w:ind w:left="1240" w:right="160" w:hanging="617"/>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78" w:lineRule="exact"/>
        <w:rPr>
          <w:rFonts w:ascii="Arial" w:cs="Arial" w:eastAsia="Arial" w:hAnsi="Arial"/>
          <w:sz w:val="17"/>
          <w:szCs w:val="17"/>
          <w:b w:val="1"/>
          <w:bCs w:val="1"/>
          <w:color w:val="auto"/>
        </w:rPr>
      </w:pPr>
    </w:p>
    <w:p>
      <w:pPr>
        <w:ind w:left="1860" w:hanging="622"/>
        <w:spacing w:after="0"/>
        <w:tabs>
          <w:tab w:leader="none" w:pos="18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16" w:lineRule="exact"/>
        <w:rPr>
          <w:rFonts w:ascii="Arial" w:cs="Arial" w:eastAsia="Arial" w:hAnsi="Arial"/>
          <w:sz w:val="17"/>
          <w:szCs w:val="17"/>
          <w:color w:val="auto"/>
        </w:rPr>
      </w:pPr>
    </w:p>
    <w:p>
      <w:pPr>
        <w:ind w:left="1860" w:right="60" w:hanging="622"/>
        <w:spacing w:after="0" w:line="265" w:lineRule="auto"/>
        <w:tabs>
          <w:tab w:leader="none" w:pos="1867" w:val="left"/>
        </w:tabs>
        <w:numPr>
          <w:ilvl w:val="1"/>
          <w:numId w:val="189"/>
        </w:numPr>
        <w:rPr>
          <w:rFonts w:ascii="Arial" w:cs="Arial" w:eastAsia="Arial" w:hAnsi="Arial"/>
          <w:sz w:val="17"/>
          <w:szCs w:val="17"/>
          <w:color w:val="auto"/>
        </w:rPr>
      </w:pPr>
      <w:r>
        <w:rPr>
          <w:rFonts w:ascii="Arial" w:cs="Arial" w:eastAsia="Arial" w:hAnsi="Arial"/>
          <w:sz w:val="17"/>
          <w:szCs w:val="17"/>
          <w:color w:val="auto"/>
        </w:rPr>
        <w:t>Borrower, for any reason, ceases to be the holder of equity interests in the Domestic Company or reduces his proportion of equity interests in the Domestic Company from that set forth in Recital (A) above except for transfers of equity interests in the Domestic Company to which Lender has consented;</w:t>
      </w:r>
    </w:p>
    <w:p>
      <w:pPr>
        <w:spacing w:after="0" w:line="175" w:lineRule="exact"/>
        <w:rPr>
          <w:rFonts w:ascii="Arial" w:cs="Arial" w:eastAsia="Arial" w:hAnsi="Arial"/>
          <w:sz w:val="17"/>
          <w:szCs w:val="17"/>
          <w:color w:val="auto"/>
        </w:rPr>
      </w:pPr>
    </w:p>
    <w:p>
      <w:pPr>
        <w:ind w:left="1860" w:right="60" w:hanging="622"/>
        <w:spacing w:after="0" w:line="257" w:lineRule="auto"/>
        <w:tabs>
          <w:tab w:leader="none" w:pos="187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-3382645</wp:posOffset>
            </wp:positionV>
            <wp:extent cx="7273925"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60" w:right="80" w:hanging="622"/>
        <w:spacing w:after="0" w:line="278" w:lineRule="auto"/>
        <w:tabs>
          <w:tab w:leader="none" w:pos="186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Lender is permitted to acquire a direct equity interest in Domestic Company due to a change in PRC laws or regulations or the application or interpretation thereof; or</w:t>
      </w:r>
    </w:p>
    <w:p>
      <w:pPr>
        <w:spacing w:after="0" w:line="164" w:lineRule="exact"/>
        <w:rPr>
          <w:rFonts w:ascii="Arial" w:cs="Arial" w:eastAsia="Arial" w:hAnsi="Arial"/>
          <w:sz w:val="17"/>
          <w:szCs w:val="17"/>
          <w:color w:val="auto"/>
        </w:rPr>
      </w:pPr>
    </w:p>
    <w:p>
      <w:pPr>
        <w:ind w:left="1860" w:right="240" w:hanging="622"/>
        <w:spacing w:after="0" w:line="278" w:lineRule="auto"/>
        <w:tabs>
          <w:tab w:leader="none" w:pos="187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court or other government authority deems this Agreement or any of the Transaction Documents or a substantial portion thereof to be invalid, illegal or unenforceable.</w:t>
      </w:r>
    </w:p>
    <w:p>
      <w:pPr>
        <w:spacing w:after="0" w:line="165" w:lineRule="exact"/>
        <w:rPr>
          <w:sz w:val="20"/>
          <w:szCs w:val="20"/>
          <w:color w:val="auto"/>
        </w:rPr>
      </w:pPr>
    </w:p>
    <w:p>
      <w:pPr>
        <w:ind w:left="1240" w:right="20"/>
        <w:spacing w:after="0" w:line="347" w:lineRule="auto"/>
        <w:rPr>
          <w:sz w:val="20"/>
          <w:szCs w:val="20"/>
          <w:color w:val="auto"/>
        </w:rPr>
      </w:pPr>
      <w:r>
        <w:rPr>
          <w:rFonts w:ascii="Arial" w:cs="Arial" w:eastAsia="Arial" w:hAnsi="Arial"/>
          <w:sz w:val="15"/>
          <w:szCs w:val="15"/>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w:t>
      </w:r>
    </w:p>
    <w:p>
      <w:pPr>
        <w:sectPr>
          <w:pgSz w:w="11900" w:h="16838" w:orient="portrait"/>
          <w:cols w:equalWidth="0" w:num="1">
            <w:col w:w="11420"/>
          </w:cols>
          <w:pgMar w:left="240" w:top="121" w:right="239" w:bottom="0" w:gutter="0" w:footer="0" w:header="0"/>
        </w:sectPr>
      </w:pPr>
    </w:p>
    <w:bookmarkStart w:id="111" w:name="page112"/>
    <w:bookmarkEnd w:id="111"/>
    <w:p>
      <w:pPr>
        <w:ind w:left="1237"/>
        <w:spacing w:after="0"/>
        <w:rPr>
          <w:sz w:val="20"/>
          <w:szCs w:val="20"/>
          <w:color w:val="auto"/>
        </w:rPr>
      </w:pPr>
      <w:r>
        <w:rPr>
          <w:rFonts w:ascii="Arial" w:cs="Arial" w:eastAsia="Arial" w:hAnsi="Arial"/>
          <w:sz w:val="17"/>
          <w:szCs w:val="17"/>
          <w:color w:val="auto"/>
        </w:rPr>
        <w:t>days from the date of Lender’s written notice to Borrower.</w:t>
      </w:r>
    </w:p>
    <w:p>
      <w:pPr>
        <w:spacing w:after="0" w:line="216" w:lineRule="exact"/>
        <w:rPr>
          <w:sz w:val="20"/>
          <w:szCs w:val="20"/>
          <w:color w:val="auto"/>
        </w:rPr>
      </w:pPr>
    </w:p>
    <w:p>
      <w:pPr>
        <w:ind w:left="1237" w:right="40" w:hanging="616"/>
        <w:spacing w:after="0" w:line="265" w:lineRule="auto"/>
        <w:tabs>
          <w:tab w:leader="none" w:pos="1217"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76" w:lineRule="exact"/>
        <w:rPr>
          <w:sz w:val="20"/>
          <w:szCs w:val="20"/>
          <w:color w:val="auto"/>
        </w:rPr>
      </w:pPr>
    </w:p>
    <w:p>
      <w:pPr>
        <w:ind w:left="1857" w:right="620" w:hanging="622"/>
        <w:spacing w:after="0" w:line="278" w:lineRule="auto"/>
        <w:tabs>
          <w:tab w:leader="none" w:pos="185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Equity Option. If selected by Lender, Borrower shall repay the Loan by transferring his equity interests in the Domestic Company (“</w:t>
      </w:r>
      <w:r>
        <w:rPr>
          <w:rFonts w:ascii="Arial" w:cs="Arial" w:eastAsia="Arial" w:hAnsi="Arial"/>
          <w:sz w:val="17"/>
          <w:szCs w:val="17"/>
          <w:b w:val="1"/>
          <w:bCs w:val="1"/>
          <w:color w:val="auto"/>
        </w:rPr>
        <w:t>Borrower’s Equity</w:t>
      </w:r>
      <w:r>
        <w:rPr>
          <w:rFonts w:ascii="Arial" w:cs="Arial" w:eastAsia="Arial" w:hAnsi="Arial"/>
          <w:sz w:val="17"/>
          <w:szCs w:val="17"/>
          <w:color w:val="auto"/>
        </w:rPr>
        <w:t>”) to Lender or Lender’s designated persons; or</w:t>
      </w:r>
    </w:p>
    <w:p>
      <w:pPr>
        <w:spacing w:after="0" w:line="164" w:lineRule="exact"/>
        <w:rPr>
          <w:rFonts w:ascii="Arial" w:cs="Arial" w:eastAsia="Arial" w:hAnsi="Arial"/>
          <w:sz w:val="17"/>
          <w:szCs w:val="17"/>
          <w:color w:val="auto"/>
        </w:rPr>
      </w:pPr>
    </w:p>
    <w:p>
      <w:pPr>
        <w:ind w:left="1857" w:right="300" w:hanging="622"/>
        <w:spacing w:after="0" w:line="261" w:lineRule="auto"/>
        <w:tabs>
          <w:tab w:leader="none" w:pos="186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9" w:lineRule="exact"/>
        <w:rPr>
          <w:sz w:val="20"/>
          <w:szCs w:val="20"/>
          <w:color w:val="auto"/>
        </w:rPr>
      </w:pPr>
    </w:p>
    <w:p>
      <w:pPr>
        <w:ind w:left="617"/>
        <w:spacing w:after="0"/>
        <w:tabs>
          <w:tab w:leader="none" w:pos="1217"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If the transfer price for Borrower’s Equity pursuant to Article 1.4(a) or the other consideration provided by Borrower pursuant to</w:t>
      </w:r>
    </w:p>
    <w:p>
      <w:pPr>
        <w:spacing w:after="0" w:line="21" w:lineRule="exact"/>
        <w:rPr>
          <w:sz w:val="20"/>
          <w:szCs w:val="20"/>
          <w:color w:val="auto"/>
        </w:rPr>
      </w:pPr>
    </w:p>
    <w:p>
      <w:pPr>
        <w:ind w:left="1237" w:right="120"/>
        <w:spacing w:after="0" w:line="259" w:lineRule="auto"/>
        <w:rPr>
          <w:sz w:val="20"/>
          <w:szCs w:val="20"/>
          <w:color w:val="auto"/>
        </w:rPr>
      </w:pPr>
      <w:r>
        <w:rPr>
          <w:rFonts w:ascii="Arial" w:cs="Arial" w:eastAsia="Arial" w:hAnsi="Arial"/>
          <w:sz w:val="17"/>
          <w:szCs w:val="17"/>
          <w:color w:val="auto"/>
        </w:rPr>
        <w:t>Article 1.4(b) exceeds the outstanding principal of the Loan hereunder, then such excess shall be deemed the aggregate interest upon the loan (calculated by the highest permitted by the PRC laws)and financing cost. Borrower shall repay all interest on the Loan, together with principal and financing cost, at the expiry or termination of the Term or when otherwise required hereunder.</w:t>
      </w:r>
    </w:p>
    <w:p>
      <w:pPr>
        <w:spacing w:after="0" w:line="179" w:lineRule="exact"/>
        <w:rPr>
          <w:sz w:val="20"/>
          <w:szCs w:val="20"/>
          <w:color w:val="auto"/>
        </w:rPr>
      </w:pPr>
    </w:p>
    <w:p>
      <w:pPr>
        <w:ind w:left="1237" w:right="100" w:hanging="616"/>
        <w:spacing w:after="0" w:line="289" w:lineRule="auto"/>
        <w:tabs>
          <w:tab w:leader="none" w:pos="1217"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 Article 1.4(a) or provides the other required consideration pursuant to Article 1.4(b) and subject to Borrower’s indemnification obligations set forth in Article 4.2 herein, Borrower shall have no further obligation to Lender for any principal, interest or penalty (if any) under the Loan.</w:t>
      </w:r>
    </w:p>
    <w:p>
      <w:pPr>
        <w:spacing w:after="0" w:line="15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7"/>
        <w:spacing w:after="0"/>
        <w:tabs>
          <w:tab w:leader="none" w:pos="1217"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color w:val="auto"/>
        </w:rPr>
        <w:t>Any part or whole of the Loan repaid by Borrower may not be re-borrowed under this Agreement without Lender’s consent.</w:t>
      </w:r>
    </w:p>
    <w:p>
      <w:pPr>
        <w:spacing w:after="0" w:line="210" w:lineRule="exact"/>
        <w:rPr>
          <w:sz w:val="20"/>
          <w:szCs w:val="20"/>
          <w:color w:val="auto"/>
        </w:rPr>
      </w:pPr>
    </w:p>
    <w:p>
      <w:pPr>
        <w:ind w:left="617" w:hanging="617"/>
        <w:spacing w:after="0"/>
        <w:tabs>
          <w:tab w:leader="none" w:pos="617"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p>
    <w:p>
      <w:pPr>
        <w:spacing w:after="0" w:line="222" w:lineRule="exact"/>
        <w:rPr>
          <w:rFonts w:ascii="Arial" w:cs="Arial" w:eastAsia="Arial" w:hAnsi="Arial"/>
          <w:sz w:val="17"/>
          <w:szCs w:val="17"/>
          <w:b w:val="1"/>
          <w:bCs w:val="1"/>
          <w:color w:val="auto"/>
        </w:rPr>
      </w:pPr>
    </w:p>
    <w:p>
      <w:pPr>
        <w:ind w:left="1237" w:right="54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2.1.As of the date of this Agreement and during the Term through the date of termination or expiration of this Agreement, Lender represents and warrants to Borrower as follows:</w:t>
      </w:r>
    </w:p>
    <w:p>
      <w:pPr>
        <w:spacing w:after="0" w:line="164" w:lineRule="exact"/>
        <w:rPr>
          <w:rFonts w:ascii="Arial" w:cs="Arial" w:eastAsia="Arial" w:hAnsi="Arial"/>
          <w:sz w:val="17"/>
          <w:szCs w:val="17"/>
          <w:b w:val="1"/>
          <w:bCs w:val="1"/>
          <w:color w:val="auto"/>
        </w:rPr>
      </w:pPr>
    </w:p>
    <w:p>
      <w:pPr>
        <w:ind w:left="1857" w:hanging="622"/>
        <w:spacing w:after="0"/>
        <w:tabs>
          <w:tab w:leader="none" w:pos="1857" w:val="left"/>
        </w:tabs>
        <w:numPr>
          <w:ilvl w:val="1"/>
          <w:numId w:val="192"/>
        </w:numPr>
        <w:rPr>
          <w:rFonts w:ascii="Arial" w:cs="Arial" w:eastAsia="Arial" w:hAnsi="Arial"/>
          <w:sz w:val="17"/>
          <w:szCs w:val="17"/>
          <w:color w:val="auto"/>
        </w:rPr>
      </w:pPr>
      <w:r>
        <w:rPr>
          <w:rFonts w:ascii="Arial" w:cs="Arial" w:eastAsia="Arial" w:hAnsi="Arial"/>
          <w:sz w:val="17"/>
          <w:szCs w:val="17"/>
          <w:color w:val="auto"/>
        </w:rPr>
        <w:t>Lender is a Wholly foreign owned enterprise duly registered and existing under PRC law.</w:t>
      </w:r>
    </w:p>
    <w:p>
      <w:pPr>
        <w:spacing w:after="0" w:line="216" w:lineRule="exact"/>
        <w:rPr>
          <w:rFonts w:ascii="Arial" w:cs="Arial" w:eastAsia="Arial" w:hAnsi="Arial"/>
          <w:sz w:val="17"/>
          <w:szCs w:val="17"/>
          <w:color w:val="auto"/>
        </w:rPr>
      </w:pPr>
    </w:p>
    <w:p>
      <w:pPr>
        <w:ind w:left="1857" w:right="160" w:hanging="622"/>
        <w:spacing w:after="0" w:line="289" w:lineRule="auto"/>
        <w:tabs>
          <w:tab w:leader="none" w:pos="186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58" w:lineRule="exact"/>
        <w:rPr>
          <w:rFonts w:ascii="Arial" w:cs="Arial" w:eastAsia="Arial" w:hAnsi="Arial"/>
          <w:sz w:val="16"/>
          <w:szCs w:val="16"/>
          <w:color w:val="auto"/>
        </w:rPr>
      </w:pPr>
    </w:p>
    <w:p>
      <w:pPr>
        <w:ind w:left="1857" w:right="100" w:hanging="622"/>
        <w:spacing w:after="0" w:line="265" w:lineRule="auto"/>
        <w:tabs>
          <w:tab w:leader="none" w:pos="1867"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75" w:lineRule="exact"/>
        <w:rPr>
          <w:rFonts w:ascii="Arial" w:cs="Arial" w:eastAsia="Arial" w:hAnsi="Arial"/>
          <w:sz w:val="17"/>
          <w:szCs w:val="17"/>
          <w:color w:val="auto"/>
        </w:rPr>
      </w:pPr>
    </w:p>
    <w:p>
      <w:pPr>
        <w:ind w:left="1857" w:hanging="622"/>
        <w:spacing w:after="0"/>
        <w:tabs>
          <w:tab w:leader="none" w:pos="1857"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This Agreement shall constitute lawful, valid and enforceable obligations of Lender upon execution.</w:t>
      </w:r>
    </w:p>
    <w:p>
      <w:pPr>
        <w:spacing w:after="0" w:line="216" w:lineRule="exact"/>
        <w:rPr>
          <w:sz w:val="20"/>
          <w:szCs w:val="20"/>
          <w:color w:val="auto"/>
        </w:rPr>
      </w:pPr>
    </w:p>
    <w:p>
      <w:pPr>
        <w:ind w:left="1237" w:right="360" w:hanging="616"/>
        <w:spacing w:after="0" w:line="278" w:lineRule="auto"/>
        <w:tabs>
          <w:tab w:leader="none" w:pos="1217"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As of the date of this Agreement and during the Term through the date of termination or expiration of this Agreement, Borrower represents and warrants to Lender as follows:</w:t>
      </w:r>
    </w:p>
    <w:p>
      <w:pPr>
        <w:spacing w:after="0" w:line="165" w:lineRule="exact"/>
        <w:rPr>
          <w:sz w:val="20"/>
          <w:szCs w:val="20"/>
          <w:color w:val="auto"/>
        </w:rPr>
      </w:pPr>
    </w:p>
    <w:p>
      <w:pPr>
        <w:ind w:left="1857" w:right="220" w:hanging="622"/>
        <w:spacing w:after="0" w:line="278" w:lineRule="auto"/>
        <w:tabs>
          <w:tab w:leader="none" w:pos="185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Domestic Company is a limited liability company duly registered and existing under PRC law and Borrower is or will be the lawful holder of Borrower’s Equity.</w:t>
      </w:r>
    </w:p>
    <w:p>
      <w:pPr>
        <w:spacing w:after="0" w:line="164" w:lineRule="exact"/>
        <w:rPr>
          <w:rFonts w:ascii="Arial" w:cs="Arial" w:eastAsia="Arial" w:hAnsi="Arial"/>
          <w:sz w:val="17"/>
          <w:szCs w:val="17"/>
          <w:color w:val="auto"/>
        </w:rPr>
      </w:pPr>
    </w:p>
    <w:p>
      <w:pPr>
        <w:ind w:left="1857" w:hanging="622"/>
        <w:spacing w:after="0"/>
        <w:tabs>
          <w:tab w:leader="none" w:pos="185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Borrower has the power and capacity to execute and perform his obligations under this Agreement.</w:t>
      </w:r>
    </w:p>
    <w:p>
      <w:pPr>
        <w:spacing w:after="0" w:line="216" w:lineRule="exact"/>
        <w:rPr>
          <w:rFonts w:ascii="Arial" w:cs="Arial" w:eastAsia="Arial" w:hAnsi="Arial"/>
          <w:sz w:val="17"/>
          <w:szCs w:val="17"/>
          <w:color w:val="auto"/>
        </w:rPr>
      </w:pPr>
    </w:p>
    <w:p>
      <w:pPr>
        <w:ind w:left="1857" w:right="660" w:hanging="622"/>
        <w:spacing w:after="0" w:line="265" w:lineRule="auto"/>
        <w:tabs>
          <w:tab w:leader="none" w:pos="186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75" w:lineRule="exact"/>
        <w:rPr>
          <w:rFonts w:ascii="Arial" w:cs="Arial" w:eastAsia="Arial" w:hAnsi="Arial"/>
          <w:sz w:val="17"/>
          <w:szCs w:val="17"/>
          <w:color w:val="auto"/>
        </w:rPr>
      </w:pPr>
    </w:p>
    <w:p>
      <w:pPr>
        <w:ind w:left="1857" w:hanging="622"/>
        <w:spacing w:after="0"/>
        <w:tabs>
          <w:tab w:leader="none" w:pos="185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This Agreement shall constitute lawful, valid and enforceable obligations on Borrower upon execution.</w:t>
      </w:r>
    </w:p>
    <w:p>
      <w:pPr>
        <w:spacing w:after="0" w:line="21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57" w:hanging="622"/>
        <w:spacing w:after="0"/>
        <w:tabs>
          <w:tab w:leader="none" w:pos="185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w:t>
      </w:r>
    </w:p>
    <w:p>
      <w:pPr>
        <w:spacing w:after="0" w:line="32" w:lineRule="exact"/>
        <w:rPr>
          <w:rFonts w:ascii="Arial" w:cs="Arial" w:eastAsia="Arial" w:hAnsi="Arial"/>
          <w:sz w:val="16"/>
          <w:szCs w:val="16"/>
          <w:color w:val="auto"/>
        </w:rPr>
      </w:pPr>
    </w:p>
    <w:p>
      <w:pPr>
        <w:ind w:left="1857"/>
        <w:spacing w:after="0" w:line="255" w:lineRule="auto"/>
        <w:rPr>
          <w:rFonts w:ascii="Arial" w:cs="Arial" w:eastAsia="Arial" w:hAnsi="Arial"/>
          <w:sz w:val="16"/>
          <w:szCs w:val="16"/>
          <w:color w:val="auto"/>
        </w:rPr>
      </w:pPr>
      <w:r>
        <w:rPr>
          <w:rFonts w:ascii="Arial" w:cs="Arial" w:eastAsia="Arial" w:hAnsi="Arial"/>
          <w:sz w:val="17"/>
          <w:szCs w:val="17"/>
          <w:color w:val="auto"/>
        </w:rPr>
        <w:t>(i) created any mortgage, pledge or other security interests on any whole or part of Borrower’s Equity, (ii) made any offer to any third party or accepted any offer made by any third party for the transfer of any whole or part of Borrower’s Equity, or (iii)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pacing w:after="0" w:line="185" w:lineRule="exact"/>
        <w:rPr>
          <w:rFonts w:ascii="Arial" w:cs="Arial" w:eastAsia="Arial" w:hAnsi="Arial"/>
          <w:sz w:val="16"/>
          <w:szCs w:val="16"/>
          <w:color w:val="auto"/>
        </w:rPr>
      </w:pPr>
    </w:p>
    <w:p>
      <w:pPr>
        <w:ind w:left="1857" w:right="100" w:hanging="622"/>
        <w:spacing w:after="0" w:line="265" w:lineRule="auto"/>
        <w:tabs>
          <w:tab w:leader="none" w:pos="186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9" w:lineRule="exact"/>
        <w:rPr>
          <w:rFonts w:ascii="Arial" w:cs="Arial" w:eastAsia="Arial" w:hAnsi="Arial"/>
          <w:sz w:val="17"/>
          <w:szCs w:val="17"/>
          <w:color w:val="auto"/>
        </w:rPr>
      </w:pPr>
    </w:p>
    <w:p>
      <w:pPr>
        <w:ind w:left="617" w:hanging="617"/>
        <w:spacing w:after="0"/>
        <w:tabs>
          <w:tab w:leader="none" w:pos="617"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Borrower’s Undertakings</w:t>
      </w:r>
    </w:p>
    <w:p>
      <w:pPr>
        <w:spacing w:after="0" w:line="222" w:lineRule="exact"/>
        <w:rPr>
          <w:rFonts w:ascii="Arial" w:cs="Arial" w:eastAsia="Arial" w:hAnsi="Arial"/>
          <w:sz w:val="17"/>
          <w:szCs w:val="17"/>
          <w:b w:val="1"/>
          <w:bCs w:val="1"/>
          <w:color w:val="auto"/>
        </w:rPr>
      </w:pPr>
    </w:p>
    <w:p>
      <w:pPr>
        <w:ind w:left="1237"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3.1.Borrower undertakes in his capacity as a shareholder of the Domestic Company that Borrower will, and together with the other shareholder(s) of the Domestic Company will cause the Domestic Company to (as applicable):</w:t>
      </w:r>
    </w:p>
    <w:p>
      <w:pPr>
        <w:sectPr>
          <w:pgSz w:w="11900" w:h="16838" w:orient="portrait"/>
          <w:cols w:equalWidth="0" w:num="1">
            <w:col w:w="11417"/>
          </w:cols>
          <w:pgMar w:left="243" w:top="127" w:right="239" w:bottom="0" w:gutter="0" w:footer="0" w:header="0"/>
        </w:sectPr>
      </w:pPr>
    </w:p>
    <w:bookmarkStart w:id="112" w:name="page113"/>
    <w:bookmarkEnd w:id="112"/>
    <w:p>
      <w:pPr>
        <w:ind w:left="1860" w:hanging="622"/>
        <w:spacing w:after="0"/>
        <w:tabs>
          <w:tab w:leader="none" w:pos="18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enter into the Transaction Documents.</w:t>
      </w:r>
    </w:p>
    <w:p>
      <w:pPr>
        <w:spacing w:after="0" w:line="216" w:lineRule="exact"/>
        <w:rPr>
          <w:rFonts w:ascii="Arial" w:cs="Arial" w:eastAsia="Arial" w:hAnsi="Arial"/>
          <w:sz w:val="17"/>
          <w:szCs w:val="17"/>
          <w:color w:val="auto"/>
        </w:rPr>
      </w:pPr>
    </w:p>
    <w:p>
      <w:pPr>
        <w:jc w:val="both"/>
        <w:ind w:left="1860" w:right="120" w:hanging="622"/>
        <w:spacing w:after="0" w:line="265" w:lineRule="auto"/>
        <w:tabs>
          <w:tab w:leader="none" w:pos="186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75" w:lineRule="exact"/>
        <w:rPr>
          <w:rFonts w:ascii="Arial" w:cs="Arial" w:eastAsia="Arial" w:hAnsi="Arial"/>
          <w:sz w:val="17"/>
          <w:szCs w:val="17"/>
          <w:color w:val="auto"/>
        </w:rPr>
      </w:pPr>
    </w:p>
    <w:p>
      <w:pPr>
        <w:ind w:left="1860" w:right="140" w:hanging="622"/>
        <w:spacing w:after="0" w:line="265" w:lineRule="auto"/>
        <w:tabs>
          <w:tab w:leader="none" w:pos="187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75" w:lineRule="exact"/>
        <w:rPr>
          <w:rFonts w:ascii="Arial" w:cs="Arial" w:eastAsia="Arial" w:hAnsi="Arial"/>
          <w:sz w:val="17"/>
          <w:szCs w:val="17"/>
          <w:color w:val="auto"/>
        </w:rPr>
      </w:pPr>
    </w:p>
    <w:p>
      <w:pPr>
        <w:ind w:left="1860" w:right="160" w:hanging="622"/>
        <w:spacing w:after="0" w:line="265" w:lineRule="auto"/>
        <w:tabs>
          <w:tab w:leader="none" w:pos="186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75" w:lineRule="exact"/>
        <w:rPr>
          <w:rFonts w:ascii="Arial" w:cs="Arial" w:eastAsia="Arial" w:hAnsi="Arial"/>
          <w:sz w:val="17"/>
          <w:szCs w:val="17"/>
          <w:color w:val="auto"/>
        </w:rPr>
      </w:pPr>
    </w:p>
    <w:p>
      <w:pPr>
        <w:ind w:left="1860" w:hanging="622"/>
        <w:spacing w:after="0"/>
        <w:tabs>
          <w:tab w:leader="none" w:pos="18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 without the prior written consent of Lender, grant any loan or credit to any person;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60" w:hanging="622"/>
        <w:spacing w:after="0"/>
        <w:tabs>
          <w:tab w:leader="none" w:pos="18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upon Lender’s request, provide to Lender all the information with respect to the operations and financial status of the Domestic Company;</w:t>
      </w:r>
    </w:p>
    <w:p>
      <w:pPr>
        <w:spacing w:after="0" w:line="239" w:lineRule="exact"/>
        <w:rPr>
          <w:rFonts w:ascii="Arial" w:cs="Arial" w:eastAsia="Arial" w:hAnsi="Arial"/>
          <w:sz w:val="15"/>
          <w:szCs w:val="15"/>
          <w:color w:val="auto"/>
        </w:rPr>
      </w:pPr>
    </w:p>
    <w:p>
      <w:pPr>
        <w:ind w:left="1860" w:right="260" w:hanging="622"/>
        <w:spacing w:after="0" w:line="278" w:lineRule="auto"/>
        <w:tabs>
          <w:tab w:leader="none" w:pos="18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not without the prior written consent of Lender, merge or amalgamate with or form any alliance with any person, or acquire or invest in any person;</w:t>
      </w:r>
    </w:p>
    <w:p>
      <w:pPr>
        <w:spacing w:after="0" w:line="164" w:lineRule="exact"/>
        <w:rPr>
          <w:rFonts w:ascii="Arial" w:cs="Arial" w:eastAsia="Arial" w:hAnsi="Arial"/>
          <w:sz w:val="17"/>
          <w:szCs w:val="17"/>
          <w:color w:val="auto"/>
        </w:rPr>
      </w:pPr>
    </w:p>
    <w:p>
      <w:pPr>
        <w:ind w:left="1860" w:right="40" w:hanging="622"/>
        <w:spacing w:after="0" w:line="278" w:lineRule="auto"/>
        <w:tabs>
          <w:tab w:leader="none" w:pos="186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immediately notify Lender of the occurrence or threat of any litigation, arbitration or administrative proceedings in relation to or involving its assets, businesses and revenues;</w:t>
      </w:r>
    </w:p>
    <w:p>
      <w:pPr>
        <w:spacing w:after="0" w:line="164" w:lineRule="exact"/>
        <w:rPr>
          <w:rFonts w:ascii="Arial" w:cs="Arial" w:eastAsia="Arial" w:hAnsi="Arial"/>
          <w:sz w:val="17"/>
          <w:szCs w:val="17"/>
          <w:color w:val="auto"/>
        </w:rPr>
      </w:pPr>
    </w:p>
    <w:p>
      <w:pPr>
        <w:ind w:left="1860" w:right="360" w:hanging="622"/>
        <w:spacing w:after="0" w:line="347" w:lineRule="auto"/>
        <w:tabs>
          <w:tab w:leader="none" w:pos="188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18" w:lineRule="exact"/>
        <w:rPr>
          <w:rFonts w:ascii="Arial" w:cs="Arial" w:eastAsia="Arial" w:hAnsi="Arial"/>
          <w:sz w:val="15"/>
          <w:szCs w:val="15"/>
          <w:color w:val="auto"/>
        </w:rPr>
      </w:pPr>
    </w:p>
    <w:p>
      <w:pPr>
        <w:ind w:left="1860" w:hanging="622"/>
        <w:spacing w:after="0" w:line="278" w:lineRule="auto"/>
        <w:tabs>
          <w:tab w:leader="none" w:pos="186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64" w:lineRule="exact"/>
        <w:rPr>
          <w:rFonts w:ascii="Arial" w:cs="Arial" w:eastAsia="Arial" w:hAnsi="Arial"/>
          <w:sz w:val="17"/>
          <w:szCs w:val="17"/>
          <w:color w:val="auto"/>
        </w:rPr>
      </w:pPr>
    </w:p>
    <w:p>
      <w:pPr>
        <w:ind w:left="1860" w:hanging="622"/>
        <w:spacing w:after="0"/>
        <w:tabs>
          <w:tab w:leader="none" w:pos="18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27" w:lineRule="exact"/>
        <w:rPr>
          <w:rFonts w:ascii="Arial" w:cs="Arial" w:eastAsia="Arial" w:hAnsi="Arial"/>
          <w:sz w:val="16"/>
          <w:szCs w:val="16"/>
          <w:color w:val="auto"/>
        </w:rPr>
      </w:pPr>
    </w:p>
    <w:p>
      <w:pPr>
        <w:ind w:left="1860" w:right="280" w:hanging="622"/>
        <w:spacing w:after="0" w:line="278" w:lineRule="auto"/>
        <w:tabs>
          <w:tab w:leader="none" w:pos="18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6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Borrower undertakes that during the Term, he shall:</w:t>
      </w:r>
    </w:p>
    <w:p>
      <w:pPr>
        <w:spacing w:after="0" w:line="216" w:lineRule="exact"/>
        <w:rPr>
          <w:sz w:val="20"/>
          <w:szCs w:val="20"/>
          <w:color w:val="auto"/>
        </w:rPr>
      </w:pPr>
    </w:p>
    <w:p>
      <w:pPr>
        <w:ind w:left="1860" w:right="200" w:hanging="622"/>
        <w:spacing w:after="0" w:line="347" w:lineRule="auto"/>
        <w:tabs>
          <w:tab w:leader="none" w:pos="185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18" w:lineRule="exact"/>
        <w:rPr>
          <w:rFonts w:ascii="Arial" w:cs="Arial" w:eastAsia="Arial" w:hAnsi="Arial"/>
          <w:sz w:val="15"/>
          <w:szCs w:val="15"/>
          <w:color w:val="auto"/>
        </w:rPr>
      </w:pPr>
    </w:p>
    <w:p>
      <w:pPr>
        <w:jc w:val="both"/>
        <w:ind w:left="1860" w:right="160" w:hanging="622"/>
        <w:spacing w:after="0" w:line="265" w:lineRule="auto"/>
        <w:tabs>
          <w:tab w:leader="none" w:pos="18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75" w:lineRule="exact"/>
        <w:rPr>
          <w:rFonts w:ascii="Arial" w:cs="Arial" w:eastAsia="Arial" w:hAnsi="Arial"/>
          <w:sz w:val="17"/>
          <w:szCs w:val="17"/>
          <w:color w:val="auto"/>
        </w:rPr>
      </w:pPr>
    </w:p>
    <w:p>
      <w:pPr>
        <w:ind w:left="1860" w:right="640" w:hanging="622"/>
        <w:spacing w:after="0" w:line="278" w:lineRule="auto"/>
        <w:tabs>
          <w:tab w:leader="none" w:pos="187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merger or alliance with any person or acquisition or investment in any person without the prior written consent of Lender;</w:t>
      </w:r>
    </w:p>
    <w:p>
      <w:pPr>
        <w:spacing w:after="0" w:line="164" w:lineRule="exact"/>
        <w:rPr>
          <w:rFonts w:ascii="Arial" w:cs="Arial" w:eastAsia="Arial" w:hAnsi="Arial"/>
          <w:sz w:val="17"/>
          <w:szCs w:val="17"/>
          <w:color w:val="auto"/>
        </w:rPr>
      </w:pPr>
    </w:p>
    <w:p>
      <w:pPr>
        <w:ind w:left="1860" w:right="40" w:hanging="622"/>
        <w:spacing w:after="0" w:line="278" w:lineRule="auto"/>
        <w:tabs>
          <w:tab w:leader="none" w:pos="18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immediately notify Lender of the occurrence or threat of any litigation, arbitration or administrative proceedings in relation to or involving Borrower’s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60" w:right="60" w:hanging="622"/>
        <w:spacing w:after="0" w:line="347" w:lineRule="auto"/>
        <w:tabs>
          <w:tab w:leader="none" w:pos="187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p>
      <w:pPr>
        <w:spacing w:after="0" w:line="118" w:lineRule="exact"/>
        <w:rPr>
          <w:rFonts w:ascii="Arial" w:cs="Arial" w:eastAsia="Arial" w:hAnsi="Arial"/>
          <w:sz w:val="15"/>
          <w:szCs w:val="15"/>
          <w:color w:val="auto"/>
        </w:rPr>
      </w:pPr>
    </w:p>
    <w:p>
      <w:pPr>
        <w:ind w:left="1860" w:hanging="622"/>
        <w:spacing w:after="0"/>
        <w:tabs>
          <w:tab w:leader="none" w:pos="186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refrain from taking any action that may have a material adverse impact on the assets, business and liabilities of the Domestic Company;</w:t>
      </w:r>
    </w:p>
    <w:p>
      <w:pPr>
        <w:spacing w:after="0" w:line="239" w:lineRule="exact"/>
        <w:rPr>
          <w:rFonts w:ascii="Arial" w:cs="Arial" w:eastAsia="Arial" w:hAnsi="Arial"/>
          <w:sz w:val="15"/>
          <w:szCs w:val="15"/>
          <w:color w:val="auto"/>
        </w:rPr>
      </w:pPr>
    </w:p>
    <w:p>
      <w:pPr>
        <w:ind w:left="1860" w:right="100" w:hanging="622"/>
        <w:spacing w:after="0" w:line="278" w:lineRule="auto"/>
        <w:tabs>
          <w:tab w:leader="none" w:pos="188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at the request of Lender, appoint the persons designated by Lender as directors of the Domestic Company (unless otherwise agreed by the Parties);</w:t>
      </w:r>
    </w:p>
    <w:p>
      <w:pPr>
        <w:spacing w:after="0" w:line="164" w:lineRule="exact"/>
        <w:rPr>
          <w:rFonts w:ascii="Arial" w:cs="Arial" w:eastAsia="Arial" w:hAnsi="Arial"/>
          <w:sz w:val="17"/>
          <w:szCs w:val="17"/>
          <w:color w:val="auto"/>
        </w:rPr>
      </w:pPr>
    </w:p>
    <w:p>
      <w:pPr>
        <w:ind w:left="1860" w:right="140" w:hanging="622"/>
        <w:spacing w:after="0" w:line="278" w:lineRule="auto"/>
        <w:tabs>
          <w:tab w:leader="none" w:pos="186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to the extent permitted by PRC laws, at the request of Lender at any time, promptly and unconditionally transfer all or part of Borrower’s Equity to Lender or Lender’s designated person(s) at any time;</w:t>
      </w:r>
    </w:p>
    <w:p>
      <w:pPr>
        <w:spacing w:after="0" w:line="164" w:lineRule="exact"/>
        <w:rPr>
          <w:rFonts w:ascii="Arial" w:cs="Arial" w:eastAsia="Arial" w:hAnsi="Arial"/>
          <w:sz w:val="17"/>
          <w:szCs w:val="17"/>
          <w:color w:val="auto"/>
        </w:rPr>
      </w:pPr>
    </w:p>
    <w:p>
      <w:pPr>
        <w:ind w:left="1860" w:right="40" w:hanging="622"/>
        <w:spacing w:after="0" w:line="261" w:lineRule="auto"/>
        <w:tabs>
          <w:tab w:leader="none" w:pos="188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72" w:lineRule="exact"/>
        <w:rPr>
          <w:rFonts w:ascii="Arial" w:cs="Arial" w:eastAsia="Arial" w:hAnsi="Arial"/>
          <w:sz w:val="17"/>
          <w:szCs w:val="17"/>
          <w:color w:val="auto"/>
        </w:rPr>
      </w:pPr>
    </w:p>
    <w:p>
      <w:pPr>
        <w:ind w:left="620" w:hanging="617"/>
        <w:spacing w:after="0"/>
        <w:tabs>
          <w:tab w:leader="none" w:pos="62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Liability for Default</w:t>
      </w:r>
    </w:p>
    <w:p>
      <w:pPr>
        <w:spacing w:after="0" w:line="222" w:lineRule="exact"/>
        <w:rPr>
          <w:rFonts w:ascii="Arial" w:cs="Arial" w:eastAsia="Arial" w:hAnsi="Arial"/>
          <w:sz w:val="17"/>
          <w:szCs w:val="17"/>
          <w:b w:val="1"/>
          <w:bCs w:val="1"/>
          <w:color w:val="auto"/>
        </w:rPr>
      </w:pPr>
    </w:p>
    <w:p>
      <w:pPr>
        <w:ind w:left="1240" w:right="100" w:hanging="617"/>
        <w:spacing w:after="0" w:line="347" w:lineRule="auto"/>
        <w:rPr>
          <w:rFonts w:ascii="Arial" w:cs="Arial" w:eastAsia="Arial" w:hAnsi="Arial"/>
          <w:sz w:val="17"/>
          <w:szCs w:val="17"/>
          <w:b w:val="1"/>
          <w:bCs w:val="1"/>
          <w:color w:val="auto"/>
        </w:rPr>
      </w:pPr>
      <w:r>
        <w:rPr>
          <w:rFonts w:ascii="Arial" w:cs="Arial" w:eastAsia="Arial" w:hAnsi="Arial"/>
          <w:sz w:val="17"/>
          <w:szCs w:val="17"/>
          <w:color w:val="auto"/>
        </w:rPr>
        <w:t>4.1.</w:t>
      </w:r>
      <w:r>
        <w:rPr>
          <w:rFonts w:ascii="Arial" w:cs="Arial" w:eastAsia="Arial" w:hAnsi="Arial"/>
          <w:sz w:val="15"/>
          <w:szCs w:val="15"/>
          <w:color w:val="auto"/>
        </w:rPr>
        <w:t>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w:t>
      </w:r>
    </w:p>
    <w:p>
      <w:pPr>
        <w:sectPr>
          <w:pgSz w:w="11900" w:h="16838" w:orient="portrait"/>
          <w:cols w:equalWidth="0" w:num="1">
            <w:col w:w="11420"/>
          </w:cols>
          <w:pgMar w:left="240" w:top="333" w:right="239" w:bottom="0" w:gutter="0" w:footer="0" w:header="0"/>
        </w:sectPr>
      </w:pPr>
    </w:p>
    <w:bookmarkStart w:id="113" w:name="page114"/>
    <w:bookmarkEnd w:id="113"/>
    <w:p>
      <w:pPr>
        <w:ind w:left="1237"/>
        <w:spacing w:after="0"/>
        <w:rPr>
          <w:sz w:val="20"/>
          <w:szCs w:val="20"/>
          <w:color w:val="auto"/>
        </w:rPr>
      </w:pPr>
      <w:r>
        <w:rPr>
          <w:rFonts w:ascii="Arial" w:cs="Arial" w:eastAsia="Arial" w:hAnsi="Arial"/>
          <w:sz w:val="17"/>
          <w:szCs w:val="17"/>
          <w:color w:val="auto"/>
        </w:rPr>
        <w:t>interest thereon and any other amounts due and payable.</w:t>
      </w:r>
    </w:p>
    <w:p>
      <w:pPr>
        <w:spacing w:after="0" w:line="216" w:lineRule="exact"/>
        <w:rPr>
          <w:sz w:val="20"/>
          <w:szCs w:val="20"/>
          <w:color w:val="auto"/>
        </w:rPr>
      </w:pPr>
    </w:p>
    <w:p>
      <w:pPr>
        <w:ind w:left="1237" w:right="240" w:hanging="616"/>
        <w:spacing w:after="0" w:line="278" w:lineRule="auto"/>
        <w:tabs>
          <w:tab w:leader="none" w:pos="1217"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59" w:lineRule="exact"/>
        <w:rPr>
          <w:sz w:val="20"/>
          <w:szCs w:val="20"/>
          <w:color w:val="auto"/>
        </w:rPr>
      </w:pPr>
    </w:p>
    <w:p>
      <w:pPr>
        <w:ind w:left="617" w:hanging="617"/>
        <w:spacing w:after="0"/>
        <w:tabs>
          <w:tab w:leader="none" w:pos="617"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22" w:lineRule="exact"/>
        <w:rPr>
          <w:rFonts w:ascii="Arial" w:cs="Arial" w:eastAsia="Arial" w:hAnsi="Arial"/>
          <w:sz w:val="17"/>
          <w:szCs w:val="17"/>
          <w:b w:val="1"/>
          <w:bCs w:val="1"/>
          <w:color w:val="auto"/>
        </w:rPr>
      </w:pPr>
    </w:p>
    <w:p>
      <w:pPr>
        <w:ind w:left="617" w:right="100"/>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7"/>
        <w:spacing w:after="0"/>
        <w:rPr>
          <w:sz w:val="20"/>
          <w:szCs w:val="20"/>
          <w:color w:val="auto"/>
        </w:rPr>
      </w:pPr>
      <w:r>
        <w:rPr>
          <w:rFonts w:ascii="Arial" w:cs="Arial" w:eastAsia="Arial" w:hAnsi="Arial"/>
          <w:sz w:val="17"/>
          <w:szCs w:val="17"/>
          <w:b w:val="1"/>
          <w:bCs w:val="1"/>
          <w:color w:val="auto"/>
        </w:rPr>
        <w:t>If to Lender:  NetEase Youdao Information Technology (Beijing) Co., Ltd.</w:t>
      </w:r>
    </w:p>
    <w:p>
      <w:pPr>
        <w:sectPr>
          <w:pgSz w:w="11900" w:h="16838" w:orient="portrait"/>
          <w:cols w:equalWidth="0" w:num="1">
            <w:col w:w="11417"/>
          </w:cols>
          <w:pgMar w:left="243" w:top="127" w:right="239" w:bottom="0" w:gutter="0" w:footer="0" w:header="0"/>
        </w:sectPr>
      </w:pPr>
    </w:p>
    <w:p>
      <w:pPr>
        <w:spacing w:after="0" w:line="222" w:lineRule="exact"/>
        <w:rPr>
          <w:sz w:val="20"/>
          <w:szCs w:val="20"/>
          <w:color w:val="auto"/>
        </w:rPr>
      </w:pPr>
    </w:p>
    <w:p>
      <w:pPr>
        <w:ind w:left="1737"/>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1/F, Tower C, Building No. 7, West Zone Zhongguancun Software Park (Phase II)</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No. 10 Xibeiwang East Road, Haidian District</w:t>
      </w:r>
    </w:p>
    <w:p>
      <w:pPr>
        <w:spacing w:after="0" w:line="200" w:lineRule="exact"/>
        <w:rPr>
          <w:sz w:val="20"/>
          <w:szCs w:val="20"/>
          <w:color w:val="auto"/>
        </w:rPr>
      </w:pPr>
    </w:p>
    <w:p>
      <w:pPr>
        <w:sectPr>
          <w:pgSz w:w="11900" w:h="16838" w:orient="portrait"/>
          <w:cols w:equalWidth="0" w:num="2">
            <w:col w:w="2337" w:space="720"/>
            <w:col w:w="8360"/>
          </w:cols>
          <w:pgMar w:left="243" w:top="127" w:right="239" w:bottom="0" w:gutter="0" w:footer="0" w:header="0"/>
          <w:type w:val="continuous"/>
        </w:sectPr>
      </w:pPr>
    </w:p>
    <w:p>
      <w:pPr>
        <w:spacing w:after="0" w:line="5" w:lineRule="exact"/>
        <w:rPr>
          <w:sz w:val="20"/>
          <w:szCs w:val="20"/>
          <w:color w:val="auto"/>
        </w:rPr>
      </w:pPr>
    </w:p>
    <w:p>
      <w:pPr>
        <w:ind w:left="1737"/>
        <w:spacing w:after="0"/>
        <w:rPr>
          <w:sz w:val="20"/>
          <w:szCs w:val="20"/>
          <w:color w:val="auto"/>
        </w:rPr>
      </w:pPr>
      <w:r>
        <w:rPr>
          <w:rFonts w:ascii="Arial" w:cs="Arial" w:eastAsia="Arial" w:hAnsi="Arial"/>
          <w:sz w:val="15"/>
          <w:szCs w:val="15"/>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86-10-82558135</w:t>
      </w:r>
    </w:p>
    <w:p>
      <w:pPr>
        <w:spacing w:after="0" w:line="200" w:lineRule="exact"/>
        <w:rPr>
          <w:sz w:val="20"/>
          <w:szCs w:val="20"/>
          <w:color w:val="auto"/>
        </w:rPr>
      </w:pPr>
    </w:p>
    <w:p>
      <w:pPr>
        <w:sectPr>
          <w:pgSz w:w="11900" w:h="16838" w:orient="portrait"/>
          <w:cols w:equalWidth="0" w:num="2">
            <w:col w:w="2337" w:space="720"/>
            <w:col w:w="8360"/>
          </w:cols>
          <w:pgMar w:left="243" w:top="127" w:right="239" w:bottom="0" w:gutter="0" w:footer="0" w:header="0"/>
          <w:type w:val="continuous"/>
        </w:sectPr>
      </w:pPr>
    </w:p>
    <w:p>
      <w:pPr>
        <w:spacing w:after="0" w:line="39" w:lineRule="exact"/>
        <w:rPr>
          <w:sz w:val="20"/>
          <w:szCs w:val="20"/>
          <w:color w:val="auto"/>
        </w:rPr>
      </w:pPr>
    </w:p>
    <w:p>
      <w:pPr>
        <w:ind w:left="1737"/>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zf@rd.netease.com</w:t>
      </w:r>
    </w:p>
    <w:p>
      <w:pPr>
        <w:spacing w:after="0" w:line="200" w:lineRule="exact"/>
        <w:rPr>
          <w:sz w:val="20"/>
          <w:szCs w:val="20"/>
          <w:color w:val="auto"/>
        </w:rPr>
      </w:pPr>
    </w:p>
    <w:p>
      <w:pPr>
        <w:sectPr>
          <w:pgSz w:w="11900" w:h="16838" w:orient="portrait"/>
          <w:cols w:equalWidth="0" w:num="2">
            <w:col w:w="2337" w:space="720"/>
            <w:col w:w="8360"/>
          </w:cols>
          <w:pgMar w:left="243" w:top="127" w:right="239" w:bottom="0" w:gutter="0" w:footer="0" w:header="0"/>
          <w:type w:val="continuous"/>
        </w:sectPr>
      </w:pPr>
    </w:p>
    <w:p>
      <w:pPr>
        <w:spacing w:after="0" w:line="39" w:lineRule="exact"/>
        <w:rPr>
          <w:sz w:val="20"/>
          <w:szCs w:val="20"/>
          <w:color w:val="auto"/>
        </w:rPr>
      </w:pPr>
    </w:p>
    <w:p>
      <w:pPr>
        <w:ind w:left="1737"/>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Feng Zhou</w:t>
      </w:r>
    </w:p>
    <w:p>
      <w:pPr>
        <w:spacing w:after="0" w:line="211" w:lineRule="exact"/>
        <w:rPr>
          <w:sz w:val="20"/>
          <w:szCs w:val="20"/>
          <w:color w:val="auto"/>
        </w:rPr>
      </w:pPr>
    </w:p>
    <w:p>
      <w:pPr>
        <w:sectPr>
          <w:pgSz w:w="11900" w:h="16838" w:orient="portrait"/>
          <w:cols w:equalWidth="0" w:num="2">
            <w:col w:w="2417" w:space="640"/>
            <w:col w:w="8360"/>
          </w:cols>
          <w:pgMar w:left="243" w:top="127" w:right="239" w:bottom="0" w:gutter="0" w:footer="0" w:header="0"/>
          <w:type w:val="continuous"/>
        </w:sectPr>
      </w:pPr>
    </w:p>
    <w:p>
      <w:pPr>
        <w:spacing w:after="0" w:line="22" w:lineRule="exact"/>
        <w:rPr>
          <w:sz w:val="20"/>
          <w:szCs w:val="20"/>
          <w:color w:val="auto"/>
        </w:rPr>
      </w:pPr>
    </w:p>
    <w:p>
      <w:pPr>
        <w:ind w:left="617"/>
        <w:spacing w:after="0"/>
        <w:rPr>
          <w:sz w:val="20"/>
          <w:szCs w:val="20"/>
          <w:color w:val="auto"/>
        </w:rPr>
      </w:pPr>
      <w:r>
        <w:rPr>
          <w:rFonts w:ascii="Arial" w:cs="Arial" w:eastAsia="Arial" w:hAnsi="Arial"/>
          <w:sz w:val="17"/>
          <w:szCs w:val="17"/>
          <w:b w:val="1"/>
          <w:bCs w:val="1"/>
          <w:color w:val="auto"/>
        </w:rPr>
        <w:t xml:space="preserve">If to Borrower: </w:t>
      </w:r>
      <w:r>
        <w:rPr>
          <w:rFonts w:ascii="Arial" w:cs="Arial" w:eastAsia="Arial" w:hAnsi="Arial"/>
          <w:sz w:val="17"/>
          <w:szCs w:val="17"/>
          <w:color w:val="auto"/>
        </w:rPr>
        <w:t>William Lei Ding</w:t>
      </w:r>
    </w:p>
    <w:p>
      <w:pPr>
        <w:spacing w:after="0" w:line="222" w:lineRule="exact"/>
        <w:rPr>
          <w:sz w:val="20"/>
          <w:szCs w:val="20"/>
          <w:color w:val="auto"/>
        </w:rPr>
      </w:pPr>
    </w:p>
    <w:p>
      <w:pPr>
        <w:ind w:left="1737"/>
        <w:spacing w:after="0"/>
        <w:tabs>
          <w:tab w:leader="none" w:pos="3037"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Room 6-401, A90, Shuguang Road, Jiangdong District, Ningbo, Zhejiang Province</w:t>
      </w:r>
    </w:p>
    <w:p>
      <w:pPr>
        <w:spacing w:after="0" w:line="216" w:lineRule="exact"/>
        <w:rPr>
          <w:sz w:val="20"/>
          <w:szCs w:val="20"/>
          <w:color w:val="auto"/>
        </w:rPr>
      </w:pPr>
    </w:p>
    <w:p>
      <w:pPr>
        <w:ind w:left="1737"/>
        <w:spacing w:after="0"/>
        <w:tabs>
          <w:tab w:leader="none" w:pos="3037" w:val="left"/>
        </w:tabs>
        <w:rPr>
          <w:sz w:val="20"/>
          <w:szCs w:val="20"/>
          <w:color w:val="auto"/>
        </w:rPr>
      </w:pPr>
      <w:r>
        <w:rPr>
          <w:rFonts w:ascii="Arial" w:cs="Arial" w:eastAsia="Arial" w:hAnsi="Arial"/>
          <w:sz w:val="17"/>
          <w:szCs w:val="17"/>
          <w:color w:val="auto"/>
        </w:rPr>
        <w:t>Fax:</w:t>
      </w:r>
      <w:r>
        <w:rPr>
          <w:sz w:val="20"/>
          <w:szCs w:val="20"/>
          <w:color w:val="auto"/>
        </w:rPr>
        <w:tab/>
      </w:r>
      <w:r>
        <w:rPr>
          <w:rFonts w:ascii="Arial" w:cs="Arial" w:eastAsia="Arial" w:hAnsi="Arial"/>
          <w:sz w:val="17"/>
          <w:szCs w:val="17"/>
          <w:color w:val="auto"/>
        </w:rPr>
        <w:t>0571-89852620</w:t>
      </w:r>
    </w:p>
    <w:p>
      <w:pPr>
        <w:spacing w:after="0" w:line="216" w:lineRule="exact"/>
        <w:rPr>
          <w:sz w:val="20"/>
          <w:szCs w:val="20"/>
          <w:color w:val="auto"/>
        </w:rPr>
      </w:pPr>
    </w:p>
    <w:p>
      <w:pPr>
        <w:ind w:left="1737"/>
        <w:spacing w:after="0"/>
        <w:tabs>
          <w:tab w:leader="none" w:pos="3037"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wding@corp.netease.com</w:t>
      </w:r>
    </w:p>
    <w:p>
      <w:pPr>
        <w:spacing w:after="0" w:line="210" w:lineRule="exact"/>
        <w:rPr>
          <w:sz w:val="20"/>
          <w:szCs w:val="20"/>
          <w:color w:val="auto"/>
        </w:rPr>
      </w:pPr>
    </w:p>
    <w:p>
      <w:pPr>
        <w:ind w:left="617" w:hanging="617"/>
        <w:spacing w:after="0"/>
        <w:tabs>
          <w:tab w:leader="none" w:pos="617"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p>
    <w:p>
      <w:pPr>
        <w:spacing w:after="0" w:line="222" w:lineRule="exact"/>
        <w:rPr>
          <w:rFonts w:ascii="Arial" w:cs="Arial" w:eastAsia="Arial" w:hAnsi="Arial"/>
          <w:sz w:val="17"/>
          <w:szCs w:val="17"/>
          <w:b w:val="1"/>
          <w:bCs w:val="1"/>
          <w:color w:val="auto"/>
        </w:rPr>
      </w:pPr>
    </w:p>
    <w:p>
      <w:pPr>
        <w:ind w:left="617" w:right="10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50" w:lineRule="exact"/>
        <w:rPr>
          <w:rFonts w:ascii="Arial" w:cs="Arial" w:eastAsia="Arial" w:hAnsi="Arial"/>
          <w:sz w:val="17"/>
          <w:szCs w:val="17"/>
          <w:b w:val="1"/>
          <w:bCs w:val="1"/>
          <w:color w:val="auto"/>
        </w:rPr>
      </w:pPr>
    </w:p>
    <w:p>
      <w:pPr>
        <w:ind w:left="617" w:hanging="617"/>
        <w:spacing w:after="0"/>
        <w:tabs>
          <w:tab w:leader="none" w:pos="617"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 and Dispute Resolution</w:t>
      </w:r>
    </w:p>
    <w:p>
      <w:pPr>
        <w:spacing w:after="0" w:line="222"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7.1.</w:t>
      </w:r>
      <w:r>
        <w:rPr>
          <w:rFonts w:ascii="Arial" w:cs="Arial" w:eastAsia="Arial" w:hAnsi="Arial"/>
          <w:sz w:val="15"/>
          <w:szCs w:val="15"/>
          <w:color w:val="auto"/>
        </w:rPr>
        <w:t>The formation, effect, interpretation, performance, amendment, termination and dispute resolution of this Agreement shall be governed by PRC law.</w:t>
      </w:r>
    </w:p>
    <w:p>
      <w:pPr>
        <w:spacing w:after="0" w:line="21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37" w:hanging="616"/>
        <w:spacing w:after="0" w:line="272" w:lineRule="auto"/>
        <w:tabs>
          <w:tab w:leader="none" w:pos="1217"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73" w:lineRule="exact"/>
        <w:rPr>
          <w:sz w:val="20"/>
          <w:szCs w:val="20"/>
          <w:color w:val="auto"/>
        </w:rPr>
      </w:pPr>
    </w:p>
    <w:p>
      <w:pPr>
        <w:ind w:left="1237" w:right="300" w:hanging="616"/>
        <w:spacing w:after="0" w:line="278" w:lineRule="auto"/>
        <w:tabs>
          <w:tab w:leader="none" w:pos="1217"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59" w:lineRule="exact"/>
        <w:rPr>
          <w:sz w:val="20"/>
          <w:szCs w:val="20"/>
          <w:color w:val="auto"/>
        </w:rPr>
      </w:pPr>
    </w:p>
    <w:p>
      <w:pPr>
        <w:ind w:left="617" w:hanging="617"/>
        <w:spacing w:after="0"/>
        <w:tabs>
          <w:tab w:leader="none" w:pos="617"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222" w:lineRule="exact"/>
        <w:rPr>
          <w:rFonts w:ascii="Arial" w:cs="Arial" w:eastAsia="Arial" w:hAnsi="Arial"/>
          <w:sz w:val="17"/>
          <w:szCs w:val="17"/>
          <w:b w:val="1"/>
          <w:bCs w:val="1"/>
          <w:color w:val="auto"/>
        </w:rPr>
      </w:pPr>
    </w:p>
    <w:p>
      <w:pPr>
        <w:ind w:left="1237" w:right="44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8.1.This Agreement shall become effective on the date hereof, and shall expire upon the date of full performance by the Parties of their respective obligations under this Agreement.</w:t>
      </w:r>
    </w:p>
    <w:p>
      <w:pPr>
        <w:spacing w:after="0" w:line="164"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8.2.</w:t>
      </w:r>
      <w:r>
        <w:rPr>
          <w:rFonts w:ascii="Arial" w:cs="Arial" w:eastAsia="Arial" w:hAnsi="Arial"/>
          <w:sz w:val="15"/>
          <w:szCs w:val="15"/>
          <w:color w:val="auto"/>
        </w:rPr>
        <w:t>This Agreement may not be amended or modified in any manner except by an instrument in writing signed by the Parties hereto.</w:t>
      </w:r>
    </w:p>
    <w:p>
      <w:pPr>
        <w:sectPr>
          <w:pgSz w:w="11900" w:h="16838" w:orient="portrait"/>
          <w:cols w:equalWidth="0" w:num="1">
            <w:col w:w="11417"/>
          </w:cols>
          <w:pgMar w:left="243" w:top="127" w:right="239" w:bottom="0" w:gutter="0" w:footer="0" w:header="0"/>
          <w:type w:val="continuous"/>
        </w:sectPr>
      </w:pPr>
    </w:p>
    <w:bookmarkStart w:id="114" w:name="page115"/>
    <w:bookmarkEnd w:id="114"/>
    <w:p>
      <w:pPr>
        <w:ind w:left="1240" w:right="60" w:hanging="616"/>
        <w:spacing w:after="0" w:line="282" w:lineRule="auto"/>
        <w:tabs>
          <w:tab w:leader="none" w:pos="12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80" w:hanging="616"/>
        <w:spacing w:after="0" w:line="289" w:lineRule="auto"/>
        <w:tabs>
          <w:tab w:leader="none" w:pos="122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59" w:lineRule="exact"/>
        <w:rPr>
          <w:sz w:val="20"/>
          <w:szCs w:val="20"/>
          <w:color w:val="auto"/>
        </w:rPr>
      </w:pPr>
    </w:p>
    <w:p>
      <w:pPr>
        <w:ind w:left="1240" w:right="220" w:hanging="616"/>
        <w:spacing w:after="0" w:line="301" w:lineRule="auto"/>
        <w:tabs>
          <w:tab w:leader="none" w:pos="122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5"/>
          <w:szCs w:val="15"/>
          <w:b w:val="1"/>
          <w:bCs w:val="1"/>
          <w:color w:val="auto"/>
        </w:rPr>
        <w:t>Applicable Requirements</w:t>
      </w:r>
      <w:r>
        <w:rPr>
          <w:rFonts w:ascii="Arial" w:cs="Arial" w:eastAsia="Arial" w:hAnsi="Arial"/>
          <w:sz w:val="15"/>
          <w:szCs w:val="15"/>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Agreement has been duly executed by the Parties as of the date first above written.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ind w:left="4760"/>
              <w:spacing w:after="0"/>
              <w:rPr>
                <w:sz w:val="20"/>
                <w:szCs w:val="20"/>
                <w:color w:val="auto"/>
              </w:rPr>
            </w:pPr>
            <w:r>
              <w:rPr>
                <w:rFonts w:ascii="Arial" w:cs="Arial" w:eastAsia="Arial" w:hAnsi="Arial"/>
                <w:sz w:val="17"/>
                <w:szCs w:val="17"/>
                <w:b w:val="1"/>
                <w:bCs w:val="1"/>
                <w:color w:val="auto"/>
              </w:rPr>
              <w:t>Lender:</w:t>
            </w:r>
          </w:p>
        </w:tc>
        <w:tc>
          <w:tcPr>
            <w:tcW w:w="5120" w:type="dxa"/>
            <w:vAlign w:val="bottom"/>
          </w:tcPr>
          <w:p>
            <w:pPr>
              <w:spacing w:after="0"/>
              <w:rPr>
                <w:sz w:val="20"/>
                <w:szCs w:val="20"/>
                <w:color w:val="auto"/>
              </w:rPr>
            </w:pPr>
            <w:r>
              <w:rPr>
                <w:rFonts w:ascii="Arial" w:cs="Arial" w:eastAsia="Arial" w:hAnsi="Arial"/>
                <w:sz w:val="17"/>
                <w:szCs w:val="17"/>
                <w:b w:val="1"/>
                <w:bCs w:val="1"/>
                <w:color w:val="auto"/>
              </w:rPr>
              <w:t>NetEase Youdao Information Technology (Beijing) Co., Ltd.</w:t>
            </w:r>
          </w:p>
        </w:tc>
        <w:tc>
          <w:tcPr>
            <w:tcW w:w="40" w:type="dxa"/>
            <w:vAlign w:val="bottom"/>
          </w:tcPr>
          <w:p>
            <w:pPr>
              <w:spacing w:after="0"/>
              <w:rPr>
                <w:sz w:val="18"/>
                <w:szCs w:val="18"/>
                <w:color w:val="auto"/>
              </w:rPr>
            </w:pPr>
          </w:p>
        </w:tc>
      </w:tr>
      <w:tr>
        <w:trPr>
          <w:trHeight w:val="217"/>
        </w:trPr>
        <w:tc>
          <w:tcPr>
            <w:tcW w:w="63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(Seal)</w:t>
            </w:r>
          </w:p>
        </w:tc>
        <w:tc>
          <w:tcPr>
            <w:tcW w:w="40" w:type="dxa"/>
            <w:vAlign w:val="bottom"/>
          </w:tcPr>
          <w:p>
            <w:pPr>
              <w:spacing w:after="0"/>
              <w:rPr>
                <w:sz w:val="18"/>
                <w:szCs w:val="18"/>
                <w:color w:val="auto"/>
              </w:rPr>
            </w:pPr>
          </w:p>
        </w:tc>
      </w:tr>
      <w:tr>
        <w:trPr>
          <w:trHeight w:val="412"/>
        </w:trPr>
        <w:tc>
          <w:tcPr>
            <w:tcW w:w="6300" w:type="dxa"/>
            <w:vAlign w:val="bottom"/>
          </w:tcPr>
          <w:p>
            <w:pPr>
              <w:ind w:left="4760"/>
              <w:spacing w:after="0"/>
              <w:rPr>
                <w:sz w:val="20"/>
                <w:szCs w:val="20"/>
                <w:color w:val="auto"/>
              </w:rPr>
            </w:pPr>
            <w:r>
              <w:rPr>
                <w:rFonts w:ascii="Arial" w:cs="Arial" w:eastAsia="Arial" w:hAnsi="Arial"/>
                <w:sz w:val="17"/>
                <w:szCs w:val="17"/>
                <w:b w:val="1"/>
                <w:bCs w:val="1"/>
                <w:color w:val="auto"/>
              </w:rPr>
              <w:t>Borrower:</w:t>
            </w:r>
          </w:p>
        </w:tc>
        <w:tc>
          <w:tcPr>
            <w:tcW w:w="5120" w:type="dxa"/>
            <w:vAlign w:val="bottom"/>
          </w:tcPr>
          <w:p>
            <w:pPr>
              <w:spacing w:after="0"/>
              <w:rPr>
                <w:sz w:val="20"/>
                <w:szCs w:val="20"/>
                <w:color w:val="auto"/>
              </w:rPr>
            </w:pPr>
            <w:r>
              <w:rPr>
                <w:rFonts w:ascii="Arial" w:cs="Arial" w:eastAsia="Arial" w:hAnsi="Arial"/>
                <w:sz w:val="17"/>
                <w:szCs w:val="17"/>
                <w:b w:val="1"/>
                <w:bCs w:val="1"/>
                <w:color w:val="auto"/>
              </w:rPr>
              <w:t>William Lei Ding</w:t>
            </w:r>
          </w:p>
        </w:tc>
        <w:tc>
          <w:tcPr>
            <w:tcW w:w="40" w:type="dxa"/>
            <w:vAlign w:val="bottom"/>
          </w:tcPr>
          <w:p>
            <w:pPr>
              <w:spacing w:after="0"/>
              <w:rPr>
                <w:sz w:val="24"/>
                <w:szCs w:val="24"/>
                <w:color w:val="auto"/>
              </w:rPr>
            </w:pPr>
          </w:p>
        </w:tc>
      </w:tr>
      <w:tr>
        <w:trPr>
          <w:trHeight w:val="412"/>
        </w:trPr>
        <w:tc>
          <w:tcPr>
            <w:tcW w:w="630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Lei Ding</w:t>
            </w:r>
          </w:p>
        </w:tc>
        <w:tc>
          <w:tcPr>
            <w:tcW w:w="40" w:type="dxa"/>
            <w:vAlign w:val="bottom"/>
          </w:tcPr>
          <w:p>
            <w:pPr>
              <w:spacing w:after="0"/>
              <w:rPr>
                <w:sz w:val="24"/>
                <w:szCs w:val="24"/>
                <w:color w:val="auto"/>
              </w:rPr>
            </w:pPr>
          </w:p>
        </w:tc>
      </w:tr>
      <w:tr>
        <w:trPr>
          <w:trHeight w:val="324"/>
        </w:trPr>
        <w:tc>
          <w:tcPr>
            <w:tcW w:w="630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SUPPLEMENTAL AGREEMENT TO LOAN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SUPPLEMENTAL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Supplemental Agreement</w:t>
      </w:r>
      <w:r>
        <w:rPr>
          <w:rFonts w:ascii="Arial" w:cs="Arial" w:eastAsia="Arial" w:hAnsi="Arial"/>
          <w:sz w:val="16"/>
          <w:szCs w:val="16"/>
          <w:color w:val="auto"/>
        </w:rPr>
        <w:t>”) to that certain Loan Agreement dated September 26, 2016 (as the same may be</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amended and supplemented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by and between NetEase Youdao Information Technology (Beijing) Co., Ltd. (“</w:t>
      </w:r>
      <w:r>
        <w:rPr>
          <w:rFonts w:ascii="Arial" w:cs="Arial" w:eastAsia="Arial" w:hAnsi="Arial"/>
          <w:sz w:val="17"/>
          <w:szCs w:val="17"/>
          <w:b w:val="1"/>
          <w:bCs w:val="1"/>
          <w:color w:val="auto"/>
        </w:rPr>
        <w:t>Lender</w:t>
      </w:r>
      <w:r>
        <w:rPr>
          <w:rFonts w:ascii="Arial" w:cs="Arial" w:eastAsia="Arial" w:hAnsi="Arial"/>
          <w:sz w:val="17"/>
          <w:szCs w:val="17"/>
          <w:color w:val="auto"/>
        </w:rPr>
        <w:t>”), a Wholly foreign owned enterprise incorporated in the People’s Republic of China (the “</w:t>
      </w:r>
      <w:r>
        <w:rPr>
          <w:rFonts w:ascii="Arial" w:cs="Arial" w:eastAsia="Arial" w:hAnsi="Arial"/>
          <w:sz w:val="17"/>
          <w:szCs w:val="17"/>
          <w:b w:val="1"/>
          <w:bCs w:val="1"/>
          <w:color w:val="auto"/>
        </w:rPr>
        <w:t>PRC</w:t>
      </w:r>
      <w:r>
        <w:rPr>
          <w:rFonts w:ascii="Arial" w:cs="Arial" w:eastAsia="Arial" w:hAnsi="Arial"/>
          <w:sz w:val="17"/>
          <w:szCs w:val="17"/>
          <w:color w:val="auto"/>
        </w:rPr>
        <w:t>”), and William Lei Ding (“</w:t>
      </w:r>
      <w:r>
        <w:rPr>
          <w:rFonts w:ascii="Arial" w:cs="Arial" w:eastAsia="Arial" w:hAnsi="Arial"/>
          <w:sz w:val="17"/>
          <w:szCs w:val="17"/>
          <w:b w:val="1"/>
          <w:bCs w:val="1"/>
          <w:color w:val="auto"/>
        </w:rPr>
        <w:t>Borrower</w:t>
      </w:r>
      <w:r>
        <w:rPr>
          <w:rFonts w:ascii="Arial" w:cs="Arial" w:eastAsia="Arial" w:hAnsi="Arial"/>
          <w:sz w:val="17"/>
          <w:szCs w:val="17"/>
          <w:color w:val="auto"/>
        </w:rPr>
        <w:t>”), a citizen of the PRC and owner of 71.073% of the equity interests of Beijing NetEase Youdao Computer System Co., Ltd. (the “</w:t>
      </w:r>
      <w:r>
        <w:rPr>
          <w:rFonts w:ascii="Arial" w:cs="Arial" w:eastAsia="Arial" w:hAnsi="Arial"/>
          <w:sz w:val="17"/>
          <w:szCs w:val="17"/>
          <w:b w:val="1"/>
          <w:bCs w:val="1"/>
          <w:color w:val="auto"/>
        </w:rPr>
        <w:t>Domestic Company</w:t>
      </w:r>
      <w:r>
        <w:rPr>
          <w:rFonts w:ascii="Arial" w:cs="Arial" w:eastAsia="Arial" w:hAnsi="Arial"/>
          <w:sz w:val="17"/>
          <w:szCs w:val="17"/>
          <w:color w:val="auto"/>
        </w:rPr>
        <w:t>”). Lender and Borrower are hereinafter collectively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each individually as a “</w:t>
      </w:r>
      <w:r>
        <w:rPr>
          <w:rFonts w:ascii="Arial" w:cs="Arial" w:eastAsia="Arial" w:hAnsi="Arial"/>
          <w:sz w:val="17"/>
          <w:szCs w:val="17"/>
          <w:b w:val="1"/>
          <w:bCs w:val="1"/>
          <w:color w:val="auto"/>
        </w:rPr>
        <w:t>Party</w:t>
      </w:r>
      <w:r>
        <w:rPr>
          <w:rFonts w:ascii="Arial" w:cs="Arial" w:eastAsia="Arial" w:hAnsi="Arial"/>
          <w:sz w:val="17"/>
          <w:szCs w:val="17"/>
          <w:color w:val="auto"/>
        </w:rPr>
        <w:t>.” Capitalized terms used herein and not otherwise defined shall have the respective meanings assigned to them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-551815</wp:posOffset>
            </wp:positionV>
            <wp:extent cx="516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pacing w:after="0" w:line="15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to supplement the Agreement in connection with the extension of a new loan from Lender to Borrower in connection with an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Company’s registered capital, as herein provided.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agreements contained herein and subject to the terms and conditions herein set forth, the Parties agree that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Agreement is hereby amended and supplemented as follows:</w:t>
      </w:r>
    </w:p>
    <w:p>
      <w:pPr>
        <w:spacing w:after="0" w:line="199" w:lineRule="exact"/>
        <w:rPr>
          <w:sz w:val="20"/>
          <w:szCs w:val="20"/>
          <w:color w:val="auto"/>
        </w:rPr>
      </w:pPr>
    </w:p>
    <w:p>
      <w:pPr>
        <w:spacing w:after="0"/>
        <w:tabs>
          <w:tab w:leader="none" w:pos="600" w:val="left"/>
          <w:tab w:leader="none" w:pos="84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Lender agrees to provide an additional loan to Borrower with an aggregate principal amount of RMB</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Additional Loan</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-5715</wp:posOffset>
            </wp:positionV>
            <wp:extent cx="516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pacing w:after="0" w:line="202" w:lineRule="exact"/>
        <w:rPr>
          <w:sz w:val="20"/>
          <w:szCs w:val="20"/>
          <w:color w:val="auto"/>
        </w:rPr>
      </w:pPr>
    </w:p>
    <w:p>
      <w:pPr>
        <w:ind w:left="620" w:right="460" w:hanging="617"/>
        <w:spacing w:after="0" w:line="278" w:lineRule="auto"/>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Borrower confirms that he has received the total amount of the Additional Loan and has invested it into the Domestic Company as an additional capital contribution.</w:t>
      </w:r>
    </w:p>
    <w:p>
      <w:pPr>
        <w:spacing w:after="0" w:line="164" w:lineRule="exact"/>
        <w:rPr>
          <w:rFonts w:ascii="Arial" w:cs="Arial" w:eastAsia="Arial" w:hAnsi="Arial"/>
          <w:sz w:val="17"/>
          <w:szCs w:val="17"/>
          <w:color w:val="auto"/>
        </w:rPr>
      </w:pPr>
    </w:p>
    <w:p>
      <w:pPr>
        <w:ind w:left="620" w:right="40" w:hanging="617"/>
        <w:spacing w:after="0" w:line="265" w:lineRule="auto"/>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p>
      <w:pPr>
        <w:spacing w:after="0" w:line="175" w:lineRule="exact"/>
        <w:rPr>
          <w:rFonts w:ascii="Arial" w:cs="Arial" w:eastAsia="Arial" w:hAnsi="Arial"/>
          <w:sz w:val="17"/>
          <w:szCs w:val="17"/>
          <w:color w:val="auto"/>
        </w:rPr>
      </w:pPr>
    </w:p>
    <w:p>
      <w:pPr>
        <w:ind w:left="620" w:right="240" w:hanging="617"/>
        <w:spacing w:after="0" w:line="278" w:lineRule="auto"/>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Articles 6, 7 and 8 of the Agreement are hereby incorporated into this Supplemental Agreement by this reference.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left="620" w:right="440" w:hanging="617"/>
        <w:spacing w:after="0" w:line="278" w:lineRule="auto"/>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27" w:lineRule="exact"/>
        <w:rPr>
          <w:rFonts w:ascii="Arial" w:cs="Arial" w:eastAsia="Arial" w:hAnsi="Arial"/>
          <w:sz w:val="16"/>
          <w:szCs w:val="16"/>
          <w:color w:val="auto"/>
        </w:rPr>
      </w:pPr>
    </w:p>
    <w:p>
      <w:pPr>
        <w:ind w:left="620" w:right="500" w:hanging="617"/>
        <w:spacing w:after="0" w:line="278" w:lineRule="auto"/>
        <w:tabs>
          <w:tab w:leader="none" w:pos="6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-1302385</wp:posOffset>
            </wp:positionV>
            <wp:extent cx="7273925"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115" w:name="page116"/>
    <w:bookmarkEnd w:id="115"/>
    <w:p>
      <w:pPr>
        <w:jc w:val="center"/>
        <w:ind w:right="-739"/>
        <w:spacing w:after="0"/>
        <w:rPr>
          <w:sz w:val="20"/>
          <w:szCs w:val="20"/>
          <w:color w:val="auto"/>
        </w:rPr>
      </w:pPr>
      <w:r>
        <w:rPr>
          <w:rFonts w:ascii="Arial" w:cs="Arial" w:eastAsia="Arial" w:hAnsi="Arial"/>
          <w:sz w:val="17"/>
          <w:szCs w:val="17"/>
          <w:i w:val="1"/>
          <w:iCs w:val="1"/>
          <w:color w:val="auto"/>
        </w:rPr>
        <w:t>[Signature page follows]</w:t>
      </w:r>
    </w:p>
    <w:p>
      <w:pPr>
        <w:spacing w:after="0" w:line="216" w:lineRule="exact"/>
        <w:rPr>
          <w:sz w:val="20"/>
          <w:szCs w:val="20"/>
          <w:color w:val="auto"/>
        </w:rPr>
      </w:pPr>
    </w:p>
    <w:p>
      <w:pPr>
        <w:ind w:left="5400"/>
        <w:spacing w:after="0"/>
        <w:rPr>
          <w:sz w:val="20"/>
          <w:szCs w:val="20"/>
          <w:color w:val="auto"/>
        </w:rPr>
      </w:pPr>
      <w:r>
        <w:rPr>
          <w:rFonts w:ascii="Arial" w:cs="Arial" w:eastAsia="Arial" w:hAnsi="Arial"/>
          <w:sz w:val="17"/>
          <w:szCs w:val="17"/>
          <w:i w:val="1"/>
          <w:i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273925" cy="29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Supplemental Agreement has been signed by the Parties hereto as of the date first written above.</w:t>
      </w:r>
    </w:p>
    <w:p>
      <w:pPr>
        <w:sectPr>
          <w:pgSz w:w="11900" w:h="16838" w:orient="portrait"/>
          <w:cols w:equalWidth="0" w:num="1">
            <w:col w:w="10680"/>
          </w:cols>
          <w:pgMar w:left="240" w:top="127" w:right="979" w:bottom="1440" w:gutter="0" w:footer="0" w:header="0"/>
        </w:sectPr>
      </w:pPr>
    </w:p>
    <w:p>
      <w:pPr>
        <w:spacing w:after="0" w:line="239"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NetEase Youdao Information Technology (Beijing) Co., Ltd.</w:t>
      </w:r>
    </w:p>
    <w:p>
      <w:pPr>
        <w:spacing w:after="0" w:line="211" w:lineRule="exact"/>
        <w:rPr>
          <w:sz w:val="20"/>
          <w:szCs w:val="20"/>
          <w:color w:val="auto"/>
        </w:rPr>
      </w:pPr>
    </w:p>
    <w:p>
      <w:pPr>
        <w:sectPr>
          <w:pgSz w:w="11900" w:h="16838" w:orient="portrait"/>
          <w:cols w:equalWidth="0" w:num="2">
            <w:col w:w="5580" w:space="720"/>
            <w:col w:w="4380"/>
          </w:cols>
          <w:pgMar w:left="240" w:top="127" w:right="9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32588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380"/>
          </w:cols>
          <w:pgMar w:left="240" w:top="127" w:right="97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15"/>
          <w:szCs w:val="15"/>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273925" cy="29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0680"/>
          </w:cols>
          <w:pgMar w:left="240" w:top="127" w:right="97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4.52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PLEDGE AGREEMENT</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Equity Pledge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among the following parties on September 26, 2016:</w:t>
      </w:r>
    </w:p>
    <w:p>
      <w:pPr>
        <w:spacing w:after="0" w:line="216" w:lineRule="exact"/>
        <w:rPr>
          <w:sz w:val="20"/>
          <w:szCs w:val="20"/>
          <w:color w:val="auto"/>
        </w:rPr>
      </w:pPr>
    </w:p>
    <w:p>
      <w:pPr>
        <w:ind w:left="1240" w:right="20" w:hanging="620"/>
        <w:spacing w:after="0" w:line="269" w:lineRule="auto"/>
        <w:tabs>
          <w:tab w:leader="none" w:pos="124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NetEase Youdao Information Technology (Beijing) Co., Ltd.(the “</w:t>
      </w:r>
      <w:r>
        <w:rPr>
          <w:rFonts w:ascii="Arial" w:cs="Arial" w:eastAsia="Arial" w:hAnsi="Arial"/>
          <w:sz w:val="17"/>
          <w:szCs w:val="17"/>
          <w:b w:val="1"/>
          <w:bCs w:val="1"/>
          <w:color w:val="auto"/>
        </w:rPr>
        <w:t>Pledgee</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1/F, Tower C, Building No. 7, West Zone Zhongguancun Software Park (Phase II) No. 10 Xibeiwang East Road, Haidian District; and</w:t>
      </w:r>
    </w:p>
    <w:p>
      <w:pPr>
        <w:spacing w:after="0" w:line="165" w:lineRule="exact"/>
        <w:rPr>
          <w:rFonts w:ascii="Arial" w:cs="Arial" w:eastAsia="Arial" w:hAnsi="Arial"/>
          <w:sz w:val="17"/>
          <w:szCs w:val="17"/>
          <w:color w:val="auto"/>
        </w:rPr>
      </w:pPr>
    </w:p>
    <w:p>
      <w:pPr>
        <w:ind w:left="1240" w:right="520" w:hanging="620"/>
        <w:spacing w:after="0" w:line="286" w:lineRule="auto"/>
        <w:tabs>
          <w:tab w:leader="none" w:pos="124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William Lei Ding(ID Number: 330224197110180074, the “</w:t>
      </w:r>
      <w:r>
        <w:rPr>
          <w:rFonts w:ascii="Arial" w:cs="Arial" w:eastAsia="Arial" w:hAnsi="Arial"/>
          <w:sz w:val="17"/>
          <w:szCs w:val="17"/>
          <w:b w:val="1"/>
          <w:bCs w:val="1"/>
          <w:color w:val="auto"/>
        </w:rPr>
        <w:t>Pledgor</w:t>
      </w:r>
      <w:r>
        <w:rPr>
          <w:rFonts w:ascii="Arial" w:cs="Arial" w:eastAsia="Arial" w:hAnsi="Arial"/>
          <w:sz w:val="17"/>
          <w:szCs w:val="17"/>
          <w:color w:val="auto"/>
        </w:rPr>
        <w:t>”), a PRC citizen with his address at Room 6-401, A90, Shuguang Road, Jiangdong District, Ningbo, Zhejiang Province.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Pledgee and the Pledgor are hereinafter jointly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individually, as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p>
    <w:p>
      <w:pPr>
        <w:spacing w:after="0" w:line="222" w:lineRule="exact"/>
        <w:rPr>
          <w:sz w:val="20"/>
          <w:szCs w:val="20"/>
          <w:color w:val="auto"/>
        </w:rPr>
      </w:pPr>
    </w:p>
    <w:p>
      <w:pPr>
        <w:ind w:left="1240" w:right="220" w:hanging="620"/>
        <w:spacing w:after="0" w:line="261" w:lineRule="auto"/>
        <w:tabs>
          <w:tab w:leader="none" w:pos="12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Pledgor is a registered shareholder of Beijing NetEase Youdao Computer System Co., Ltd., a limited liability company registered in Beijing, PRC with its address at 2/F, Tower A, Building No. 7, West Zone Zhongguancun Software Park (Phase II) No. 10 Xibeiwang East Road, Haidian District (the “</w:t>
      </w:r>
      <w:r>
        <w:rPr>
          <w:rFonts w:ascii="Arial" w:cs="Arial" w:eastAsia="Arial" w:hAnsi="Arial"/>
          <w:sz w:val="17"/>
          <w:szCs w:val="17"/>
          <w:b w:val="1"/>
          <w:bCs w:val="1"/>
          <w:color w:val="auto"/>
        </w:rPr>
        <w:t>Domestic Company</w:t>
      </w:r>
      <w:r>
        <w:rPr>
          <w:rFonts w:ascii="Arial" w:cs="Arial" w:eastAsia="Arial" w:hAnsi="Arial"/>
          <w:sz w:val="17"/>
          <w:szCs w:val="17"/>
          <w:color w:val="auto"/>
        </w:rPr>
        <w:t xml:space="preserve">”), and holds 71.073% of the equity interests in the Domestic Company. The equity structure of Domestic Company as of the date of execution of this Agreement is set forth in </w:t>
      </w:r>
      <w:r>
        <w:rPr>
          <w:rFonts w:ascii="Arial" w:cs="Arial" w:eastAsia="Arial" w:hAnsi="Arial"/>
          <w:sz w:val="17"/>
          <w:szCs w:val="17"/>
          <w:u w:val="single" w:color="auto"/>
          <w:color w:val="auto"/>
        </w:rPr>
        <w:t>Appendix I</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40" w:right="300" w:hanging="620"/>
        <w:spacing w:after="0" w:line="265" w:lineRule="auto"/>
        <w:tabs>
          <w:tab w:leader="none" w:pos="125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Pursuant to a Loan Agreement dated September 26, 2016 between the Pledgee and the Pledgor (as the same may be amended and supplemented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the Pledgee has provided a loan to the Pledgor in the original principal amount of RMB 3,553,650 Yuan.</w:t>
      </w:r>
    </w:p>
    <w:p>
      <w:pPr>
        <w:spacing w:after="0" w:line="175" w:lineRule="exact"/>
        <w:rPr>
          <w:rFonts w:ascii="Arial" w:cs="Arial" w:eastAsia="Arial" w:hAnsi="Arial"/>
          <w:sz w:val="17"/>
          <w:szCs w:val="17"/>
          <w:color w:val="auto"/>
        </w:rPr>
      </w:pPr>
    </w:p>
    <w:p>
      <w:pPr>
        <w:ind w:left="1240" w:right="120" w:hanging="620"/>
        <w:spacing w:after="0" w:line="261" w:lineRule="auto"/>
        <w:tabs>
          <w:tab w:leader="none" w:pos="125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Pursuant to a Shareholder Voting Right Trust Agreement dated as of September 26, 2016 among the Pledgee, the Pledgor, the Domestic Company and the other Parties thereto (as amended and supplemented from time to time, the “</w:t>
      </w:r>
      <w:r>
        <w:rPr>
          <w:rFonts w:ascii="Arial" w:cs="Arial" w:eastAsia="Arial" w:hAnsi="Arial"/>
          <w:sz w:val="17"/>
          <w:szCs w:val="17"/>
          <w:b w:val="1"/>
          <w:bCs w:val="1"/>
          <w:color w:val="auto"/>
        </w:rPr>
        <w:t>Voting Trust Agreement</w:t>
      </w:r>
      <w:r>
        <w:rPr>
          <w:rFonts w:ascii="Arial" w:cs="Arial" w:eastAsia="Arial" w:hAnsi="Arial"/>
          <w:sz w:val="17"/>
          <w:szCs w:val="17"/>
          <w:color w:val="auto"/>
        </w:rPr>
        <w:t>”), the Pledgor has irrevocably appointed the Pledgee as proxy and vested the Pledgee with full power to exercise on his behalf all of his shareholder’s voting rights in respect of the Domestic Company.</w:t>
      </w:r>
    </w:p>
    <w:p>
      <w:pPr>
        <w:spacing w:after="0" w:line="178" w:lineRule="exact"/>
        <w:rPr>
          <w:rFonts w:ascii="Arial" w:cs="Arial" w:eastAsia="Arial" w:hAnsi="Arial"/>
          <w:sz w:val="17"/>
          <w:szCs w:val="17"/>
          <w:color w:val="auto"/>
        </w:rPr>
      </w:pPr>
    </w:p>
    <w:p>
      <w:pPr>
        <w:ind w:left="1240" w:right="100" w:hanging="620"/>
        <w:spacing w:after="0" w:line="265" w:lineRule="auto"/>
        <w:tabs>
          <w:tab w:leader="none" w:pos="12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Pursuant to an Exclusive Purchase Option Agreement dated as of September 26, 2016 among the Pledgee, the Pledgor and the Domestic Company (as amended and supplemented from time to time, the “</w:t>
      </w:r>
      <w:r>
        <w:rPr>
          <w:rFonts w:ascii="Arial" w:cs="Arial" w:eastAsia="Arial" w:hAnsi="Arial"/>
          <w:sz w:val="17"/>
          <w:szCs w:val="17"/>
          <w:b w:val="1"/>
          <w:bCs w:val="1"/>
          <w:color w:val="auto"/>
        </w:rPr>
        <w:t>Purchase Option Agreement</w:t>
      </w:r>
      <w:r>
        <w:rPr>
          <w:rFonts w:ascii="Arial" w:cs="Arial" w:eastAsia="Arial" w:hAnsi="Arial"/>
          <w:sz w:val="17"/>
          <w:szCs w:val="17"/>
          <w:color w:val="auto"/>
        </w:rPr>
        <w:t>”), the Pledgor has irrevocably granted to the Pledgee an option to purchase all or a portion of the Pledgor’s equity interests in the Domestic Company.</w:t>
      </w:r>
    </w:p>
    <w:p>
      <w:pPr>
        <w:spacing w:after="0" w:line="175" w:lineRule="exact"/>
        <w:rPr>
          <w:rFonts w:ascii="Arial" w:cs="Arial" w:eastAsia="Arial" w:hAnsi="Arial"/>
          <w:sz w:val="17"/>
          <w:szCs w:val="17"/>
          <w:color w:val="auto"/>
        </w:rPr>
      </w:pPr>
    </w:p>
    <w:p>
      <w:pPr>
        <w:jc w:val="both"/>
        <w:ind w:left="1240" w:right="60" w:hanging="620"/>
        <w:spacing w:after="0" w:line="289" w:lineRule="auto"/>
        <w:tabs>
          <w:tab w:leader="none" w:pos="125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Pursuant to an Operating Agreement dated as of September 26, 2016 among the Pledgee, the Pledgor, the Domestic Company and the other Parties thereto (as amended and supplemented from time to time, the “</w:t>
      </w:r>
      <w:r>
        <w:rPr>
          <w:rFonts w:ascii="Arial" w:cs="Arial" w:eastAsia="Arial" w:hAnsi="Arial"/>
          <w:sz w:val="16"/>
          <w:szCs w:val="16"/>
          <w:b w:val="1"/>
          <w:bCs w:val="1"/>
          <w:color w:val="auto"/>
        </w:rPr>
        <w:t>Operating Agreement</w:t>
      </w:r>
      <w:r>
        <w:rPr>
          <w:rFonts w:ascii="Arial" w:cs="Arial" w:eastAsia="Arial" w:hAnsi="Arial"/>
          <w:sz w:val="16"/>
          <w:szCs w:val="16"/>
          <w:color w:val="auto"/>
        </w:rPr>
        <w:t>”), the Pledgor has agreed, among other things, not to engage in certain transactions relating to the Domestic Company without the Pledgee’s prior written consent.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jc w:val="both"/>
        <w:ind w:left="1240" w:right="140" w:hanging="620"/>
        <w:spacing w:after="0" w:line="265" w:lineRule="auto"/>
        <w:tabs>
          <w:tab w:leader="none" w:pos="125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-772160</wp:posOffset>
            </wp:positionV>
            <wp:extent cx="7273925" cy="29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Therefore</w:t>
      </w:r>
      <w:r>
        <w:rPr>
          <w:rFonts w:ascii="Arial" w:cs="Arial" w:eastAsia="Arial" w:hAnsi="Arial"/>
          <w:sz w:val="17"/>
          <w:szCs w:val="17"/>
          <w:color w:val="auto"/>
        </w:rPr>
        <w:t>, the Parties enter into this Agreement as follows upon friendly negotiation:</w:t>
      </w:r>
    </w:p>
    <w:p>
      <w:pPr>
        <w:spacing w:after="0" w:line="216" w:lineRule="exact"/>
        <w:rPr>
          <w:sz w:val="20"/>
          <w:szCs w:val="20"/>
          <w:color w:val="auto"/>
        </w:rPr>
      </w:pPr>
    </w:p>
    <w:p>
      <w:pPr>
        <w:ind w:left="620" w:hanging="617"/>
        <w:spacing w:after="0"/>
        <w:tabs>
          <w:tab w:leader="none" w:pos="62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222" w:lineRule="exact"/>
        <w:rPr>
          <w:rFonts w:ascii="Arial" w:cs="Arial" w:eastAsia="Arial" w:hAnsi="Arial"/>
          <w:sz w:val="17"/>
          <w:szCs w:val="17"/>
          <w:b w:val="1"/>
          <w:bCs w:val="1"/>
          <w:color w:val="auto"/>
        </w:rPr>
      </w:pPr>
    </w:p>
    <w:p>
      <w:pPr>
        <w:jc w:val="right"/>
        <w:ind w:left="1240" w:right="2440" w:hanging="617"/>
        <w:spacing w:after="0" w:line="568" w:lineRule="auto"/>
        <w:rPr>
          <w:rFonts w:ascii="Arial" w:cs="Arial" w:eastAsia="Arial" w:hAnsi="Arial"/>
          <w:sz w:val="17"/>
          <w:szCs w:val="17"/>
          <w:b w:val="1"/>
          <w:bCs w:val="1"/>
          <w:color w:val="auto"/>
        </w:rPr>
      </w:pPr>
      <w:r>
        <w:rPr>
          <w:rFonts w:ascii="Arial" w:cs="Arial" w:eastAsia="Arial" w:hAnsi="Arial"/>
          <w:sz w:val="17"/>
          <w:szCs w:val="17"/>
          <w:color w:val="auto"/>
        </w:rPr>
        <w:t>1.1.</w:t>
      </w:r>
      <w:r>
        <w:rPr>
          <w:rFonts w:ascii="Arial" w:cs="Arial" w:eastAsia="Arial" w:hAnsi="Arial"/>
          <w:sz w:val="15"/>
          <w:szCs w:val="15"/>
          <w:color w:val="auto"/>
        </w:rPr>
        <w:t xml:space="preserve">Unless the context otherwise requires, the following terms in this Agreement shall have the following meanings: </w:t>
      </w:r>
      <w:r>
        <w:rPr>
          <w:rFonts w:ascii="Arial" w:cs="Arial" w:eastAsia="Arial" w:hAnsi="Arial"/>
          <w:sz w:val="15"/>
          <w:szCs w:val="15"/>
          <w:b w:val="1"/>
          <w:bCs w:val="1"/>
          <w:color w:val="auto"/>
        </w:rPr>
        <w:t xml:space="preserve">“Breaching Event” </w:t>
      </w:r>
      <w:r>
        <w:rPr>
          <w:rFonts w:ascii="Arial" w:cs="Arial" w:eastAsia="Arial" w:hAnsi="Arial"/>
          <w:sz w:val="15"/>
          <w:szCs w:val="15"/>
          <w:color w:val="auto"/>
        </w:rPr>
        <w:t>shall mean any breach by the Pledgor of any of his Contract Obligations (as defined below).</w:t>
      </w:r>
    </w:p>
    <w:p>
      <w:pPr>
        <w:spacing w:after="0" w:line="1" w:lineRule="exact"/>
        <w:rPr>
          <w:sz w:val="20"/>
          <w:szCs w:val="20"/>
          <w:color w:val="auto"/>
        </w:rPr>
      </w:pPr>
    </w:p>
    <w:p>
      <w:pPr>
        <w:ind w:left="1240" w:right="20"/>
        <w:spacing w:after="0" w:line="263" w:lineRule="auto"/>
        <w:rPr>
          <w:sz w:val="20"/>
          <w:szCs w:val="20"/>
          <w:color w:val="auto"/>
        </w:rPr>
      </w:pPr>
      <w:r>
        <w:rPr>
          <w:rFonts w:ascii="Arial" w:cs="Arial" w:eastAsia="Arial" w:hAnsi="Arial"/>
          <w:sz w:val="17"/>
          <w:szCs w:val="17"/>
          <w:b w:val="1"/>
          <w:bCs w:val="1"/>
          <w:color w:val="auto"/>
        </w:rPr>
        <w:t xml:space="preserve">“Contract Obligations” </w:t>
      </w:r>
      <w:r>
        <w:rPr>
          <w:rFonts w:ascii="Arial" w:cs="Arial" w:eastAsia="Arial" w:hAnsi="Arial"/>
          <w:sz w:val="17"/>
          <w:szCs w:val="17"/>
          <w:color w:val="auto"/>
        </w:rPr>
        <w:t>shall mean the obligations of the Pledgor to repay the Loan (as defined in the Loan Agreement)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72" w:lineRule="exact"/>
        <w:rPr>
          <w:sz w:val="20"/>
          <w:szCs w:val="20"/>
          <w:color w:val="auto"/>
        </w:rPr>
      </w:pPr>
    </w:p>
    <w:p>
      <w:pPr>
        <w:ind w:left="1240" w:right="60"/>
        <w:spacing w:after="0" w:line="269" w:lineRule="auto"/>
        <w:rPr>
          <w:sz w:val="20"/>
          <w:szCs w:val="20"/>
          <w:color w:val="auto"/>
        </w:rPr>
      </w:pPr>
      <w:r>
        <w:rPr>
          <w:rFonts w:ascii="Arial" w:cs="Arial" w:eastAsia="Arial" w:hAnsi="Arial"/>
          <w:sz w:val="17"/>
          <w:szCs w:val="17"/>
          <w:b w:val="1"/>
          <w:bCs w:val="1"/>
          <w:color w:val="auto"/>
        </w:rPr>
        <w:t xml:space="preserve">“Pledged Equity” </w:t>
      </w:r>
      <w:r>
        <w:rPr>
          <w:rFonts w:ascii="Arial" w:cs="Arial" w:eastAsia="Arial" w:hAnsi="Arial"/>
          <w:sz w:val="17"/>
          <w:szCs w:val="17"/>
          <w:color w:val="auto"/>
        </w:rPr>
        <w:t>shall mean all of the equity interests in the Domestic Company which are legally owned by the Pledgor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are to be pledged to the Pledgee pursuant to the provisions hereof as the security for the performance by the Pledgor of the Contract Obligations.</w:t>
      </w:r>
    </w:p>
    <w:p>
      <w:pPr>
        <w:spacing w:after="0" w:line="166" w:lineRule="exact"/>
        <w:rPr>
          <w:sz w:val="20"/>
          <w:szCs w:val="20"/>
          <w:color w:val="auto"/>
        </w:rPr>
      </w:pPr>
    </w:p>
    <w:p>
      <w:pPr>
        <w:ind w:left="1240" w:right="320"/>
        <w:spacing w:after="0" w:line="286" w:lineRule="auto"/>
        <w:rPr>
          <w:sz w:val="20"/>
          <w:szCs w:val="20"/>
          <w:color w:val="auto"/>
        </w:rPr>
      </w:pPr>
      <w:r>
        <w:rPr>
          <w:rFonts w:ascii="Arial" w:cs="Arial" w:eastAsia="Arial" w:hAnsi="Arial"/>
          <w:sz w:val="17"/>
          <w:szCs w:val="17"/>
          <w:b w:val="1"/>
          <w:bCs w:val="1"/>
          <w:color w:val="auto"/>
        </w:rPr>
        <w:t xml:space="preserve">“PRC Law” </w:t>
      </w:r>
      <w:r>
        <w:rPr>
          <w:rFonts w:ascii="Arial" w:cs="Arial" w:eastAsia="Arial" w:hAnsi="Arial"/>
          <w:sz w:val="17"/>
          <w:szCs w:val="17"/>
          <w:color w:val="auto"/>
        </w:rPr>
        <w:t>shall mean the then valid laws, administrative regulations, administrative rules, local regulations, judicial interpretations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regulatory documents of the PRC.</w:t>
      </w:r>
    </w:p>
    <w:p>
      <w:pPr>
        <w:spacing w:after="0" w:line="152" w:lineRule="exact"/>
        <w:rPr>
          <w:sz w:val="20"/>
          <w:szCs w:val="20"/>
          <w:color w:val="auto"/>
        </w:rPr>
      </w:pPr>
    </w:p>
    <w:p>
      <w:pPr>
        <w:ind w:left="1240" w:right="540"/>
        <w:spacing w:after="0" w:line="356" w:lineRule="auto"/>
        <w:rPr>
          <w:sz w:val="20"/>
          <w:szCs w:val="20"/>
          <w:color w:val="auto"/>
        </w:rPr>
      </w:pPr>
      <w:r>
        <w:rPr>
          <w:rFonts w:ascii="Arial" w:cs="Arial" w:eastAsia="Arial" w:hAnsi="Arial"/>
          <w:sz w:val="15"/>
          <w:szCs w:val="15"/>
          <w:b w:val="1"/>
          <w:bCs w:val="1"/>
          <w:color w:val="auto"/>
        </w:rPr>
        <w:t xml:space="preserve">“Secured Debts” </w:t>
      </w:r>
      <w:r>
        <w:rPr>
          <w:rFonts w:ascii="Arial" w:cs="Arial" w:eastAsia="Arial" w:hAnsi="Arial"/>
          <w:sz w:val="15"/>
          <w:szCs w:val="15"/>
          <w:color w:val="auto"/>
        </w:rPr>
        <w:t>shall mean all direct, indirect and consequential losses and losses of foreseeable profits suffered by the Pledgee due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Breaching Event of any of the Pledgor, and all fees incurred by Pledgee for the enforcement of the Contract Obligations of the Pledgor.</w:t>
      </w:r>
    </w:p>
    <w:p>
      <w:pPr>
        <w:spacing w:after="0" w:line="106" w:lineRule="exact"/>
        <w:rPr>
          <w:sz w:val="20"/>
          <w:szCs w:val="20"/>
          <w:color w:val="auto"/>
        </w:rPr>
      </w:pPr>
    </w:p>
    <w:p>
      <w:pPr>
        <w:ind w:left="1240" w:right="440"/>
        <w:spacing w:after="0" w:line="286" w:lineRule="auto"/>
        <w:rPr>
          <w:sz w:val="20"/>
          <w:szCs w:val="20"/>
          <w:color w:val="auto"/>
        </w:rPr>
      </w:pPr>
      <w:r>
        <w:rPr>
          <w:rFonts w:ascii="Arial" w:cs="Arial" w:eastAsia="Arial" w:hAnsi="Arial"/>
          <w:sz w:val="17"/>
          <w:szCs w:val="17"/>
          <w:b w:val="1"/>
          <w:bCs w:val="1"/>
          <w:color w:val="auto"/>
        </w:rPr>
        <w:t xml:space="preserve">“Transaction Agreements” </w:t>
      </w:r>
      <w:r>
        <w:rPr>
          <w:rFonts w:ascii="Arial" w:cs="Arial" w:eastAsia="Arial" w:hAnsi="Arial"/>
          <w:sz w:val="17"/>
          <w:szCs w:val="17"/>
          <w:color w:val="auto"/>
        </w:rPr>
        <w:t>shall mean the Loan Agreement, the Purchase Option Agreement, the Operating Agreement and the Voting Trust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5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The references to any PRC Law herein shall be deemed: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657" w:gutter="0" w:footer="0" w:header="0"/>
        </w:sectPr>
      </w:pPr>
    </w:p>
    <w:bookmarkStart w:id="117" w:name="page118"/>
    <w:bookmarkEnd w:id="117"/>
    <w:p>
      <w:pPr>
        <w:ind w:left="1240" w:right="340" w:hanging="2"/>
        <w:spacing w:after="0" w:line="278" w:lineRule="auto"/>
        <w:tabs>
          <w:tab w:leader="none" w:pos="191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to include references to the amendments, changes, supplements and reenactments of such law, irrespective of whether they take effect before or after the formation of this Agreement; and</w:t>
      </w:r>
    </w:p>
    <w:p>
      <w:pPr>
        <w:spacing w:after="0" w:line="164" w:lineRule="exact"/>
        <w:rPr>
          <w:rFonts w:ascii="Arial" w:cs="Arial" w:eastAsia="Arial" w:hAnsi="Arial"/>
          <w:sz w:val="17"/>
          <w:szCs w:val="17"/>
          <w:color w:val="auto"/>
        </w:rPr>
      </w:pPr>
    </w:p>
    <w:p>
      <w:pPr>
        <w:ind w:left="1900" w:hanging="662"/>
        <w:spacing w:after="0"/>
        <w:tabs>
          <w:tab w:leader="none" w:pos="1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to include references to other decisions, notices or regulations enacted in accordance therewith or effective as a result thereof.</w:t>
      </w:r>
    </w:p>
    <w:p>
      <w:pPr>
        <w:spacing w:after="0" w:line="216" w:lineRule="exact"/>
        <w:rPr>
          <w:sz w:val="20"/>
          <w:szCs w:val="20"/>
          <w:color w:val="auto"/>
        </w:rPr>
      </w:pPr>
    </w:p>
    <w:p>
      <w:pPr>
        <w:ind w:left="1240" w:right="80" w:hanging="616"/>
        <w:spacing w:after="0" w:line="278" w:lineRule="auto"/>
        <w:tabs>
          <w:tab w:leader="none" w:pos="12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Unless otherwise stated in the context herein, all references to an Article, clause, item or paragraph shall refer to the relevant article, clause, item or paragraph of this Agreement.</w:t>
      </w:r>
    </w:p>
    <w:p>
      <w:pPr>
        <w:spacing w:after="0" w:line="159" w:lineRule="exact"/>
        <w:rPr>
          <w:sz w:val="20"/>
          <w:szCs w:val="20"/>
          <w:color w:val="auto"/>
        </w:rPr>
      </w:pPr>
    </w:p>
    <w:p>
      <w:pPr>
        <w:ind w:left="620" w:hanging="617"/>
        <w:spacing w:after="0"/>
        <w:tabs>
          <w:tab w:leader="none" w:pos="62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Equity Pledge</w:t>
      </w:r>
    </w:p>
    <w:p>
      <w:pPr>
        <w:spacing w:after="0" w:line="222" w:lineRule="exact"/>
        <w:rPr>
          <w:rFonts w:ascii="Arial" w:cs="Arial" w:eastAsia="Arial" w:hAnsi="Arial"/>
          <w:sz w:val="17"/>
          <w:szCs w:val="17"/>
          <w:b w:val="1"/>
          <w:bCs w:val="1"/>
          <w:color w:val="auto"/>
        </w:rPr>
      </w:pPr>
    </w:p>
    <w:p>
      <w:pPr>
        <w:ind w:left="1240" w:hanging="617"/>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7"/>
          <w:szCs w:val="17"/>
          <w:b w:val="1"/>
          <w:bCs w:val="1"/>
          <w:color w:val="auto"/>
        </w:rPr>
        <w:t>Equity Pledge</w:t>
      </w:r>
      <w:r>
        <w:rPr>
          <w:rFonts w:ascii="Arial" w:cs="Arial" w:eastAsia="Arial" w:hAnsi="Arial"/>
          <w:sz w:val="17"/>
          <w:szCs w:val="17"/>
          <w:color w:val="auto"/>
        </w:rPr>
        <w:t>”).</w:t>
      </w:r>
    </w:p>
    <w:p>
      <w:pPr>
        <w:spacing w:after="0" w:line="169" w:lineRule="exact"/>
        <w:rPr>
          <w:rFonts w:ascii="Arial" w:cs="Arial" w:eastAsia="Arial" w:hAnsi="Arial"/>
          <w:sz w:val="17"/>
          <w:szCs w:val="17"/>
          <w:b w:val="1"/>
          <w:bCs w:val="1"/>
          <w:color w:val="auto"/>
        </w:rPr>
      </w:pPr>
    </w:p>
    <w:p>
      <w:pPr>
        <w:jc w:val="both"/>
        <w:ind w:left="1240" w:hanging="617"/>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2.2.The Pledgor shall have been or will be registered at the local branch of State Administration for Industry and Commerce (“</w:t>
      </w:r>
      <w:r>
        <w:rPr>
          <w:rFonts w:ascii="Arial" w:cs="Arial" w:eastAsia="Arial" w:hAnsi="Arial"/>
          <w:sz w:val="17"/>
          <w:szCs w:val="17"/>
          <w:b w:val="1"/>
          <w:bCs w:val="1"/>
          <w:color w:val="auto"/>
        </w:rPr>
        <w:t>SAIC</w:t>
      </w:r>
      <w:r>
        <w:rPr>
          <w:rFonts w:ascii="Arial" w:cs="Arial" w:eastAsia="Arial" w:hAnsi="Arial"/>
          <w:sz w:val="17"/>
          <w:szCs w:val="17"/>
          <w:color w:val="auto"/>
        </w:rPr>
        <w:t>”) as one of the shareholders of the Domestic Company holding his proportion of the equity interests in the Domestic Company as set forth in Recital (A) above and hold such equity interests free and clear of encumbrances except for the Equity Pledge as provided in this Agreement and/or as otherwise agreed by the Parties.</w:t>
      </w:r>
    </w:p>
    <w:p>
      <w:pPr>
        <w:spacing w:after="0" w:line="178" w:lineRule="exact"/>
        <w:rPr>
          <w:rFonts w:ascii="Arial" w:cs="Arial" w:eastAsia="Arial" w:hAnsi="Arial"/>
          <w:sz w:val="17"/>
          <w:szCs w:val="17"/>
          <w:b w:val="1"/>
          <w:bCs w:val="1"/>
          <w:color w:val="auto"/>
        </w:rPr>
      </w:pPr>
    </w:p>
    <w:p>
      <w:pPr>
        <w:ind w:left="1240" w:right="100" w:hanging="617"/>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2.3.</w:t>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6" w:lineRule="exact"/>
        <w:rPr>
          <w:rFonts w:ascii="Arial" w:cs="Arial" w:eastAsia="Arial" w:hAnsi="Arial"/>
          <w:sz w:val="17"/>
          <w:szCs w:val="17"/>
          <w:b w:val="1"/>
          <w:bCs w:val="1"/>
          <w:color w:val="auto"/>
        </w:rPr>
      </w:pPr>
    </w:p>
    <w:p>
      <w:pPr>
        <w:ind w:left="1240" w:right="18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2.4.During the term of this Agreement, the Pledgee shall not be liable in any way for impairment in value of the Pledged Equity, nor shall the Pledgor have any right to make any claims against the Pledgee for such impairment in value.</w:t>
      </w:r>
    </w:p>
    <w:p>
      <w:pPr>
        <w:spacing w:after="0" w:line="164" w:lineRule="exact"/>
        <w:rPr>
          <w:rFonts w:ascii="Arial" w:cs="Arial" w:eastAsia="Arial" w:hAnsi="Arial"/>
          <w:sz w:val="17"/>
          <w:szCs w:val="17"/>
          <w:b w:val="1"/>
          <w:bCs w:val="1"/>
          <w:color w:val="auto"/>
        </w:rPr>
      </w:pPr>
    </w:p>
    <w:p>
      <w:pPr>
        <w:ind w:left="1240" w:right="18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2.5.Upon the occurrence of any Breaching Event, the Pledgee shall have the right to dispose of the Pledged Equity in the manner set forth in Article 4 hereof.</w:t>
      </w:r>
    </w:p>
    <w:p>
      <w:pPr>
        <w:spacing w:after="0" w:line="165" w:lineRule="exact"/>
        <w:rPr>
          <w:sz w:val="20"/>
          <w:szCs w:val="20"/>
          <w:color w:val="auto"/>
        </w:rPr>
      </w:pPr>
    </w:p>
    <w:p>
      <w:pPr>
        <w:ind w:left="1240" w:right="360" w:hanging="616"/>
        <w:spacing w:after="0" w:line="278" w:lineRule="auto"/>
        <w:tabs>
          <w:tab w:leader="none" w:pos="12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hanging="616"/>
        <w:spacing w:after="0" w:line="278" w:lineRule="auto"/>
        <w:tabs>
          <w:tab w:leader="none" w:pos="12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6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color w:val="auto"/>
        </w:rPr>
        <w:t>Without the prior written consent of the Pledgee, the Pledgor shall not enter into any transactions with the Domestic Company.</w:t>
      </w:r>
    </w:p>
    <w:p>
      <w:pPr>
        <w:spacing w:after="0" w:line="216" w:lineRule="exact"/>
        <w:rPr>
          <w:sz w:val="20"/>
          <w:szCs w:val="20"/>
          <w:color w:val="auto"/>
        </w:rPr>
      </w:pPr>
    </w:p>
    <w:p>
      <w:pPr>
        <w:ind w:left="1240" w:right="20" w:hanging="616"/>
        <w:spacing w:after="0" w:line="301" w:lineRule="auto"/>
        <w:tabs>
          <w:tab w:leader="none" w:pos="122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53" w:lineRule="exact"/>
        <w:rPr>
          <w:sz w:val="20"/>
          <w:szCs w:val="20"/>
          <w:color w:val="auto"/>
        </w:rPr>
      </w:pPr>
    </w:p>
    <w:p>
      <w:pPr>
        <w:ind w:left="1240" w:right="580" w:hanging="616"/>
        <w:spacing w:after="0" w:line="278" w:lineRule="auto"/>
        <w:tabs>
          <w:tab w:leader="none" w:pos="122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color w:val="auto"/>
        </w:rPr>
        <w:t>The Pledgee shall have the right to collect dividends or any other distribution paid with respect to the Pledged Equity during the term of this Agreement.</w:t>
      </w:r>
    </w:p>
    <w:p>
      <w:pPr>
        <w:spacing w:after="0" w:line="159" w:lineRule="exact"/>
        <w:rPr>
          <w:sz w:val="20"/>
          <w:szCs w:val="20"/>
          <w:color w:val="auto"/>
        </w:rPr>
      </w:pPr>
    </w:p>
    <w:p>
      <w:pPr>
        <w:ind w:left="620" w:hanging="617"/>
        <w:spacing w:after="0"/>
        <w:tabs>
          <w:tab w:leader="none" w:pos="62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Release of Pledge</w:t>
      </w:r>
    </w:p>
    <w:p>
      <w:pPr>
        <w:spacing w:after="0" w:line="222" w:lineRule="exact"/>
        <w:rPr>
          <w:rFonts w:ascii="Arial" w:cs="Arial" w:eastAsia="Arial" w:hAnsi="Arial"/>
          <w:sz w:val="17"/>
          <w:szCs w:val="17"/>
          <w:b w:val="1"/>
          <w:bCs w:val="1"/>
          <w:color w:val="auto"/>
        </w:rPr>
      </w:pPr>
    </w:p>
    <w:p>
      <w:pPr>
        <w:ind w:left="620"/>
        <w:spacing w:after="0" w:line="306" w:lineRule="auto"/>
        <w:rPr>
          <w:rFonts w:ascii="Arial" w:cs="Arial" w:eastAsia="Arial" w:hAnsi="Arial"/>
          <w:sz w:val="17"/>
          <w:szCs w:val="17"/>
          <w:b w:val="1"/>
          <w:bCs w:val="1"/>
          <w:color w:val="auto"/>
        </w:rPr>
      </w:pPr>
      <w:r>
        <w:rPr>
          <w:rFonts w:ascii="Arial" w:cs="Arial" w:eastAsia="Arial" w:hAnsi="Arial"/>
          <w:sz w:val="15"/>
          <w:szCs w:val="15"/>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43" w:lineRule="exact"/>
        <w:rPr>
          <w:rFonts w:ascii="Arial" w:cs="Arial" w:eastAsia="Arial" w:hAnsi="Arial"/>
          <w:sz w:val="17"/>
          <w:szCs w:val="17"/>
          <w:b w:val="1"/>
          <w:bCs w:val="1"/>
          <w:color w:val="auto"/>
        </w:rPr>
      </w:pPr>
    </w:p>
    <w:p>
      <w:pPr>
        <w:ind w:left="620" w:hanging="617"/>
        <w:spacing w:after="0"/>
        <w:tabs>
          <w:tab w:leader="none" w:pos="62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Disposal of the Pledged Equity</w:t>
      </w:r>
    </w:p>
    <w:p>
      <w:pPr>
        <w:spacing w:after="0" w:line="222" w:lineRule="exact"/>
        <w:rPr>
          <w:rFonts w:ascii="Arial" w:cs="Arial" w:eastAsia="Arial" w:hAnsi="Arial"/>
          <w:sz w:val="17"/>
          <w:szCs w:val="17"/>
          <w:b w:val="1"/>
          <w:bCs w:val="1"/>
          <w:color w:val="auto"/>
        </w:rPr>
      </w:pPr>
    </w:p>
    <w:p>
      <w:pPr>
        <w:ind w:left="1240" w:right="60" w:hanging="617"/>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4.1.The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80" w:lineRule="exact"/>
        <w:rPr>
          <w:rFonts w:ascii="Arial" w:cs="Arial" w:eastAsia="Arial" w:hAnsi="Arial"/>
          <w:sz w:val="17"/>
          <w:szCs w:val="17"/>
          <w:b w:val="1"/>
          <w:bCs w:val="1"/>
          <w:color w:val="auto"/>
        </w:rPr>
      </w:pPr>
    </w:p>
    <w:p>
      <w:pPr>
        <w:ind w:left="1240" w:right="46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4.2.The Pledgee shall have the right to designate in writing its legal counsel or other agents to exercise on its behalf any and all rights and powers referred to above, and the Pledgor shall not raise any objection thereto.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240" w:right="220" w:hanging="616"/>
        <w:spacing w:after="0" w:line="265" w:lineRule="auto"/>
        <w:tabs>
          <w:tab w:leader="none" w:pos="12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p>
      <w:pPr>
        <w:sectPr>
          <w:pgSz w:w="11900" w:h="16838" w:orient="portrait"/>
          <w:cols w:equalWidth="0" w:num="1">
            <w:col w:w="11420"/>
          </w:cols>
          <w:pgMar w:left="240" w:top="127" w:right="239" w:bottom="0" w:gutter="0" w:footer="0" w:header="0"/>
        </w:sectPr>
      </w:pPr>
    </w:p>
    <w:bookmarkStart w:id="118" w:name="page119"/>
    <w:bookmarkEnd w:id="118"/>
    <w:p>
      <w:pPr>
        <w:ind w:left="617"/>
        <w:spacing w:after="0"/>
        <w:tabs>
          <w:tab w:leader="none" w:pos="1217"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The proceeds that the Pledgee acquires from the exercise of its rights and powers shall be applied in the following order of priority:</w:t>
      </w:r>
    </w:p>
    <w:p>
      <w:pPr>
        <w:spacing w:after="0" w:line="216" w:lineRule="exact"/>
        <w:rPr>
          <w:sz w:val="20"/>
          <w:szCs w:val="20"/>
          <w:color w:val="auto"/>
        </w:rPr>
      </w:pPr>
    </w:p>
    <w:p>
      <w:pPr>
        <w:ind w:left="1857" w:right="520" w:hanging="622"/>
        <w:spacing w:after="0" w:line="278" w:lineRule="auto"/>
        <w:tabs>
          <w:tab w:leader="none" w:pos="18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first, to pay any cost incurred in connection with the disposal of the Pledged Equity and the exercise by the Pledgee of its rights and powers (including remuneration paid to its legal counsels and agents);</w:t>
      </w:r>
    </w:p>
    <w:p>
      <w:pPr>
        <w:spacing w:after="0" w:line="164" w:lineRule="exact"/>
        <w:rPr>
          <w:rFonts w:ascii="Arial" w:cs="Arial" w:eastAsia="Arial" w:hAnsi="Arial"/>
          <w:sz w:val="17"/>
          <w:szCs w:val="17"/>
          <w:color w:val="auto"/>
        </w:rPr>
      </w:pPr>
    </w:p>
    <w:p>
      <w:pPr>
        <w:ind w:left="1857" w:right="220" w:hanging="622"/>
        <w:spacing w:after="0" w:line="278" w:lineRule="auto"/>
        <w:tabs>
          <w:tab w:leader="none" w:pos="186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second, to pay any taxes and levies payable for the disposal of the Pledged Equity (for the avoidance of doubt, such taxes do not include any income tax); and</w:t>
      </w:r>
    </w:p>
    <w:p>
      <w:pPr>
        <w:spacing w:after="0" w:line="164" w:lineRule="exact"/>
        <w:rPr>
          <w:rFonts w:ascii="Arial" w:cs="Arial" w:eastAsia="Arial" w:hAnsi="Arial"/>
          <w:sz w:val="17"/>
          <w:szCs w:val="17"/>
          <w:color w:val="auto"/>
        </w:rPr>
      </w:pPr>
    </w:p>
    <w:p>
      <w:pPr>
        <w:ind w:left="1857" w:hanging="622"/>
        <w:spacing w:after="0"/>
        <w:tabs>
          <w:tab w:leader="none" w:pos="185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third, to repay the Pledgee for the Secured Debts.</w:t>
      </w:r>
    </w:p>
    <w:p>
      <w:pPr>
        <w:spacing w:after="0" w:line="216" w:lineRule="exact"/>
        <w:rPr>
          <w:sz w:val="20"/>
          <w:szCs w:val="20"/>
          <w:color w:val="auto"/>
        </w:rPr>
      </w:pPr>
    </w:p>
    <w:p>
      <w:pPr>
        <w:ind w:left="1237" w:right="40"/>
        <w:spacing w:after="0" w:line="265" w:lineRule="auto"/>
        <w:rPr>
          <w:sz w:val="20"/>
          <w:szCs w:val="20"/>
          <w:color w:val="auto"/>
        </w:rPr>
      </w:pPr>
      <w:r>
        <w:rPr>
          <w:rFonts w:ascii="Arial" w:cs="Arial" w:eastAsia="Arial" w:hAnsi="Arial"/>
          <w:sz w:val="17"/>
          <w:szCs w:val="17"/>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0" w:lineRule="exact"/>
        <w:rPr>
          <w:sz w:val="20"/>
          <w:szCs w:val="20"/>
          <w:color w:val="auto"/>
        </w:rPr>
      </w:pPr>
    </w:p>
    <w:p>
      <w:pPr>
        <w:ind w:left="617" w:hanging="617"/>
        <w:spacing w:after="0"/>
        <w:tabs>
          <w:tab w:leader="none" w:pos="617"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Continuity and No Waiver</w:t>
      </w:r>
    </w:p>
    <w:p>
      <w:pPr>
        <w:spacing w:after="0" w:line="222" w:lineRule="exact"/>
        <w:rPr>
          <w:rFonts w:ascii="Arial" w:cs="Arial" w:eastAsia="Arial" w:hAnsi="Arial"/>
          <w:sz w:val="17"/>
          <w:szCs w:val="17"/>
          <w:b w:val="1"/>
          <w:bCs w:val="1"/>
          <w:color w:val="auto"/>
        </w:rPr>
      </w:pPr>
    </w:p>
    <w:p>
      <w:pPr>
        <w:ind w:left="617" w:right="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8" w:lineRule="exact"/>
        <w:rPr>
          <w:rFonts w:ascii="Arial" w:cs="Arial" w:eastAsia="Arial" w:hAnsi="Arial"/>
          <w:sz w:val="17"/>
          <w:szCs w:val="17"/>
          <w:b w:val="1"/>
          <w:bCs w:val="1"/>
          <w:color w:val="auto"/>
        </w:rPr>
      </w:pPr>
    </w:p>
    <w:p>
      <w:pPr>
        <w:ind w:left="617" w:hanging="617"/>
        <w:spacing w:after="0"/>
        <w:tabs>
          <w:tab w:leader="none" w:pos="617"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p>
    <w:p>
      <w:pPr>
        <w:spacing w:after="0" w:line="222" w:lineRule="exact"/>
        <w:rPr>
          <w:rFonts w:ascii="Arial" w:cs="Arial" w:eastAsia="Arial" w:hAnsi="Arial"/>
          <w:sz w:val="17"/>
          <w:szCs w:val="17"/>
          <w:b w:val="1"/>
          <w:bCs w:val="1"/>
          <w:color w:val="auto"/>
        </w:rPr>
      </w:pPr>
    </w:p>
    <w:p>
      <w:pPr>
        <w:ind w:left="1237" w:right="2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6.1.As of the date of this Agreement and during the term of this Agreement through the date of termination or expiration of this Agreement, the Pledgor hereby represents and warrants as follows:</w:t>
      </w:r>
    </w:p>
    <w:p>
      <w:pPr>
        <w:spacing w:after="0" w:line="164" w:lineRule="exact"/>
        <w:rPr>
          <w:rFonts w:ascii="Arial" w:cs="Arial" w:eastAsia="Arial" w:hAnsi="Arial"/>
          <w:sz w:val="17"/>
          <w:szCs w:val="17"/>
          <w:b w:val="1"/>
          <w:bCs w:val="1"/>
          <w:color w:val="auto"/>
        </w:rPr>
      </w:pPr>
    </w:p>
    <w:p>
      <w:pPr>
        <w:ind w:left="1857" w:hanging="622"/>
        <w:spacing w:after="0"/>
        <w:tabs>
          <w:tab w:leader="none" w:pos="1857"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Pledgor is a PRC citizen with power and capacity to execute and perform his obligations under this Agreement.</w:t>
      </w:r>
    </w:p>
    <w:p>
      <w:pPr>
        <w:spacing w:after="0" w:line="216" w:lineRule="exact"/>
        <w:rPr>
          <w:rFonts w:ascii="Arial" w:cs="Arial" w:eastAsia="Arial" w:hAnsi="Arial"/>
          <w:sz w:val="17"/>
          <w:szCs w:val="17"/>
          <w:color w:val="auto"/>
        </w:rPr>
      </w:pPr>
    </w:p>
    <w:p>
      <w:pPr>
        <w:ind w:left="1857" w:right="540" w:hanging="622"/>
        <w:spacing w:after="0" w:line="289" w:lineRule="auto"/>
        <w:tabs>
          <w:tab w:leader="none" w:pos="186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5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57" w:hanging="622"/>
        <w:spacing w:after="0"/>
        <w:tabs>
          <w:tab w:leader="none" w:pos="185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This Agreement constitutes the lawful, valid and enforceable obligations of the Pledgor.</w:t>
      </w:r>
    </w:p>
    <w:p>
      <w:pPr>
        <w:spacing w:after="0" w:line="216" w:lineRule="exact"/>
        <w:rPr>
          <w:rFonts w:ascii="Arial" w:cs="Arial" w:eastAsia="Arial" w:hAnsi="Arial"/>
          <w:sz w:val="17"/>
          <w:szCs w:val="17"/>
          <w:color w:val="auto"/>
        </w:rPr>
      </w:pPr>
    </w:p>
    <w:p>
      <w:pPr>
        <w:ind w:left="1857" w:hanging="622"/>
        <w:spacing w:after="0"/>
        <w:tabs>
          <w:tab w:leader="none" w:pos="185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reports, documents and information provided by the Pledgor to the Pledgee are true, correct and accurate in all material respects.</w:t>
      </w:r>
    </w:p>
    <w:p>
      <w:pPr>
        <w:spacing w:after="0" w:line="227" w:lineRule="exact"/>
        <w:rPr>
          <w:rFonts w:ascii="Arial" w:cs="Arial" w:eastAsia="Arial" w:hAnsi="Arial"/>
          <w:sz w:val="16"/>
          <w:szCs w:val="16"/>
          <w:color w:val="auto"/>
        </w:rPr>
      </w:pPr>
    </w:p>
    <w:p>
      <w:pPr>
        <w:ind w:left="1857" w:right="220" w:hanging="622"/>
        <w:spacing w:after="0" w:line="265" w:lineRule="auto"/>
        <w:tabs>
          <w:tab w:leader="none" w:pos="186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75" w:lineRule="exact"/>
        <w:rPr>
          <w:rFonts w:ascii="Arial" w:cs="Arial" w:eastAsia="Arial" w:hAnsi="Arial"/>
          <w:sz w:val="17"/>
          <w:szCs w:val="17"/>
          <w:color w:val="auto"/>
        </w:rPr>
      </w:pPr>
    </w:p>
    <w:p>
      <w:pPr>
        <w:ind w:left="1857" w:right="360" w:hanging="622"/>
        <w:spacing w:after="0" w:line="278" w:lineRule="auto"/>
        <w:tabs>
          <w:tab w:leader="none" w:pos="186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64" w:lineRule="exact"/>
        <w:rPr>
          <w:rFonts w:ascii="Arial" w:cs="Arial" w:eastAsia="Arial" w:hAnsi="Arial"/>
          <w:sz w:val="17"/>
          <w:szCs w:val="17"/>
          <w:color w:val="auto"/>
        </w:rPr>
      </w:pPr>
    </w:p>
    <w:p>
      <w:pPr>
        <w:ind w:left="1857" w:right="420" w:hanging="622"/>
        <w:spacing w:after="0" w:line="278" w:lineRule="auto"/>
        <w:tabs>
          <w:tab w:leader="none" w:pos="187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Pledged Equity is capable of being pledged or transferred according to PRC Law, and the Pledgor has the full right and power to pledge the Pledged Equity to the Pledgee according to this Agreement.</w:t>
      </w:r>
    </w:p>
    <w:p>
      <w:pPr>
        <w:spacing w:after="0" w:line="164" w:lineRule="exact"/>
        <w:rPr>
          <w:rFonts w:ascii="Arial" w:cs="Arial" w:eastAsia="Arial" w:hAnsi="Arial"/>
          <w:sz w:val="17"/>
          <w:szCs w:val="17"/>
          <w:color w:val="auto"/>
        </w:rPr>
      </w:pPr>
    </w:p>
    <w:p>
      <w:pPr>
        <w:ind w:left="1857" w:right="140" w:hanging="622"/>
        <w:spacing w:after="0" w:line="261" w:lineRule="auto"/>
        <w:tabs>
          <w:tab w:leader="none" w:pos="186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78" w:lineRule="exact"/>
        <w:rPr>
          <w:rFonts w:ascii="Arial" w:cs="Arial" w:eastAsia="Arial" w:hAnsi="Arial"/>
          <w:sz w:val="17"/>
          <w:szCs w:val="17"/>
          <w:color w:val="auto"/>
        </w:rPr>
      </w:pPr>
    </w:p>
    <w:p>
      <w:pPr>
        <w:ind w:left="1877" w:hanging="642"/>
        <w:spacing w:after="0"/>
        <w:tabs>
          <w:tab w:leader="none" w:pos="187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Equity Pledge hereunder constitutes a first pledge on the Pledged Equity.</w:t>
      </w:r>
    </w:p>
    <w:p>
      <w:pPr>
        <w:spacing w:after="0" w:line="216" w:lineRule="exact"/>
        <w:rPr>
          <w:rFonts w:ascii="Arial" w:cs="Arial" w:eastAsia="Arial" w:hAnsi="Arial"/>
          <w:sz w:val="17"/>
          <w:szCs w:val="17"/>
          <w:color w:val="auto"/>
        </w:rPr>
      </w:pPr>
    </w:p>
    <w:p>
      <w:pPr>
        <w:ind w:left="1857" w:right="20" w:hanging="622"/>
        <w:spacing w:after="0" w:line="261" w:lineRule="auto"/>
        <w:tabs>
          <w:tab w:leader="none" w:pos="186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9" w:lineRule="exact"/>
        <w:rPr>
          <w:sz w:val="20"/>
          <w:szCs w:val="20"/>
          <w:color w:val="auto"/>
        </w:rPr>
      </w:pPr>
    </w:p>
    <w:p>
      <w:pPr>
        <w:ind w:left="1237" w:right="20" w:hanging="616"/>
        <w:spacing w:after="0" w:line="278" w:lineRule="auto"/>
        <w:tabs>
          <w:tab w:leader="none" w:pos="1217"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As of the date of this Agreement and during the term of this Agreement through the date of termination or expiration of this Agreement, the Pledgee hereby represents and warrants as follows:</w:t>
      </w:r>
    </w:p>
    <w:p>
      <w:pPr>
        <w:spacing w:after="0" w:line="16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57" w:hanging="622"/>
        <w:spacing w:after="0"/>
        <w:tabs>
          <w:tab w:leader="none" w:pos="185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Pledgee is a Wholly foreign owned enterprise duly registered and existing under PRC Law.</w:t>
      </w:r>
    </w:p>
    <w:p>
      <w:pPr>
        <w:spacing w:after="0" w:line="216" w:lineRule="exact"/>
        <w:rPr>
          <w:rFonts w:ascii="Arial" w:cs="Arial" w:eastAsia="Arial" w:hAnsi="Arial"/>
          <w:sz w:val="17"/>
          <w:szCs w:val="17"/>
          <w:color w:val="auto"/>
        </w:rPr>
      </w:pPr>
    </w:p>
    <w:p>
      <w:pPr>
        <w:ind w:left="1857" w:hanging="622"/>
        <w:spacing w:after="0" w:line="317" w:lineRule="auto"/>
        <w:tabs>
          <w:tab w:leader="none" w:pos="186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39" w:lineRule="exact"/>
        <w:rPr>
          <w:rFonts w:ascii="Arial" w:cs="Arial" w:eastAsia="Arial" w:hAnsi="Arial"/>
          <w:sz w:val="15"/>
          <w:szCs w:val="15"/>
          <w:color w:val="auto"/>
        </w:rPr>
      </w:pPr>
    </w:p>
    <w:p>
      <w:pPr>
        <w:ind w:left="1857" w:hanging="622"/>
        <w:spacing w:after="0"/>
        <w:tabs>
          <w:tab w:leader="none" w:pos="185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This Agreement shall constitute lawful, valid and enforceable obligations of the Pledgee.</w:t>
      </w:r>
    </w:p>
    <w:p>
      <w:pPr>
        <w:sectPr>
          <w:pgSz w:w="11900" w:h="16838" w:orient="portrait"/>
          <w:cols w:equalWidth="0" w:num="1">
            <w:col w:w="11417"/>
          </w:cols>
          <w:pgMar w:left="243" w:top="127" w:right="239" w:bottom="0" w:gutter="0" w:footer="0" w:header="0"/>
        </w:sectPr>
      </w:pPr>
    </w:p>
    <w:bookmarkStart w:id="119" w:name="page120"/>
    <w:bookmarkEnd w:id="119"/>
    <w:p>
      <w:pPr>
        <w:ind w:left="620" w:hanging="617"/>
        <w:spacing w:after="0"/>
        <w:tabs>
          <w:tab w:leader="none" w:pos="62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Undertakings by the Pledgor</w:t>
      </w:r>
    </w:p>
    <w:p>
      <w:pPr>
        <w:spacing w:after="0" w:line="22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Pledgor hereby undertakes to the Pledgee as follows:</w:t>
      </w:r>
    </w:p>
    <w:p>
      <w:pPr>
        <w:spacing w:after="0" w:line="216" w:lineRule="exact"/>
        <w:rPr>
          <w:rFonts w:ascii="Arial" w:cs="Arial" w:eastAsia="Arial" w:hAnsi="Arial"/>
          <w:sz w:val="17"/>
          <w:szCs w:val="17"/>
          <w:b w:val="1"/>
          <w:bCs w:val="1"/>
          <w:color w:val="auto"/>
        </w:rPr>
      </w:pPr>
    </w:p>
    <w:p>
      <w:pPr>
        <w:jc w:val="both"/>
        <w:ind w:left="1860" w:right="440" w:hanging="622"/>
        <w:spacing w:after="0" w:line="265" w:lineRule="auto"/>
        <w:tabs>
          <w:tab w:leader="none" w:pos="1857" w:val="left"/>
        </w:tabs>
        <w:numPr>
          <w:ilvl w:val="1"/>
          <w:numId w:val="215"/>
        </w:numPr>
        <w:rPr>
          <w:rFonts w:ascii="Arial" w:cs="Arial" w:eastAsia="Arial" w:hAnsi="Arial"/>
          <w:sz w:val="17"/>
          <w:szCs w:val="17"/>
          <w:color w:val="auto"/>
        </w:rPr>
      </w:pPr>
      <w:r>
        <w:rPr>
          <w:rFonts w:ascii="Arial" w:cs="Arial" w:eastAsia="Arial" w:hAnsi="Arial"/>
          <w:sz w:val="17"/>
          <w:szCs w:val="17"/>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75" w:lineRule="exact"/>
        <w:rPr>
          <w:rFonts w:ascii="Arial" w:cs="Arial" w:eastAsia="Arial" w:hAnsi="Arial"/>
          <w:sz w:val="17"/>
          <w:szCs w:val="17"/>
          <w:color w:val="auto"/>
        </w:rPr>
      </w:pPr>
    </w:p>
    <w:p>
      <w:pPr>
        <w:jc w:val="both"/>
        <w:ind w:left="1860" w:right="300" w:hanging="622"/>
        <w:spacing w:after="0" w:line="289" w:lineRule="auto"/>
        <w:tabs>
          <w:tab w:leader="none" w:pos="186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58" w:lineRule="exact"/>
        <w:rPr>
          <w:rFonts w:ascii="Arial" w:cs="Arial" w:eastAsia="Arial" w:hAnsi="Arial"/>
          <w:sz w:val="16"/>
          <w:szCs w:val="16"/>
          <w:color w:val="auto"/>
        </w:rPr>
      </w:pPr>
    </w:p>
    <w:p>
      <w:pPr>
        <w:ind w:left="1860" w:right="200" w:hanging="622"/>
        <w:spacing w:after="0" w:line="261" w:lineRule="auto"/>
        <w:tabs>
          <w:tab w:leader="none" w:pos="187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8" w:lineRule="exact"/>
        <w:rPr>
          <w:rFonts w:ascii="Arial" w:cs="Arial" w:eastAsia="Arial" w:hAnsi="Arial"/>
          <w:sz w:val="17"/>
          <w:szCs w:val="17"/>
          <w:color w:val="auto"/>
        </w:rPr>
      </w:pPr>
    </w:p>
    <w:p>
      <w:pPr>
        <w:ind w:left="1860" w:right="660" w:hanging="622"/>
        <w:spacing w:after="0" w:line="278" w:lineRule="auto"/>
        <w:tabs>
          <w:tab w:leader="none" w:pos="1867"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Pledgor shall not take or permit any act or action which may adversely affect the interest of the Pledgee under the Transaction Agreements and hereunder or in respect of the Pledged Equity.</w:t>
      </w:r>
    </w:p>
    <w:p>
      <w:pPr>
        <w:spacing w:after="0" w:line="164" w:lineRule="exact"/>
        <w:rPr>
          <w:rFonts w:ascii="Arial" w:cs="Arial" w:eastAsia="Arial" w:hAnsi="Arial"/>
          <w:sz w:val="17"/>
          <w:szCs w:val="17"/>
          <w:color w:val="auto"/>
        </w:rPr>
      </w:pPr>
    </w:p>
    <w:p>
      <w:pPr>
        <w:ind w:left="1860" w:right="140" w:hanging="622"/>
        <w:spacing w:after="0" w:line="265" w:lineRule="auto"/>
        <w:tabs>
          <w:tab w:leader="none" w:pos="187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hanging="617"/>
        <w:spacing w:after="0"/>
        <w:tabs>
          <w:tab w:leader="none" w:pos="62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of Circumstances</w:t>
      </w:r>
    </w:p>
    <w:p>
      <w:pPr>
        <w:spacing w:after="0" w:line="222" w:lineRule="exact"/>
        <w:rPr>
          <w:rFonts w:ascii="Arial" w:cs="Arial" w:eastAsia="Arial" w:hAnsi="Arial"/>
          <w:sz w:val="17"/>
          <w:szCs w:val="17"/>
          <w:b w:val="1"/>
          <w:bCs w:val="1"/>
          <w:color w:val="auto"/>
        </w:rPr>
      </w:pPr>
    </w:p>
    <w:p>
      <w:pPr>
        <w:ind w:left="620" w:right="10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65" w:lineRule="exact"/>
        <w:rPr>
          <w:rFonts w:ascii="Arial" w:cs="Arial" w:eastAsia="Arial" w:hAnsi="Arial"/>
          <w:sz w:val="17"/>
          <w:szCs w:val="17"/>
          <w:b w:val="1"/>
          <w:bCs w:val="1"/>
          <w:color w:val="auto"/>
        </w:rPr>
      </w:pPr>
    </w:p>
    <w:p>
      <w:pPr>
        <w:ind w:left="1300" w:hanging="680"/>
        <w:spacing w:after="0"/>
        <w:tabs>
          <w:tab w:leader="none" w:pos="13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keep this Agreement valid and effective;</w:t>
      </w:r>
    </w:p>
    <w:p>
      <w:pPr>
        <w:spacing w:after="0" w:line="216" w:lineRule="exact"/>
        <w:rPr>
          <w:rFonts w:ascii="Arial" w:cs="Arial" w:eastAsia="Arial" w:hAnsi="Arial"/>
          <w:sz w:val="17"/>
          <w:szCs w:val="17"/>
          <w:color w:val="auto"/>
        </w:rPr>
      </w:pPr>
    </w:p>
    <w:p>
      <w:pPr>
        <w:ind w:left="1300" w:hanging="680"/>
        <w:spacing w:after="0"/>
        <w:tabs>
          <w:tab w:leader="none" w:pos="13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facilitate the disposal of the Pledged Equity in the manner provided herein; and/or</w:t>
      </w:r>
    </w:p>
    <w:p>
      <w:pPr>
        <w:spacing w:after="0" w:line="216" w:lineRule="exact"/>
        <w:rPr>
          <w:rFonts w:ascii="Arial" w:cs="Arial" w:eastAsia="Arial" w:hAnsi="Arial"/>
          <w:sz w:val="17"/>
          <w:szCs w:val="17"/>
          <w:color w:val="auto"/>
        </w:rPr>
      </w:pPr>
    </w:p>
    <w:p>
      <w:pPr>
        <w:ind w:left="1300" w:hanging="680"/>
        <w:spacing w:after="0"/>
        <w:tabs>
          <w:tab w:leader="none" w:pos="13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maintain or realize the intention or the security established hereunder.</w:t>
      </w:r>
    </w:p>
    <w:p>
      <w:pPr>
        <w:spacing w:after="0" w:line="210" w:lineRule="exact"/>
        <w:rPr>
          <w:rFonts w:ascii="Arial" w:cs="Arial" w:eastAsia="Arial" w:hAnsi="Arial"/>
          <w:sz w:val="17"/>
          <w:szCs w:val="17"/>
          <w:color w:val="auto"/>
        </w:rPr>
      </w:pPr>
    </w:p>
    <w:p>
      <w:pPr>
        <w:ind w:left="620" w:hanging="617"/>
        <w:spacing w:after="0"/>
        <w:tabs>
          <w:tab w:leader="none" w:pos="62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Effectiveness and Term of the Agreement</w:t>
      </w:r>
    </w:p>
    <w:p>
      <w:pPr>
        <w:spacing w:after="0" w:line="222" w:lineRule="exact"/>
        <w:rPr>
          <w:rFonts w:ascii="Arial" w:cs="Arial" w:eastAsia="Arial" w:hAnsi="Arial"/>
          <w:sz w:val="17"/>
          <w:szCs w:val="17"/>
          <w:b w:val="1"/>
          <w:bCs w:val="1"/>
          <w:color w:val="auto"/>
        </w:rPr>
      </w:pPr>
    </w:p>
    <w:p>
      <w:pPr>
        <w:ind w:left="1240" w:right="80" w:hanging="617"/>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9.1.</w:t>
      </w:r>
      <w:r>
        <w:rPr>
          <w:rFonts w:ascii="Arial" w:cs="Arial" w:eastAsia="Arial" w:hAnsi="Arial"/>
          <w:sz w:val="16"/>
          <w:szCs w:val="16"/>
          <w:color w:val="auto"/>
        </w:rPr>
        <w:t>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65" w:lineRule="exact"/>
        <w:rPr>
          <w:rFonts w:ascii="Arial" w:cs="Arial" w:eastAsia="Arial" w:hAnsi="Arial"/>
          <w:sz w:val="17"/>
          <w:szCs w:val="17"/>
          <w:b w:val="1"/>
          <w:bCs w:val="1"/>
          <w:color w:val="auto"/>
        </w:rPr>
      </w:pPr>
    </w:p>
    <w:p>
      <w:pPr>
        <w:ind w:left="1240" w:right="8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9.2.This Agreement shall continue to be valid until the full performance of the Contract Obligations or the full discharge and satisfaction of the Secured Debts.</w:t>
      </w:r>
    </w:p>
    <w:p>
      <w:pPr>
        <w:spacing w:after="0" w:line="158" w:lineRule="exact"/>
        <w:rPr>
          <w:rFonts w:ascii="Arial" w:cs="Arial" w:eastAsia="Arial" w:hAnsi="Arial"/>
          <w:sz w:val="17"/>
          <w:szCs w:val="17"/>
          <w:b w:val="1"/>
          <w:bCs w:val="1"/>
          <w:color w:val="auto"/>
        </w:rPr>
      </w:pPr>
    </w:p>
    <w:p>
      <w:pPr>
        <w:ind w:left="620" w:hanging="617"/>
        <w:spacing w:after="0"/>
        <w:tabs>
          <w:tab w:leader="none" w:pos="62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22" w:lineRule="exact"/>
        <w:rPr>
          <w:rFonts w:ascii="Arial" w:cs="Arial" w:eastAsia="Arial" w:hAnsi="Arial"/>
          <w:sz w:val="17"/>
          <w:szCs w:val="17"/>
          <w:b w:val="1"/>
          <w:bCs w:val="1"/>
          <w:color w:val="auto"/>
        </w:rPr>
      </w:pPr>
    </w:p>
    <w:p>
      <w:pPr>
        <w:ind w:left="620" w:right="140"/>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If to Pledgee: </w:t>
      </w:r>
      <w:r>
        <w:rPr>
          <w:rFonts w:ascii="Arial" w:cs="Arial" w:eastAsia="Arial" w:hAnsi="Arial"/>
          <w:sz w:val="17"/>
          <w:szCs w:val="17"/>
          <w:color w:val="auto"/>
        </w:rPr>
        <w:t>NetEase Youdao Information Technology (Beijing) Co., Ltd.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8500" w:type="dxa"/>
            <w:vAlign w:val="bottom"/>
          </w:tcPr>
          <w:p>
            <w:pPr>
              <w:ind w:left="2720"/>
              <w:spacing w:after="0"/>
              <w:rPr>
                <w:sz w:val="20"/>
                <w:szCs w:val="20"/>
                <w:color w:val="auto"/>
              </w:rPr>
            </w:pPr>
            <w:r>
              <w:rPr>
                <w:rFonts w:ascii="Arial" w:cs="Arial" w:eastAsia="Arial" w:hAnsi="Arial"/>
                <w:sz w:val="17"/>
                <w:szCs w:val="17"/>
                <w:color w:val="auto"/>
              </w:rPr>
              <w:t>8</w:t>
            </w:r>
          </w:p>
        </w:tc>
      </w:tr>
      <w:tr>
        <w:trPr>
          <w:trHeight w:val="127"/>
        </w:trPr>
        <w:tc>
          <w:tcPr>
            <w:tcW w:w="2960" w:type="dxa"/>
            <w:vAlign w:val="bottom"/>
            <w:tcBorders>
              <w:bottom w:val="single" w:sz="8" w:color="808080"/>
            </w:tcBorders>
          </w:tcPr>
          <w:p>
            <w:pPr>
              <w:spacing w:after="0"/>
              <w:rPr>
                <w:sz w:val="11"/>
                <w:szCs w:val="11"/>
                <w:color w:val="auto"/>
              </w:rPr>
            </w:pPr>
          </w:p>
        </w:tc>
        <w:tc>
          <w:tcPr>
            <w:tcW w:w="8500" w:type="dxa"/>
            <w:vAlign w:val="bottom"/>
            <w:tcBorders>
              <w:bottom w:val="single" w:sz="8" w:color="808080"/>
            </w:tcBorders>
          </w:tcPr>
          <w:p>
            <w:pPr>
              <w:spacing w:after="0"/>
              <w:rPr>
                <w:sz w:val="11"/>
                <w:szCs w:val="11"/>
                <w:color w:val="auto"/>
              </w:rPr>
            </w:pPr>
          </w:p>
        </w:tc>
      </w:tr>
      <w:tr>
        <w:trPr>
          <w:trHeight w:val="730"/>
        </w:trPr>
        <w:tc>
          <w:tcPr>
            <w:tcW w:w="2960" w:type="dxa"/>
            <w:vAlign w:val="bottom"/>
          </w:tcPr>
          <w:p>
            <w:pPr>
              <w:ind w:left="1700"/>
              <w:spacing w:after="0"/>
              <w:rPr>
                <w:sz w:val="20"/>
                <w:szCs w:val="20"/>
                <w:color w:val="auto"/>
              </w:rPr>
            </w:pPr>
            <w:r>
              <w:rPr>
                <w:rFonts w:ascii="Arial" w:cs="Arial" w:eastAsia="Arial" w:hAnsi="Arial"/>
                <w:sz w:val="17"/>
                <w:szCs w:val="17"/>
                <w:color w:val="auto"/>
              </w:rPr>
              <w:t>Address:</w:t>
            </w:r>
          </w:p>
        </w:tc>
        <w:tc>
          <w:tcPr>
            <w:tcW w:w="8500" w:type="dxa"/>
            <w:vAlign w:val="bottom"/>
          </w:tcPr>
          <w:p>
            <w:pPr>
              <w:ind w:left="60"/>
              <w:spacing w:after="0"/>
              <w:rPr>
                <w:sz w:val="20"/>
                <w:szCs w:val="20"/>
                <w:color w:val="auto"/>
              </w:rPr>
            </w:pPr>
            <w:r>
              <w:rPr>
                <w:rFonts w:ascii="Arial" w:cs="Arial" w:eastAsia="Arial" w:hAnsi="Arial"/>
                <w:sz w:val="17"/>
                <w:szCs w:val="17"/>
                <w:color w:val="auto"/>
              </w:rPr>
              <w:t>1/F, Tower C, Building No. 7, West Zone Zhongguancun Software Park (Phase II) No. 10 Xibeiwang East Road,</w:t>
            </w:r>
          </w:p>
        </w:tc>
      </w:tr>
      <w:tr>
        <w:trPr>
          <w:trHeight w:val="217"/>
        </w:trPr>
        <w:tc>
          <w:tcPr>
            <w:tcW w:w="2960" w:type="dxa"/>
            <w:vAlign w:val="bottom"/>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7"/>
                <w:szCs w:val="17"/>
                <w:color w:val="auto"/>
              </w:rPr>
              <w:t>Haidian District</w:t>
            </w:r>
          </w:p>
        </w:tc>
      </w:tr>
      <w:tr>
        <w:trPr>
          <w:trHeight w:val="412"/>
        </w:trPr>
        <w:tc>
          <w:tcPr>
            <w:tcW w:w="2960" w:type="dxa"/>
            <w:vAlign w:val="bottom"/>
          </w:tcPr>
          <w:p>
            <w:pPr>
              <w:ind w:left="1700"/>
              <w:spacing w:after="0"/>
              <w:rPr>
                <w:sz w:val="20"/>
                <w:szCs w:val="20"/>
                <w:color w:val="auto"/>
              </w:rPr>
            </w:pPr>
            <w:r>
              <w:rPr>
                <w:rFonts w:ascii="Arial" w:cs="Arial" w:eastAsia="Arial" w:hAnsi="Arial"/>
                <w:sz w:val="17"/>
                <w:szCs w:val="17"/>
                <w:color w:val="auto"/>
              </w:rPr>
              <w:t>Fax:</w:t>
            </w:r>
          </w:p>
        </w:tc>
        <w:tc>
          <w:tcPr>
            <w:tcW w:w="8500" w:type="dxa"/>
            <w:vAlign w:val="bottom"/>
          </w:tcPr>
          <w:p>
            <w:pPr>
              <w:ind w:left="60"/>
              <w:spacing w:after="0"/>
              <w:rPr>
                <w:sz w:val="20"/>
                <w:szCs w:val="20"/>
                <w:color w:val="auto"/>
              </w:rPr>
            </w:pPr>
            <w:r>
              <w:rPr>
                <w:rFonts w:ascii="Arial" w:cs="Arial" w:eastAsia="Arial" w:hAnsi="Arial"/>
                <w:sz w:val="17"/>
                <w:szCs w:val="17"/>
                <w:color w:val="auto"/>
              </w:rPr>
              <w:t>86-10-82558135</w:t>
            </w:r>
          </w:p>
        </w:tc>
      </w:tr>
      <w:tr>
        <w:trPr>
          <w:trHeight w:val="412"/>
        </w:trPr>
        <w:tc>
          <w:tcPr>
            <w:tcW w:w="2960" w:type="dxa"/>
            <w:vAlign w:val="bottom"/>
          </w:tcPr>
          <w:p>
            <w:pPr>
              <w:ind w:left="1700"/>
              <w:spacing w:after="0"/>
              <w:rPr>
                <w:sz w:val="20"/>
                <w:szCs w:val="20"/>
                <w:color w:val="auto"/>
              </w:rPr>
            </w:pPr>
            <w:r>
              <w:rPr>
                <w:rFonts w:ascii="Arial" w:cs="Arial" w:eastAsia="Arial" w:hAnsi="Arial"/>
                <w:sz w:val="17"/>
                <w:szCs w:val="17"/>
                <w:color w:val="auto"/>
              </w:rPr>
              <w:t>Email:</w:t>
            </w:r>
          </w:p>
        </w:tc>
        <w:tc>
          <w:tcPr>
            <w:tcW w:w="8500" w:type="dxa"/>
            <w:vAlign w:val="bottom"/>
          </w:tcPr>
          <w:p>
            <w:pPr>
              <w:ind w:left="60"/>
              <w:spacing w:after="0"/>
              <w:rPr>
                <w:sz w:val="20"/>
                <w:szCs w:val="20"/>
                <w:color w:val="auto"/>
              </w:rPr>
            </w:pPr>
            <w:r>
              <w:rPr>
                <w:rFonts w:ascii="Arial" w:cs="Arial" w:eastAsia="Arial" w:hAnsi="Arial"/>
                <w:sz w:val="17"/>
                <w:szCs w:val="17"/>
                <w:color w:val="auto"/>
              </w:rPr>
              <w:t>zf@rd.netease.com</w:t>
            </w:r>
          </w:p>
        </w:tc>
      </w:tr>
      <w:tr>
        <w:trPr>
          <w:trHeight w:val="412"/>
        </w:trPr>
        <w:tc>
          <w:tcPr>
            <w:tcW w:w="2960" w:type="dxa"/>
            <w:vAlign w:val="bottom"/>
          </w:tcPr>
          <w:p>
            <w:pPr>
              <w:ind w:left="1700"/>
              <w:spacing w:after="0"/>
              <w:rPr>
                <w:sz w:val="20"/>
                <w:szCs w:val="20"/>
                <w:color w:val="auto"/>
              </w:rPr>
            </w:pPr>
            <w:r>
              <w:rPr>
                <w:rFonts w:ascii="Arial" w:cs="Arial" w:eastAsia="Arial" w:hAnsi="Arial"/>
                <w:sz w:val="17"/>
                <w:szCs w:val="17"/>
                <w:color w:val="auto"/>
              </w:rPr>
              <w:t>Attention:</w:t>
            </w:r>
          </w:p>
        </w:tc>
        <w:tc>
          <w:tcPr>
            <w:tcW w:w="8500" w:type="dxa"/>
            <w:vAlign w:val="bottom"/>
          </w:tcPr>
          <w:p>
            <w:pPr>
              <w:ind w:left="60"/>
              <w:spacing w:after="0"/>
              <w:rPr>
                <w:sz w:val="20"/>
                <w:szCs w:val="20"/>
                <w:color w:val="auto"/>
              </w:rPr>
            </w:pPr>
            <w:r>
              <w:rPr>
                <w:rFonts w:ascii="Arial" w:cs="Arial" w:eastAsia="Arial" w:hAnsi="Arial"/>
                <w:sz w:val="17"/>
                <w:szCs w:val="17"/>
                <w:color w:val="auto"/>
              </w:rPr>
              <w:t>Feng Zhou</w:t>
            </w:r>
          </w:p>
        </w:tc>
      </w:tr>
      <w:tr>
        <w:trPr>
          <w:trHeight w:val="412"/>
        </w:trPr>
        <w:tc>
          <w:tcPr>
            <w:tcW w:w="2960" w:type="dxa"/>
            <w:vAlign w:val="bottom"/>
          </w:tcPr>
          <w:p>
            <w:pPr>
              <w:ind w:left="620"/>
              <w:spacing w:after="0"/>
              <w:rPr>
                <w:sz w:val="20"/>
                <w:szCs w:val="20"/>
                <w:color w:val="auto"/>
              </w:rPr>
            </w:pPr>
            <w:r>
              <w:rPr>
                <w:rFonts w:ascii="Arial" w:cs="Arial" w:eastAsia="Arial" w:hAnsi="Arial"/>
                <w:sz w:val="17"/>
                <w:szCs w:val="17"/>
                <w:b w:val="1"/>
                <w:bCs w:val="1"/>
                <w:color w:val="auto"/>
              </w:rPr>
              <w:t xml:space="preserve">If to Pledgor: </w:t>
            </w:r>
            <w:r>
              <w:rPr>
                <w:rFonts w:ascii="Arial" w:cs="Arial" w:eastAsia="Arial" w:hAnsi="Arial"/>
                <w:sz w:val="17"/>
                <w:szCs w:val="17"/>
                <w:color w:val="auto"/>
              </w:rPr>
              <w:t>William Lei Ding</w:t>
            </w:r>
          </w:p>
        </w:tc>
        <w:tc>
          <w:tcPr>
            <w:tcW w:w="8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-1675130</wp:posOffset>
            </wp:positionV>
            <wp:extent cx="12700" cy="29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-1675130</wp:posOffset>
            </wp:positionV>
            <wp:extent cx="12700" cy="29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20" w:name="page121"/>
    <w:bookmarkEnd w:id="120"/>
    <w:p>
      <w:pPr>
        <w:ind w:left="1657"/>
        <w:spacing w:after="0"/>
        <w:tabs>
          <w:tab w:leader="none" w:pos="3017"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Room 6-401, A90, Shuguang Road, Jiangdong District, Ningbo, Zhejiang Province</w:t>
      </w:r>
    </w:p>
    <w:p>
      <w:pPr>
        <w:spacing w:after="0" w:line="216" w:lineRule="exact"/>
        <w:rPr>
          <w:sz w:val="20"/>
          <w:szCs w:val="20"/>
          <w:color w:val="auto"/>
        </w:rPr>
      </w:pPr>
    </w:p>
    <w:p>
      <w:pPr>
        <w:ind w:left="1657"/>
        <w:spacing w:after="0"/>
        <w:tabs>
          <w:tab w:leader="none" w:pos="3017" w:val="left"/>
        </w:tabs>
        <w:rPr>
          <w:sz w:val="20"/>
          <w:szCs w:val="20"/>
          <w:color w:val="auto"/>
        </w:rPr>
      </w:pPr>
      <w:r>
        <w:rPr>
          <w:rFonts w:ascii="Arial" w:cs="Arial" w:eastAsia="Arial" w:hAnsi="Arial"/>
          <w:sz w:val="17"/>
          <w:szCs w:val="17"/>
          <w:color w:val="auto"/>
        </w:rPr>
        <w:t>Fax:</w:t>
      </w:r>
      <w:r>
        <w:rPr>
          <w:sz w:val="20"/>
          <w:szCs w:val="20"/>
          <w:color w:val="auto"/>
        </w:rPr>
        <w:tab/>
      </w:r>
      <w:r>
        <w:rPr>
          <w:rFonts w:ascii="Arial" w:cs="Arial" w:eastAsia="Arial" w:hAnsi="Arial"/>
          <w:sz w:val="17"/>
          <w:szCs w:val="17"/>
          <w:color w:val="auto"/>
        </w:rPr>
        <w:t>0571-89852620</w:t>
      </w:r>
    </w:p>
    <w:p>
      <w:pPr>
        <w:spacing w:after="0" w:line="216" w:lineRule="exact"/>
        <w:rPr>
          <w:sz w:val="20"/>
          <w:szCs w:val="20"/>
          <w:color w:val="auto"/>
        </w:rPr>
      </w:pPr>
    </w:p>
    <w:p>
      <w:pPr>
        <w:ind w:left="1657"/>
        <w:spacing w:after="0"/>
        <w:tabs>
          <w:tab w:leader="none" w:pos="3017"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wding@corp.netease.com</w:t>
      </w:r>
    </w:p>
    <w:p>
      <w:pPr>
        <w:spacing w:after="0" w:line="210" w:lineRule="exact"/>
        <w:rPr>
          <w:sz w:val="20"/>
          <w:szCs w:val="20"/>
          <w:color w:val="auto"/>
        </w:rPr>
      </w:pPr>
    </w:p>
    <w:p>
      <w:pPr>
        <w:ind w:left="597" w:hanging="597"/>
        <w:spacing w:after="0"/>
        <w:tabs>
          <w:tab w:leader="none" w:pos="597"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w:t>
      </w:r>
    </w:p>
    <w:p>
      <w:pPr>
        <w:spacing w:after="0" w:line="222" w:lineRule="exact"/>
        <w:rPr>
          <w:rFonts w:ascii="Arial" w:cs="Arial" w:eastAsia="Arial" w:hAnsi="Arial"/>
          <w:sz w:val="17"/>
          <w:szCs w:val="17"/>
          <w:b w:val="1"/>
          <w:bCs w:val="1"/>
          <w:color w:val="auto"/>
        </w:rPr>
      </w:pPr>
    </w:p>
    <w:p>
      <w:pPr>
        <w:ind w:left="617" w:right="100"/>
        <w:spacing w:after="0" w:line="295" w:lineRule="auto"/>
        <w:rPr>
          <w:rFonts w:ascii="Arial" w:cs="Arial" w:eastAsia="Arial" w:hAnsi="Arial"/>
          <w:sz w:val="17"/>
          <w:szCs w:val="17"/>
          <w:b w:val="1"/>
          <w:bCs w:val="1"/>
          <w:color w:val="auto"/>
        </w:rPr>
      </w:pPr>
      <w:r>
        <w:rPr>
          <w:rFonts w:ascii="Arial" w:cs="Arial" w:eastAsia="Arial" w:hAnsi="Arial"/>
          <w:sz w:val="15"/>
          <w:szCs w:val="15"/>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50" w:lineRule="exact"/>
        <w:rPr>
          <w:rFonts w:ascii="Arial" w:cs="Arial" w:eastAsia="Arial" w:hAnsi="Arial"/>
          <w:sz w:val="17"/>
          <w:szCs w:val="17"/>
          <w:b w:val="1"/>
          <w:bCs w:val="1"/>
          <w:color w:val="auto"/>
        </w:rPr>
      </w:pPr>
    </w:p>
    <w:p>
      <w:pPr>
        <w:ind w:left="617" w:hanging="617"/>
        <w:spacing w:after="0"/>
        <w:tabs>
          <w:tab w:leader="none" w:pos="617"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 and Dispute Resolution</w:t>
      </w:r>
    </w:p>
    <w:p>
      <w:pPr>
        <w:spacing w:after="0" w:line="222" w:lineRule="exact"/>
        <w:rPr>
          <w:rFonts w:ascii="Arial" w:cs="Arial" w:eastAsia="Arial" w:hAnsi="Arial"/>
          <w:sz w:val="17"/>
          <w:szCs w:val="17"/>
          <w:b w:val="1"/>
          <w:bCs w:val="1"/>
          <w:color w:val="auto"/>
        </w:rPr>
      </w:pPr>
    </w:p>
    <w:p>
      <w:pPr>
        <w:ind w:left="1237" w:right="20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12.1. The formation, validity, interpretation, performance, amendment, termination and dispute resolution of this Agreement shall be governed by PRC Law.</w:t>
      </w:r>
    </w:p>
    <w:p>
      <w:pPr>
        <w:spacing w:after="0" w:line="164" w:lineRule="exact"/>
        <w:rPr>
          <w:rFonts w:ascii="Arial" w:cs="Arial" w:eastAsia="Arial" w:hAnsi="Arial"/>
          <w:sz w:val="17"/>
          <w:szCs w:val="17"/>
          <w:b w:val="1"/>
          <w:bCs w:val="1"/>
          <w:color w:val="auto"/>
        </w:rPr>
      </w:pPr>
    </w:p>
    <w:p>
      <w:pPr>
        <w:ind w:left="1237" w:hanging="617"/>
        <w:spacing w:after="0" w:line="272" w:lineRule="auto"/>
        <w:rPr>
          <w:rFonts w:ascii="Arial" w:cs="Arial" w:eastAsia="Arial" w:hAnsi="Arial"/>
          <w:sz w:val="17"/>
          <w:szCs w:val="17"/>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73"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37" w:right="300" w:hanging="616"/>
        <w:spacing w:after="0" w:line="278" w:lineRule="auto"/>
        <w:tabs>
          <w:tab w:leader="none" w:pos="1217"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59" w:lineRule="exact"/>
        <w:rPr>
          <w:sz w:val="20"/>
          <w:szCs w:val="20"/>
          <w:color w:val="auto"/>
        </w:rPr>
      </w:pPr>
    </w:p>
    <w:p>
      <w:pPr>
        <w:ind w:left="617" w:hanging="617"/>
        <w:spacing w:after="0"/>
        <w:tabs>
          <w:tab w:leader="none" w:pos="617"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p>
    <w:p>
      <w:pPr>
        <w:spacing w:after="0" w:line="222" w:lineRule="exact"/>
        <w:rPr>
          <w:rFonts w:ascii="Arial" w:cs="Arial" w:eastAsia="Arial" w:hAnsi="Arial"/>
          <w:sz w:val="17"/>
          <w:szCs w:val="17"/>
          <w:b w:val="1"/>
          <w:bCs w:val="1"/>
          <w:color w:val="auto"/>
        </w:rPr>
      </w:pPr>
    </w:p>
    <w:p>
      <w:pPr>
        <w:ind w:left="1237" w:hanging="617"/>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53" w:lineRule="exact"/>
        <w:rPr>
          <w:rFonts w:ascii="Arial" w:cs="Arial" w:eastAsia="Arial" w:hAnsi="Arial"/>
          <w:sz w:val="17"/>
          <w:szCs w:val="17"/>
          <w:b w:val="1"/>
          <w:bCs w:val="1"/>
          <w:color w:val="auto"/>
        </w:rPr>
      </w:pPr>
    </w:p>
    <w:p>
      <w:pPr>
        <w:ind w:left="1237" w:right="660" w:hanging="617"/>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13.2. The amount of Secured Debts determined by the Pledgee in exercising its rights over the Pledged Equity in accordance with the provisions contained herein shall be conclusive evidence of the amount of the Secured Debts hereunder.</w:t>
      </w:r>
    </w:p>
    <w:p>
      <w:pPr>
        <w:spacing w:after="0" w:line="164" w:lineRule="exact"/>
        <w:rPr>
          <w:rFonts w:ascii="Arial" w:cs="Arial" w:eastAsia="Arial" w:hAnsi="Arial"/>
          <w:sz w:val="17"/>
          <w:szCs w:val="17"/>
          <w:b w:val="1"/>
          <w:bCs w:val="1"/>
          <w:color w:val="auto"/>
        </w:rPr>
      </w:pPr>
    </w:p>
    <w:p>
      <w:pPr>
        <w:ind w:left="617"/>
        <w:spacing w:after="0"/>
        <w:rPr>
          <w:rFonts w:ascii="Arial" w:cs="Arial" w:eastAsia="Arial" w:hAnsi="Arial"/>
          <w:sz w:val="17"/>
          <w:szCs w:val="17"/>
          <w:b w:val="1"/>
          <w:bCs w:val="1"/>
          <w:color w:val="auto"/>
        </w:rPr>
      </w:pPr>
      <w:r>
        <w:rPr>
          <w:rFonts w:ascii="Arial" w:cs="Arial" w:eastAsia="Arial" w:hAnsi="Arial"/>
          <w:sz w:val="17"/>
          <w:szCs w:val="17"/>
          <w:color w:val="auto"/>
        </w:rPr>
        <w:t>13.3.   This Agreement may not be amended or modified in any manner except by an instrument in writing signed by the Parties hereto.</w:t>
      </w:r>
    </w:p>
    <w:p>
      <w:pPr>
        <w:spacing w:after="0" w:line="216" w:lineRule="exact"/>
        <w:rPr>
          <w:rFonts w:ascii="Arial" w:cs="Arial" w:eastAsia="Arial" w:hAnsi="Arial"/>
          <w:sz w:val="17"/>
          <w:szCs w:val="17"/>
          <w:b w:val="1"/>
          <w:bCs w:val="1"/>
          <w:color w:val="auto"/>
        </w:rPr>
      </w:pPr>
    </w:p>
    <w:p>
      <w:pPr>
        <w:ind w:left="1237" w:right="20" w:hanging="617"/>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13.4. 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7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37" w:right="20" w:hanging="616"/>
        <w:spacing w:after="0" w:line="275" w:lineRule="auto"/>
        <w:tabs>
          <w:tab w:leader="none" w:pos="1217"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5" w:lineRule="exact"/>
        <w:rPr>
          <w:sz w:val="20"/>
          <w:szCs w:val="20"/>
          <w:color w:val="auto"/>
        </w:rPr>
      </w:pPr>
    </w:p>
    <w:p>
      <w:pPr>
        <w:ind w:left="1237" w:right="100" w:hanging="616"/>
        <w:spacing w:after="0" w:line="261" w:lineRule="auto"/>
        <w:tabs>
          <w:tab w:leader="none" w:pos="1217"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color w:val="auto"/>
        </w:rPr>
        <w:t>Upon the execution of this Agreement, the Pledgor shall enter into a power of attorney (the “</w:t>
      </w:r>
      <w:r>
        <w:rPr>
          <w:rFonts w:ascii="Arial" w:cs="Arial" w:eastAsia="Arial" w:hAnsi="Arial"/>
          <w:sz w:val="17"/>
          <w:szCs w:val="17"/>
          <w:b w:val="1"/>
          <w:bCs w:val="1"/>
          <w:color w:val="auto"/>
        </w:rPr>
        <w:t>Power of Attorney</w:t>
      </w:r>
      <w:r>
        <w:rPr>
          <w:rFonts w:ascii="Arial" w:cs="Arial" w:eastAsia="Arial" w:hAnsi="Arial"/>
          <w:sz w:val="17"/>
          <w:szCs w:val="17"/>
          <w:color w:val="auto"/>
        </w:rPr>
        <w:t xml:space="preserve">”, the form of which is set forth in </w:t>
      </w:r>
      <w:r>
        <w:rPr>
          <w:rFonts w:ascii="Arial" w:cs="Arial" w:eastAsia="Arial" w:hAnsi="Arial"/>
          <w:sz w:val="17"/>
          <w:szCs w:val="17"/>
          <w:u w:val="single" w:color="auto"/>
          <w:color w:val="auto"/>
        </w:rPr>
        <w:t>Appendix II</w:t>
      </w:r>
      <w:r>
        <w:rPr>
          <w:rFonts w:ascii="Arial" w:cs="Arial" w:eastAsia="Arial" w:hAnsi="Arial"/>
          <w:sz w:val="17"/>
          <w:szCs w:val="17"/>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ectPr>
          <w:pgSz w:w="11900" w:h="16838" w:orient="portrait"/>
          <w:cols w:equalWidth="0" w:num="1">
            <w:col w:w="11417"/>
          </w:cols>
          <w:pgMar w:left="243" w:top="127" w:right="239" w:bottom="143" w:gutter="0" w:footer="0" w:header="0"/>
        </w:sectPr>
      </w:pPr>
    </w:p>
    <w:bookmarkStart w:id="121" w:name="page122"/>
    <w:bookmarkEnd w:id="121"/>
    <w:p>
      <w:pPr>
        <w:ind w:left="1240" w:right="40" w:hanging="616"/>
        <w:spacing w:after="0" w:line="288" w:lineRule="auto"/>
        <w:tabs>
          <w:tab w:leader="none" w:pos="122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5"/>
          <w:szCs w:val="15"/>
          <w:b w:val="1"/>
          <w:bCs w:val="1"/>
          <w:color w:val="auto"/>
        </w:rPr>
        <w:t>Applicable</w:t>
      </w:r>
      <w:r>
        <w:rPr>
          <w:rFonts w:ascii="Arial" w:cs="Arial" w:eastAsia="Arial" w:hAnsi="Arial"/>
          <w:sz w:val="15"/>
          <w:szCs w:val="15"/>
          <w:color w:val="auto"/>
        </w:rPr>
        <w:t xml:space="preserve"> </w:t>
      </w:r>
      <w:r>
        <w:rPr>
          <w:rFonts w:ascii="Arial" w:cs="Arial" w:eastAsia="Arial" w:hAnsi="Arial"/>
          <w:sz w:val="15"/>
          <w:szCs w:val="15"/>
          <w:b w:val="1"/>
          <w:bCs w:val="1"/>
          <w:color w:val="auto"/>
        </w:rPr>
        <w:t>Requirements</w:t>
      </w:r>
      <w:r>
        <w:rPr>
          <w:rFonts w:ascii="Arial" w:cs="Arial" w:eastAsia="Arial" w:hAnsi="Arial"/>
          <w:sz w:val="15"/>
          <w:szCs w:val="15"/>
          <w:color w:val="auto"/>
        </w:rPr>
        <w:t>”), the Pledgor agrees and undertakes to (a) take all such actions (including the amendment of this Agreement and its appendices, any</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authorizations, documents and notices entered into or delivered in connection with this Agreement and the execution of additional documents) to comply with or, as applicable, meet the Applicable Requirements and (b) take all actions referred to in paragraph (a) above within three</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(3) Business Days from demand by the Pledgee.</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[Signature page follows]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Agreement has been duly executed by the Parties as of the date first above written.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80" w:type="dxa"/>
            <w:vAlign w:val="bottom"/>
          </w:tcPr>
          <w:p>
            <w:pPr>
              <w:ind w:left="5720"/>
              <w:spacing w:after="0"/>
              <w:rPr>
                <w:sz w:val="20"/>
                <w:szCs w:val="20"/>
                <w:color w:val="auto"/>
              </w:rPr>
            </w:pPr>
            <w:r>
              <w:rPr>
                <w:rFonts w:ascii="Arial" w:cs="Arial" w:eastAsia="Arial" w:hAnsi="Arial"/>
                <w:sz w:val="17"/>
                <w:szCs w:val="17"/>
                <w:b w:val="1"/>
                <w:bCs w:val="1"/>
                <w:color w:val="auto"/>
              </w:rPr>
              <w:t>Pledgee:</w:t>
            </w:r>
          </w:p>
        </w:tc>
        <w:tc>
          <w:tcPr>
            <w:tcW w:w="4740" w:type="dxa"/>
            <w:vAlign w:val="bottom"/>
          </w:tcPr>
          <w:p>
            <w:pPr>
              <w:spacing w:after="0"/>
              <w:rPr>
                <w:sz w:val="20"/>
                <w:szCs w:val="20"/>
                <w:color w:val="auto"/>
              </w:rPr>
            </w:pPr>
            <w:r>
              <w:rPr>
                <w:rFonts w:ascii="Arial" w:cs="Arial" w:eastAsia="Arial" w:hAnsi="Arial"/>
                <w:sz w:val="17"/>
                <w:szCs w:val="17"/>
                <w:b w:val="1"/>
                <w:bCs w:val="1"/>
                <w:color w:val="auto"/>
                <w:w w:val="98"/>
              </w:rPr>
              <w:t>NetEase Youdao Information Technology (Beijing) Co., Ltd.</w:t>
            </w:r>
          </w:p>
        </w:tc>
        <w:tc>
          <w:tcPr>
            <w:tcW w:w="40" w:type="dxa"/>
            <w:vAlign w:val="bottom"/>
          </w:tcPr>
          <w:p>
            <w:pPr>
              <w:spacing w:after="0"/>
              <w:rPr>
                <w:sz w:val="17"/>
                <w:szCs w:val="17"/>
                <w:color w:val="auto"/>
              </w:rPr>
            </w:pPr>
          </w:p>
        </w:tc>
      </w:tr>
      <w:tr>
        <w:trPr>
          <w:trHeight w:val="223"/>
        </w:trPr>
        <w:tc>
          <w:tcPr>
            <w:tcW w:w="66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7"/>
                <w:szCs w:val="17"/>
                <w:b w:val="1"/>
                <w:bCs w:val="1"/>
                <w:color w:val="auto"/>
              </w:rPr>
              <w:t>(seal)</w:t>
            </w:r>
          </w:p>
        </w:tc>
        <w:tc>
          <w:tcPr>
            <w:tcW w:w="40" w:type="dxa"/>
            <w:vAlign w:val="bottom"/>
          </w:tcPr>
          <w:p>
            <w:pPr>
              <w:spacing w:after="0"/>
              <w:rPr>
                <w:sz w:val="19"/>
                <w:szCs w:val="19"/>
                <w:color w:val="auto"/>
              </w:rPr>
            </w:pPr>
          </w:p>
        </w:tc>
      </w:tr>
      <w:tr>
        <w:trPr>
          <w:trHeight w:val="412"/>
        </w:trPr>
        <w:tc>
          <w:tcPr>
            <w:tcW w:w="66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(Seal)</w:t>
            </w:r>
          </w:p>
        </w:tc>
        <w:tc>
          <w:tcPr>
            <w:tcW w:w="40" w:type="dxa"/>
            <w:vAlign w:val="bottom"/>
          </w:tcPr>
          <w:p>
            <w:pPr>
              <w:spacing w:after="0"/>
              <w:rPr>
                <w:sz w:val="24"/>
                <w:szCs w:val="24"/>
                <w:color w:val="auto"/>
              </w:rPr>
            </w:pPr>
          </w:p>
        </w:tc>
      </w:tr>
      <w:tr>
        <w:trPr>
          <w:trHeight w:val="412"/>
        </w:trPr>
        <w:tc>
          <w:tcPr>
            <w:tcW w:w="6680" w:type="dxa"/>
            <w:vAlign w:val="bottom"/>
          </w:tcPr>
          <w:p>
            <w:pPr>
              <w:ind w:left="5720"/>
              <w:spacing w:after="0"/>
              <w:rPr>
                <w:sz w:val="20"/>
                <w:szCs w:val="20"/>
                <w:color w:val="auto"/>
              </w:rPr>
            </w:pPr>
            <w:r>
              <w:rPr>
                <w:rFonts w:ascii="Arial" w:cs="Arial" w:eastAsia="Arial" w:hAnsi="Arial"/>
                <w:sz w:val="17"/>
                <w:szCs w:val="17"/>
                <w:b w:val="1"/>
                <w:bCs w:val="1"/>
                <w:color w:val="auto"/>
              </w:rPr>
              <w:t>Pledgor:</w:t>
            </w:r>
          </w:p>
        </w:tc>
        <w:tc>
          <w:tcPr>
            <w:tcW w:w="4740" w:type="dxa"/>
            <w:vAlign w:val="bottom"/>
          </w:tcPr>
          <w:p>
            <w:pPr>
              <w:spacing w:after="0"/>
              <w:rPr>
                <w:sz w:val="20"/>
                <w:szCs w:val="20"/>
                <w:color w:val="auto"/>
              </w:rPr>
            </w:pPr>
            <w:r>
              <w:rPr>
                <w:rFonts w:ascii="Arial" w:cs="Arial" w:eastAsia="Arial" w:hAnsi="Arial"/>
                <w:sz w:val="17"/>
                <w:szCs w:val="17"/>
                <w:b w:val="1"/>
                <w:bCs w:val="1"/>
                <w:color w:val="auto"/>
              </w:rPr>
              <w:t>William Lei Ding</w:t>
            </w:r>
          </w:p>
        </w:tc>
        <w:tc>
          <w:tcPr>
            <w:tcW w:w="40" w:type="dxa"/>
            <w:vAlign w:val="bottom"/>
          </w:tcPr>
          <w:p>
            <w:pPr>
              <w:spacing w:after="0"/>
              <w:rPr>
                <w:sz w:val="24"/>
                <w:szCs w:val="24"/>
                <w:color w:val="auto"/>
              </w:rPr>
            </w:pPr>
          </w:p>
        </w:tc>
      </w:tr>
      <w:tr>
        <w:trPr>
          <w:trHeight w:val="412"/>
        </w:trPr>
        <w:tc>
          <w:tcPr>
            <w:tcW w:w="668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Lei Ding</w:t>
            </w:r>
          </w:p>
        </w:tc>
        <w:tc>
          <w:tcPr>
            <w:tcW w:w="40" w:type="dxa"/>
            <w:vAlign w:val="bottom"/>
          </w:tcPr>
          <w:p>
            <w:pPr>
              <w:spacing w:after="0"/>
              <w:rPr>
                <w:sz w:val="24"/>
                <w:szCs w:val="24"/>
                <w:color w:val="auto"/>
              </w:rPr>
            </w:pPr>
          </w:p>
        </w:tc>
      </w:tr>
      <w:tr>
        <w:trPr>
          <w:trHeight w:val="324"/>
        </w:trPr>
        <w:tc>
          <w:tcPr>
            <w:tcW w:w="668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160" w:type="dxa"/>
            <w:vAlign w:val="bottom"/>
            <w:gridSpan w:val="2"/>
          </w:tcPr>
          <w:p>
            <w:pPr>
              <w:jc w:val="center"/>
              <w:ind w:right="5340"/>
              <w:spacing w:after="0"/>
              <w:rPr>
                <w:sz w:val="20"/>
                <w:szCs w:val="20"/>
                <w:color w:val="auto"/>
              </w:rPr>
            </w:pPr>
            <w:r>
              <w:rPr>
                <w:rFonts w:ascii="Arial" w:cs="Arial" w:eastAsia="Arial" w:hAnsi="Arial"/>
                <w:sz w:val="17"/>
                <w:szCs w:val="17"/>
                <w:b w:val="1"/>
                <w:bCs w:val="1"/>
                <w:color w:val="auto"/>
                <w:w w:val="94"/>
              </w:rPr>
              <w:t>Appendix I</w:t>
            </w:r>
          </w:p>
        </w:tc>
      </w:tr>
      <w:tr>
        <w:trPr>
          <w:trHeight w:val="20"/>
        </w:trPr>
        <w:tc>
          <w:tcPr>
            <w:tcW w:w="2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29"/>
        </w:trPr>
        <w:tc>
          <w:tcPr>
            <w:tcW w:w="2160" w:type="dxa"/>
            <w:vAlign w:val="bottom"/>
          </w:tcPr>
          <w:p>
            <w:pPr>
              <w:spacing w:after="0"/>
              <w:rPr>
                <w:sz w:val="24"/>
                <w:szCs w:val="24"/>
                <w:color w:val="auto"/>
              </w:rPr>
            </w:pPr>
          </w:p>
        </w:tc>
        <w:tc>
          <w:tcPr>
            <w:tcW w:w="9300" w:type="dxa"/>
            <w:vAlign w:val="bottom"/>
            <w:gridSpan w:val="3"/>
          </w:tcPr>
          <w:p>
            <w:pPr>
              <w:jc w:val="center"/>
              <w:ind w:right="2200"/>
              <w:spacing w:after="0"/>
              <w:rPr>
                <w:sz w:val="20"/>
                <w:szCs w:val="20"/>
                <w:color w:val="auto"/>
              </w:rPr>
            </w:pPr>
            <w:r>
              <w:rPr>
                <w:rFonts w:ascii="Arial" w:cs="Arial" w:eastAsia="Arial" w:hAnsi="Arial"/>
                <w:sz w:val="17"/>
                <w:szCs w:val="17"/>
                <w:b w:val="1"/>
                <w:bCs w:val="1"/>
                <w:color w:val="auto"/>
                <w:w w:val="91"/>
              </w:rPr>
              <w:t>Basic Information of the Domestic Company</w:t>
            </w:r>
          </w:p>
        </w:tc>
      </w:tr>
      <w:tr>
        <w:trPr>
          <w:trHeight w:val="412"/>
        </w:trPr>
        <w:tc>
          <w:tcPr>
            <w:tcW w:w="2160" w:type="dxa"/>
            <w:vAlign w:val="bottom"/>
          </w:tcPr>
          <w:p>
            <w:pPr>
              <w:spacing w:after="0"/>
              <w:rPr>
                <w:sz w:val="20"/>
                <w:szCs w:val="20"/>
                <w:color w:val="auto"/>
              </w:rPr>
            </w:pPr>
            <w:r>
              <w:rPr>
                <w:rFonts w:ascii="Arial" w:cs="Arial" w:eastAsia="Arial" w:hAnsi="Arial"/>
                <w:sz w:val="17"/>
                <w:szCs w:val="17"/>
                <w:color w:val="auto"/>
              </w:rPr>
              <w:t>Company Name:</w:t>
            </w: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Beijing NetEase Youdao Computer System Co., Ltd.</w:t>
            </w:r>
          </w:p>
        </w:tc>
      </w:tr>
      <w:tr>
        <w:trPr>
          <w:trHeight w:val="401"/>
        </w:trPr>
        <w:tc>
          <w:tcPr>
            <w:tcW w:w="2160" w:type="dxa"/>
            <w:vAlign w:val="bottom"/>
          </w:tcPr>
          <w:p>
            <w:pPr>
              <w:spacing w:after="0"/>
              <w:rPr>
                <w:sz w:val="20"/>
                <w:szCs w:val="20"/>
                <w:color w:val="auto"/>
              </w:rPr>
            </w:pPr>
            <w:r>
              <w:rPr>
                <w:rFonts w:ascii="Arial" w:cs="Arial" w:eastAsia="Arial" w:hAnsi="Arial"/>
                <w:sz w:val="17"/>
                <w:szCs w:val="17"/>
                <w:color w:val="auto"/>
              </w:rPr>
              <w:t>Registered Address:</w:t>
            </w: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w w:val="94"/>
              </w:rPr>
              <w:t>2/F, Tower A, Building No. 7, West Zone Zhongguancun Software Park (Phase II) No. 10 Xibeiwang East Road, Haidian</w:t>
            </w:r>
          </w:p>
        </w:tc>
      </w:tr>
      <w:tr>
        <w:trPr>
          <w:trHeight w:val="217"/>
        </w:trPr>
        <w:tc>
          <w:tcPr>
            <w:tcW w:w="2160" w:type="dxa"/>
            <w:vAlign w:val="bottom"/>
          </w:tcPr>
          <w:p>
            <w:pPr>
              <w:spacing w:after="0"/>
              <w:rPr>
                <w:sz w:val="18"/>
                <w:szCs w:val="18"/>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District</w:t>
            </w:r>
          </w:p>
        </w:tc>
      </w:tr>
      <w:tr>
        <w:trPr>
          <w:trHeight w:val="412"/>
        </w:trPr>
        <w:tc>
          <w:tcPr>
            <w:tcW w:w="2160" w:type="dxa"/>
            <w:vAlign w:val="bottom"/>
          </w:tcPr>
          <w:p>
            <w:pPr>
              <w:spacing w:after="0"/>
              <w:rPr>
                <w:sz w:val="20"/>
                <w:szCs w:val="20"/>
                <w:color w:val="auto"/>
              </w:rPr>
            </w:pPr>
            <w:r>
              <w:rPr>
                <w:rFonts w:ascii="Arial" w:cs="Arial" w:eastAsia="Arial" w:hAnsi="Arial"/>
                <w:sz w:val="17"/>
                <w:szCs w:val="17"/>
                <w:color w:val="auto"/>
              </w:rPr>
              <w:t>Registered Capital:</w:t>
            </w: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RMB 5,000,000 Yuan</w:t>
            </w:r>
          </w:p>
        </w:tc>
      </w:tr>
      <w:tr>
        <w:trPr>
          <w:trHeight w:val="412"/>
        </w:trPr>
        <w:tc>
          <w:tcPr>
            <w:tcW w:w="2160" w:type="dxa"/>
            <w:vAlign w:val="bottom"/>
          </w:tcPr>
          <w:p>
            <w:pPr>
              <w:spacing w:after="0"/>
              <w:rPr>
                <w:sz w:val="20"/>
                <w:szCs w:val="20"/>
                <w:color w:val="auto"/>
              </w:rPr>
            </w:pPr>
            <w:r>
              <w:rPr>
                <w:rFonts w:ascii="Arial" w:cs="Arial" w:eastAsia="Arial" w:hAnsi="Arial"/>
                <w:sz w:val="17"/>
                <w:szCs w:val="17"/>
                <w:color w:val="auto"/>
              </w:rPr>
              <w:t>Equity Structure:</w:t>
            </w: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William Lei Ding —71.073%</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Feng Zhou —22.81%</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Weihang Jiang—0.645%</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Yinghui Wu—2%</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Lei Jin—1%</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Ta Bao—1.172%</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Yi Deng—1%</w:t>
            </w:r>
          </w:p>
        </w:tc>
      </w:tr>
      <w:tr>
        <w:trPr>
          <w:trHeight w:val="412"/>
        </w:trPr>
        <w:tc>
          <w:tcPr>
            <w:tcW w:w="2160" w:type="dxa"/>
            <w:vAlign w:val="bottom"/>
          </w:tcPr>
          <w:p>
            <w:pPr>
              <w:spacing w:after="0"/>
              <w:rPr>
                <w:sz w:val="24"/>
                <w:szCs w:val="24"/>
                <w:color w:val="auto"/>
              </w:rPr>
            </w:pPr>
          </w:p>
        </w:tc>
        <w:tc>
          <w:tcPr>
            <w:tcW w:w="9300" w:type="dxa"/>
            <w:vAlign w:val="bottom"/>
            <w:gridSpan w:val="3"/>
          </w:tcPr>
          <w:p>
            <w:pPr>
              <w:ind w:left="780"/>
              <w:spacing w:after="0"/>
              <w:rPr>
                <w:sz w:val="20"/>
                <w:szCs w:val="20"/>
                <w:color w:val="auto"/>
              </w:rPr>
            </w:pPr>
            <w:r>
              <w:rPr>
                <w:rFonts w:ascii="Arial" w:cs="Arial" w:eastAsia="Arial" w:hAnsi="Arial"/>
                <w:sz w:val="17"/>
                <w:szCs w:val="17"/>
                <w:color w:val="auto"/>
              </w:rPr>
              <w:t>Cheng Hu—0.3%</w:t>
            </w:r>
          </w:p>
        </w:tc>
      </w:tr>
      <w:tr>
        <w:trPr>
          <w:trHeight w:val="332"/>
        </w:trPr>
        <w:tc>
          <w:tcPr>
            <w:tcW w:w="21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8"/>
              </w:rPr>
              <w:t>Appendix II</w:t>
            </w:r>
          </w:p>
        </w:tc>
        <w:tc>
          <w:tcPr>
            <w:tcW w:w="4980" w:type="dxa"/>
            <w:vAlign w:val="bottom"/>
          </w:tcPr>
          <w:p>
            <w:pPr>
              <w:spacing w:after="0"/>
              <w:rPr>
                <w:sz w:val="16"/>
                <w:szCs w:val="16"/>
                <w:color w:val="auto"/>
              </w:rPr>
            </w:pPr>
          </w:p>
        </w:tc>
      </w:tr>
      <w:tr>
        <w:trPr>
          <w:trHeight w:val="429"/>
        </w:trPr>
        <w:tc>
          <w:tcPr>
            <w:tcW w:w="3280" w:type="dxa"/>
            <w:vAlign w:val="bottom"/>
          </w:tcPr>
          <w:p>
            <w:pPr>
              <w:spacing w:after="0"/>
              <w:rPr>
                <w:sz w:val="24"/>
                <w:szCs w:val="24"/>
                <w:color w:val="auto"/>
              </w:rPr>
            </w:pPr>
          </w:p>
        </w:tc>
        <w:tc>
          <w:tcPr>
            <w:tcW w:w="7860" w:type="dxa"/>
            <w:vAlign w:val="bottom"/>
            <w:gridSpan w:val="4"/>
          </w:tcPr>
          <w:p>
            <w:pPr>
              <w:jc w:val="center"/>
              <w:ind w:right="2980"/>
              <w:spacing w:after="0"/>
              <w:rPr>
                <w:sz w:val="20"/>
                <w:szCs w:val="20"/>
                <w:color w:val="auto"/>
              </w:rPr>
            </w:pPr>
            <w:r>
              <w:rPr>
                <w:rFonts w:ascii="Arial" w:cs="Arial" w:eastAsia="Arial" w:hAnsi="Arial"/>
                <w:sz w:val="17"/>
                <w:szCs w:val="17"/>
                <w:b w:val="1"/>
                <w:bCs w:val="1"/>
                <w:color w:val="auto"/>
                <w:w w:val="92"/>
              </w:rPr>
              <w:t>Power of Attorney</w:t>
            </w:r>
          </w:p>
        </w:tc>
      </w:tr>
      <w:tr>
        <w:trPr>
          <w:trHeight w:val="374"/>
        </w:trPr>
        <w:tc>
          <w:tcPr>
            <w:tcW w:w="3280" w:type="dxa"/>
            <w:vAlign w:val="bottom"/>
          </w:tcPr>
          <w:p>
            <w:pPr>
              <w:spacing w:after="0"/>
              <w:rPr>
                <w:sz w:val="20"/>
                <w:szCs w:val="20"/>
                <w:color w:val="auto"/>
              </w:rPr>
            </w:pPr>
            <w:r>
              <w:rPr>
                <w:rFonts w:ascii="Arial" w:cs="Arial" w:eastAsia="Arial" w:hAnsi="Arial"/>
                <w:sz w:val="17"/>
                <w:szCs w:val="17"/>
                <w:color w:val="auto"/>
                <w:w w:val="95"/>
              </w:rPr>
              <w:t>I, William Lei Ding, hereby irrevocably entrust</w:t>
            </w:r>
          </w:p>
        </w:tc>
        <w:tc>
          <w:tcPr>
            <w:tcW w:w="1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720" w:type="dxa"/>
            <w:vAlign w:val="bottom"/>
            <w:gridSpan w:val="2"/>
          </w:tcPr>
          <w:p>
            <w:pPr>
              <w:ind w:left="60"/>
              <w:spacing w:after="0"/>
              <w:rPr>
                <w:sz w:val="20"/>
                <w:szCs w:val="20"/>
                <w:color w:val="auto"/>
              </w:rPr>
            </w:pPr>
            <w:r>
              <w:rPr>
                <w:rFonts w:ascii="Arial" w:cs="Arial" w:eastAsia="Arial" w:hAnsi="Arial"/>
                <w:sz w:val="17"/>
                <w:szCs w:val="17"/>
                <w:color w:val="auto"/>
                <w:w w:val="89"/>
              </w:rPr>
              <w:t>as my authorized representative, to sign all legal documents necessary for NetEase</w:t>
            </w:r>
          </w:p>
        </w:tc>
      </w:tr>
    </w:tbl>
    <w:p>
      <w:pPr>
        <w:spacing w:after="0" w:line="1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Youdao Information Technology (Beijing) Co., Ltd. as the pledgee to exercise its rights under the Equity Pledge Agreement entered into on September 26, 2016 by and betweenNetEase Youdao Information Technology (Beijing) Co., Ltd.and me.</w:t>
      </w:r>
    </w:p>
    <w:p>
      <w:pPr>
        <w:spacing w:after="0" w:line="15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Signature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18415</wp:posOffset>
            </wp:positionV>
            <wp:extent cx="28994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7392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4.53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EXCLUSIVE PURCHASE OPTION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This Exclusive Purchase Option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September 26, 2016 among the following parties in Beijing:</w:t>
      </w:r>
    </w:p>
    <w:p>
      <w:pPr>
        <w:spacing w:after="0" w:line="21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Party A:</w:t>
      </w:r>
      <w:r>
        <w:rPr>
          <w:sz w:val="20"/>
          <w:szCs w:val="20"/>
          <w:color w:val="auto"/>
        </w:rPr>
        <w:tab/>
      </w:r>
      <w:r>
        <w:rPr>
          <w:rFonts w:ascii="Arial" w:cs="Arial" w:eastAsia="Arial" w:hAnsi="Arial"/>
          <w:sz w:val="15"/>
          <w:szCs w:val="15"/>
          <w:color w:val="auto"/>
        </w:rPr>
        <w:t>NetEase Youdao Information Technology (Beijing) Co., Ltd.</w:t>
      </w:r>
    </w:p>
    <w:p>
      <w:pPr>
        <w:spacing w:after="0" w:line="21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Legal Address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1/F, Tower C, Building No. 7, West Zone Zhongguancun Software Park (Phase II) No. 10 Xibeiwang East Road, Haidian District</w:t>
      </w:r>
    </w:p>
    <w:p>
      <w:pPr>
        <w:spacing w:after="0" w:line="21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Party B:</w:t>
      </w:r>
      <w:r>
        <w:rPr>
          <w:sz w:val="20"/>
          <w:szCs w:val="20"/>
          <w:color w:val="auto"/>
        </w:rPr>
        <w:tab/>
      </w:r>
      <w:r>
        <w:rPr>
          <w:rFonts w:ascii="Arial" w:cs="Arial" w:eastAsia="Arial" w:hAnsi="Arial"/>
          <w:sz w:val="16"/>
          <w:szCs w:val="16"/>
          <w:color w:val="auto"/>
        </w:rPr>
        <w:t>William Lei Ding</w:t>
      </w:r>
    </w:p>
    <w:p>
      <w:pPr>
        <w:spacing w:after="0" w:line="2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ID Number:</w:t>
      </w:r>
      <w:r>
        <w:rPr>
          <w:sz w:val="20"/>
          <w:szCs w:val="20"/>
          <w:color w:val="auto"/>
        </w:rPr>
        <w:tab/>
      </w:r>
      <w:r>
        <w:rPr>
          <w:rFonts w:ascii="Arial" w:cs="Arial" w:eastAsia="Arial" w:hAnsi="Arial"/>
          <w:sz w:val="15"/>
          <w:szCs w:val="15"/>
          <w:color w:val="auto"/>
        </w:rPr>
        <w:t>330224197110180074</w:t>
      </w:r>
    </w:p>
    <w:p>
      <w:pPr>
        <w:spacing w:after="0" w:line="10"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Legal Address:</w:t>
      </w:r>
      <w:r>
        <w:rPr>
          <w:sz w:val="20"/>
          <w:szCs w:val="20"/>
          <w:color w:val="auto"/>
        </w:rPr>
        <w:tab/>
      </w:r>
      <w:r>
        <w:rPr>
          <w:rFonts w:ascii="Arial" w:cs="Arial" w:eastAsia="Arial" w:hAnsi="Arial"/>
          <w:sz w:val="15"/>
          <w:szCs w:val="15"/>
          <w:color w:val="auto"/>
        </w:rPr>
        <w:t>Room 6-401, A90, Shuguang Road, Jiangdong District, Ningbo, Zhejiang Province</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Party C:</w:t>
      </w:r>
      <w:r>
        <w:rPr>
          <w:sz w:val="20"/>
          <w:szCs w:val="20"/>
          <w:color w:val="auto"/>
        </w:rPr>
        <w:tab/>
      </w:r>
      <w:r>
        <w:rPr>
          <w:rFonts w:ascii="Arial" w:cs="Arial" w:eastAsia="Arial" w:hAnsi="Arial"/>
          <w:sz w:val="15"/>
          <w:szCs w:val="15"/>
          <w:color w:val="auto"/>
        </w:rPr>
        <w:t>Beijing NetEase Youdao Computer System Co., Ltd.</w:t>
      </w:r>
    </w:p>
    <w:p>
      <w:pPr>
        <w:spacing w:after="0" w:line="216"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Legal Address:</w:t>
      </w:r>
      <w:r>
        <w:rPr>
          <w:sz w:val="20"/>
          <w:szCs w:val="20"/>
          <w:color w:val="auto"/>
        </w:rPr>
        <w:tab/>
      </w:r>
      <w:r>
        <w:rPr>
          <w:rFonts w:ascii="Arial" w:cs="Arial" w:eastAsia="Arial" w:hAnsi="Arial"/>
          <w:sz w:val="15"/>
          <w:szCs w:val="15"/>
          <w:color w:val="auto"/>
        </w:rPr>
        <w:t>2/F, Tower A, Building No. 7, West Zone Zhongguancun Software Park (Phase II) No. 10 Xibeiwang East Road, Haidian District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Party A, Party B and Party C are called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and each of them is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16" w:lineRule="exact"/>
        <w:rPr>
          <w:sz w:val="20"/>
          <w:szCs w:val="20"/>
          <w:color w:val="auto"/>
        </w:rPr>
      </w:pPr>
    </w:p>
    <w:p>
      <w:pPr>
        <w:ind w:left="620" w:hanging="617"/>
        <w:spacing w:after="0"/>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Party A is a Wholly foreign owned enterprise incorporated under the laws of the People’s Republic of China (the “</w:t>
      </w:r>
      <w:r>
        <w:rPr>
          <w:rFonts w:ascii="Arial" w:cs="Arial" w:eastAsia="Arial" w:hAnsi="Arial"/>
          <w:sz w:val="17"/>
          <w:szCs w:val="17"/>
          <w:b w:val="1"/>
          <w:bCs w:val="1"/>
          <w:color w:val="auto"/>
        </w:rPr>
        <w:t>PRC</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620" w:hanging="617"/>
        <w:spacing w:after="0"/>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Party C is a limited liability company incorporated in the PRC;</w:t>
      </w:r>
    </w:p>
    <w:p>
      <w:pPr>
        <w:spacing w:after="0" w:line="210" w:lineRule="exact"/>
        <w:rPr>
          <w:rFonts w:ascii="Arial" w:cs="Arial" w:eastAsia="Arial" w:hAnsi="Arial"/>
          <w:sz w:val="17"/>
          <w:szCs w:val="17"/>
          <w:color w:val="auto"/>
        </w:rPr>
      </w:pPr>
    </w:p>
    <w:p>
      <w:pPr>
        <w:ind w:left="620" w:hanging="617"/>
        <w:spacing w:after="0"/>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Party B is a shareholder of Party C. Party B has ownership of 71.073% of the equity interest in Party C (the “</w:t>
      </w:r>
      <w:r>
        <w:rPr>
          <w:rFonts w:ascii="Arial" w:cs="Arial" w:eastAsia="Arial" w:hAnsi="Arial"/>
          <w:sz w:val="17"/>
          <w:szCs w:val="17"/>
          <w:b w:val="1"/>
          <w:bCs w:val="1"/>
          <w:color w:val="auto"/>
        </w:rPr>
        <w:t>Equity Interest</w:t>
      </w:r>
      <w:r>
        <w:rPr>
          <w:rFonts w:ascii="Arial" w:cs="Arial" w:eastAsia="Arial" w:hAnsi="Arial"/>
          <w:sz w:val="17"/>
          <w:szCs w:val="17"/>
          <w:color w:val="auto"/>
        </w:rPr>
        <w:t>”).</w:t>
      </w:r>
    </w:p>
    <w:p>
      <w:pPr>
        <w:spacing w:after="0" w:line="216" w:lineRule="exact"/>
        <w:rPr>
          <w:rFonts w:ascii="Arial" w:cs="Arial" w:eastAsia="Arial" w:hAnsi="Arial"/>
          <w:sz w:val="17"/>
          <w:szCs w:val="17"/>
          <w:color w:val="auto"/>
        </w:rPr>
      </w:pPr>
    </w:p>
    <w:p>
      <w:pPr>
        <w:ind w:left="620" w:right="600" w:hanging="617"/>
        <w:spacing w:after="0" w:line="321" w:lineRule="auto"/>
        <w:tabs>
          <w:tab w:leader="none" w:pos="62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Party A and Party B entered into a loan agreement (as the same may be amended and supplemented from time to time, the “</w:t>
      </w:r>
      <w:r>
        <w:rPr>
          <w:rFonts w:ascii="Arial" w:cs="Arial" w:eastAsia="Arial" w:hAnsi="Arial"/>
          <w:sz w:val="15"/>
          <w:szCs w:val="15"/>
          <w:b w:val="1"/>
          <w:bCs w:val="1"/>
          <w:color w:val="auto"/>
        </w:rPr>
        <w:t>Loan Agreement</w:t>
      </w:r>
      <w:r>
        <w:rPr>
          <w:rFonts w:ascii="Arial" w:cs="Arial" w:eastAsia="Arial" w:hAnsi="Arial"/>
          <w:sz w:val="15"/>
          <w:szCs w:val="15"/>
          <w:color w:val="auto"/>
        </w:rPr>
        <w:t>”), on September 26, 2016 pursuant to which Party A made a loan, and may make additional loans from time to time, to Party B (such loans are hereinafter collectively referred to as the “</w:t>
      </w:r>
      <w:r>
        <w:rPr>
          <w:rFonts w:ascii="Arial" w:cs="Arial" w:eastAsia="Arial" w:hAnsi="Arial"/>
          <w:sz w:val="15"/>
          <w:szCs w:val="15"/>
          <w:b w:val="1"/>
          <w:bCs w:val="1"/>
          <w:color w:val="auto"/>
        </w:rPr>
        <w:t>Loan</w:t>
      </w:r>
      <w:r>
        <w:rPr>
          <w:rFonts w:ascii="Arial" w:cs="Arial" w:eastAsia="Arial" w:hAnsi="Arial"/>
          <w:sz w:val="15"/>
          <w:szCs w:val="15"/>
          <w:color w:val="auto"/>
        </w:rPr>
        <w:t>”), so that Party B could invest the proceeds from the Loan in Party C as a capital contribution; and</w:t>
      </w:r>
    </w:p>
    <w:p>
      <w:pPr>
        <w:spacing w:after="0" w:line="131" w:lineRule="exact"/>
        <w:rPr>
          <w:rFonts w:ascii="Arial" w:cs="Arial" w:eastAsia="Arial" w:hAnsi="Arial"/>
          <w:sz w:val="15"/>
          <w:szCs w:val="15"/>
          <w:color w:val="auto"/>
        </w:rPr>
      </w:pPr>
    </w:p>
    <w:p>
      <w:pPr>
        <w:ind w:left="620" w:right="2520" w:hanging="617"/>
        <w:spacing w:after="0" w:line="540" w:lineRule="auto"/>
        <w:tabs>
          <w:tab w:leader="none" w:pos="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Party A and Party B entered into an equity pledge agreement (the “</w:t>
      </w:r>
      <w:r>
        <w:rPr>
          <w:rFonts w:ascii="Arial" w:cs="Arial" w:eastAsia="Arial" w:hAnsi="Arial"/>
          <w:sz w:val="16"/>
          <w:szCs w:val="16"/>
          <w:b w:val="1"/>
          <w:bCs w:val="1"/>
          <w:color w:val="auto"/>
        </w:rPr>
        <w:t>Equity Pledge Agreement</w:t>
      </w:r>
      <w:r>
        <w:rPr>
          <w:rFonts w:ascii="Arial" w:cs="Arial" w:eastAsia="Arial" w:hAnsi="Arial"/>
          <w:sz w:val="16"/>
          <w:szCs w:val="16"/>
          <w:color w:val="auto"/>
        </w:rPr>
        <w:t xml:space="preserve">”) on September 26, 2016. </w:t>
      </w:r>
      <w:r>
        <w:rPr>
          <w:rFonts w:ascii="Arial" w:cs="Arial" w:eastAsia="Arial" w:hAnsi="Arial"/>
          <w:sz w:val="16"/>
          <w:szCs w:val="16"/>
          <w:b w:val="1"/>
          <w:bCs w:val="1"/>
          <w:color w:val="auto"/>
        </w:rPr>
        <w:t>NOW, THEREFORE</w:t>
      </w:r>
      <w:r>
        <w:rPr>
          <w:rFonts w:ascii="Arial" w:cs="Arial" w:eastAsia="Arial" w:hAnsi="Arial"/>
          <w:sz w:val="16"/>
          <w:szCs w:val="16"/>
          <w:color w:val="auto"/>
        </w:rPr>
        <w:t>, through negotiations, all parties to this Agreement hereby agree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617"/>
        <w:spacing w:after="0"/>
        <w:tabs>
          <w:tab w:leader="none" w:pos="62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Purchase and Sale of Interest</w:t>
      </w:r>
    </w:p>
    <w:p>
      <w:pPr>
        <w:spacing w:after="0" w:line="2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Granting of Rights</w:t>
      </w:r>
    </w:p>
    <w:p>
      <w:pPr>
        <w:spacing w:after="0" w:line="21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Equity Option</w:t>
      </w:r>
    </w:p>
    <w:p>
      <w:pPr>
        <w:spacing w:after="0" w:line="216" w:lineRule="exact"/>
        <w:rPr>
          <w:sz w:val="20"/>
          <w:szCs w:val="20"/>
          <w:color w:val="auto"/>
        </w:rPr>
      </w:pPr>
    </w:p>
    <w:p>
      <w:pPr>
        <w:ind w:left="1240"/>
        <w:spacing w:after="0" w:line="257" w:lineRule="auto"/>
        <w:rPr>
          <w:sz w:val="20"/>
          <w:szCs w:val="20"/>
          <w:color w:val="auto"/>
        </w:rPr>
      </w:pPr>
      <w:r>
        <w:rPr>
          <w:rFonts w:ascii="Arial" w:cs="Arial" w:eastAsia="Arial" w:hAnsi="Arial"/>
          <w:sz w:val="17"/>
          <w:szCs w:val="17"/>
          <w:color w:val="auto"/>
        </w:rPr>
        <w:t>Party B hereby irrevocably grants to Party A an option (exercisable one or more times) to purchase or cause any one or more persons designated by Party A (“</w:t>
      </w:r>
      <w:r>
        <w:rPr>
          <w:rFonts w:ascii="Arial" w:cs="Arial" w:eastAsia="Arial" w:hAnsi="Arial"/>
          <w:sz w:val="17"/>
          <w:szCs w:val="17"/>
          <w:b w:val="1"/>
          <w:bCs w:val="1"/>
          <w:color w:val="auto"/>
        </w:rPr>
        <w:t>Designated Persons</w:t>
      </w:r>
      <w:r>
        <w:rPr>
          <w:rFonts w:ascii="Arial" w:cs="Arial" w:eastAsia="Arial" w:hAnsi="Arial"/>
          <w:sz w:val="17"/>
          <w:szCs w:val="17"/>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7"/>
          <w:szCs w:val="17"/>
          <w:b w:val="1"/>
          <w:bCs w:val="1"/>
          <w:color w:val="auto"/>
        </w:rPr>
        <w:t>Equity Option</w:t>
      </w:r>
      <w:r>
        <w:rPr>
          <w:rFonts w:ascii="Arial" w:cs="Arial" w:eastAsia="Arial" w:hAnsi="Arial"/>
          <w:sz w:val="17"/>
          <w:szCs w:val="17"/>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7"/>
          <w:szCs w:val="17"/>
          <w:b w:val="1"/>
          <w:bCs w:val="1"/>
          <w:color w:val="auto"/>
        </w:rPr>
        <w:t>person</w:t>
      </w:r>
      <w:r>
        <w:rPr>
          <w:rFonts w:ascii="Arial" w:cs="Arial" w:eastAsia="Arial" w:hAnsi="Arial"/>
          <w:sz w:val="17"/>
          <w:szCs w:val="17"/>
          <w:color w:val="auto"/>
        </w:rPr>
        <w:t>” in this Agreement means an individual person, corporation, joint venture, partnership, enterprise, trust or a non-corporation organization.</w:t>
      </w:r>
    </w:p>
    <w:p>
      <w:pPr>
        <w:spacing w:after="0" w:line="185"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Asset Option</w:t>
      </w:r>
    </w:p>
    <w:p>
      <w:pPr>
        <w:spacing w:after="0" w:line="216" w:lineRule="exact"/>
        <w:rPr>
          <w:sz w:val="20"/>
          <w:szCs w:val="20"/>
          <w:color w:val="auto"/>
        </w:rPr>
      </w:pPr>
    </w:p>
    <w:p>
      <w:pPr>
        <w:ind w:left="1240" w:right="20"/>
        <w:spacing w:after="0" w:line="274" w:lineRule="auto"/>
        <w:rPr>
          <w:sz w:val="20"/>
          <w:szCs w:val="20"/>
          <w:color w:val="auto"/>
        </w:rPr>
      </w:pPr>
      <w:r>
        <w:rPr>
          <w:rFonts w:ascii="Arial" w:cs="Arial" w:eastAsia="Arial" w:hAnsi="Arial"/>
          <w:sz w:val="16"/>
          <w:szCs w:val="16"/>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6"/>
          <w:szCs w:val="16"/>
          <w:b w:val="1"/>
          <w:bCs w:val="1"/>
          <w:color w:val="auto"/>
        </w:rPr>
        <w:t>Asset Option</w:t>
      </w:r>
      <w:r>
        <w:rPr>
          <w:rFonts w:ascii="Arial" w:cs="Arial" w:eastAsia="Arial" w:hAnsi="Arial"/>
          <w:sz w:val="16"/>
          <w:szCs w:val="16"/>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6"/>
          <w:szCs w:val="16"/>
          <w:b w:val="1"/>
          <w:bCs w:val="1"/>
          <w:color w:val="auto"/>
        </w:rPr>
        <w:t>Option</w:t>
      </w:r>
      <w:r>
        <w:rPr>
          <w:rFonts w:ascii="Arial" w:cs="Arial" w:eastAsia="Arial" w:hAnsi="Arial"/>
          <w:sz w:val="16"/>
          <w:szCs w:val="16"/>
          <w:color w:val="auto"/>
        </w:rPr>
        <w:t>” in this Agreement means either the Equity Option or the Asset Option. The term “</w:t>
      </w:r>
      <w:r>
        <w:rPr>
          <w:rFonts w:ascii="Arial" w:cs="Arial" w:eastAsia="Arial" w:hAnsi="Arial"/>
          <w:sz w:val="16"/>
          <w:szCs w:val="16"/>
          <w:b w:val="1"/>
          <w:bCs w:val="1"/>
          <w:color w:val="auto"/>
        </w:rPr>
        <w:t>Transferor</w:t>
      </w:r>
      <w:r>
        <w:rPr>
          <w:rFonts w:ascii="Arial" w:cs="Arial" w:eastAsia="Arial" w:hAnsi="Arial"/>
          <w:sz w:val="16"/>
          <w:szCs w:val="16"/>
          <w:color w:val="auto"/>
        </w:rPr>
        <w:t>” in this Agreement means (i) Party B, in reference to the Equity Option and (ii) Party C, in reference to the Asset Option.</w:t>
      </w:r>
    </w:p>
    <w:p>
      <w:pPr>
        <w:spacing w:after="0" w:line="172"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4"/>
          <w:szCs w:val="14"/>
          <w:color w:val="auto"/>
        </w:rPr>
        <w:t>Exercise Steps</w:t>
      </w:r>
    </w:p>
    <w:p>
      <w:pPr>
        <w:spacing w:after="0" w:line="21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Option Exercise</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Subject to PRC law and regulations, Party A and/or the Designated Persons may exercise either Option, one or more times to the extent the relevant</w:t>
      </w:r>
    </w:p>
    <w:p>
      <w:pPr>
        <w:spacing w:after="0" w:line="4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Transferor still owns any Equity Interest or assets subject to an Option, by issuing a written notice in the form attached hereto as Exhibit A (the</w:t>
      </w:r>
    </w:p>
    <w:p>
      <w:pPr>
        <w:spacing w:after="0" w:line="2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Notice</w:t>
      </w:r>
      <w:r>
        <w:rPr>
          <w:rFonts w:ascii="Arial" w:cs="Arial" w:eastAsia="Arial" w:hAnsi="Arial"/>
          <w:sz w:val="15"/>
          <w:szCs w:val="15"/>
          <w:color w:val="auto"/>
        </w:rPr>
        <w:t>”) (i) in the case of the Equity Option, to Party B as the Transferor, specifying the Equity Interest and (ii) in the case of the Asset Option, to</w:t>
      </w:r>
    </w:p>
    <w:p>
      <w:pPr>
        <w:spacing w:after="0" w:line="33"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Party C as the Transferor, specifying the assets to be purchased (such Equity Interest or assets, as the case may be, the “</w:t>
      </w:r>
      <w:r>
        <w:rPr>
          <w:rFonts w:ascii="Arial" w:cs="Arial" w:eastAsia="Arial" w:hAnsi="Arial"/>
          <w:sz w:val="15"/>
          <w:szCs w:val="15"/>
          <w:b w:val="1"/>
          <w:bCs w:val="1"/>
          <w:color w:val="auto"/>
        </w:rPr>
        <w:t>Purchased Interest</w:t>
      </w:r>
      <w:r>
        <w:rPr>
          <w:rFonts w:ascii="Arial" w:cs="Arial" w:eastAsia="Arial" w:hAnsi="Arial"/>
          <w:sz w:val="15"/>
          <w:szCs w:val="15"/>
          <w:color w:val="auto"/>
        </w:rPr>
        <w:t>”) and</w:t>
      </w:r>
    </w:p>
    <w:p>
      <w:pPr>
        <w:spacing w:after="0" w:line="3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manner of such purchase.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color w:val="auto"/>
        </w:rPr>
        <w:t>Transferor Obligations</w:t>
      </w:r>
    </w:p>
    <w:p>
      <w:pPr>
        <w:sectPr>
          <w:pgSz w:w="11900" w:h="16838" w:orient="portrait"/>
          <w:cols w:equalWidth="0" w:num="1">
            <w:col w:w="11420"/>
          </w:cols>
          <w:pgMar w:left="240" w:top="121" w:right="239" w:bottom="0" w:gutter="0" w:footer="0" w:header="0"/>
          <w:type w:val="continuous"/>
        </w:sectPr>
      </w:pPr>
    </w:p>
    <w:bookmarkStart w:id="123" w:name="page124"/>
    <w:bookmarkEnd w:id="123"/>
    <w:p>
      <w:pPr>
        <w:ind w:left="1240" w:right="20"/>
        <w:spacing w:after="0" w:line="259"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80"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Purchase Price</w:t>
      </w:r>
    </w:p>
    <w:p>
      <w:pPr>
        <w:spacing w:after="0" w:line="210" w:lineRule="exact"/>
        <w:rPr>
          <w:sz w:val="20"/>
          <w:szCs w:val="20"/>
          <w:color w:val="auto"/>
        </w:rPr>
      </w:pPr>
    </w:p>
    <w:p>
      <w:pPr>
        <w:jc w:val="both"/>
        <w:ind w:left="1860" w:right="260" w:hanging="616"/>
        <w:spacing w:after="0" w:line="293" w:lineRule="auto"/>
        <w:tabs>
          <w:tab w:leader="none" w:pos="184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If Party A exercises either Option, the purchase price of the Purchased Interest (“</w:t>
      </w:r>
      <w:r>
        <w:rPr>
          <w:rFonts w:ascii="Arial" w:cs="Arial" w:eastAsia="Arial" w:hAnsi="Arial"/>
          <w:sz w:val="16"/>
          <w:szCs w:val="16"/>
          <w:b w:val="1"/>
          <w:bCs w:val="1"/>
          <w:color w:val="auto"/>
        </w:rPr>
        <w:t>Purchase Price</w:t>
      </w:r>
      <w:r>
        <w:rPr>
          <w:rFonts w:ascii="Arial" w:cs="Arial" w:eastAsia="Arial" w:hAnsi="Arial"/>
          <w:sz w:val="16"/>
          <w:szCs w:val="16"/>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55"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Transfer of the Purchased Interest</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 each exercise of either Option:</w:t>
      </w:r>
    </w:p>
    <w:p>
      <w:pPr>
        <w:spacing w:after="0" w:line="216" w:lineRule="exact"/>
        <w:rPr>
          <w:sz w:val="20"/>
          <w:szCs w:val="20"/>
          <w:color w:val="auto"/>
        </w:rPr>
      </w:pPr>
    </w:p>
    <w:p>
      <w:pPr>
        <w:ind w:left="1860" w:right="80" w:hanging="616"/>
        <w:spacing w:after="0" w:line="311" w:lineRule="auto"/>
        <w:tabs>
          <w:tab w:leader="none" w:pos="184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41" w:lineRule="exact"/>
        <w:rPr>
          <w:sz w:val="20"/>
          <w:szCs w:val="20"/>
          <w:color w:val="auto"/>
        </w:rPr>
      </w:pPr>
    </w:p>
    <w:p>
      <w:pPr>
        <w:ind w:left="1860" w:right="200" w:hanging="616"/>
        <w:spacing w:after="0" w:line="265" w:lineRule="auto"/>
        <w:tabs>
          <w:tab w:leader="none" w:pos="184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7"/>
          <w:szCs w:val="17"/>
          <w:b w:val="1"/>
          <w:bCs w:val="1"/>
          <w:color w:val="auto"/>
        </w:rPr>
        <w:t>Transfer Agreement</w:t>
      </w:r>
      <w:r>
        <w:rPr>
          <w:rFonts w:ascii="Arial" w:cs="Arial" w:eastAsia="Arial" w:hAnsi="Arial"/>
          <w:sz w:val="17"/>
          <w:szCs w:val="17"/>
          <w:color w:val="auto"/>
        </w:rPr>
        <w:t>”);</w:t>
      </w:r>
    </w:p>
    <w:p>
      <w:pPr>
        <w:spacing w:after="0" w:line="176" w:lineRule="exact"/>
        <w:rPr>
          <w:sz w:val="20"/>
          <w:szCs w:val="20"/>
          <w:color w:val="auto"/>
        </w:rPr>
      </w:pPr>
    </w:p>
    <w:p>
      <w:pPr>
        <w:ind w:left="1860" w:hanging="616"/>
        <w:spacing w:after="0" w:line="277" w:lineRule="auto"/>
        <w:tabs>
          <w:tab w:leader="none" w:pos="184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 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Payment</w:t>
      </w:r>
    </w:p>
    <w:p>
      <w:pPr>
        <w:spacing w:after="0" w:line="216" w:lineRule="exact"/>
        <w:rPr>
          <w:sz w:val="20"/>
          <w:szCs w:val="20"/>
          <w:color w:val="auto"/>
        </w:rPr>
      </w:pPr>
    </w:p>
    <w:p>
      <w:pPr>
        <w:ind w:left="1240" w:right="260"/>
        <w:spacing w:after="0" w:line="265" w:lineRule="auto"/>
        <w:rPr>
          <w:sz w:val="20"/>
          <w:szCs w:val="20"/>
          <w:color w:val="auto"/>
        </w:rPr>
      </w:pPr>
      <w:r>
        <w:rPr>
          <w:rFonts w:ascii="Arial" w:cs="Arial" w:eastAsia="Arial" w:hAnsi="Arial"/>
          <w:sz w:val="17"/>
          <w:szCs w:val="17"/>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76"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5"/>
          <w:szCs w:val="15"/>
          <w:color w:val="auto"/>
        </w:rPr>
        <w:t>Offset Payment for Equity Option</w:t>
      </w:r>
    </w:p>
    <w:p>
      <w:pPr>
        <w:spacing w:after="0" w:line="216" w:lineRule="exact"/>
        <w:rPr>
          <w:sz w:val="20"/>
          <w:szCs w:val="20"/>
          <w:color w:val="auto"/>
        </w:rPr>
      </w:pPr>
    </w:p>
    <w:p>
      <w:pPr>
        <w:ind w:left="1860"/>
        <w:spacing w:after="0" w:line="257"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85"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5"/>
          <w:szCs w:val="15"/>
          <w:color w:val="auto"/>
        </w:rPr>
        <w:t>Cash Payment for Asset Option</w:t>
      </w:r>
    </w:p>
    <w:p>
      <w:pPr>
        <w:spacing w:after="0" w:line="216" w:lineRule="exact"/>
        <w:rPr>
          <w:sz w:val="20"/>
          <w:szCs w:val="20"/>
          <w:color w:val="auto"/>
        </w:rPr>
      </w:pPr>
    </w:p>
    <w:p>
      <w:pPr>
        <w:ind w:left="1860" w:right="160"/>
        <w:spacing w:after="0" w:line="265" w:lineRule="auto"/>
        <w:rPr>
          <w:sz w:val="20"/>
          <w:szCs w:val="20"/>
          <w:color w:val="auto"/>
        </w:rPr>
      </w:pPr>
      <w:r>
        <w:rPr>
          <w:rFonts w:ascii="Arial" w:cs="Arial" w:eastAsia="Arial" w:hAnsi="Arial"/>
          <w:sz w:val="17"/>
          <w:szCs w:val="17"/>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7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Restrictions on Purchase Price</w:t>
      </w:r>
    </w:p>
    <w:p>
      <w:pPr>
        <w:spacing w:after="0" w:line="216" w:lineRule="exact"/>
        <w:rPr>
          <w:sz w:val="20"/>
          <w:szCs w:val="20"/>
          <w:color w:val="auto"/>
        </w:rPr>
      </w:pPr>
    </w:p>
    <w:p>
      <w:pPr>
        <w:ind w:left="1240" w:right="220"/>
        <w:spacing w:after="0" w:line="265" w:lineRule="auto"/>
        <w:rPr>
          <w:sz w:val="20"/>
          <w:szCs w:val="20"/>
          <w:color w:val="auto"/>
        </w:rPr>
      </w:pPr>
      <w:r>
        <w:rPr>
          <w:rFonts w:ascii="Arial" w:cs="Arial" w:eastAsia="Arial" w:hAnsi="Arial"/>
          <w:sz w:val="17"/>
          <w:szCs w:val="17"/>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76" w:lineRule="exact"/>
        <w:rPr>
          <w:sz w:val="20"/>
          <w:szCs w:val="20"/>
          <w:color w:val="auto"/>
        </w:rPr>
      </w:pPr>
    </w:p>
    <w:p>
      <w:pPr>
        <w:ind w:left="620" w:hanging="617"/>
        <w:spacing w:after="0"/>
        <w:tabs>
          <w:tab w:leader="none" w:pos="62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Covenants Relating to the Purchased Interest</w:t>
      </w:r>
    </w:p>
    <w:p>
      <w:pPr>
        <w:spacing w:after="0" w:line="216"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Covenants Relating to Party B and Party C</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Each of Party B and Party C hereby covenants:</w:t>
      </w:r>
    </w:p>
    <w:p>
      <w:pPr>
        <w:spacing w:after="0" w:line="216" w:lineRule="exact"/>
        <w:rPr>
          <w:sz w:val="20"/>
          <w:szCs w:val="20"/>
          <w:color w:val="auto"/>
        </w:rPr>
      </w:pPr>
    </w:p>
    <w:p>
      <w:pPr>
        <w:ind w:left="1860" w:right="400" w:hanging="616"/>
        <w:spacing w:after="0" w:line="278" w:lineRule="auto"/>
        <w:tabs>
          <w:tab w:leader="none" w:pos="18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Not to supplement, amend or modify Party C’s articles of association in any way, or to increase or decrease its registered capital, or to change its registered capital structure in any way without Party A’s prior written consent;</w:t>
      </w:r>
    </w:p>
    <w:p>
      <w:pPr>
        <w:spacing w:after="0" w:line="165" w:lineRule="exact"/>
        <w:rPr>
          <w:sz w:val="20"/>
          <w:szCs w:val="20"/>
          <w:color w:val="auto"/>
        </w:rPr>
      </w:pPr>
    </w:p>
    <w:p>
      <w:pPr>
        <w:ind w:left="1860" w:right="160" w:hanging="616"/>
        <w:spacing w:after="0" w:line="278" w:lineRule="auto"/>
        <w:tabs>
          <w:tab w:leader="none" w:pos="18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To maintain the corporate existence of Party C and operate its business and deal with matters prudently and effectively according to good financial and business rules and practices;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333" w:right="239" w:bottom="657" w:gutter="0" w:footer="0" w:header="0"/>
        </w:sectPr>
      </w:pPr>
    </w:p>
    <w:bookmarkStart w:id="124" w:name="page125"/>
    <w:bookmarkEnd w:id="124"/>
    <w:p>
      <w:pPr>
        <w:jc w:val="both"/>
        <w:ind w:left="1857" w:right="460" w:hanging="616"/>
        <w:spacing w:after="0" w:line="265" w:lineRule="auto"/>
        <w:tabs>
          <w:tab w:leader="none" w:pos="1837"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76" w:lineRule="exact"/>
        <w:rPr>
          <w:sz w:val="20"/>
          <w:szCs w:val="20"/>
          <w:color w:val="auto"/>
        </w:rPr>
      </w:pPr>
    </w:p>
    <w:p>
      <w:pPr>
        <w:ind w:left="1857" w:right="260" w:hanging="616"/>
        <w:spacing w:after="0" w:line="311" w:lineRule="auto"/>
        <w:tabs>
          <w:tab w:leader="none" w:pos="1837"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6"/>
          <w:szCs w:val="16"/>
          <w:color w:val="auto"/>
        </w:rPr>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41" w:lineRule="exact"/>
        <w:rPr>
          <w:sz w:val="20"/>
          <w:szCs w:val="20"/>
          <w:color w:val="auto"/>
        </w:rPr>
      </w:pPr>
    </w:p>
    <w:p>
      <w:pPr>
        <w:ind w:left="1857" w:right="600" w:hanging="616"/>
        <w:spacing w:after="0" w:line="278" w:lineRule="auto"/>
        <w:tabs>
          <w:tab w:leader="none" w:pos="1837"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7"/>
          <w:szCs w:val="17"/>
          <w:color w:val="auto"/>
        </w:rPr>
        <w:t>To operate all the business in the normal course of business to maintain the value of Party C’s assets, and not to commit any act or omission that would adversely affect Party C’s operations and asset value;</w:t>
      </w:r>
    </w:p>
    <w:p>
      <w:pPr>
        <w:spacing w:after="0" w:line="165" w:lineRule="exact"/>
        <w:rPr>
          <w:sz w:val="20"/>
          <w:szCs w:val="20"/>
          <w:color w:val="auto"/>
        </w:rPr>
      </w:pPr>
    </w:p>
    <w:p>
      <w:pPr>
        <w:ind w:left="1857" w:right="60" w:hanging="616"/>
        <w:spacing w:after="0" w:line="311" w:lineRule="auto"/>
        <w:tabs>
          <w:tab w:leader="none" w:pos="1837"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41" w:lineRule="exact"/>
        <w:rPr>
          <w:sz w:val="20"/>
          <w:szCs w:val="20"/>
          <w:color w:val="auto"/>
        </w:rPr>
      </w:pPr>
    </w:p>
    <w:p>
      <w:pPr>
        <w:ind w:left="1237"/>
        <w:spacing w:after="0"/>
        <w:tabs>
          <w:tab w:leader="none" w:pos="1837"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5"/>
          <w:szCs w:val="15"/>
          <w:color w:val="auto"/>
        </w:rPr>
        <w:t>Not to provide loans or credit to any person (other than in the normal course of business) without Party A’s prior written consent;</w:t>
      </w:r>
    </w:p>
    <w:p>
      <w:pPr>
        <w:spacing w:after="0" w:line="216" w:lineRule="exact"/>
        <w:rPr>
          <w:sz w:val="20"/>
          <w:szCs w:val="20"/>
          <w:color w:val="auto"/>
        </w:rPr>
      </w:pPr>
    </w:p>
    <w:p>
      <w:pPr>
        <w:ind w:left="1237"/>
        <w:spacing w:after="0"/>
        <w:tabs>
          <w:tab w:leader="none" w:pos="1837" w:val="left"/>
        </w:tabs>
        <w:rPr>
          <w:sz w:val="20"/>
          <w:szCs w:val="20"/>
          <w:color w:val="auto"/>
        </w:rPr>
      </w:pPr>
      <w:r>
        <w:rPr>
          <w:rFonts w:ascii="Arial" w:cs="Arial" w:eastAsia="Arial" w:hAnsi="Arial"/>
          <w:sz w:val="17"/>
          <w:szCs w:val="17"/>
          <w:color w:val="auto"/>
        </w:rPr>
        <w:t>2.1.8</w:t>
      </w:r>
      <w:r>
        <w:rPr>
          <w:sz w:val="20"/>
          <w:szCs w:val="20"/>
          <w:color w:val="auto"/>
        </w:rPr>
        <w:tab/>
      </w:r>
      <w:r>
        <w:rPr>
          <w:rFonts w:ascii="Arial" w:cs="Arial" w:eastAsia="Arial" w:hAnsi="Arial"/>
          <w:sz w:val="15"/>
          <w:szCs w:val="15"/>
          <w:color w:val="auto"/>
        </w:rPr>
        <w:t>To provide all information relating to Party C’s operations and financial conditions upon the request of Party A;</w:t>
      </w:r>
    </w:p>
    <w:p>
      <w:pPr>
        <w:spacing w:after="0" w:line="216" w:lineRule="exact"/>
        <w:rPr>
          <w:sz w:val="20"/>
          <w:szCs w:val="20"/>
          <w:color w:val="auto"/>
        </w:rPr>
      </w:pPr>
    </w:p>
    <w:p>
      <w:pPr>
        <w:ind w:left="1857" w:hanging="616"/>
        <w:spacing w:after="0" w:line="265" w:lineRule="auto"/>
        <w:tabs>
          <w:tab w:leader="none" w:pos="1837" w:val="left"/>
        </w:tabs>
        <w:rPr>
          <w:sz w:val="20"/>
          <w:szCs w:val="20"/>
          <w:color w:val="auto"/>
        </w:rPr>
      </w:pPr>
      <w:r>
        <w:rPr>
          <w:rFonts w:ascii="Arial" w:cs="Arial" w:eastAsia="Arial" w:hAnsi="Arial"/>
          <w:sz w:val="17"/>
          <w:szCs w:val="17"/>
          <w:color w:val="auto"/>
        </w:rPr>
        <w:t>2.1.9</w:t>
      </w:r>
      <w:r>
        <w:rPr>
          <w:sz w:val="20"/>
          <w:szCs w:val="20"/>
          <w:color w:val="auto"/>
        </w:rPr>
        <w:tab/>
      </w:r>
      <w:r>
        <w:rPr>
          <w:rFonts w:ascii="Arial" w:cs="Arial" w:eastAsia="Arial" w:hAnsi="Arial"/>
          <w:sz w:val="17"/>
          <w:szCs w:val="17"/>
          <w:color w:val="auto"/>
        </w:rPr>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76" w:lineRule="exact"/>
        <w:rPr>
          <w:sz w:val="20"/>
          <w:szCs w:val="20"/>
          <w:color w:val="auto"/>
        </w:rPr>
      </w:pPr>
    </w:p>
    <w:p>
      <w:pPr>
        <w:ind w:left="1237"/>
        <w:spacing w:after="0"/>
        <w:tabs>
          <w:tab w:leader="none" w:pos="1817" w:val="left"/>
        </w:tabs>
        <w:rPr>
          <w:sz w:val="20"/>
          <w:szCs w:val="20"/>
          <w:color w:val="auto"/>
        </w:rPr>
      </w:pPr>
      <w:r>
        <w:rPr>
          <w:rFonts w:ascii="Arial" w:cs="Arial" w:eastAsia="Arial" w:hAnsi="Arial"/>
          <w:sz w:val="17"/>
          <w:szCs w:val="17"/>
          <w:color w:val="auto"/>
        </w:rPr>
        <w:t>2.1.10</w:t>
      </w:r>
      <w:r>
        <w:rPr>
          <w:sz w:val="20"/>
          <w:szCs w:val="20"/>
          <w:color w:val="auto"/>
        </w:rPr>
        <w:tab/>
      </w:r>
      <w:r>
        <w:rPr>
          <w:rFonts w:ascii="Arial" w:cs="Arial" w:eastAsia="Arial" w:hAnsi="Arial"/>
          <w:sz w:val="15"/>
          <w:szCs w:val="15"/>
          <w:color w:val="auto"/>
        </w:rPr>
        <w:t>Not to merge or consolidate with, or acquire or invest in, any person without Party A’s prior written consent;</w:t>
      </w:r>
    </w:p>
    <w:p>
      <w:pPr>
        <w:spacing w:after="0" w:line="216" w:lineRule="exact"/>
        <w:rPr>
          <w:sz w:val="20"/>
          <w:szCs w:val="20"/>
          <w:color w:val="auto"/>
        </w:rPr>
      </w:pPr>
    </w:p>
    <w:p>
      <w:pPr>
        <w:ind w:left="1837" w:right="520" w:hanging="616"/>
        <w:spacing w:after="0" w:line="278" w:lineRule="auto"/>
        <w:tabs>
          <w:tab w:leader="none" w:pos="1817" w:val="left"/>
        </w:tabs>
        <w:rPr>
          <w:sz w:val="20"/>
          <w:szCs w:val="20"/>
          <w:color w:val="auto"/>
        </w:rPr>
      </w:pPr>
      <w:r>
        <w:rPr>
          <w:rFonts w:ascii="Arial" w:cs="Arial" w:eastAsia="Arial" w:hAnsi="Arial"/>
          <w:sz w:val="17"/>
          <w:szCs w:val="17"/>
          <w:color w:val="auto"/>
        </w:rPr>
        <w:t>2.1.11</w:t>
        <w:tab/>
        <w:t>To promptly notify Party A of any pending or threatened suit, arbitration or administrative proceedings concerning Party C’s assets, business or revenue;</w:t>
      </w:r>
    </w:p>
    <w:p>
      <w:pPr>
        <w:spacing w:after="0" w:line="165" w:lineRule="exact"/>
        <w:rPr>
          <w:sz w:val="20"/>
          <w:szCs w:val="20"/>
          <w:color w:val="auto"/>
        </w:rPr>
      </w:pPr>
    </w:p>
    <w:p>
      <w:pPr>
        <w:ind w:left="1837" w:right="260" w:hanging="616"/>
        <w:spacing w:after="0" w:line="265" w:lineRule="auto"/>
        <w:tabs>
          <w:tab w:leader="none" w:pos="1817" w:val="left"/>
        </w:tabs>
        <w:rPr>
          <w:sz w:val="20"/>
          <w:szCs w:val="20"/>
          <w:color w:val="auto"/>
        </w:rPr>
      </w:pPr>
      <w:r>
        <w:rPr>
          <w:rFonts w:ascii="Arial" w:cs="Arial" w:eastAsia="Arial" w:hAnsi="Arial"/>
          <w:sz w:val="17"/>
          <w:szCs w:val="17"/>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76" w:lineRule="exact"/>
        <w:rPr>
          <w:sz w:val="20"/>
          <w:szCs w:val="20"/>
          <w:color w:val="auto"/>
        </w:rPr>
      </w:pPr>
    </w:p>
    <w:p>
      <w:pPr>
        <w:jc w:val="both"/>
        <w:ind w:left="1837" w:right="80" w:hanging="616"/>
        <w:spacing w:after="0" w:line="278" w:lineRule="auto"/>
        <w:tabs>
          <w:tab w:leader="none" w:pos="1817" w:val="left"/>
        </w:tabs>
        <w:rPr>
          <w:sz w:val="20"/>
          <w:szCs w:val="20"/>
          <w:color w:val="auto"/>
        </w:rPr>
      </w:pPr>
      <w:r>
        <w:rPr>
          <w:rFonts w:ascii="Arial" w:cs="Arial" w:eastAsia="Arial" w:hAnsi="Arial"/>
          <w:sz w:val="17"/>
          <w:szCs w:val="17"/>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65" w:lineRule="exact"/>
        <w:rPr>
          <w:sz w:val="20"/>
          <w:szCs w:val="20"/>
          <w:color w:val="auto"/>
        </w:rPr>
      </w:pPr>
    </w:p>
    <w:p>
      <w:pPr>
        <w:ind w:left="1237"/>
        <w:spacing w:after="0"/>
        <w:tabs>
          <w:tab w:leader="none" w:pos="1817" w:val="left"/>
        </w:tabs>
        <w:rPr>
          <w:sz w:val="20"/>
          <w:szCs w:val="20"/>
          <w:color w:val="auto"/>
        </w:rPr>
      </w:pPr>
      <w:r>
        <w:rPr>
          <w:rFonts w:ascii="Arial" w:cs="Arial" w:eastAsia="Arial" w:hAnsi="Arial"/>
          <w:sz w:val="17"/>
          <w:szCs w:val="17"/>
          <w:color w:val="auto"/>
        </w:rPr>
        <w:t>2.1.14</w:t>
      </w:r>
      <w:r>
        <w:rPr>
          <w:sz w:val="20"/>
          <w:szCs w:val="20"/>
          <w:color w:val="auto"/>
        </w:rPr>
        <w:tab/>
      </w:r>
      <w:r>
        <w:rPr>
          <w:rFonts w:ascii="Arial" w:cs="Arial" w:eastAsia="Arial" w:hAnsi="Arial"/>
          <w:sz w:val="15"/>
          <w:szCs w:val="15"/>
          <w:color w:val="auto"/>
        </w:rPr>
        <w:t>At the request of Party A, to appoint persons nominated by Party A to be the directors of Party C.</w:t>
      </w:r>
    </w:p>
    <w:p>
      <w:pPr>
        <w:spacing w:after="0" w:line="216"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Covenants Relating to Party B</w:t>
      </w:r>
    </w:p>
    <w:p>
      <w:pPr>
        <w:spacing w:after="0" w:line="216" w:lineRule="exact"/>
        <w:rPr>
          <w:sz w:val="20"/>
          <w:szCs w:val="20"/>
          <w:color w:val="auto"/>
        </w:rPr>
      </w:pPr>
    </w:p>
    <w:p>
      <w:pPr>
        <w:ind w:left="1237"/>
        <w:spacing w:after="0"/>
        <w:rPr>
          <w:sz w:val="20"/>
          <w:szCs w:val="20"/>
          <w:color w:val="auto"/>
        </w:rPr>
      </w:pPr>
      <w:r>
        <w:rPr>
          <w:rFonts w:ascii="Arial" w:cs="Arial" w:eastAsia="Arial" w:hAnsi="Arial"/>
          <w:sz w:val="17"/>
          <w:szCs w:val="17"/>
          <w:color w:val="auto"/>
        </w:rPr>
        <w:t>Party B hereby covenants:</w:t>
      </w:r>
    </w:p>
    <w:p>
      <w:pPr>
        <w:spacing w:after="0" w:line="216" w:lineRule="exact"/>
        <w:rPr>
          <w:sz w:val="20"/>
          <w:szCs w:val="20"/>
          <w:color w:val="auto"/>
        </w:rPr>
      </w:pPr>
    </w:p>
    <w:p>
      <w:pPr>
        <w:jc w:val="both"/>
        <w:ind w:left="1857" w:right="60" w:hanging="616"/>
        <w:spacing w:after="0" w:line="265" w:lineRule="auto"/>
        <w:tabs>
          <w:tab w:leader="none" w:pos="1837"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76" w:lineRule="exact"/>
        <w:rPr>
          <w:sz w:val="20"/>
          <w:szCs w:val="20"/>
          <w:color w:val="auto"/>
        </w:rPr>
      </w:pPr>
    </w:p>
    <w:p>
      <w:pPr>
        <w:ind w:left="1857" w:right="40" w:hanging="616"/>
        <w:spacing w:after="0" w:line="289" w:lineRule="auto"/>
        <w:tabs>
          <w:tab w:leader="none" w:pos="1837"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6"/>
          <w:szCs w:val="16"/>
          <w:color w:val="auto"/>
        </w:rPr>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59" w:lineRule="exact"/>
        <w:rPr>
          <w:sz w:val="20"/>
          <w:szCs w:val="20"/>
          <w:color w:val="auto"/>
        </w:rPr>
      </w:pPr>
    </w:p>
    <w:p>
      <w:pPr>
        <w:ind w:left="1857" w:right="40" w:hanging="616"/>
        <w:spacing w:after="0" w:line="278" w:lineRule="auto"/>
        <w:tabs>
          <w:tab w:leader="none" w:pos="1837"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Without Party A’s prior written consent, not to vote for or sign any shareholders’ resolution at Party C’s shareholders’ meetings to approve Party C’s merger or consolidation with, acquisition of or investment in, any person;</w:t>
      </w:r>
    </w:p>
    <w:p>
      <w:pPr>
        <w:spacing w:after="0" w:line="165" w:lineRule="exact"/>
        <w:rPr>
          <w:sz w:val="20"/>
          <w:szCs w:val="20"/>
          <w:color w:val="auto"/>
        </w:rPr>
      </w:pPr>
    </w:p>
    <w:p>
      <w:pPr>
        <w:ind w:left="1857" w:right="360" w:hanging="616"/>
        <w:spacing w:after="0" w:line="278" w:lineRule="auto"/>
        <w:tabs>
          <w:tab w:leader="none" w:pos="1837"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color w:val="auto"/>
        </w:rPr>
        <w:t>To promptly notify Party A of any pending or threatened suit, arbitration or administrative proceedings concerning the Equity Interest owned by it;</w:t>
      </w:r>
    </w:p>
    <w:p>
      <w:pPr>
        <w:spacing w:after="0" w:line="165" w:lineRule="exact"/>
        <w:rPr>
          <w:sz w:val="20"/>
          <w:szCs w:val="20"/>
          <w:color w:val="auto"/>
        </w:rPr>
      </w:pPr>
    </w:p>
    <w:p>
      <w:pPr>
        <w:ind w:left="1237"/>
        <w:spacing w:after="0"/>
        <w:tabs>
          <w:tab w:leader="none" w:pos="1837"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5"/>
          <w:szCs w:val="15"/>
          <w:color w:val="auto"/>
        </w:rPr>
        <w:t>To cause any relevant shareholders’ meeting to approve the transfer of any Purchased Interest under this Agreement;</w:t>
      </w:r>
    </w:p>
    <w:p>
      <w:pPr>
        <w:spacing w:after="0" w:line="216" w:lineRule="exact"/>
        <w:rPr>
          <w:sz w:val="20"/>
          <w:szCs w:val="20"/>
          <w:color w:val="auto"/>
        </w:rPr>
      </w:pPr>
    </w:p>
    <w:p>
      <w:pPr>
        <w:ind w:left="1857" w:right="20" w:hanging="616"/>
        <w:spacing w:after="0" w:line="347" w:lineRule="auto"/>
        <w:tabs>
          <w:tab w:leader="none" w:pos="1837" w:val="left"/>
        </w:tabs>
        <w:rPr>
          <w:sz w:val="20"/>
          <w:szCs w:val="20"/>
          <w:color w:val="auto"/>
        </w:rPr>
      </w:pPr>
      <w:r>
        <w:rPr>
          <w:rFonts w:ascii="Arial" w:cs="Arial" w:eastAsia="Arial" w:hAnsi="Arial"/>
          <w:sz w:val="17"/>
          <w:szCs w:val="17"/>
          <w:color w:val="auto"/>
        </w:rPr>
        <w:t>2.2.6</w:t>
      </w:r>
      <w:r>
        <w:rPr>
          <w:sz w:val="20"/>
          <w:szCs w:val="20"/>
          <w:color w:val="auto"/>
        </w:rPr>
        <w:tab/>
      </w:r>
      <w:r>
        <w:rPr>
          <w:rFonts w:ascii="Arial" w:cs="Arial" w:eastAsia="Arial" w:hAnsi="Arial"/>
          <w:sz w:val="15"/>
          <w:szCs w:val="15"/>
          <w:color w:val="auto"/>
        </w:rPr>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19" w:lineRule="exact"/>
        <w:rPr>
          <w:sz w:val="20"/>
          <w:szCs w:val="20"/>
          <w:color w:val="auto"/>
        </w:rPr>
      </w:pPr>
    </w:p>
    <w:p>
      <w:pPr>
        <w:ind w:left="1237"/>
        <w:spacing w:after="0"/>
        <w:tabs>
          <w:tab w:leader="none" w:pos="1837"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color w:val="auto"/>
        </w:rPr>
        <w:t>At the request of Party A, to appoint persons nominated by Party A to be the directors of Party C;</w:t>
      </w:r>
    </w:p>
    <w:p>
      <w:pPr>
        <w:spacing w:after="0" w:line="216" w:lineRule="exact"/>
        <w:rPr>
          <w:sz w:val="20"/>
          <w:szCs w:val="20"/>
          <w:color w:val="auto"/>
        </w:rPr>
      </w:pPr>
    </w:p>
    <w:p>
      <w:pPr>
        <w:ind w:left="1857" w:right="40" w:hanging="616"/>
        <w:spacing w:after="0" w:line="265" w:lineRule="auto"/>
        <w:tabs>
          <w:tab w:leader="none" w:pos="1837" w:val="left"/>
        </w:tabs>
        <w:rPr>
          <w:sz w:val="20"/>
          <w:szCs w:val="20"/>
          <w:color w:val="auto"/>
        </w:rPr>
      </w:pPr>
      <w:r>
        <w:rPr>
          <w:rFonts w:ascii="Arial" w:cs="Arial" w:eastAsia="Arial" w:hAnsi="Arial"/>
          <w:sz w:val="17"/>
          <w:szCs w:val="17"/>
          <w:color w:val="auto"/>
        </w:rPr>
        <w:t>2.2.8</w:t>
      </w:r>
      <w:r>
        <w:rPr>
          <w:sz w:val="20"/>
          <w:szCs w:val="20"/>
          <w:color w:val="auto"/>
        </w:rPr>
        <w:tab/>
      </w:r>
      <w:r>
        <w:rPr>
          <w:rFonts w:ascii="Arial" w:cs="Arial" w:eastAsia="Arial" w:hAnsi="Arial"/>
          <w:sz w:val="17"/>
          <w:szCs w:val="17"/>
          <w:color w:val="auto"/>
        </w:rPr>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p>
      <w:pPr>
        <w:spacing w:after="0" w:line="176" w:lineRule="exact"/>
        <w:rPr>
          <w:sz w:val="20"/>
          <w:szCs w:val="20"/>
          <w:color w:val="auto"/>
        </w:rPr>
      </w:pPr>
    </w:p>
    <w:p>
      <w:pPr>
        <w:jc w:val="both"/>
        <w:ind w:left="1857" w:hanging="616"/>
        <w:spacing w:after="0" w:line="265" w:lineRule="auto"/>
        <w:tabs>
          <w:tab w:leader="none" w:pos="1837" w:val="left"/>
        </w:tabs>
        <w:rPr>
          <w:sz w:val="20"/>
          <w:szCs w:val="20"/>
          <w:color w:val="auto"/>
        </w:rPr>
      </w:pPr>
      <w:r>
        <w:rPr>
          <w:rFonts w:ascii="Arial" w:cs="Arial" w:eastAsia="Arial" w:hAnsi="Arial"/>
          <w:sz w:val="17"/>
          <w:szCs w:val="17"/>
          <w:color w:val="auto"/>
        </w:rPr>
        <w:t>2.2.9</w:t>
      </w:r>
      <w:r>
        <w:rPr>
          <w:sz w:val="20"/>
          <w:szCs w:val="20"/>
          <w:color w:val="auto"/>
        </w:rPr>
        <w:tab/>
      </w:r>
      <w:r>
        <w:rPr>
          <w:rFonts w:ascii="Arial" w:cs="Arial" w:eastAsia="Arial" w:hAnsi="Arial"/>
          <w:sz w:val="17"/>
          <w:szCs w:val="17"/>
          <w:color w:val="auto"/>
        </w:rPr>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76"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7" w:hanging="617"/>
        <w:spacing w:after="0"/>
        <w:tabs>
          <w:tab w:leader="none" w:pos="617"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p>
    <w:p>
      <w:pPr>
        <w:spacing w:after="0" w:line="216"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6"/>
          <w:szCs w:val="16"/>
          <w:color w:val="auto"/>
        </w:rPr>
        <w:t>As of the execution date of this Agreement and every transfer date, each of Party B and Party C hereby represents and warrants to Party A as follows:</w:t>
      </w:r>
    </w:p>
    <w:p>
      <w:pPr>
        <w:sectPr>
          <w:pgSz w:w="11900" w:h="16838" w:orient="portrait"/>
          <w:cols w:equalWidth="0" w:num="1">
            <w:col w:w="11377"/>
          </w:cols>
          <w:pgMar w:left="243" w:top="127" w:right="279" w:bottom="0" w:gutter="0" w:footer="0" w:header="0"/>
        </w:sectPr>
      </w:pPr>
    </w:p>
    <w:bookmarkStart w:id="125" w:name="page126"/>
    <w:bookmarkEnd w:id="125"/>
    <w:p>
      <w:pPr>
        <w:ind w:left="1617" w:right="40" w:hanging="616"/>
        <w:spacing w:after="0" w:line="261" w:lineRule="auto"/>
        <w:tabs>
          <w:tab w:leader="none" w:pos="1597"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79" w:lineRule="exact"/>
        <w:rPr>
          <w:sz w:val="20"/>
          <w:szCs w:val="20"/>
          <w:color w:val="auto"/>
        </w:rPr>
      </w:pPr>
    </w:p>
    <w:p>
      <w:pPr>
        <w:ind w:left="1617" w:right="200" w:hanging="616"/>
        <w:spacing w:after="0" w:line="259" w:lineRule="auto"/>
        <w:tabs>
          <w:tab w:leader="none" w:pos="1597"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0"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Party C has good and marketable ownership interest in all of its assets and has not created any Security Interest on the said assets;</w:t>
      </w:r>
    </w:p>
    <w:p>
      <w:pPr>
        <w:spacing w:after="0" w:line="216" w:lineRule="exact"/>
        <w:rPr>
          <w:sz w:val="20"/>
          <w:szCs w:val="20"/>
          <w:color w:val="auto"/>
        </w:rPr>
      </w:pPr>
    </w:p>
    <w:p>
      <w:pPr>
        <w:ind w:left="1617" w:right="140" w:hanging="616"/>
        <w:spacing w:after="0" w:line="278" w:lineRule="auto"/>
        <w:tabs>
          <w:tab w:leader="none" w:pos="1597"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Party C has no outstanding liabilities, except (i) liabilities arising in its normal course of business; and (ii) liabilities disclosed to Party A and approved by Party A in writing;</w:t>
      </w:r>
    </w:p>
    <w:p>
      <w:pPr>
        <w:spacing w:after="0" w:line="165"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color w:val="auto"/>
        </w:rPr>
        <w:t>Party C complies with all PRC laws and regulations applicable to the acquisition of assets;</w:t>
      </w:r>
    </w:p>
    <w:p>
      <w:pPr>
        <w:spacing w:after="0" w:line="216" w:lineRule="exact"/>
        <w:rPr>
          <w:sz w:val="20"/>
          <w:szCs w:val="20"/>
          <w:color w:val="auto"/>
        </w:rPr>
      </w:pPr>
    </w:p>
    <w:p>
      <w:pPr>
        <w:ind w:left="1617" w:right="120" w:hanging="616"/>
        <w:spacing w:after="0" w:line="278" w:lineRule="auto"/>
        <w:tabs>
          <w:tab w:leader="none" w:pos="1597"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There are currently no existing, pending or threatened litigation, arbitration or administrative proceedings related to the Equity Interest, Party C’s assets or Party C; and</w:t>
      </w:r>
    </w:p>
    <w:p>
      <w:pPr>
        <w:spacing w:after="0" w:line="165" w:lineRule="exact"/>
        <w:rPr>
          <w:sz w:val="20"/>
          <w:szCs w:val="20"/>
          <w:color w:val="auto"/>
        </w:rPr>
      </w:pPr>
    </w:p>
    <w:p>
      <w:pPr>
        <w:ind w:left="1617" w:right="240" w:hanging="616"/>
        <w:spacing w:after="0" w:line="278" w:lineRule="auto"/>
        <w:tabs>
          <w:tab w:leader="none" w:pos="1597"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Party B has good and marketable ownership interest in the Equity Interest and has not created any Security Interest on such Equity Interest, other than the Security Interest pursuant to the Equity Pledge Agreement.</w:t>
      </w:r>
    </w:p>
    <w:p>
      <w:pPr>
        <w:spacing w:after="0" w:line="165" w:lineRule="exact"/>
        <w:rPr>
          <w:sz w:val="20"/>
          <w:szCs w:val="20"/>
          <w:color w:val="auto"/>
        </w:rPr>
      </w:pPr>
    </w:p>
    <w:p>
      <w:pPr>
        <w:ind w:left="617" w:hanging="617"/>
        <w:spacing w:after="0"/>
        <w:tabs>
          <w:tab w:leader="none" w:pos="617"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Assignment of Agreement</w:t>
      </w:r>
    </w:p>
    <w:p>
      <w:pPr>
        <w:spacing w:after="0" w:line="216" w:lineRule="exact"/>
        <w:rPr>
          <w:sz w:val="20"/>
          <w:szCs w:val="20"/>
          <w:color w:val="auto"/>
        </w:rPr>
      </w:pPr>
    </w:p>
    <w:p>
      <w:pPr>
        <w:ind w:left="1617" w:right="220" w:hanging="616"/>
        <w:spacing w:after="0" w:line="278" w:lineRule="auto"/>
        <w:tabs>
          <w:tab w:leader="none" w:pos="1597"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Party B and Party C shall not assign their rights and obligations under this Agreement to any third party without the prior written consent of Party A.</w:t>
      </w:r>
    </w:p>
    <w:p>
      <w:pPr>
        <w:spacing w:after="0" w:line="165" w:lineRule="exact"/>
        <w:rPr>
          <w:sz w:val="20"/>
          <w:szCs w:val="20"/>
          <w:color w:val="auto"/>
        </w:rPr>
      </w:pPr>
    </w:p>
    <w:p>
      <w:pPr>
        <w:ind w:left="1617" w:right="480" w:hanging="616"/>
        <w:spacing w:after="0" w:line="278" w:lineRule="auto"/>
        <w:tabs>
          <w:tab w:leader="none" w:pos="1597"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65"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7" w:hanging="617"/>
        <w:spacing w:after="0"/>
        <w:tabs>
          <w:tab w:leader="none" w:pos="617"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Effective Date and Term</w:t>
      </w:r>
    </w:p>
    <w:p>
      <w:pPr>
        <w:spacing w:after="0" w:line="216"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This Agreement shall be effective as of the date first set forth above.</w:t>
      </w:r>
    </w:p>
    <w:p>
      <w:pPr>
        <w:spacing w:after="0" w:line="216" w:lineRule="exact"/>
        <w:rPr>
          <w:sz w:val="20"/>
          <w:szCs w:val="20"/>
          <w:color w:val="auto"/>
        </w:rPr>
      </w:pPr>
    </w:p>
    <w:p>
      <w:pPr>
        <w:ind w:left="1617" w:right="20" w:hanging="616"/>
        <w:spacing w:after="0" w:line="291" w:lineRule="auto"/>
        <w:tabs>
          <w:tab w:leader="none" w:pos="1597"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w:t>
      </w:r>
    </w:p>
    <w:p>
      <w:pPr>
        <w:spacing w:after="0" w:line="1" w:lineRule="exact"/>
        <w:rPr>
          <w:sz w:val="20"/>
          <w:szCs w:val="20"/>
          <w:color w:val="auto"/>
        </w:rPr>
      </w:pPr>
    </w:p>
    <w:p>
      <w:pPr>
        <w:ind w:left="1617" w:right="180" w:firstLine="4"/>
        <w:spacing w:after="0" w:line="259" w:lineRule="auto"/>
        <w:tabs>
          <w:tab w:leader="none" w:pos="1945" w:val="left"/>
        </w:tabs>
        <w:numPr>
          <w:ilvl w:val="1"/>
          <w:numId w:val="225"/>
        </w:numPr>
        <w:rPr>
          <w:rFonts w:ascii="Arial" w:cs="Arial" w:eastAsia="Arial" w:hAnsi="Arial"/>
          <w:sz w:val="17"/>
          <w:szCs w:val="17"/>
          <w:color w:val="auto"/>
        </w:rPr>
      </w:pPr>
      <w:r>
        <w:rPr>
          <w:rFonts w:ascii="Arial" w:cs="Arial" w:eastAsia="Arial" w:hAnsi="Arial"/>
          <w:sz w:val="17"/>
          <w:szCs w:val="17"/>
          <w:color w:val="auto"/>
        </w:rPr>
        <w:t>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9" w:lineRule="exact"/>
        <w:rPr>
          <w:rFonts w:ascii="Arial" w:cs="Arial" w:eastAsia="Arial" w:hAnsi="Arial"/>
          <w:sz w:val="17"/>
          <w:szCs w:val="17"/>
          <w:color w:val="auto"/>
        </w:rPr>
      </w:pPr>
    </w:p>
    <w:p>
      <w:pPr>
        <w:ind w:left="617" w:hanging="617"/>
        <w:spacing w:after="0"/>
        <w:tabs>
          <w:tab w:leader="none" w:pos="617"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Applicable Laws and Dispute Resolution</w:t>
      </w:r>
    </w:p>
    <w:p>
      <w:pPr>
        <w:spacing w:after="0" w:line="216"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color w:val="auto"/>
        </w:rPr>
        <w:t>Applicable Law</w:t>
      </w:r>
    </w:p>
    <w:p>
      <w:pPr>
        <w:spacing w:after="0" w:line="216" w:lineRule="exact"/>
        <w:rPr>
          <w:sz w:val="20"/>
          <w:szCs w:val="20"/>
          <w:color w:val="auto"/>
        </w:rPr>
      </w:pPr>
    </w:p>
    <w:p>
      <w:pPr>
        <w:ind w:left="1237" w:right="340"/>
        <w:spacing w:after="0" w:line="278" w:lineRule="auto"/>
        <w:rPr>
          <w:sz w:val="20"/>
          <w:szCs w:val="20"/>
          <w:color w:val="auto"/>
        </w:rPr>
      </w:pPr>
      <w:r>
        <w:rPr>
          <w:rFonts w:ascii="Arial" w:cs="Arial" w:eastAsia="Arial" w:hAnsi="Arial"/>
          <w:sz w:val="17"/>
          <w:szCs w:val="17"/>
          <w:color w:val="auto"/>
        </w:rPr>
        <w:t>The formation, validity, interpretation and performance of and settlement of disputes under this Agreement shall be governed by the laws of the PRC.</w:t>
      </w:r>
    </w:p>
    <w:p>
      <w:pPr>
        <w:spacing w:after="0" w:line="165" w:lineRule="exact"/>
        <w:rPr>
          <w:sz w:val="20"/>
          <w:szCs w:val="20"/>
          <w:color w:val="auto"/>
        </w:rPr>
      </w:pPr>
    </w:p>
    <w:p>
      <w:pPr>
        <w:ind w:left="997"/>
        <w:spacing w:after="0"/>
        <w:tabs>
          <w:tab w:leader="none" w:pos="1597"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color w:val="auto"/>
        </w:rPr>
        <w:t>Dispute Resolution</w:t>
      </w:r>
    </w:p>
    <w:p>
      <w:pPr>
        <w:spacing w:after="0" w:line="216" w:lineRule="exact"/>
        <w:rPr>
          <w:sz w:val="20"/>
          <w:szCs w:val="20"/>
          <w:color w:val="auto"/>
        </w:rPr>
      </w:pPr>
    </w:p>
    <w:p>
      <w:pPr>
        <w:ind w:left="1237"/>
        <w:spacing w:after="0" w:line="272"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71"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73925"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7" w:hanging="617"/>
        <w:spacing w:after="0"/>
        <w:tabs>
          <w:tab w:leader="none" w:pos="617"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Taxes and Expenses</w:t>
      </w:r>
    </w:p>
    <w:p>
      <w:pPr>
        <w:spacing w:after="0" w:line="216" w:lineRule="exact"/>
        <w:rPr>
          <w:rFonts w:ascii="Arial" w:cs="Arial" w:eastAsia="Arial" w:hAnsi="Arial"/>
          <w:sz w:val="17"/>
          <w:szCs w:val="17"/>
          <w:color w:val="auto"/>
        </w:rPr>
      </w:pPr>
    </w:p>
    <w:p>
      <w:pPr>
        <w:ind w:left="617" w:right="280"/>
        <w:spacing w:after="0" w:line="347" w:lineRule="auto"/>
        <w:rPr>
          <w:rFonts w:ascii="Arial" w:cs="Arial" w:eastAsia="Arial" w:hAnsi="Arial"/>
          <w:sz w:val="17"/>
          <w:szCs w:val="17"/>
          <w:color w:val="auto"/>
        </w:rPr>
      </w:pPr>
      <w:r>
        <w:rPr>
          <w:rFonts w:ascii="Arial" w:cs="Arial" w:eastAsia="Arial" w:hAnsi="Arial"/>
          <w:sz w:val="15"/>
          <w:szCs w:val="15"/>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w:t>
      </w:r>
    </w:p>
    <w:p>
      <w:pPr>
        <w:sectPr>
          <w:pgSz w:w="11900" w:h="16838" w:orient="portrait"/>
          <w:cols w:equalWidth="0" w:num="1">
            <w:col w:w="11417"/>
          </w:cols>
          <w:pgMar w:left="243" w:top="333" w:right="239" w:bottom="0" w:gutter="0" w:footer="0" w:header="0"/>
        </w:sectPr>
      </w:pPr>
    </w:p>
    <w:bookmarkStart w:id="126" w:name="page127"/>
    <w:bookmarkEnd w:id="126"/>
    <w:p>
      <w:pPr>
        <w:ind w:left="620"/>
        <w:spacing w:after="0"/>
        <w:rPr>
          <w:sz w:val="20"/>
          <w:szCs w:val="20"/>
          <w:color w:val="auto"/>
        </w:rPr>
      </w:pPr>
      <w:r>
        <w:rPr>
          <w:rFonts w:ascii="Arial" w:cs="Arial" w:eastAsia="Arial" w:hAnsi="Arial"/>
          <w:sz w:val="17"/>
          <w:szCs w:val="17"/>
          <w:color w:val="auto"/>
        </w:rPr>
        <w:t>and each Transfer Agreement.</w:t>
      </w:r>
    </w:p>
    <w:p>
      <w:pPr>
        <w:spacing w:after="0" w:line="216" w:lineRule="exact"/>
        <w:rPr>
          <w:sz w:val="20"/>
          <w:szCs w:val="20"/>
          <w:color w:val="auto"/>
        </w:rPr>
      </w:pPr>
    </w:p>
    <w:p>
      <w:pPr>
        <w:ind w:left="620" w:hanging="617"/>
        <w:spacing w:after="0"/>
        <w:tabs>
          <w:tab w:leader="none" w:pos="62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Confidentiality</w:t>
      </w:r>
    </w:p>
    <w:p>
      <w:pPr>
        <w:spacing w:after="0" w:line="216" w:lineRule="exact"/>
        <w:rPr>
          <w:sz w:val="20"/>
          <w:szCs w:val="20"/>
          <w:color w:val="auto"/>
        </w:rPr>
      </w:pPr>
    </w:p>
    <w:p>
      <w:pPr>
        <w:ind w:left="1620" w:right="140" w:hanging="616"/>
        <w:spacing w:after="0" w:line="274" w:lineRule="auto"/>
        <w:tabs>
          <w:tab w:leader="none" w:pos="160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72" w:lineRule="exact"/>
        <w:rPr>
          <w:sz w:val="20"/>
          <w:szCs w:val="20"/>
          <w:color w:val="auto"/>
        </w:rPr>
      </w:pPr>
    </w:p>
    <w:p>
      <w:pPr>
        <w:ind w:left="1000"/>
        <w:spacing w:after="0"/>
        <w:tabs>
          <w:tab w:leader="none" w:pos="160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All parties agree that this Article 8 shall survive the invalidity, cancellation, termination or unenforceability of this Agreement.</w:t>
      </w:r>
    </w:p>
    <w:p>
      <w:pPr>
        <w:spacing w:after="0" w:line="216" w:lineRule="exact"/>
        <w:rPr>
          <w:sz w:val="20"/>
          <w:szCs w:val="20"/>
          <w:color w:val="auto"/>
        </w:rPr>
      </w:pPr>
    </w:p>
    <w:p>
      <w:pPr>
        <w:ind w:left="620" w:hanging="617"/>
        <w:spacing w:after="0"/>
        <w:tabs>
          <w:tab w:leader="none" w:pos="62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Notices</w:t>
      </w:r>
    </w:p>
    <w:p>
      <w:pPr>
        <w:spacing w:after="0" w:line="216" w:lineRule="exact"/>
        <w:rPr>
          <w:rFonts w:ascii="Arial" w:cs="Arial" w:eastAsia="Arial" w:hAnsi="Arial"/>
          <w:sz w:val="17"/>
          <w:szCs w:val="17"/>
          <w:color w:val="auto"/>
        </w:rPr>
      </w:pPr>
    </w:p>
    <w:p>
      <w:pPr>
        <w:ind w:left="620" w:right="140"/>
        <w:spacing w:after="0" w:line="277" w:lineRule="auto"/>
        <w:rPr>
          <w:rFonts w:ascii="Arial" w:cs="Arial" w:eastAsia="Arial" w:hAnsi="Arial"/>
          <w:sz w:val="17"/>
          <w:szCs w:val="17"/>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If to Party A: NetEase Youdao Information Technology (Beijing) Co., Ltd.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80" w:type="dxa"/>
            <w:vAlign w:val="bottom"/>
          </w:tcPr>
          <w:p>
            <w:pPr>
              <w:ind w:left="1240"/>
              <w:spacing w:after="0"/>
              <w:rPr>
                <w:sz w:val="20"/>
                <w:szCs w:val="20"/>
                <w:color w:val="auto"/>
              </w:rPr>
            </w:pPr>
            <w:r>
              <w:rPr>
                <w:rFonts w:ascii="Arial" w:cs="Arial" w:eastAsia="Arial" w:hAnsi="Arial"/>
                <w:sz w:val="17"/>
                <w:szCs w:val="17"/>
                <w:color w:val="auto"/>
              </w:rPr>
              <w:t>Address:</w:t>
            </w:r>
          </w:p>
        </w:tc>
        <w:tc>
          <w:tcPr>
            <w:tcW w:w="8980" w:type="dxa"/>
            <w:vAlign w:val="bottom"/>
          </w:tcPr>
          <w:p>
            <w:pPr>
              <w:ind w:left="560"/>
              <w:spacing w:after="0"/>
              <w:rPr>
                <w:sz w:val="20"/>
                <w:szCs w:val="20"/>
                <w:color w:val="auto"/>
              </w:rPr>
            </w:pPr>
            <w:r>
              <w:rPr>
                <w:rFonts w:ascii="Arial" w:cs="Arial" w:eastAsia="Arial" w:hAnsi="Arial"/>
                <w:sz w:val="17"/>
                <w:szCs w:val="17"/>
                <w:color w:val="auto"/>
              </w:rPr>
              <w:t>1/F, Tower C, Building No. 7, West Zone Zhongguancun Software Park (Phase II) No. 10</w:t>
            </w:r>
          </w:p>
        </w:tc>
      </w:tr>
      <w:tr>
        <w:trPr>
          <w:trHeight w:val="217"/>
        </w:trPr>
        <w:tc>
          <w:tcPr>
            <w:tcW w:w="248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Arial" w:cs="Arial" w:eastAsia="Arial" w:hAnsi="Arial"/>
                <w:sz w:val="17"/>
                <w:szCs w:val="17"/>
                <w:color w:val="auto"/>
              </w:rPr>
              <w:t>Xibeiwang East Road, Haidian District</w:t>
            </w:r>
          </w:p>
        </w:tc>
      </w:tr>
      <w:tr>
        <w:trPr>
          <w:trHeight w:val="412"/>
        </w:trPr>
        <w:tc>
          <w:tcPr>
            <w:tcW w:w="2480" w:type="dxa"/>
            <w:vAlign w:val="bottom"/>
          </w:tcPr>
          <w:p>
            <w:pPr>
              <w:ind w:left="1240"/>
              <w:spacing w:after="0"/>
              <w:rPr>
                <w:sz w:val="20"/>
                <w:szCs w:val="20"/>
                <w:color w:val="auto"/>
              </w:rPr>
            </w:pPr>
            <w:r>
              <w:rPr>
                <w:rFonts w:ascii="Arial" w:cs="Arial" w:eastAsia="Arial" w:hAnsi="Arial"/>
                <w:sz w:val="17"/>
                <w:szCs w:val="17"/>
                <w:color w:val="auto"/>
              </w:rPr>
              <w:t>Fax:</w:t>
            </w:r>
          </w:p>
        </w:tc>
        <w:tc>
          <w:tcPr>
            <w:tcW w:w="8980" w:type="dxa"/>
            <w:vAlign w:val="bottom"/>
          </w:tcPr>
          <w:p>
            <w:pPr>
              <w:ind w:left="560"/>
              <w:spacing w:after="0"/>
              <w:rPr>
                <w:sz w:val="20"/>
                <w:szCs w:val="20"/>
                <w:color w:val="auto"/>
              </w:rPr>
            </w:pPr>
            <w:r>
              <w:rPr>
                <w:rFonts w:ascii="Arial" w:cs="Arial" w:eastAsia="Arial" w:hAnsi="Arial"/>
                <w:sz w:val="17"/>
                <w:szCs w:val="17"/>
                <w:color w:val="auto"/>
              </w:rPr>
              <w:t>86-10-82558135</w:t>
            </w:r>
          </w:p>
        </w:tc>
      </w:tr>
      <w:tr>
        <w:trPr>
          <w:trHeight w:val="412"/>
        </w:trPr>
        <w:tc>
          <w:tcPr>
            <w:tcW w:w="2480" w:type="dxa"/>
            <w:vAlign w:val="bottom"/>
          </w:tcPr>
          <w:p>
            <w:pPr>
              <w:spacing w:after="0"/>
              <w:rPr>
                <w:sz w:val="24"/>
                <w:szCs w:val="24"/>
                <w:color w:val="auto"/>
              </w:rPr>
            </w:pPr>
          </w:p>
        </w:tc>
        <w:tc>
          <w:tcPr>
            <w:tcW w:w="8980" w:type="dxa"/>
            <w:vAlign w:val="bottom"/>
          </w:tcPr>
          <w:p>
            <w:pPr>
              <w:ind w:left="3200"/>
              <w:spacing w:after="0"/>
              <w:rPr>
                <w:sz w:val="20"/>
                <w:szCs w:val="20"/>
                <w:color w:val="auto"/>
              </w:rPr>
            </w:pPr>
            <w:r>
              <w:rPr>
                <w:rFonts w:ascii="Arial" w:cs="Arial" w:eastAsia="Arial" w:hAnsi="Arial"/>
                <w:sz w:val="17"/>
                <w:szCs w:val="17"/>
                <w:color w:val="auto"/>
              </w:rPr>
              <w:t>9</w:t>
            </w:r>
          </w:p>
        </w:tc>
      </w:tr>
      <w:tr>
        <w:trPr>
          <w:trHeight w:val="127"/>
        </w:trPr>
        <w:tc>
          <w:tcPr>
            <w:tcW w:w="2480" w:type="dxa"/>
            <w:vAlign w:val="bottom"/>
            <w:tcBorders>
              <w:bottom w:val="single" w:sz="8" w:color="808080"/>
            </w:tcBorders>
          </w:tcPr>
          <w:p>
            <w:pPr>
              <w:spacing w:after="0"/>
              <w:rPr>
                <w:sz w:val="11"/>
                <w:szCs w:val="11"/>
                <w:color w:val="auto"/>
              </w:rPr>
            </w:pPr>
          </w:p>
        </w:tc>
        <w:tc>
          <w:tcPr>
            <w:tcW w:w="8980" w:type="dxa"/>
            <w:vAlign w:val="bottom"/>
            <w:tcBorders>
              <w:bottom w:val="single" w:sz="8" w:color="808080"/>
            </w:tcBorders>
          </w:tcPr>
          <w:p>
            <w:pPr>
              <w:spacing w:after="0"/>
              <w:rPr>
                <w:sz w:val="11"/>
                <w:szCs w:val="11"/>
                <w:color w:val="auto"/>
              </w:rPr>
            </w:pPr>
          </w:p>
        </w:tc>
      </w:tr>
      <w:tr>
        <w:trPr>
          <w:trHeight w:val="741"/>
        </w:trPr>
        <w:tc>
          <w:tcPr>
            <w:tcW w:w="2480" w:type="dxa"/>
            <w:vAlign w:val="bottom"/>
          </w:tcPr>
          <w:p>
            <w:pPr>
              <w:ind w:left="1240"/>
              <w:spacing w:after="0"/>
              <w:rPr>
                <w:sz w:val="20"/>
                <w:szCs w:val="20"/>
                <w:color w:val="auto"/>
              </w:rPr>
            </w:pPr>
            <w:r>
              <w:rPr>
                <w:rFonts w:ascii="Arial" w:cs="Arial" w:eastAsia="Arial" w:hAnsi="Arial"/>
                <w:sz w:val="17"/>
                <w:szCs w:val="17"/>
                <w:color w:val="auto"/>
              </w:rPr>
              <w:t>Email:</w:t>
            </w:r>
          </w:p>
        </w:tc>
        <w:tc>
          <w:tcPr>
            <w:tcW w:w="8980" w:type="dxa"/>
            <w:vAlign w:val="bottom"/>
          </w:tcPr>
          <w:p>
            <w:pPr>
              <w:ind w:left="560"/>
              <w:spacing w:after="0"/>
              <w:rPr>
                <w:sz w:val="20"/>
                <w:szCs w:val="20"/>
                <w:color w:val="auto"/>
              </w:rPr>
            </w:pPr>
            <w:r>
              <w:rPr>
                <w:rFonts w:ascii="Arial" w:cs="Arial" w:eastAsia="Arial" w:hAnsi="Arial"/>
                <w:sz w:val="17"/>
                <w:szCs w:val="17"/>
                <w:color w:val="auto"/>
              </w:rPr>
              <w:t>zf@rd.netease.com</w:t>
            </w:r>
          </w:p>
        </w:tc>
      </w:tr>
      <w:tr>
        <w:trPr>
          <w:trHeight w:val="412"/>
        </w:trPr>
        <w:tc>
          <w:tcPr>
            <w:tcW w:w="2480" w:type="dxa"/>
            <w:vAlign w:val="bottom"/>
          </w:tcPr>
          <w:p>
            <w:pPr>
              <w:ind w:left="1240"/>
              <w:spacing w:after="0"/>
              <w:rPr>
                <w:sz w:val="20"/>
                <w:szCs w:val="20"/>
                <w:color w:val="auto"/>
              </w:rPr>
            </w:pPr>
            <w:r>
              <w:rPr>
                <w:rFonts w:ascii="Arial" w:cs="Arial" w:eastAsia="Arial" w:hAnsi="Arial"/>
                <w:sz w:val="17"/>
                <w:szCs w:val="17"/>
                <w:color w:val="auto"/>
              </w:rPr>
              <w:t>Attention:</w:t>
            </w:r>
          </w:p>
        </w:tc>
        <w:tc>
          <w:tcPr>
            <w:tcW w:w="8980" w:type="dxa"/>
            <w:vAlign w:val="bottom"/>
          </w:tcPr>
          <w:p>
            <w:pPr>
              <w:ind w:left="560"/>
              <w:spacing w:after="0"/>
              <w:rPr>
                <w:sz w:val="20"/>
                <w:szCs w:val="20"/>
                <w:color w:val="auto"/>
              </w:rPr>
            </w:pPr>
            <w:r>
              <w:rPr>
                <w:rFonts w:ascii="Arial" w:cs="Arial" w:eastAsia="Arial" w:hAnsi="Arial"/>
                <w:sz w:val="17"/>
                <w:szCs w:val="17"/>
                <w:color w:val="auto"/>
              </w:rPr>
              <w:t>Feng Zhou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-760095</wp:posOffset>
            </wp:positionV>
            <wp:extent cx="12700"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-760095</wp:posOffset>
            </wp:positionV>
            <wp:extent cx="12700"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If to Party B: William Lei Ding</w:t>
      </w:r>
    </w:p>
    <w:p>
      <w:pPr>
        <w:spacing w:after="0" w:line="222"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Room 6-401, A90, Shuguang Road, Jiangdong District, Ningbo, Zhejiang Province</w:t>
      </w:r>
    </w:p>
    <w:p>
      <w:pPr>
        <w:spacing w:after="0" w:line="216"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Fax:</w:t>
      </w:r>
      <w:r>
        <w:rPr>
          <w:sz w:val="20"/>
          <w:szCs w:val="20"/>
          <w:color w:val="auto"/>
        </w:rPr>
        <w:tab/>
      </w:r>
      <w:r>
        <w:rPr>
          <w:rFonts w:ascii="Arial" w:cs="Arial" w:eastAsia="Arial" w:hAnsi="Arial"/>
          <w:sz w:val="17"/>
          <w:szCs w:val="17"/>
          <w:color w:val="auto"/>
        </w:rPr>
        <w:t>0571-89852620</w:t>
      </w:r>
    </w:p>
    <w:p>
      <w:pPr>
        <w:spacing w:after="0" w:line="216"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wding@corp.netease.com</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If to Party C: Beijing NetEase Youdao Computer System Co., Ltd.</w:t>
      </w:r>
    </w:p>
    <w:p>
      <w:pPr>
        <w:spacing w:after="0" w:line="222"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7"/>
          <w:szCs w:val="17"/>
          <w:color w:val="auto"/>
        </w:rPr>
        <w:t>2/F, Tower A, Building No. 7, West Zone Zhongguancun Software Park (Phase II) No. 10</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Xibeiwang East Road, Haidian District</w:t>
      </w:r>
    </w:p>
    <w:p>
      <w:pPr>
        <w:spacing w:after="0" w:line="205"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Fax:</w:t>
      </w:r>
      <w:r>
        <w:rPr>
          <w:sz w:val="20"/>
          <w:szCs w:val="20"/>
          <w:color w:val="auto"/>
        </w:rPr>
        <w:tab/>
      </w:r>
      <w:r>
        <w:rPr>
          <w:rFonts w:ascii="Arial" w:cs="Arial" w:eastAsia="Arial" w:hAnsi="Arial"/>
          <w:sz w:val="17"/>
          <w:szCs w:val="17"/>
          <w:color w:val="auto"/>
        </w:rPr>
        <w:t>86-10-82558135</w:t>
      </w:r>
    </w:p>
    <w:p>
      <w:pPr>
        <w:spacing w:after="0" w:line="216"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zf@rd.netease.com</w:t>
      </w:r>
    </w:p>
    <w:p>
      <w:pPr>
        <w:spacing w:after="0" w:line="216" w:lineRule="exact"/>
        <w:rPr>
          <w:sz w:val="20"/>
          <w:szCs w:val="20"/>
          <w:color w:val="auto"/>
        </w:rPr>
      </w:pPr>
    </w:p>
    <w:p>
      <w:pPr>
        <w:ind w:left="1240"/>
        <w:spacing w:after="0"/>
        <w:tabs>
          <w:tab w:leader="none" w:pos="302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Feng Zhou</w:t>
      </w:r>
    </w:p>
    <w:p>
      <w:pPr>
        <w:spacing w:after="0" w:line="216" w:lineRule="exact"/>
        <w:rPr>
          <w:sz w:val="20"/>
          <w:szCs w:val="20"/>
          <w:color w:val="auto"/>
        </w:rPr>
      </w:pPr>
    </w:p>
    <w:p>
      <w:pPr>
        <w:ind w:left="620" w:hanging="617"/>
        <w:spacing w:after="0"/>
        <w:tabs>
          <w:tab w:leader="none" w:pos="6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p>
    <w:p>
      <w:pPr>
        <w:spacing w:after="0" w:line="216" w:lineRule="exact"/>
        <w:rPr>
          <w:rFonts w:ascii="Arial" w:cs="Arial" w:eastAsia="Arial" w:hAnsi="Arial"/>
          <w:sz w:val="17"/>
          <w:szCs w:val="17"/>
          <w:color w:val="auto"/>
        </w:rPr>
      </w:pPr>
    </w:p>
    <w:p>
      <w:pPr>
        <w:ind w:left="620" w:right="340"/>
        <w:spacing w:after="0" w:line="278" w:lineRule="auto"/>
        <w:rPr>
          <w:rFonts w:ascii="Arial" w:cs="Arial" w:eastAsia="Arial" w:hAnsi="Arial"/>
          <w:sz w:val="17"/>
          <w:szCs w:val="17"/>
          <w:color w:val="auto"/>
        </w:rPr>
      </w:pPr>
      <w:r>
        <w:rPr>
          <w:rFonts w:ascii="Arial" w:cs="Arial" w:eastAsia="Arial" w:hAnsi="Arial"/>
          <w:sz w:val="17"/>
          <w:szCs w:val="17"/>
          <w:color w:val="auto"/>
        </w:rPr>
        <w:t>The Parties agree to promptly execute documents and take further actions that are reasonably required for, or beneficial to, the purpose of performing the provisions and carrying out the intent of this Agreement.</w:t>
      </w:r>
    </w:p>
    <w:p>
      <w:pPr>
        <w:spacing w:after="0" w:line="164" w:lineRule="exact"/>
        <w:rPr>
          <w:rFonts w:ascii="Arial" w:cs="Arial" w:eastAsia="Arial" w:hAnsi="Arial"/>
          <w:sz w:val="17"/>
          <w:szCs w:val="17"/>
          <w:color w:val="auto"/>
        </w:rPr>
      </w:pPr>
    </w:p>
    <w:p>
      <w:pPr>
        <w:ind w:left="600" w:hanging="597"/>
        <w:spacing w:after="0"/>
        <w:tabs>
          <w:tab w:leader="none" w:pos="60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16"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Amendment, Modification or Supplement</w:t>
      </w:r>
    </w:p>
    <w:p>
      <w:pPr>
        <w:spacing w:after="0" w:line="216" w:lineRule="exact"/>
        <w:rPr>
          <w:sz w:val="20"/>
          <w:szCs w:val="20"/>
          <w:color w:val="auto"/>
        </w:rPr>
      </w:pPr>
    </w:p>
    <w:p>
      <w:pPr>
        <w:ind w:left="1240" w:right="200"/>
        <w:spacing w:after="0" w:line="27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65"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Entire Agreement</w:t>
      </w:r>
    </w:p>
    <w:p>
      <w:pPr>
        <w:spacing w:after="0" w:line="216" w:lineRule="exact"/>
        <w:rPr>
          <w:sz w:val="20"/>
          <w:szCs w:val="20"/>
          <w:color w:val="auto"/>
        </w:rPr>
      </w:pPr>
    </w:p>
    <w:p>
      <w:pPr>
        <w:jc w:val="both"/>
        <w:ind w:left="1240" w:right="420"/>
        <w:spacing w:after="0" w:line="265" w:lineRule="auto"/>
        <w:rPr>
          <w:sz w:val="20"/>
          <w:szCs w:val="20"/>
          <w:color w:val="auto"/>
        </w:rPr>
      </w:pPr>
      <w:r>
        <w:rPr>
          <w:rFonts w:ascii="Arial" w:cs="Arial" w:eastAsia="Arial" w:hAnsi="Arial"/>
          <w:sz w:val="17"/>
          <w:szCs w:val="17"/>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ectPr>
          <w:pgSz w:w="11900" w:h="16838" w:orient="portrait"/>
          <w:cols w:equalWidth="0" w:num="1">
            <w:col w:w="11460"/>
          </w:cols>
          <w:pgMar w:left="240" w:top="127" w:right="199" w:bottom="257" w:gutter="0" w:footer="0" w:header="0"/>
        </w:sectPr>
      </w:pP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7392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60"/>
          </w:cols>
          <w:pgMar w:left="240" w:top="127" w:right="199" w:bottom="257" w:gutter="0" w:footer="0" w:header="0"/>
          <w:type w:val="continuous"/>
        </w:sectPr>
      </w:pPr>
    </w:p>
    <w:bookmarkStart w:id="127" w:name="page128"/>
    <w:bookmarkEnd w:id="127"/>
    <w:p>
      <w:pPr>
        <w:ind w:left="1000"/>
        <w:spacing w:after="0"/>
        <w:tabs>
          <w:tab w:leader="none" w:pos="1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color w:val="auto"/>
        </w:rPr>
        <w:t>Severability</w:t>
      </w:r>
    </w:p>
    <w:p>
      <w:pPr>
        <w:spacing w:after="0" w:line="216" w:lineRule="exact"/>
        <w:rPr>
          <w:sz w:val="20"/>
          <w:szCs w:val="20"/>
          <w:color w:val="auto"/>
        </w:rPr>
      </w:pPr>
    </w:p>
    <w:p>
      <w:pPr>
        <w:ind w:left="1240"/>
        <w:spacing w:after="0" w:line="261"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9"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Headings</w:t>
      </w:r>
    </w:p>
    <w:p>
      <w:pPr>
        <w:spacing w:after="0" w:line="216" w:lineRule="exact"/>
        <w:rPr>
          <w:sz w:val="20"/>
          <w:szCs w:val="20"/>
          <w:color w:val="auto"/>
        </w:rPr>
      </w:pPr>
    </w:p>
    <w:p>
      <w:pPr>
        <w:ind w:left="1240" w:right="200"/>
        <w:spacing w:after="0" w:line="278" w:lineRule="auto"/>
        <w:rPr>
          <w:sz w:val="20"/>
          <w:szCs w:val="20"/>
          <w:color w:val="auto"/>
        </w:rPr>
      </w:pPr>
      <w:r>
        <w:rPr>
          <w:rFonts w:ascii="Arial" w:cs="Arial" w:eastAsia="Arial" w:hAnsi="Arial"/>
          <w:sz w:val="17"/>
          <w:szCs w:val="17"/>
          <w:color w:val="auto"/>
        </w:rPr>
        <w:t>The headings contained in this Agreement are for the convenience of reference only and shall not be used for the interpretation or explanation or otherwise affect the meaning of the provisions of this Agreement.</w:t>
      </w:r>
    </w:p>
    <w:p>
      <w:pPr>
        <w:spacing w:after="0" w:line="165"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4"/>
          <w:szCs w:val="14"/>
          <w:color w:val="auto"/>
        </w:rPr>
        <w:t>Successor</w:t>
      </w:r>
    </w:p>
    <w:p>
      <w:pPr>
        <w:spacing w:after="0" w:line="216" w:lineRule="exact"/>
        <w:rPr>
          <w:sz w:val="20"/>
          <w:szCs w:val="20"/>
          <w:color w:val="auto"/>
        </w:rPr>
      </w:pPr>
    </w:p>
    <w:p>
      <w:pPr>
        <w:jc w:val="both"/>
        <w:ind w:left="1240" w:right="180"/>
        <w:spacing w:after="0" w:line="306" w:lineRule="auto"/>
        <w:rPr>
          <w:sz w:val="20"/>
          <w:szCs w:val="20"/>
          <w:color w:val="auto"/>
        </w:rPr>
      </w:pPr>
      <w:r>
        <w:rPr>
          <w:rFonts w:ascii="Arial" w:cs="Arial" w:eastAsia="Arial" w:hAnsi="Arial"/>
          <w:sz w:val="15"/>
          <w:szCs w:val="15"/>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49"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color w:val="auto"/>
        </w:rPr>
        <w:t>Survival</w:t>
      </w:r>
    </w:p>
    <w:p>
      <w:pPr>
        <w:spacing w:after="0" w:line="216" w:lineRule="exact"/>
        <w:rPr>
          <w:sz w:val="20"/>
          <w:szCs w:val="20"/>
          <w:color w:val="auto"/>
        </w:rPr>
      </w:pPr>
    </w:p>
    <w:p>
      <w:pPr>
        <w:ind w:left="1240" w:right="100"/>
        <w:spacing w:after="0" w:line="278" w:lineRule="auto"/>
        <w:rPr>
          <w:sz w:val="20"/>
          <w:szCs w:val="20"/>
          <w:color w:val="auto"/>
        </w:rPr>
      </w:pPr>
      <w:r>
        <w:rPr>
          <w:rFonts w:ascii="Arial" w:cs="Arial" w:eastAsia="Arial" w:hAnsi="Arial"/>
          <w:sz w:val="17"/>
          <w:szCs w:val="17"/>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65" w:lineRule="exact"/>
        <w:rPr>
          <w:sz w:val="20"/>
          <w:szCs w:val="20"/>
          <w:color w:val="auto"/>
        </w:rPr>
      </w:pPr>
    </w:p>
    <w:p>
      <w:pPr>
        <w:ind w:left="1000"/>
        <w:spacing w:after="0"/>
        <w:tabs>
          <w:tab w:leader="none" w:pos="158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color w:val="auto"/>
        </w:rPr>
        <w:t>Waiver</w:t>
      </w:r>
    </w:p>
    <w:p>
      <w:pPr>
        <w:spacing w:after="0" w:line="216" w:lineRule="exact"/>
        <w:rPr>
          <w:sz w:val="20"/>
          <w:szCs w:val="20"/>
          <w:color w:val="auto"/>
        </w:rPr>
      </w:pPr>
    </w:p>
    <w:p>
      <w:pPr>
        <w:ind w:left="1240" w:right="100"/>
        <w:spacing w:after="0" w:line="347" w:lineRule="auto"/>
        <w:rPr>
          <w:sz w:val="20"/>
          <w:szCs w:val="20"/>
          <w:color w:val="auto"/>
        </w:rPr>
      </w:pPr>
      <w:r>
        <w:rPr>
          <w:rFonts w:ascii="Arial" w:cs="Arial" w:eastAsia="Arial" w:hAnsi="Arial"/>
          <w:sz w:val="15"/>
          <w:szCs w:val="15"/>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1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Party has caused this Agreement to be executed by himself/herself, its legal representative or its duly authorized representative as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date first written above.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 NetEase Youdao Information Technology (Beijing)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William Lei Ding</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Signature:</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30467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4673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 Beijing NetEase Youdao Computer System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Exhibit 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Form of Notice</w:t>
      </w:r>
    </w:p>
    <w:p>
      <w:pPr>
        <w:spacing w:after="0" w:line="205"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Dear William Lei Ding,</w:t>
      </w:r>
    </w:p>
    <w:p>
      <w:pPr>
        <w:spacing w:after="0" w:line="216" w:lineRule="exact"/>
        <w:rPr>
          <w:sz w:val="20"/>
          <w:szCs w:val="20"/>
          <w:color w:val="auto"/>
        </w:rPr>
      </w:pPr>
    </w:p>
    <w:p>
      <w:pPr>
        <w:ind w:right="100" w:firstLine="617"/>
        <w:spacing w:after="0" w:line="278" w:lineRule="auto"/>
        <w:rPr>
          <w:sz w:val="20"/>
          <w:szCs w:val="20"/>
          <w:color w:val="auto"/>
        </w:rPr>
      </w:pPr>
      <w:r>
        <w:rPr>
          <w:rFonts w:ascii="Arial" w:cs="Arial" w:eastAsia="Arial" w:hAnsi="Arial"/>
          <w:sz w:val="17"/>
          <w:szCs w:val="17"/>
          <w:color w:val="auto"/>
        </w:rPr>
        <w:t>Pursuant to the Exclusive Purchase Option Agreement between us executed on September 26, 2016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you agreed to transfer to us or our Designated Person(s) certain equity interests or assets upon notice from us.</w:t>
      </w:r>
    </w:p>
    <w:p>
      <w:pPr>
        <w:spacing w:after="0" w:line="165" w:lineRule="exact"/>
        <w:rPr>
          <w:sz w:val="20"/>
          <w:szCs w:val="20"/>
          <w:color w:val="auto"/>
        </w:rPr>
      </w:pPr>
    </w:p>
    <w:p>
      <w:pPr>
        <w:ind w:right="580" w:firstLine="617"/>
        <w:spacing w:after="0" w:line="278" w:lineRule="auto"/>
        <w:rPr>
          <w:sz w:val="20"/>
          <w:szCs w:val="20"/>
          <w:color w:val="auto"/>
        </w:rPr>
      </w:pPr>
      <w:r>
        <w:rPr>
          <w:rFonts w:ascii="Arial" w:cs="Arial" w:eastAsia="Arial" w:hAnsi="Arial"/>
          <w:sz w:val="17"/>
          <w:szCs w:val="17"/>
          <w:color w:val="auto"/>
        </w:rPr>
        <w:t>This letter serves as our notice to you under Article 1.2.1 of the Option Agreement, and we hereby notify you that we wish to purchase from you the following [</w:t>
      </w:r>
      <w:r>
        <w:rPr>
          <w:rFonts w:ascii="Arial" w:cs="Arial" w:eastAsia="Arial" w:hAnsi="Arial"/>
          <w:sz w:val="17"/>
          <w:szCs w:val="17"/>
          <w:i w:val="1"/>
          <w:iCs w:val="1"/>
          <w:color w:val="auto"/>
        </w:rPr>
        <w:t>equity interests / assets</w:t>
      </w:r>
      <w:r>
        <w:rPr>
          <w:rFonts w:ascii="Arial" w:cs="Arial" w:eastAsia="Arial" w:hAnsi="Arial"/>
          <w:sz w:val="17"/>
          <w:szCs w:val="17"/>
          <w:color w:val="auto"/>
        </w:rPr>
        <w:t>], which constitute the Purchased Interest under Article 1.2.1 of the Option Agreement:</w:t>
      </w:r>
    </w:p>
    <w:p>
      <w:pPr>
        <w:spacing w:after="0" w:line="16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[All /</w:t>
      </w:r>
      <w:r>
        <w:rPr>
          <w:sz w:val="20"/>
          <w:szCs w:val="20"/>
          <w:color w:val="auto"/>
        </w:rPr>
        <w:tab/>
      </w:r>
      <w:r>
        <w:rPr>
          <w:rFonts w:ascii="Arial" w:cs="Arial" w:eastAsia="Arial" w:hAnsi="Arial"/>
          <w:sz w:val="15"/>
          <w:szCs w:val="15"/>
          <w:color w:val="auto"/>
        </w:rPr>
        <w:t>% of the shares in Beijing NetEase Youdao Computer System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-9525</wp:posOffset>
            </wp:positionV>
            <wp:extent cx="135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 the assets of Beijing NetEase Youdao Computer System Co., Ltd. / The following assets of Beijing NetEase Youdao Computer System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42729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0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4971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97195" cy="8255"/>
                    </a:xfrm>
                    <a:prstGeom prst="rect">
                      <a:avLst/>
                    </a:prstGeom>
                    <a:noFill/>
                  </pic:spPr>
                </pic:pic>
              </a:graphicData>
            </a:graphic>
          </wp:anchor>
        </w:drawing>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consideration for the Purchased Interest, the Purchase Price (as defined in Article 1.3 of the Option Agreement) of the Purchased Interest will be RMB</w: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 We shall handle payment of the Purchase Price pursuant to Article 1.5 of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4629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ind w:left="620"/>
              <w:spacing w:after="0"/>
              <w:rPr>
                <w:sz w:val="20"/>
                <w:szCs w:val="20"/>
                <w:color w:val="auto"/>
              </w:rPr>
            </w:pPr>
            <w:r>
              <w:rPr>
                <w:rFonts w:ascii="Arial" w:cs="Arial" w:eastAsia="Arial" w:hAnsi="Arial"/>
                <w:sz w:val="17"/>
                <w:szCs w:val="17"/>
                <w:color w:val="auto"/>
                <w:w w:val="90"/>
              </w:rPr>
              <w:t>Please assist us in arranging for the transfer of the Purchased Interest to [</w:t>
            </w:r>
            <w:r>
              <w:rPr>
                <w:rFonts w:ascii="Arial" w:cs="Arial" w:eastAsia="Arial" w:hAnsi="Arial"/>
                <w:sz w:val="17"/>
                <w:szCs w:val="17"/>
                <w:i w:val="1"/>
                <w:iCs w:val="1"/>
                <w:color w:val="auto"/>
                <w:w w:val="90"/>
              </w:rPr>
              <w:t>us / our Designated Person(s), which is/are</w:t>
            </w:r>
          </w:p>
        </w:tc>
        <w:tc>
          <w:tcPr>
            <w:tcW w:w="1940" w:type="dxa"/>
            <w:vAlign w:val="bottom"/>
            <w:tcBorders>
              <w:bottom w:val="single" w:sz="8" w:color="auto"/>
            </w:tcBorders>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93"/>
              </w:rPr>
              <w:t>].  Such</w:t>
            </w:r>
          </w:p>
        </w:tc>
      </w:tr>
      <w:tr>
        <w:trPr>
          <w:trHeight w:val="223"/>
        </w:trPr>
        <w:tc>
          <w:tcPr>
            <w:tcW w:w="8640" w:type="dxa"/>
            <w:vAlign w:val="bottom"/>
          </w:tcPr>
          <w:p>
            <w:pPr>
              <w:spacing w:after="0"/>
              <w:rPr>
                <w:sz w:val="20"/>
                <w:szCs w:val="20"/>
                <w:color w:val="auto"/>
              </w:rPr>
            </w:pPr>
            <w:r>
              <w:rPr>
                <w:rFonts w:ascii="Arial" w:cs="Arial" w:eastAsia="Arial" w:hAnsi="Arial"/>
                <w:sz w:val="17"/>
                <w:szCs w:val="17"/>
                <w:color w:val="auto"/>
              </w:rPr>
              <w:t>transfer should occur no later than forty-five (45) business days after the date hereof</w:t>
            </w:r>
          </w:p>
        </w:tc>
        <w:tc>
          <w:tcPr>
            <w:tcW w:w="19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360"/>
          </w:cols>
          <w:pgMar w:left="240" w:top="333" w:right="299" w:bottom="0" w:gutter="0" w:footer="0" w:header="0"/>
        </w:sectPr>
      </w:pPr>
    </w:p>
    <w:bookmarkStart w:id="128" w:name="page129"/>
    <w:bookmarkEnd w:id="128"/>
    <w:p>
      <w:pPr>
        <w:ind w:left="5720"/>
        <w:spacing w:after="0"/>
        <w:rPr>
          <w:sz w:val="20"/>
          <w:szCs w:val="20"/>
          <w:color w:val="auto"/>
        </w:rPr>
      </w:pPr>
      <w:r>
        <w:rPr>
          <w:rFonts w:ascii="Arial" w:cs="Arial" w:eastAsia="Arial" w:hAnsi="Arial"/>
          <w:sz w:val="17"/>
          <w:szCs w:val="17"/>
          <w:color w:val="auto"/>
        </w:rPr>
        <w:t>Sincerely,</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NetEase Youdao Information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Technology (Beijing) Co., Ltd.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Form of Power of Attorney</w:t>
      </w:r>
    </w:p>
    <w:p>
      <w:pPr>
        <w:spacing w:after="0" w:line="205" w:lineRule="exact"/>
        <w:rPr>
          <w:sz w:val="20"/>
          <w:szCs w:val="20"/>
          <w:color w:val="auto"/>
        </w:rPr>
      </w:pPr>
    </w:p>
    <w:p>
      <w:pPr>
        <w:ind w:left="620"/>
        <w:spacing w:after="0"/>
        <w:tabs>
          <w:tab w:leader="none" w:pos="4220" w:val="left"/>
          <w:tab w:leader="none" w:pos="7640" w:val="left"/>
        </w:tabs>
        <w:rPr>
          <w:sz w:val="20"/>
          <w:szCs w:val="20"/>
          <w:color w:val="auto"/>
        </w:rPr>
      </w:pPr>
      <w:r>
        <w:rPr>
          <w:rFonts w:ascii="Arial" w:cs="Arial" w:eastAsia="Arial" w:hAnsi="Arial"/>
          <w:sz w:val="17"/>
          <w:szCs w:val="17"/>
          <w:color w:val="auto"/>
        </w:rPr>
        <w:t>I hereby irrevocably appoint</w:t>
      </w:r>
      <w:r>
        <w:rPr>
          <w:sz w:val="20"/>
          <w:szCs w:val="20"/>
          <w:color w:val="auto"/>
        </w:rPr>
        <w:tab/>
      </w:r>
      <w:r>
        <w:rPr>
          <w:rFonts w:ascii="Arial" w:cs="Arial" w:eastAsia="Arial" w:hAnsi="Arial"/>
          <w:sz w:val="17"/>
          <w:szCs w:val="17"/>
          <w:color w:val="auto"/>
        </w:rPr>
        <w:t>, holder of PRC identification number :</w:t>
      </w:r>
      <w:r>
        <w:rPr>
          <w:sz w:val="20"/>
          <w:szCs w:val="20"/>
          <w:color w:val="auto"/>
        </w:rPr>
        <w:tab/>
      </w:r>
      <w:r>
        <w:rPr>
          <w:rFonts w:ascii="Arial" w:cs="Arial" w:eastAsia="Arial" w:hAnsi="Arial"/>
          <w:sz w:val="15"/>
          <w:szCs w:val="15"/>
          <w:color w:val="auto"/>
        </w:rPr>
        <w:t>, as my proxy, to sign and deliver any and all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-9525</wp:posOffset>
            </wp:positionV>
            <wp:extent cx="10344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34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-9525</wp:posOffset>
            </wp:positionV>
            <wp:extent cx="4083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1" w:lineRule="exact"/>
        <w:rPr>
          <w:sz w:val="20"/>
          <w:szCs w:val="20"/>
          <w:color w:val="auto"/>
        </w:rPr>
      </w:pPr>
    </w:p>
    <w:p>
      <w:pPr>
        <w:jc w:val="both"/>
        <w:ind w:right="520"/>
        <w:spacing w:after="0" w:line="259" w:lineRule="auto"/>
        <w:rPr>
          <w:sz w:val="20"/>
          <w:szCs w:val="20"/>
          <w:color w:val="auto"/>
        </w:rPr>
      </w:pPr>
      <w:r>
        <w:rPr>
          <w:rFonts w:ascii="Arial" w:cs="Arial" w:eastAsia="Arial" w:hAnsi="Arial"/>
          <w:sz w:val="17"/>
          <w:szCs w:val="17"/>
          <w:color w:val="auto"/>
        </w:rPr>
        <w:t>documents that are necessary or useful to effect any exercise of an option to purchase any equity interests or assets pursuant to the Exclusive Purchase Option Agreement between NetEase Youdao Information Technology (Beijing) Co., Ltd., William Lei Ding and Beijing NetEase Youdao Computer System Co., Ltd. executed on September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252730</wp:posOffset>
            </wp:positionV>
            <wp:extent cx="36264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626485" cy="8255"/>
                    </a:xfrm>
                    <a:prstGeom prst="rect">
                      <a:avLst/>
                    </a:prstGeom>
                    <a:noFill/>
                  </pic:spPr>
                </pic:pic>
              </a:graphicData>
            </a:graphic>
          </wp:anchor>
        </w:drawing>
      </w: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William Lei Ding</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Exhibit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Form of Transfer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20"/>
                <w:szCs w:val="20"/>
                <w:color w:val="auto"/>
              </w:rPr>
            </w:pPr>
            <w:r>
              <w:rPr>
                <w:rFonts w:ascii="Arial" w:cs="Arial" w:eastAsia="Arial" w:hAnsi="Arial"/>
                <w:sz w:val="17"/>
                <w:szCs w:val="17"/>
                <w:color w:val="auto"/>
                <w:w w:val="92"/>
              </w:rPr>
              <w:t>This Transfer Agreement (this “</w:t>
            </w:r>
            <w:r>
              <w:rPr>
                <w:rFonts w:ascii="Arial" w:cs="Arial" w:eastAsia="Arial" w:hAnsi="Arial"/>
                <w:sz w:val="17"/>
                <w:szCs w:val="17"/>
                <w:b w:val="1"/>
                <w:bCs w:val="1"/>
                <w:i w:val="1"/>
                <w:iCs w:val="1"/>
                <w:color w:val="auto"/>
                <w:w w:val="92"/>
              </w:rPr>
              <w:t>Agreement</w:t>
            </w:r>
            <w:r>
              <w:rPr>
                <w:rFonts w:ascii="Arial" w:cs="Arial" w:eastAsia="Arial" w:hAnsi="Arial"/>
                <w:sz w:val="17"/>
                <w:szCs w:val="17"/>
                <w:color w:val="auto"/>
                <w:w w:val="92"/>
              </w:rPr>
              <w:t>”) is jointly signed by the Parties on</w:t>
            </w:r>
          </w:p>
        </w:tc>
        <w:tc>
          <w:tcPr>
            <w:tcW w:w="800" w:type="dxa"/>
            <w:vAlign w:val="bottom"/>
            <w:tcBorders>
              <w:bottom w:val="single" w:sz="8" w:color="auto"/>
            </w:tcBorders>
          </w:tcPr>
          <w:p>
            <w:pPr>
              <w:spacing w:after="0"/>
              <w:rPr>
                <w:sz w:val="16"/>
                <w:szCs w:val="16"/>
                <w:color w:val="auto"/>
              </w:rPr>
            </w:pPr>
          </w:p>
        </w:tc>
        <w:tc>
          <w:tcPr>
            <w:tcW w:w="5080" w:type="dxa"/>
            <w:vAlign w:val="bottom"/>
          </w:tcPr>
          <w:p>
            <w:pPr>
              <w:ind w:left="40"/>
              <w:spacing w:after="0"/>
              <w:rPr>
                <w:sz w:val="20"/>
                <w:szCs w:val="20"/>
                <w:color w:val="auto"/>
              </w:rPr>
            </w:pPr>
            <w:r>
              <w:rPr>
                <w:rFonts w:ascii="Arial" w:cs="Arial" w:eastAsia="Arial" w:hAnsi="Arial"/>
                <w:sz w:val="17"/>
                <w:szCs w:val="17"/>
                <w:color w:val="auto"/>
                <w:w w:val="91"/>
              </w:rPr>
              <w:t>at the offices of Beijing NetEase Youdao Computer System Co., Ltd. (the</w:t>
            </w:r>
          </w:p>
        </w:tc>
      </w:tr>
      <w:tr>
        <w:trPr>
          <w:trHeight w:val="223"/>
        </w:trPr>
        <w:tc>
          <w:tcPr>
            <w:tcW w:w="548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Transferor:  [William Lei Ding /Beijing NetEase Youdao Computer System Co., Ltd.] (“</w:t>
      </w:r>
      <w:r>
        <w:rPr>
          <w:rFonts w:ascii="Arial" w:cs="Arial" w:eastAsia="Arial" w:hAnsi="Arial"/>
          <w:sz w:val="17"/>
          <w:szCs w:val="17"/>
          <w:b w:val="1"/>
          <w:bCs w:val="1"/>
          <w:i w:val="1"/>
          <w:iCs w:val="1"/>
          <w:color w:val="auto"/>
        </w:rPr>
        <w:t>Party A</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Transferee:  [NetEase Youdao Information Technology (Beijing) Co., Ltd. </w:t>
      </w:r>
      <w:r>
        <w:rPr>
          <w:rFonts w:ascii="Arial" w:cs="Arial" w:eastAsia="Arial" w:hAnsi="Arial"/>
          <w:sz w:val="17"/>
          <w:szCs w:val="17"/>
          <w:i w:val="1"/>
          <w:iCs w:val="1"/>
          <w:color w:val="auto"/>
        </w:rPr>
        <w:t>or designated person(s)</w:t>
      </w:r>
      <w:r>
        <w:rPr>
          <w:rFonts w:ascii="Arial" w:cs="Arial" w:eastAsia="Arial" w:hAnsi="Arial"/>
          <w:sz w:val="17"/>
          <w:szCs w:val="17"/>
          <w:color w:val="auto"/>
        </w:rPr>
        <w:t>] (“</w:t>
      </w:r>
      <w:r>
        <w:rPr>
          <w:rFonts w:ascii="Arial" w:cs="Arial" w:eastAsia="Arial" w:hAnsi="Arial"/>
          <w:sz w:val="17"/>
          <w:szCs w:val="17"/>
          <w:b w:val="1"/>
          <w:bCs w:val="1"/>
          <w:i w:val="1"/>
          <w:iCs w:val="1"/>
          <w:color w:val="auto"/>
        </w:rPr>
        <w:t>Party B</w:t>
      </w: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Party A and Party B are called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each of them is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216" w:lineRule="exact"/>
        <w:rPr>
          <w:sz w:val="20"/>
          <w:szCs w:val="20"/>
          <w:color w:val="auto"/>
        </w:rPr>
      </w:pPr>
    </w:p>
    <w:p>
      <w:pPr>
        <w:ind w:right="180" w:firstLine="617"/>
        <w:spacing w:after="0" w:line="265" w:lineRule="auto"/>
        <w:rPr>
          <w:sz w:val="20"/>
          <w:szCs w:val="20"/>
          <w:color w:val="auto"/>
        </w:rPr>
      </w:pPr>
      <w:r>
        <w:rPr>
          <w:rFonts w:ascii="Arial" w:cs="Arial" w:eastAsia="Arial" w:hAnsi="Arial"/>
          <w:sz w:val="17"/>
          <w:szCs w:val="17"/>
          <w:color w:val="auto"/>
        </w:rPr>
        <w:t>[Party A owns 71.073% of the equity interest of the Company.] According to the relevant laws, rules and regulations, upon friendly negotiations between the Parties, and pursuant to the Exclusive Purchase Option Agreement entered into by the Parties on [</w:t>
      </w:r>
      <w:r>
        <w:rPr>
          <w:rFonts w:ascii="Arial" w:cs="Arial" w:eastAsia="Arial" w:hAnsi="Arial"/>
          <w:sz w:val="17"/>
          <w:szCs w:val="17"/>
          <w:i w:val="1"/>
          <w:iCs w:val="1"/>
          <w:color w:val="auto"/>
        </w:rPr>
        <w:t>date of agreement</w:t>
      </w:r>
      <w:r>
        <w:rPr>
          <w:rFonts w:ascii="Arial" w:cs="Arial" w:eastAsia="Arial" w:hAnsi="Arial"/>
          <w:sz w:val="17"/>
          <w:szCs w:val="17"/>
          <w:color w:val="auto"/>
        </w:rPr>
        <w:t>] (the “</w:t>
      </w:r>
      <w:r>
        <w:rPr>
          <w:rFonts w:ascii="Arial" w:cs="Arial" w:eastAsia="Arial" w:hAnsi="Arial"/>
          <w:sz w:val="17"/>
          <w:szCs w:val="17"/>
          <w:b w:val="1"/>
          <w:bCs w:val="1"/>
          <w:i w:val="1"/>
          <w:iCs w:val="1"/>
          <w:color w:val="auto"/>
        </w:rPr>
        <w:t>Exclusive Purchase Option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the Parties agree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gridSpan w:val="2"/>
          </w:tcPr>
          <w:p>
            <w:pPr>
              <w:spacing w:after="0"/>
              <w:rPr>
                <w:sz w:val="20"/>
                <w:szCs w:val="20"/>
                <w:color w:val="auto"/>
              </w:rPr>
            </w:pPr>
            <w:r>
              <w:rPr>
                <w:rFonts w:ascii="Arial" w:cs="Arial" w:eastAsia="Arial" w:hAnsi="Arial"/>
                <w:sz w:val="17"/>
                <w:szCs w:val="17"/>
                <w:color w:val="auto"/>
              </w:rPr>
              <w:t>Article 1. Subject of Transfer and Purchase Price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80"/>
        </w:trPr>
        <w:tc>
          <w:tcPr>
            <w:tcW w:w="5200" w:type="dxa"/>
            <w:vAlign w:val="bottom"/>
            <w:gridSpan w:val="2"/>
          </w:tcPr>
          <w:p>
            <w:pPr>
              <w:ind w:left="620"/>
              <w:spacing w:after="0" w:line="180" w:lineRule="exact"/>
              <w:rPr>
                <w:sz w:val="20"/>
                <w:szCs w:val="20"/>
                <w:color w:val="auto"/>
              </w:rPr>
            </w:pPr>
            <w:r>
              <w:rPr>
                <w:rFonts w:ascii="Arial" w:cs="Arial" w:eastAsia="Arial" w:hAnsi="Arial"/>
                <w:sz w:val="17"/>
                <w:szCs w:val="17"/>
                <w:color w:val="auto"/>
                <w:w w:val="92"/>
              </w:rPr>
              <w:t>Party A shall transfer to [Party B / Party B’s designated person(s):</w:t>
            </w:r>
          </w:p>
        </w:tc>
        <w:tc>
          <w:tcPr>
            <w:tcW w:w="980" w:type="dxa"/>
            <w:vAlign w:val="bottom"/>
          </w:tcPr>
          <w:p>
            <w:pPr>
              <w:spacing w:after="0"/>
              <w:rPr>
                <w:sz w:val="15"/>
                <w:szCs w:val="15"/>
                <w:color w:val="auto"/>
              </w:rPr>
            </w:pPr>
          </w:p>
        </w:tc>
        <w:tc>
          <w:tcPr>
            <w:tcW w:w="4180" w:type="dxa"/>
            <w:vAlign w:val="bottom"/>
            <w:gridSpan w:val="5"/>
          </w:tcPr>
          <w:p>
            <w:pPr>
              <w:jc w:val="right"/>
              <w:spacing w:after="0" w:line="180" w:lineRule="exact"/>
              <w:rPr>
                <w:sz w:val="20"/>
                <w:szCs w:val="20"/>
                <w:color w:val="auto"/>
              </w:rPr>
            </w:pPr>
            <w:r>
              <w:rPr>
                <w:rFonts w:ascii="Arial" w:cs="Arial" w:eastAsia="Arial" w:hAnsi="Arial"/>
                <w:sz w:val="17"/>
                <w:szCs w:val="17"/>
                <w:color w:val="auto"/>
                <w:w w:val="94"/>
              </w:rPr>
              <w:t>] [  % equity interest of the Company / the following assets:</w:t>
            </w:r>
          </w:p>
        </w:tc>
      </w:tr>
      <w:tr>
        <w:trPr>
          <w:trHeight w:val="20"/>
        </w:trPr>
        <w:tc>
          <w:tcPr>
            <w:tcW w:w="2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6"/>
        </w:trPr>
        <w:tc>
          <w:tcPr>
            <w:tcW w:w="2540" w:type="dxa"/>
            <w:vAlign w:val="bottom"/>
            <w:tcBorders>
              <w:bottom w:val="single" w:sz="8" w:color="auto"/>
            </w:tcBorders>
          </w:tcPr>
          <w:p>
            <w:pPr>
              <w:spacing w:after="0"/>
              <w:rPr>
                <w:sz w:val="16"/>
                <w:szCs w:val="16"/>
                <w:color w:val="auto"/>
              </w:rPr>
            </w:pPr>
          </w:p>
        </w:tc>
        <w:tc>
          <w:tcPr>
            <w:tcW w:w="4620" w:type="dxa"/>
            <w:vAlign w:val="bottom"/>
            <w:gridSpan w:val="5"/>
          </w:tcPr>
          <w:p>
            <w:pPr>
              <w:spacing w:after="0" w:line="186" w:lineRule="exact"/>
              <w:rPr>
                <w:sz w:val="20"/>
                <w:szCs w:val="20"/>
                <w:color w:val="auto"/>
              </w:rPr>
            </w:pPr>
            <w:r>
              <w:rPr>
                <w:rFonts w:ascii="Arial" w:cs="Arial" w:eastAsia="Arial" w:hAnsi="Arial"/>
                <w:sz w:val="17"/>
                <w:szCs w:val="17"/>
                <w:color w:val="auto"/>
                <w:w w:val="93"/>
              </w:rPr>
              <w:t>] (the “</w:t>
            </w:r>
            <w:r>
              <w:rPr>
                <w:rFonts w:ascii="Arial" w:cs="Arial" w:eastAsia="Arial" w:hAnsi="Arial"/>
                <w:sz w:val="17"/>
                <w:szCs w:val="17"/>
                <w:b w:val="1"/>
                <w:bCs w:val="1"/>
                <w:i w:val="1"/>
                <w:iCs w:val="1"/>
                <w:color w:val="auto"/>
                <w:w w:val="93"/>
              </w:rPr>
              <w:t>Transferred Interest</w:t>
            </w:r>
            <w:r>
              <w:rPr>
                <w:rFonts w:ascii="Arial" w:cs="Arial" w:eastAsia="Arial" w:hAnsi="Arial"/>
                <w:sz w:val="17"/>
                <w:szCs w:val="17"/>
                <w:color w:val="auto"/>
                <w:w w:val="93"/>
              </w:rPr>
              <w:t>”) for the total purchase price of [RMB</w:t>
            </w:r>
          </w:p>
        </w:tc>
        <w:tc>
          <w:tcPr>
            <w:tcW w:w="900" w:type="dxa"/>
            <w:vAlign w:val="bottom"/>
            <w:tcBorders>
              <w:bottom w:val="single" w:sz="8" w:color="auto"/>
            </w:tcBorders>
          </w:tcPr>
          <w:p>
            <w:pPr>
              <w:spacing w:after="0"/>
              <w:rPr>
                <w:sz w:val="16"/>
                <w:szCs w:val="16"/>
                <w:color w:val="auto"/>
              </w:rPr>
            </w:pPr>
          </w:p>
        </w:tc>
        <w:tc>
          <w:tcPr>
            <w:tcW w:w="2300" w:type="dxa"/>
            <w:vAlign w:val="bottom"/>
          </w:tcPr>
          <w:p>
            <w:pPr>
              <w:jc w:val="right"/>
              <w:ind w:right="2114"/>
              <w:spacing w:after="0" w:line="186" w:lineRule="exact"/>
              <w:rPr>
                <w:sz w:val="20"/>
                <w:szCs w:val="20"/>
                <w:color w:val="auto"/>
              </w:rPr>
            </w:pPr>
            <w:r>
              <w:rPr>
                <w:rFonts w:ascii="Arial" w:cs="Arial" w:eastAsia="Arial" w:hAnsi="Arial"/>
                <w:sz w:val="17"/>
                <w:szCs w:val="17"/>
                <w:color w:val="auto"/>
                <w:w w:val="84"/>
              </w:rPr>
              <w:t>].</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Article 2. Undertakings and Guarantee</w:t>
      </w:r>
    </w:p>
    <w:p>
      <w:pPr>
        <w:spacing w:after="0" w:line="21" w:lineRule="exact"/>
        <w:rPr>
          <w:sz w:val="20"/>
          <w:szCs w:val="20"/>
          <w:color w:val="auto"/>
        </w:rPr>
      </w:pPr>
    </w:p>
    <w:p>
      <w:pPr>
        <w:ind w:right="20" w:firstLine="617"/>
        <w:spacing w:after="0" w:line="256" w:lineRule="auto"/>
        <w:rPr>
          <w:sz w:val="20"/>
          <w:szCs w:val="20"/>
          <w:color w:val="auto"/>
        </w:rPr>
      </w:pPr>
      <w:r>
        <w:rPr>
          <w:rFonts w:ascii="Arial" w:cs="Arial" w:eastAsia="Arial" w:hAnsi="Arial"/>
          <w:sz w:val="17"/>
          <w:szCs w:val="17"/>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Article 3. Liabilities for Breach of Contract</w:t>
      </w:r>
    </w:p>
    <w:p>
      <w:pPr>
        <w:spacing w:after="0" w:line="21" w:lineRule="exact"/>
        <w:rPr>
          <w:sz w:val="20"/>
          <w:szCs w:val="20"/>
          <w:color w:val="auto"/>
        </w:rPr>
      </w:pPr>
    </w:p>
    <w:p>
      <w:pPr>
        <w:jc w:val="both"/>
        <w:ind w:right="280" w:firstLine="617"/>
        <w:spacing w:after="0" w:line="259" w:lineRule="auto"/>
        <w:rPr>
          <w:sz w:val="20"/>
          <w:szCs w:val="20"/>
          <w:color w:val="auto"/>
        </w:rPr>
      </w:pPr>
      <w:r>
        <w:rPr>
          <w:rFonts w:ascii="Arial" w:cs="Arial" w:eastAsia="Arial" w:hAnsi="Arial"/>
          <w:sz w:val="17"/>
          <w:szCs w:val="17"/>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Article 4. Method of Dispute Resolutions</w:t>
      </w:r>
    </w:p>
    <w:p>
      <w:pPr>
        <w:spacing w:after="0" w:line="21" w:lineRule="exact"/>
        <w:rPr>
          <w:sz w:val="20"/>
          <w:szCs w:val="20"/>
          <w:color w:val="auto"/>
        </w:rPr>
      </w:pPr>
    </w:p>
    <w:p>
      <w:pPr>
        <w:ind w:right="480" w:firstLine="617"/>
        <w:spacing w:after="0" w:line="296"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Article 5. Others</w:t>
      </w:r>
    </w:p>
    <w:p>
      <w:pPr>
        <w:spacing w:after="0" w:line="21" w:lineRule="exact"/>
        <w:rPr>
          <w:sz w:val="20"/>
          <w:szCs w:val="20"/>
          <w:color w:val="auto"/>
        </w:rPr>
      </w:pPr>
    </w:p>
    <w:p>
      <w:pPr>
        <w:ind w:right="100" w:firstLine="617"/>
        <w:spacing w:after="0" w:line="296"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Party A (signature):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Party B (signature):</w:t>
      </w:r>
    </w:p>
    <w:p>
      <w:pPr>
        <w:spacing w:after="0" w:line="21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Dated: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360"/>
          </w:cols>
          <w:pgMar w:left="240" w:top="333" w:right="299" w:bottom="0" w:gutter="0" w:footer="0" w:header="0"/>
        </w:sectPr>
      </w:pPr>
    </w:p>
    <w:bookmarkStart w:id="129" w:name="page130"/>
    <w:bookmarkEnd w:id="129"/>
    <w:p>
      <w:pPr>
        <w:spacing w:after="0" w:line="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4.54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OPERATING AGREEMENT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This Operating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among the following parties in </w:t>
      </w:r>
      <w:r>
        <w:rPr>
          <w:rFonts w:ascii="Arial" w:cs="Arial" w:eastAsia="Arial" w:hAnsi="Arial"/>
          <w:sz w:val="17"/>
          <w:szCs w:val="17"/>
          <w:b w:val="1"/>
          <w:bCs w:val="1"/>
          <w:color w:val="auto"/>
        </w:rPr>
        <w:t>Beijing</w:t>
      </w:r>
      <w:r>
        <w:rPr>
          <w:rFonts w:ascii="Arial" w:cs="Arial" w:eastAsia="Arial" w:hAnsi="Arial"/>
          <w:sz w:val="17"/>
          <w:szCs w:val="17"/>
          <w:color w:val="auto"/>
        </w:rPr>
        <w:t xml:space="preserve"> as of September 26, 2016:</w:t>
      </w:r>
    </w:p>
    <w:p>
      <w:pPr>
        <w:sectPr>
          <w:pgSz w:w="11900" w:h="16913" w:orient="portrait"/>
          <w:cols w:equalWidth="0" w:num="1">
            <w:col w:w="11420"/>
          </w:cols>
          <w:pgMar w:left="240" w:top="121" w:right="239" w:bottom="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NetEase Youdao Information Technology (Beijing) Co., Ltd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1/F, Tower C, Building No. 7, West Zone Zhongguancun Software Park (Phase II) No. 10 Xibeiwang East Road, Haidian District</w:t>
      </w:r>
    </w:p>
    <w:p>
      <w:pPr>
        <w:spacing w:after="0" w:line="200" w:lineRule="exact"/>
        <w:rPr>
          <w:sz w:val="20"/>
          <w:szCs w:val="20"/>
          <w:color w:val="auto"/>
        </w:rPr>
      </w:pPr>
    </w:p>
    <w:p>
      <w:pPr>
        <w:sectPr>
          <w:pgSz w:w="11900" w:h="16913" w:orient="portrait"/>
          <w:cols w:equalWidth="0" w:num="2">
            <w:col w:w="660" w:space="600"/>
            <w:col w:w="10160"/>
          </w:cols>
          <w:pgMar w:left="240" w:top="121" w:right="23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Beijing NetEase Youdao Computer System Co., Ltd.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2/F, Tower A, Building No. 7, West Zone Zhongguancun Software Park (Phase II) No. 10 Xibeiwang East Road, Haidian District</w:t>
      </w:r>
    </w:p>
    <w:p>
      <w:pPr>
        <w:spacing w:after="0" w:line="200" w:lineRule="exact"/>
        <w:rPr>
          <w:sz w:val="20"/>
          <w:szCs w:val="20"/>
          <w:color w:val="auto"/>
        </w:rPr>
      </w:pPr>
    </w:p>
    <w:p>
      <w:pPr>
        <w:sectPr>
          <w:pgSz w:w="11900" w:h="16913" w:orient="portrait"/>
          <w:cols w:equalWidth="0" w:num="2">
            <w:col w:w="660" w:space="580"/>
            <w:col w:w="10180"/>
          </w:cols>
          <w:pgMar w:left="240" w:top="121" w:right="23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William Lei Ding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Room 6-401, A90, Shuguang Road, Jiangdong District, Ningbo, Zhejiang Province</w:t>
      </w:r>
    </w:p>
    <w:p>
      <w:pPr>
        <w:spacing w:after="0" w:line="200" w:lineRule="exact"/>
        <w:rPr>
          <w:sz w:val="20"/>
          <w:szCs w:val="20"/>
          <w:color w:val="auto"/>
        </w:rPr>
      </w:pPr>
    </w:p>
    <w:p>
      <w:pPr>
        <w:sectPr>
          <w:pgSz w:w="11900" w:h="16913" w:orient="portrait"/>
          <w:cols w:equalWidth="0" w:num="2">
            <w:col w:w="660" w:space="600"/>
            <w:col w:w="10160"/>
          </w:cols>
          <w:pgMar w:left="240" w:top="121" w:right="23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Party A, Party B and Party C are called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and each of them is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16" w:lineRule="exact"/>
        <w:rPr>
          <w:sz w:val="20"/>
          <w:szCs w:val="20"/>
          <w:color w:val="auto"/>
        </w:rPr>
      </w:pPr>
    </w:p>
    <w:p>
      <w:pPr>
        <w:ind w:left="620" w:hanging="617"/>
        <w:spacing w:after="0"/>
        <w:tabs>
          <w:tab w:leader="none" w:pos="6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Party A is a Wholly foreign owned enterprise duly incorporated and validly existing under the laws of the People’s Republic of China (the “</w:t>
      </w:r>
      <w:r>
        <w:rPr>
          <w:rFonts w:ascii="Arial" w:cs="Arial" w:eastAsia="Arial" w:hAnsi="Arial"/>
          <w:sz w:val="16"/>
          <w:szCs w:val="16"/>
          <w:b w:val="1"/>
          <w:bCs w:val="1"/>
          <w:color w:val="auto"/>
        </w:rPr>
        <w:t>PRC</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ind w:left="620" w:hanging="617"/>
        <w:spacing w:after="0"/>
        <w:tabs>
          <w:tab w:leader="none" w:pos="6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Party B is a limited liability company duly incorporated and validly existing under PRC law, which is registered in Beijing, to carry out the business;</w:t>
      </w:r>
    </w:p>
    <w:p>
      <w:pPr>
        <w:spacing w:after="0" w:line="227" w:lineRule="exact"/>
        <w:rPr>
          <w:rFonts w:ascii="Arial" w:cs="Arial" w:eastAsia="Arial" w:hAnsi="Arial"/>
          <w:sz w:val="16"/>
          <w:szCs w:val="16"/>
          <w:color w:val="auto"/>
        </w:rPr>
      </w:pPr>
    </w:p>
    <w:p>
      <w:pPr>
        <w:ind w:left="620" w:hanging="617"/>
        <w:spacing w:after="0"/>
        <w:tabs>
          <w:tab w:leader="none" w:pos="62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Party C is the shareholder of Party B, in which Party C owns 71.073% of the equity interest;</w:t>
      </w:r>
    </w:p>
    <w:p>
      <w:pPr>
        <w:spacing w:after="0" w:line="210" w:lineRule="exact"/>
        <w:rPr>
          <w:rFonts w:ascii="Arial" w:cs="Arial" w:eastAsia="Arial" w:hAnsi="Arial"/>
          <w:sz w:val="17"/>
          <w:szCs w:val="17"/>
          <w:color w:val="auto"/>
        </w:rPr>
      </w:pPr>
    </w:p>
    <w:p>
      <w:pPr>
        <w:ind w:left="620" w:right="740" w:hanging="617"/>
        <w:spacing w:after="0" w:line="286" w:lineRule="auto"/>
        <w:tabs>
          <w:tab w:leader="none" w:pos="62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Party A has established a business relationship with Party B by entering into a Cooperation Agreement (the “</w:t>
      </w:r>
      <w:r>
        <w:rPr>
          <w:rFonts w:ascii="Arial" w:cs="Arial" w:eastAsia="Arial" w:hAnsi="Arial"/>
          <w:sz w:val="17"/>
          <w:szCs w:val="17"/>
          <w:b w:val="1"/>
          <w:bCs w:val="1"/>
          <w:color w:val="auto"/>
        </w:rPr>
        <w:t>Cooperation Agreement</w:t>
      </w:r>
      <w:r>
        <w:rPr>
          <w:rFonts w:ascii="Arial" w:cs="Arial" w:eastAsia="Arial" w:hAnsi="Arial"/>
          <w:sz w:val="17"/>
          <w:szCs w:val="17"/>
          <w:color w:val="auto"/>
        </w:rPr>
        <w:t>”) and other agreements; and</w:t>
      </w:r>
    </w:p>
    <w:p>
      <w:pPr>
        <w:spacing w:after="0" w:line="157" w:lineRule="exact"/>
        <w:rPr>
          <w:rFonts w:ascii="Arial" w:cs="Arial" w:eastAsia="Arial" w:hAnsi="Arial"/>
          <w:sz w:val="17"/>
          <w:szCs w:val="17"/>
          <w:color w:val="auto"/>
        </w:rPr>
      </w:pPr>
    </w:p>
    <w:p>
      <w:pPr>
        <w:ind w:left="620" w:right="380" w:hanging="617"/>
        <w:spacing w:after="0" w:line="278" w:lineRule="auto"/>
        <w:tabs>
          <w:tab w:leader="none" w:pos="62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Pursuant to the above-mentioned agreements between Party A and Party B, Party B shall pay certain sums of money to Party A. The daily operations of Party B will have a material effect on Party B’s ability to pay such account payable to Party 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spacing w:after="0" w:line="222" w:lineRule="exact"/>
        <w:rPr>
          <w:sz w:val="20"/>
          <w:szCs w:val="20"/>
          <w:color w:val="auto"/>
        </w:rPr>
      </w:pPr>
    </w:p>
    <w:p>
      <w:pPr>
        <w:ind w:left="620" w:right="100" w:hanging="617"/>
        <w:spacing w:after="0" w:line="257" w:lineRule="auto"/>
        <w:tabs>
          <w:tab w:leader="none" w:pos="6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and Party C shall take all necessary actions (including, but not limited to, executing the relevant documents and filing the relevant registrations) to carry out the counter-guarantee arrangement with Party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right="40" w:hanging="617"/>
        <w:spacing w:after="0" w:line="259" w:lineRule="auto"/>
        <w:tabs>
          <w:tab w:leader="none" w:pos="6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consideration of the requirements of Article 1 hereof and to ensure the performance of the various business agreements between Party A and Party B and the payment by Party B of the amounts payable to Party A thereunder, Party B, together with its shareholder Party C,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p>
      <w:pPr>
        <w:spacing w:after="0" w:line="18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5"/>
          <w:szCs w:val="15"/>
          <w:color w:val="auto"/>
        </w:rPr>
        <w:t>To declare any dividend or distribution to any shareholder;</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2.2</w:t>
      </w:r>
      <w:r>
        <w:rPr>
          <w:rFonts w:ascii="Arial" w:cs="Arial" w:eastAsia="Arial" w:hAnsi="Arial"/>
          <w:sz w:val="15"/>
          <w:szCs w:val="15"/>
          <w:color w:val="auto"/>
        </w:rPr>
        <w:t>To borrow money from any third party or assume any debt;</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2.3</w:t>
      </w:r>
      <w:r>
        <w:rPr>
          <w:rFonts w:ascii="Arial" w:cs="Arial" w:eastAsia="Arial" w:hAnsi="Arial"/>
          <w:sz w:val="15"/>
          <w:szCs w:val="15"/>
          <w:color w:val="auto"/>
        </w:rPr>
        <w:t>To sell to or acquire from any third party any asset or rights, including, but not limited to, any intellectual property rights;</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2.4</w:t>
      </w:r>
      <w:r>
        <w:rPr>
          <w:rFonts w:ascii="Arial" w:cs="Arial" w:eastAsia="Arial" w:hAnsi="Arial"/>
          <w:sz w:val="15"/>
          <w:szCs w:val="15"/>
          <w:color w:val="auto"/>
        </w:rPr>
        <w:t>To provide a guarantee for any third party using its assets or intellectual property rights as collateral;</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2.5</w:t>
      </w:r>
      <w:r>
        <w:rPr>
          <w:rFonts w:ascii="Arial" w:cs="Arial" w:eastAsia="Arial" w:hAnsi="Arial"/>
          <w:sz w:val="15"/>
          <w:szCs w:val="15"/>
          <w:color w:val="auto"/>
        </w:rPr>
        <w:t>To assign to any third party its business contracts;</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2.6</w:t>
      </w:r>
      <w:r>
        <w:rPr>
          <w:rFonts w:ascii="Arial" w:cs="Arial" w:eastAsia="Arial" w:hAnsi="Arial"/>
          <w:sz w:val="15"/>
          <w:szCs w:val="15"/>
          <w:color w:val="auto"/>
        </w:rPr>
        <w:t>To engage in any activity beyond its normal business scope;</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2.7</w:t>
      </w:r>
      <w:r>
        <w:rPr>
          <w:rFonts w:ascii="Arial" w:cs="Arial" w:eastAsia="Arial" w:hAnsi="Arial"/>
          <w:sz w:val="15"/>
          <w:szCs w:val="15"/>
          <w:color w:val="auto"/>
        </w:rPr>
        <w:t>To change or dismiss any of its directors or remove and replace any of its officers;</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2.8</w:t>
      </w:r>
      <w:r>
        <w:rPr>
          <w:rFonts w:ascii="Arial" w:cs="Arial" w:eastAsia="Arial" w:hAnsi="Arial"/>
          <w:sz w:val="15"/>
          <w:szCs w:val="15"/>
          <w:color w:val="auto"/>
        </w:rPr>
        <w:t>To amend its articles of association or change its business scope;</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2.9</w:t>
      </w:r>
      <w:r>
        <w:rPr>
          <w:rFonts w:ascii="Arial" w:cs="Arial" w:eastAsia="Arial" w:hAnsi="Arial"/>
          <w:sz w:val="15"/>
          <w:szCs w:val="15"/>
          <w:color w:val="auto"/>
        </w:rPr>
        <w:t>To change its normal business procedures or amend any of its important rules and regulations; or</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2.10    To transfer its rights and obligations under this Agreement to any third party.</w:t>
      </w:r>
    </w:p>
    <w:p>
      <w:pPr>
        <w:spacing w:after="0" w:line="216" w:lineRule="exact"/>
        <w:rPr>
          <w:rFonts w:ascii="Arial" w:cs="Arial" w:eastAsia="Arial" w:hAnsi="Arial"/>
          <w:sz w:val="17"/>
          <w:szCs w:val="17"/>
          <w:color w:val="auto"/>
        </w:rPr>
      </w:pPr>
    </w:p>
    <w:p>
      <w:pPr>
        <w:ind w:left="620" w:right="180" w:hanging="617"/>
        <w:spacing w:after="0" w:line="261" w:lineRule="auto"/>
        <w:tabs>
          <w:tab w:leader="none" w:pos="6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order to ensure the performance of the various business agreements between Party A and Party B and the payment by Party B of the amounts payable to Party A thereunder, Party B, together with its shareholder Party C,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p>
      <w:pPr>
        <w:spacing w:after="0" w:line="178" w:lineRule="exact"/>
        <w:rPr>
          <w:rFonts w:ascii="Arial" w:cs="Arial" w:eastAsia="Arial" w:hAnsi="Arial"/>
          <w:sz w:val="17"/>
          <w:szCs w:val="17"/>
          <w:color w:val="auto"/>
        </w:rPr>
      </w:pPr>
    </w:p>
    <w:p>
      <w:pPr>
        <w:ind w:left="620" w:right="60" w:hanging="617"/>
        <w:spacing w:after="0" w:line="306" w:lineRule="auto"/>
        <w:tabs>
          <w:tab w:leader="none" w:pos="62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Party B, together with its shareholder Party C, hereby jointly agree that Party C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or she shall also lose his/her right to hold any position at Party B, and Party B shall appoint other senior executive officers of Party A recommended by Party A</w:t>
      </w:r>
    </w:p>
    <w:p>
      <w:pPr>
        <w:sectPr>
          <w:pgSz w:w="11900" w:h="16913" w:orient="portrait"/>
          <w:cols w:equalWidth="0" w:num="1">
            <w:col w:w="11420"/>
          </w:cols>
          <w:pgMar w:left="240" w:top="121" w:right="239" w:bottom="0" w:gutter="0" w:footer="0" w:header="0"/>
          <w:type w:val="continuous"/>
        </w:sectPr>
      </w:pPr>
    </w:p>
    <w:bookmarkStart w:id="130" w:name="page131"/>
    <w:bookmarkEnd w:id="130"/>
    <w:p>
      <w:pPr>
        <w:ind w:left="620" w:right="560"/>
        <w:spacing w:after="0" w:line="278" w:lineRule="auto"/>
        <w:rPr>
          <w:sz w:val="20"/>
          <w:szCs w:val="20"/>
          <w:color w:val="auto"/>
        </w:rPr>
      </w:pPr>
      <w:r>
        <w:rPr>
          <w:rFonts w:ascii="Arial" w:cs="Arial" w:eastAsia="Arial" w:hAnsi="Arial"/>
          <w:sz w:val="17"/>
          <w:szCs w:val="17"/>
          <w:color w:val="auto"/>
        </w:rPr>
        <w:t>to fill such a position. The persons recommended by Party A in accordance with this Article 4 shall comply with the legal requirements regarding the qualifications of directors, presidents, chief financial officers, and other senior executive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right="60" w:hanging="617"/>
        <w:spacing w:after="0" w:line="282" w:lineRule="auto"/>
        <w:tabs>
          <w:tab w:leader="none" w:pos="6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Party B, together with its shareholder Party C,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p>
      <w:pPr>
        <w:spacing w:after="0" w:line="164" w:lineRule="exact"/>
        <w:rPr>
          <w:rFonts w:ascii="Arial" w:cs="Arial" w:eastAsia="Arial" w:hAnsi="Arial"/>
          <w:sz w:val="16"/>
          <w:szCs w:val="16"/>
          <w:color w:val="auto"/>
        </w:rPr>
      </w:pPr>
    </w:p>
    <w:p>
      <w:pPr>
        <w:ind w:left="620" w:right="180" w:hanging="617"/>
        <w:spacing w:after="0" w:line="278" w:lineRule="auto"/>
        <w:tabs>
          <w:tab w:leader="none" w:pos="6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In the event that any of the agreements between Party A and Party B terminates or expires, Party A shall have the right, but not the obligation, to terminate all agreements between Party A and Party B including, but not limited to, the Cooperation Agreement.</w:t>
      </w:r>
    </w:p>
    <w:p>
      <w:pPr>
        <w:spacing w:after="0" w:line="164"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amendment or supplement to this Agreement shall be made in writing. The amendment or supplement duly executed by all Parties shall form an integral part of this Agreement and shall have the same legal effect as this Agreement.</w:t>
      </w:r>
    </w:p>
    <w:p>
      <w:pPr>
        <w:spacing w:after="0" w:line="164" w:lineRule="exact"/>
        <w:rPr>
          <w:rFonts w:ascii="Arial" w:cs="Arial" w:eastAsia="Arial" w:hAnsi="Arial"/>
          <w:sz w:val="17"/>
          <w:szCs w:val="17"/>
          <w:color w:val="auto"/>
        </w:rPr>
      </w:pPr>
    </w:p>
    <w:p>
      <w:pPr>
        <w:ind w:left="620" w:right="220" w:hanging="617"/>
        <w:spacing w:after="0" w:line="311" w:lineRule="auto"/>
        <w:tabs>
          <w:tab w:leader="none" w:pos="6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40" w:lineRule="exact"/>
        <w:rPr>
          <w:rFonts w:ascii="Arial" w:cs="Arial" w:eastAsia="Arial" w:hAnsi="Arial"/>
          <w:sz w:val="16"/>
          <w:szCs w:val="16"/>
          <w:color w:val="auto"/>
        </w:rPr>
      </w:pPr>
    </w:p>
    <w:p>
      <w:pPr>
        <w:jc w:val="both"/>
        <w:ind w:left="620" w:right="40" w:hanging="617"/>
        <w:spacing w:after="0" w:line="265" w:lineRule="auto"/>
        <w:tabs>
          <w:tab w:leader="none" w:pos="6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p>
      <w:pPr>
        <w:spacing w:after="0" w:line="175" w:lineRule="exact"/>
        <w:rPr>
          <w:rFonts w:ascii="Arial" w:cs="Arial" w:eastAsia="Arial" w:hAnsi="Arial"/>
          <w:sz w:val="17"/>
          <w:szCs w:val="17"/>
          <w:color w:val="auto"/>
        </w:rPr>
      </w:pPr>
    </w:p>
    <w:p>
      <w:pPr>
        <w:ind w:left="620" w:hanging="617"/>
        <w:spacing w:after="0" w:line="274" w:lineRule="auto"/>
        <w:tabs>
          <w:tab w:leader="none" w:pos="61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p>
      <w:pPr>
        <w:spacing w:after="0" w:line="171" w:lineRule="exact"/>
        <w:rPr>
          <w:rFonts w:ascii="Arial" w:cs="Arial" w:eastAsia="Arial" w:hAnsi="Arial"/>
          <w:sz w:val="16"/>
          <w:szCs w:val="16"/>
          <w:color w:val="auto"/>
        </w:rPr>
      </w:pPr>
    </w:p>
    <w:p>
      <w:pPr>
        <w:ind w:left="600" w:hanging="597"/>
        <w:spacing w:after="0"/>
        <w:tabs>
          <w:tab w:leader="none" w:pos="6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formation, validity, interpretation and performance of and settlement of disputes under this Agreement shall be governed by the laws of the PRC.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hanging="617"/>
        <w:spacing w:after="0" w:line="272" w:lineRule="auto"/>
        <w:tabs>
          <w:tab w:leader="none" w:pos="61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73" w:lineRule="exact"/>
        <w:rPr>
          <w:rFonts w:ascii="Arial" w:cs="Arial" w:eastAsia="Arial" w:hAnsi="Arial"/>
          <w:sz w:val="16"/>
          <w:szCs w:val="16"/>
          <w:color w:val="auto"/>
        </w:rPr>
      </w:pPr>
    </w:p>
    <w:p>
      <w:pPr>
        <w:ind w:left="620" w:hanging="617"/>
        <w:spacing w:after="0"/>
        <w:tabs>
          <w:tab w:leader="none" w:pos="6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This Agreement shall be executed by a duly authorized representative of each Party and become effective as of the date first written above.</w:t>
      </w:r>
    </w:p>
    <w:p>
      <w:pPr>
        <w:spacing w:after="0" w:line="216" w:lineRule="exact"/>
        <w:rPr>
          <w:rFonts w:ascii="Arial" w:cs="Arial" w:eastAsia="Arial" w:hAnsi="Arial"/>
          <w:sz w:val="17"/>
          <w:szCs w:val="17"/>
          <w:color w:val="auto"/>
        </w:rPr>
      </w:pPr>
    </w:p>
    <w:p>
      <w:pPr>
        <w:ind w:left="620" w:right="500" w:hanging="617"/>
        <w:spacing w:after="0" w:line="347" w:lineRule="auto"/>
        <w:tabs>
          <w:tab w:leader="none" w:pos="61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Notwithstanding Article 13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18" w:lineRule="exact"/>
        <w:rPr>
          <w:rFonts w:ascii="Arial" w:cs="Arial" w:eastAsia="Arial" w:hAnsi="Arial"/>
          <w:sz w:val="15"/>
          <w:szCs w:val="15"/>
          <w:color w:val="auto"/>
        </w:rPr>
      </w:pPr>
    </w:p>
    <w:p>
      <w:pPr>
        <w:ind w:left="620" w:right="80" w:hanging="617"/>
        <w:spacing w:after="0" w:line="259" w:lineRule="auto"/>
        <w:tabs>
          <w:tab w:leader="none" w:pos="61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 expired or terminated for other reasons within the aforesaid term of this Agreement, this Agreement shall be terminated simultaneously, unless such Party has already assigned its rights and obligations hereunder in accordance with Article 9 hereof.</w:t>
      </w:r>
    </w:p>
    <w:p>
      <w:pPr>
        <w:spacing w:after="0" w:line="180" w:lineRule="exact"/>
        <w:rPr>
          <w:rFonts w:ascii="Arial" w:cs="Arial" w:eastAsia="Arial" w:hAnsi="Arial"/>
          <w:sz w:val="17"/>
          <w:szCs w:val="17"/>
          <w:color w:val="auto"/>
        </w:rPr>
      </w:pPr>
    </w:p>
    <w:p>
      <w:pPr>
        <w:ind w:left="620" w:right="220" w:hanging="617"/>
        <w:spacing w:after="0" w:line="265" w:lineRule="auto"/>
        <w:tabs>
          <w:tab w:leader="none" w:pos="61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color w:val="auto"/>
        </w:rPr>
        <w:t>IN WITNESS THEREOF</w:t>
      </w:r>
      <w:r>
        <w:rPr>
          <w:rFonts w:ascii="Arial" w:cs="Arial" w:eastAsia="Arial" w:hAnsi="Arial"/>
          <w:sz w:val="17"/>
          <w:szCs w:val="17"/>
          <w:color w:val="auto"/>
        </w:rPr>
        <w:t>, each Party hereto has caused this Agreement to be duly executed by himself/herself or a duly authorized representative on its behalf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first written above.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 NetEase Youdao Information Technology (Beijing) Co., Ltd</w:t>
      </w:r>
    </w:p>
    <w:p>
      <w:pPr>
        <w:sectPr>
          <w:pgSz w:w="11900" w:h="16838" w:orient="portrait"/>
          <w:cols w:equalWidth="0" w:num="1">
            <w:col w:w="11420"/>
          </w:cols>
          <w:pgMar w:left="240" w:top="127" w:right="239" w:bottom="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t>(Seal)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B: Beijing NetEase Youdao Computer System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 William Lei Ding</w:t>
      </w:r>
    </w:p>
    <w:p>
      <w:pPr>
        <w:spacing w:after="0" w:line="222"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14605</wp:posOffset>
            </wp:positionV>
            <wp:extent cx="29565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209"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4.55</w:t>
      </w:r>
    </w:p>
    <w:p>
      <w:pPr>
        <w:spacing w:after="0" w:line="216"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COOPERATION AGREEMENT</w:t>
      </w:r>
    </w:p>
    <w:p>
      <w:pPr>
        <w:sectPr>
          <w:pgSz w:w="11900" w:h="16838" w:orient="portrait"/>
          <w:cols w:equalWidth="0" w:num="1">
            <w:col w:w="11260"/>
          </w:cols>
          <w:pgMar w:left="400" w:top="121" w:right="239" w:bottom="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Party A:</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Youdao Computer System Co., Ltd.</w:t>
      </w:r>
    </w:p>
    <w:p>
      <w:pPr>
        <w:spacing w:after="0" w:line="211" w:lineRule="exact"/>
        <w:rPr>
          <w:sz w:val="20"/>
          <w:szCs w:val="20"/>
          <w:color w:val="auto"/>
        </w:rPr>
      </w:pPr>
    </w:p>
    <w:p>
      <w:pPr>
        <w:sectPr>
          <w:pgSz w:w="11900" w:h="16838" w:orient="portrait"/>
          <w:cols w:equalWidth="0" w:num="2">
            <w:col w:w="660" w:space="320"/>
            <w:col w:w="10280"/>
          </w:cols>
          <w:pgMar w:left="400" w:top="121" w:right="239" w:bottom="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Room 207, Building 3, Court No.1 East Zhongguancun Road, Haidian District, Beijing Municipality</w:t>
      </w:r>
    </w:p>
    <w:p>
      <w:pPr>
        <w:spacing w:after="0" w:line="200" w:lineRule="exact"/>
        <w:rPr>
          <w:sz w:val="20"/>
          <w:szCs w:val="20"/>
          <w:color w:val="auto"/>
        </w:rPr>
      </w:pPr>
    </w:p>
    <w:p>
      <w:pPr>
        <w:sectPr>
          <w:pgSz w:w="11900" w:h="16838" w:orient="portrait"/>
          <w:cols w:equalWidth="0" w:num="2">
            <w:col w:w="640" w:space="300"/>
            <w:col w:w="10320"/>
          </w:cols>
          <w:pgMar w:left="400" w:top="121" w:right="239" w:bottom="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Party B:</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NetEase Youdao Information Technology (Beijing) Co., Ltd.</w:t>
      </w:r>
    </w:p>
    <w:p>
      <w:pPr>
        <w:spacing w:after="0" w:line="211" w:lineRule="exact"/>
        <w:rPr>
          <w:sz w:val="20"/>
          <w:szCs w:val="20"/>
          <w:color w:val="auto"/>
        </w:rPr>
      </w:pPr>
    </w:p>
    <w:p>
      <w:pPr>
        <w:sectPr>
          <w:pgSz w:w="11900" w:h="16838" w:orient="portrait"/>
          <w:cols w:equalWidth="0" w:num="2">
            <w:col w:w="660" w:space="280"/>
            <w:col w:w="10320"/>
          </w:cols>
          <w:pgMar w:left="400" w:top="121" w:right="239" w:bottom="4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Room 206, 6/F, Building 3, Tsinghua Science Park, No.1 Zhongguancun Road, Haidian District, Beijing Municipality</w:t>
      </w:r>
    </w:p>
    <w:p>
      <w:pPr>
        <w:spacing w:after="0" w:line="200" w:lineRule="exact"/>
        <w:rPr>
          <w:sz w:val="20"/>
          <w:szCs w:val="20"/>
          <w:color w:val="auto"/>
        </w:rPr>
      </w:pPr>
    </w:p>
    <w:p>
      <w:pPr>
        <w:sectPr>
          <w:pgSz w:w="11900" w:h="16838" w:orient="portrait"/>
          <w:cols w:equalWidth="0" w:num="2">
            <w:col w:w="640" w:space="280"/>
            <w:col w:w="10340"/>
          </w:cols>
          <w:pgMar w:left="400" w:top="121" w:right="239" w:bottom="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Whereas,</w:t>
      </w:r>
    </w:p>
    <w:p>
      <w:pPr>
        <w:sectPr>
          <w:pgSz w:w="11900" w:h="16838" w:orient="portrait"/>
          <w:cols w:equalWidth="0" w:num="1">
            <w:col w:w="11260"/>
          </w:cols>
          <w:pgMar w:left="400" w:top="121" w:right="239" w:bottom="40" w:gutter="0" w:footer="0" w:header="0"/>
          <w:type w:val="continuous"/>
        </w:sectPr>
      </w:pPr>
    </w:p>
    <w:p>
      <w:pPr>
        <w:spacing w:after="0" w:line="239" w:lineRule="exact"/>
        <w:rPr>
          <w:sz w:val="20"/>
          <w:szCs w:val="20"/>
          <w:color w:val="auto"/>
        </w:rPr>
      </w:pPr>
    </w:p>
    <w:p>
      <w:pPr>
        <w:ind w:left="400" w:right="440" w:hanging="370"/>
        <w:spacing w:after="0" w:line="278" w:lineRule="auto"/>
        <w:tabs>
          <w:tab w:leader="none" w:pos="39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Party A is a company incorporated in Beijing under the laws of the PRC, mainly engaging in, among others, internet information service businesses and acting as advertisement agency or publisher for domestic and foreign companies’ advertisements in China.</w:t>
      </w:r>
    </w:p>
    <w:p>
      <w:pPr>
        <w:spacing w:after="0" w:line="164" w:lineRule="exact"/>
        <w:rPr>
          <w:rFonts w:ascii="Arial" w:cs="Arial" w:eastAsia="Arial" w:hAnsi="Arial"/>
          <w:sz w:val="17"/>
          <w:szCs w:val="17"/>
          <w:color w:val="auto"/>
        </w:rPr>
      </w:pPr>
    </w:p>
    <w:p>
      <w:pPr>
        <w:ind w:left="400" w:right="440" w:hanging="370"/>
        <w:spacing w:after="0" w:line="265" w:lineRule="auto"/>
        <w:tabs>
          <w:tab w:leader="none" w:pos="39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Party B is a company incorporated in Beijing under the laws of the PRC, mainly engaging in the development and manufacturing of computer software, hardware and system integration products, the provision of technology consultation, technical trainings and technology services, and the sale of related products and other services.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Accordingly, Party A and Party B agree as follows:</w:t>
      </w:r>
    </w:p>
    <w:p>
      <w:pPr>
        <w:spacing w:after="0" w:line="210" w:lineRule="exact"/>
        <w:rPr>
          <w:sz w:val="20"/>
          <w:szCs w:val="20"/>
          <w:color w:val="auto"/>
        </w:rPr>
      </w:pPr>
    </w:p>
    <w:p>
      <w:pPr>
        <w:ind w:left="380" w:hanging="350"/>
        <w:spacing w:after="0"/>
        <w:tabs>
          <w:tab w:leader="none" w:pos="38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Scope of Cooperation</w:t>
      </w:r>
    </w:p>
    <w:p>
      <w:pPr>
        <w:spacing w:after="0" w:line="2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  Scope of Cooperation Provided by Party A</w:t>
      </w:r>
    </w:p>
    <w:p>
      <w:pPr>
        <w:spacing w:after="0" w:line="216" w:lineRule="exact"/>
        <w:rPr>
          <w:sz w:val="20"/>
          <w:szCs w:val="20"/>
          <w:color w:val="auto"/>
        </w:rPr>
      </w:pPr>
    </w:p>
    <w:p>
      <w:pPr>
        <w:jc w:val="both"/>
        <w:ind w:left="620" w:right="80"/>
        <w:spacing w:after="0" w:line="265" w:lineRule="auto"/>
        <w:rPr>
          <w:sz w:val="20"/>
          <w:szCs w:val="20"/>
          <w:color w:val="auto"/>
        </w:rPr>
      </w:pPr>
      <w:r>
        <w:rPr>
          <w:rFonts w:ascii="Arial" w:cs="Arial" w:eastAsia="Arial" w:hAnsi="Arial"/>
          <w:sz w:val="17"/>
          <w:szCs w:val="17"/>
          <w:color w:val="auto"/>
        </w:rPr>
        <w:t>Party A is a company which may engage in advertisement design, production, agency, publication services in accordance with law as approved by Beijing Administration for Industry and Commerce and meanwhile, is a collaborative partner of Youdao website with respect to advertising business by accepting orders from clients and arranging the publication of advertisements on the Youdao website;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  Scope of Cooperation Provided by Party B</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Party B shall provide Party A with the following services according to this Agreement, including but not limited to:</w:t>
      </w:r>
    </w:p>
    <w:p>
      <w:pPr>
        <w:spacing w:after="0" w:line="216" w:lineRule="exact"/>
        <w:rPr>
          <w:sz w:val="20"/>
          <w:szCs w:val="20"/>
          <w:color w:val="auto"/>
        </w:rPr>
      </w:pPr>
    </w:p>
    <w:p>
      <w:pPr>
        <w:ind w:left="1000" w:right="560" w:hanging="308"/>
        <w:spacing w:after="0" w:line="278" w:lineRule="auto"/>
        <w:tabs>
          <w:tab w:leader="none" w:pos="1007" w:val="left"/>
        </w:tabs>
        <w:numPr>
          <w:ilvl w:val="2"/>
          <w:numId w:val="238"/>
        </w:numPr>
        <w:rPr>
          <w:rFonts w:ascii="Arial" w:cs="Arial" w:eastAsia="Arial" w:hAnsi="Arial"/>
          <w:sz w:val="17"/>
          <w:szCs w:val="17"/>
          <w:color w:val="auto"/>
        </w:rPr>
      </w:pPr>
      <w:r>
        <w:rPr>
          <w:rFonts w:ascii="Arial" w:cs="Arial" w:eastAsia="Arial" w:hAnsi="Arial"/>
          <w:sz w:val="17"/>
          <w:szCs w:val="17"/>
          <w:color w:val="auto"/>
        </w:rPr>
        <w:t>R&amp;D of computer software (including but not limited to internet advertisement production, publication and management of software) and the provision of technical support and maintenance services for the operation of computer software;</w:t>
      </w:r>
    </w:p>
    <w:p>
      <w:pPr>
        <w:spacing w:after="0" w:line="164" w:lineRule="exact"/>
        <w:rPr>
          <w:rFonts w:ascii="Arial" w:cs="Arial" w:eastAsia="Arial" w:hAnsi="Arial"/>
          <w:sz w:val="17"/>
          <w:szCs w:val="17"/>
          <w:color w:val="auto"/>
        </w:rPr>
      </w:pPr>
    </w:p>
    <w:p>
      <w:pPr>
        <w:ind w:left="1000" w:hanging="308"/>
        <w:spacing w:after="0"/>
        <w:tabs>
          <w:tab w:leader="none" w:pos="1000" w:val="left"/>
        </w:tabs>
        <w:numPr>
          <w:ilvl w:val="2"/>
          <w:numId w:val="238"/>
        </w:numPr>
        <w:rPr>
          <w:rFonts w:ascii="Arial" w:cs="Arial" w:eastAsia="Arial" w:hAnsi="Arial"/>
          <w:sz w:val="17"/>
          <w:szCs w:val="17"/>
          <w:color w:val="auto"/>
        </w:rPr>
      </w:pPr>
      <w:r>
        <w:rPr>
          <w:rFonts w:ascii="Arial" w:cs="Arial" w:eastAsia="Arial" w:hAnsi="Arial"/>
          <w:sz w:val="17"/>
          <w:szCs w:val="17"/>
          <w:color w:val="auto"/>
        </w:rPr>
        <w:t>R&amp;D of advertisement publication software and developing, updating and upgrading platforms for advertisement publication;</w:t>
      </w:r>
    </w:p>
    <w:p>
      <w:pPr>
        <w:spacing w:after="0" w:line="216" w:lineRule="exact"/>
        <w:rPr>
          <w:rFonts w:ascii="Arial" w:cs="Arial" w:eastAsia="Arial" w:hAnsi="Arial"/>
          <w:sz w:val="17"/>
          <w:szCs w:val="17"/>
          <w:color w:val="auto"/>
        </w:rPr>
      </w:pPr>
    </w:p>
    <w:p>
      <w:pPr>
        <w:ind w:left="1000" w:right="40" w:hanging="308"/>
        <w:spacing w:after="0" w:line="278" w:lineRule="auto"/>
        <w:tabs>
          <w:tab w:leader="none" w:pos="1007" w:val="left"/>
        </w:tabs>
        <w:numPr>
          <w:ilvl w:val="2"/>
          <w:numId w:val="238"/>
        </w:numPr>
        <w:rPr>
          <w:rFonts w:ascii="Arial" w:cs="Arial" w:eastAsia="Arial" w:hAnsi="Arial"/>
          <w:sz w:val="17"/>
          <w:szCs w:val="17"/>
          <w:color w:val="auto"/>
        </w:rPr>
      </w:pPr>
      <w:r>
        <w:rPr>
          <w:rFonts w:ascii="Arial" w:cs="Arial" w:eastAsia="Arial" w:hAnsi="Arial"/>
          <w:sz w:val="17"/>
          <w:szCs w:val="17"/>
          <w:color w:val="auto"/>
        </w:rPr>
        <w:t>internet technology services, including but not limited to maintenance of servers, developing, updating and upgrading application software of servers and other related applications.</w:t>
      </w:r>
    </w:p>
    <w:p>
      <w:pPr>
        <w:spacing w:after="0" w:line="158" w:lineRule="exact"/>
        <w:rPr>
          <w:rFonts w:ascii="Arial" w:cs="Arial" w:eastAsia="Arial" w:hAnsi="Arial"/>
          <w:sz w:val="17"/>
          <w:szCs w:val="17"/>
          <w:color w:val="auto"/>
        </w:rPr>
      </w:pPr>
    </w:p>
    <w:p>
      <w:pPr>
        <w:ind w:left="380" w:hanging="350"/>
        <w:spacing w:after="0"/>
        <w:tabs>
          <w:tab w:leader="none" w:pos="38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Manner of Joint Service</w:t>
      </w:r>
    </w:p>
    <w:p>
      <w:pPr>
        <w:spacing w:after="0" w:line="222" w:lineRule="exact"/>
        <w:rPr>
          <w:rFonts w:ascii="Arial" w:cs="Arial" w:eastAsia="Arial" w:hAnsi="Arial"/>
          <w:sz w:val="17"/>
          <w:szCs w:val="17"/>
          <w:b w:val="1"/>
          <w:bCs w:val="1"/>
          <w:color w:val="auto"/>
        </w:rPr>
      </w:pPr>
    </w:p>
    <w:p>
      <w:pPr>
        <w:ind w:left="640" w:right="260" w:hanging="257"/>
        <w:spacing w:after="0" w:line="261" w:lineRule="auto"/>
        <w:tabs>
          <w:tab w:leader="none" w:pos="647"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Party A and Party B agree that separate technology service agreements may be executed during the term of this Agreement with regard to detailed contents of other technology services, which shall include, among others, a detailed description, manner, related personnel and fees for each of such technology services. Each of the above technology service agreements shall be deemed as an annex to and form an integral part of this Agreement, and shall have the same legal effects as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640" w:right="60" w:hanging="257"/>
        <w:spacing w:after="0" w:line="317" w:lineRule="auto"/>
        <w:tabs>
          <w:tab w:leader="none" w:pos="647" w:val="left"/>
        </w:tabs>
        <w:numPr>
          <w:ilvl w:val="1"/>
          <w:numId w:val="239"/>
        </w:numPr>
        <w:rPr>
          <w:rFonts w:ascii="Arial" w:cs="Arial" w:eastAsia="Arial" w:hAnsi="Arial"/>
          <w:sz w:val="15"/>
          <w:szCs w:val="15"/>
          <w:color w:val="auto"/>
        </w:rPr>
      </w:pPr>
      <w:r>
        <w:rPr>
          <w:rFonts w:ascii="Arial" w:cs="Arial" w:eastAsia="Arial" w:hAnsi="Arial"/>
          <w:sz w:val="15"/>
          <w:szCs w:val="15"/>
          <w:color w:val="auto"/>
        </w:rPr>
        <w:t>Besides the services stipulated in Article 1, Party B shall also utilize its own resources to promote and advertise the services provided to clients under this Agreement, and shall bear the relevant promotional and production expenses incurred thereby. Meanwhile, Party B shall pay the costs for the services rendered pursuant to this Article 1, including, without limitation, the remuneration for R&amp;D personnel, leasing expense for equipment, PR expenses, etc.</w:t>
      </w:r>
    </w:p>
    <w:p>
      <w:pPr>
        <w:spacing w:after="0" w:line="139" w:lineRule="exact"/>
        <w:rPr>
          <w:rFonts w:ascii="Arial" w:cs="Arial" w:eastAsia="Arial" w:hAnsi="Arial"/>
          <w:sz w:val="15"/>
          <w:szCs w:val="15"/>
          <w:color w:val="auto"/>
        </w:rPr>
      </w:pPr>
    </w:p>
    <w:p>
      <w:pPr>
        <w:ind w:left="660" w:hanging="277"/>
        <w:spacing w:after="0"/>
        <w:tabs>
          <w:tab w:leader="none" w:pos="6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Party A and Party B agree that Party A shall acquire service revenues from clients and shall share the same according to Article 3 hereunder.</w:t>
      </w:r>
    </w:p>
    <w:p>
      <w:pPr>
        <w:spacing w:after="0" w:line="227" w:lineRule="exact"/>
        <w:rPr>
          <w:rFonts w:ascii="Arial" w:cs="Arial" w:eastAsia="Arial" w:hAnsi="Arial"/>
          <w:sz w:val="16"/>
          <w:szCs w:val="16"/>
          <w:color w:val="auto"/>
        </w:rPr>
      </w:pPr>
    </w:p>
    <w:p>
      <w:pPr>
        <w:ind w:left="640" w:right="80" w:hanging="257"/>
        <w:spacing w:after="0" w:line="278" w:lineRule="auto"/>
        <w:tabs>
          <w:tab w:leader="none" w:pos="647" w:val="left"/>
        </w:tabs>
        <w:numPr>
          <w:ilvl w:val="1"/>
          <w:numId w:val="239"/>
        </w:numPr>
        <w:rPr>
          <w:rFonts w:ascii="Arial" w:cs="Arial" w:eastAsia="Arial" w:hAnsi="Arial"/>
          <w:sz w:val="17"/>
          <w:szCs w:val="17"/>
          <w:color w:val="auto"/>
        </w:rPr>
      </w:pPr>
      <w:r>
        <w:rPr>
          <w:rFonts w:ascii="Arial" w:cs="Arial" w:eastAsia="Arial" w:hAnsi="Arial"/>
          <w:sz w:val="17"/>
          <w:szCs w:val="17"/>
          <w:color w:val="auto"/>
        </w:rPr>
        <w:t>Party B agrees that Party A may cooperate with any third party it may select to provide services to the internet online advertisement clients of the Youdao website jointly and may share the distributable revenues set forth in Article 3 hereof with other cooperating parties.</w:t>
      </w:r>
    </w:p>
    <w:p>
      <w:pPr>
        <w:spacing w:after="0" w:line="158" w:lineRule="exact"/>
        <w:rPr>
          <w:rFonts w:ascii="Arial" w:cs="Arial" w:eastAsia="Arial" w:hAnsi="Arial"/>
          <w:sz w:val="17"/>
          <w:szCs w:val="17"/>
          <w:color w:val="auto"/>
        </w:rPr>
      </w:pPr>
    </w:p>
    <w:p>
      <w:pPr>
        <w:ind w:left="380" w:hanging="350"/>
        <w:spacing w:after="0"/>
        <w:tabs>
          <w:tab w:leader="none" w:pos="38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Share of the Cooperative Service Revenue and Payment Method</w:t>
      </w:r>
    </w:p>
    <w:p>
      <w:pPr>
        <w:spacing w:after="0" w:line="222"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color w:val="auto"/>
        </w:rPr>
        <w:t>Both Parties agree to divide the service revenue generated hereunder in accordance with the following calculation method:</w:t>
      </w:r>
    </w:p>
    <w:p>
      <w:pPr>
        <w:spacing w:after="0" w:line="216" w:lineRule="exact"/>
        <w:rPr>
          <w:rFonts w:ascii="Arial" w:cs="Arial" w:eastAsia="Arial" w:hAnsi="Arial"/>
          <w:sz w:val="17"/>
          <w:szCs w:val="17"/>
          <w:b w:val="1"/>
          <w:bCs w:val="1"/>
          <w:color w:val="auto"/>
        </w:rPr>
      </w:pPr>
    </w:p>
    <w:p>
      <w:pPr>
        <w:ind w:left="780" w:hanging="397"/>
        <w:spacing w:after="0"/>
        <w:tabs>
          <w:tab w:leader="none" w:pos="7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Calculation of the Distributable Revenue</w:t>
      </w:r>
    </w:p>
    <w:p>
      <w:pPr>
        <w:spacing w:after="0" w:line="216" w:lineRule="exact"/>
        <w:rPr>
          <w:rFonts w:ascii="Arial" w:cs="Arial" w:eastAsia="Arial" w:hAnsi="Arial"/>
          <w:sz w:val="17"/>
          <w:szCs w:val="17"/>
          <w:color w:val="auto"/>
        </w:rPr>
      </w:pPr>
    </w:p>
    <w:p>
      <w:pPr>
        <w:ind w:left="760" w:right="100"/>
        <w:spacing w:after="0" w:line="279" w:lineRule="auto"/>
        <w:rPr>
          <w:rFonts w:ascii="Arial" w:cs="Arial" w:eastAsia="Arial" w:hAnsi="Arial"/>
          <w:sz w:val="17"/>
          <w:szCs w:val="17"/>
          <w:color w:val="auto"/>
        </w:rPr>
      </w:pPr>
      <w:r>
        <w:rPr>
          <w:rFonts w:ascii="Arial" w:cs="Arial" w:eastAsia="Arial" w:hAnsi="Arial"/>
          <w:sz w:val="16"/>
          <w:szCs w:val="16"/>
          <w:color w:val="auto"/>
        </w:rPr>
        <w:t>Both Parties agree that, the internet advertising service revenues acquired by Party A from clients every month, after deducting the turnover tax and fee payable for the above service revenues (such as business tax, etc., hereinafter referred to as “</w:t>
      </w:r>
      <w:r>
        <w:rPr>
          <w:rFonts w:ascii="Arial" w:cs="Arial" w:eastAsia="Arial" w:hAnsi="Arial"/>
          <w:sz w:val="16"/>
          <w:szCs w:val="16"/>
          <w:b w:val="1"/>
          <w:bCs w:val="1"/>
          <w:i w:val="1"/>
          <w:iCs w:val="1"/>
          <w:color w:val="auto"/>
        </w:rPr>
        <w:t>Turnover Tax Payable</w:t>
      </w:r>
      <w:r>
        <w:rPr>
          <w:rFonts w:ascii="Arial" w:cs="Arial" w:eastAsia="Arial" w:hAnsi="Arial"/>
          <w:sz w:val="16"/>
          <w:szCs w:val="16"/>
          <w:color w:val="auto"/>
        </w:rPr>
        <w:t>”), the actual expenses incurred by Party A for operating the internet advertising services (excluding the expenses of the revenue share distributed to Party B and other companies in cooperation with the Group), and the remainder of Party A’s retainable profits shall be deemed as the distributable revenue, which shall be the basis for the revenue shared among Party A, Party B and any other companies in cooperation with the Group.</w:t>
      </w:r>
    </w:p>
    <w:p>
      <w:pPr>
        <w:spacing w:after="0" w:line="165" w:lineRule="exact"/>
        <w:rPr>
          <w:rFonts w:ascii="Arial" w:cs="Arial" w:eastAsia="Arial" w:hAnsi="Arial"/>
          <w:sz w:val="17"/>
          <w:szCs w:val="17"/>
          <w:color w:val="auto"/>
        </w:rPr>
      </w:pPr>
    </w:p>
    <w:p>
      <w:pPr>
        <w:ind w:left="760" w:right="400"/>
        <w:spacing w:after="0" w:line="311" w:lineRule="auto"/>
        <w:rPr>
          <w:rFonts w:ascii="Arial" w:cs="Arial" w:eastAsia="Arial" w:hAnsi="Arial"/>
          <w:sz w:val="17"/>
          <w:szCs w:val="17"/>
          <w:color w:val="auto"/>
        </w:rPr>
      </w:pPr>
      <w:r>
        <w:rPr>
          <w:rFonts w:ascii="Arial" w:cs="Arial" w:eastAsia="Arial" w:hAnsi="Arial"/>
          <w:sz w:val="16"/>
          <w:szCs w:val="16"/>
          <w:color w:val="auto"/>
        </w:rPr>
        <w:t>Both Parties agree that, if the turnover tax and fee payable by Party A for such aforementioned service revenue is changed due to the adjustment of government policies, both Parties may determine a new revenue-sharing method by a supplemental agreement in writing.</w:t>
      </w:r>
    </w:p>
    <w:p>
      <w:pPr>
        <w:spacing w:after="0" w:line="140"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Formula for the Calculation of the Distributable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-3622040</wp:posOffset>
            </wp:positionV>
            <wp:extent cx="727392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260"/>
          </w:cols>
          <w:pgMar w:left="400" w:top="121" w:right="239" w:bottom="40" w:gutter="0" w:footer="0" w:header="0"/>
          <w:type w:val="continuous"/>
        </w:sectPr>
      </w:pPr>
    </w:p>
    <w:bookmarkStart w:id="133" w:name="page134"/>
    <w:bookmarkEnd w:id="133"/>
    <w:p>
      <w:pPr>
        <w:ind w:left="730" w:right="600"/>
        <w:spacing w:after="0" w:line="278" w:lineRule="auto"/>
        <w:rPr>
          <w:sz w:val="20"/>
          <w:szCs w:val="20"/>
          <w:color w:val="auto"/>
        </w:rPr>
      </w:pPr>
      <w:r>
        <w:rPr>
          <w:rFonts w:ascii="Arial" w:cs="Arial" w:eastAsia="Arial" w:hAnsi="Arial"/>
          <w:sz w:val="17"/>
          <w:szCs w:val="17"/>
          <w:color w:val="auto"/>
        </w:rPr>
        <w:t>Distributable Revenue = Service Revenue - Turnover Tax Payable - Actual Expenses Incurred by Party A for Operating the Internet Advertising Services - Party A’s Retainable Profits</w:t>
      </w:r>
    </w:p>
    <w:p>
      <w:pPr>
        <w:spacing w:after="0" w:line="165" w:lineRule="exact"/>
        <w:rPr>
          <w:sz w:val="20"/>
          <w:szCs w:val="20"/>
          <w:color w:val="auto"/>
        </w:rPr>
      </w:pPr>
    </w:p>
    <w:p>
      <w:pPr>
        <w:ind w:left="750" w:hanging="397"/>
        <w:spacing w:after="0"/>
        <w:tabs>
          <w:tab w:leader="none" w:pos="75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Party A’s Retainable Profits</w:t>
      </w:r>
    </w:p>
    <w:p>
      <w:pPr>
        <w:spacing w:after="0" w:line="216" w:lineRule="exact"/>
        <w:rPr>
          <w:rFonts w:ascii="Arial" w:cs="Arial" w:eastAsia="Arial" w:hAnsi="Arial"/>
          <w:sz w:val="17"/>
          <w:szCs w:val="17"/>
          <w:color w:val="auto"/>
        </w:rPr>
      </w:pPr>
    </w:p>
    <w:p>
      <w:pPr>
        <w:ind w:left="730"/>
        <w:spacing w:after="0"/>
        <w:rPr>
          <w:rFonts w:ascii="Arial" w:cs="Arial" w:eastAsia="Arial" w:hAnsi="Arial"/>
          <w:sz w:val="17"/>
          <w:szCs w:val="17"/>
          <w:color w:val="auto"/>
        </w:rPr>
      </w:pPr>
      <w:r>
        <w:rPr>
          <w:rFonts w:ascii="Arial" w:cs="Arial" w:eastAsia="Arial" w:hAnsi="Arial"/>
          <w:sz w:val="17"/>
          <w:szCs w:val="17"/>
          <w:color w:val="auto"/>
        </w:rPr>
        <w:t>Both Parties agree that, Party A’s retainable profits shall be calculated according to the following formula:</w:t>
      </w:r>
    </w:p>
    <w:p>
      <w:pPr>
        <w:spacing w:after="0" w:line="216" w:lineRule="exact"/>
        <w:rPr>
          <w:rFonts w:ascii="Arial" w:cs="Arial" w:eastAsia="Arial" w:hAnsi="Arial"/>
          <w:sz w:val="17"/>
          <w:szCs w:val="17"/>
          <w:color w:val="auto"/>
        </w:rPr>
      </w:pPr>
    </w:p>
    <w:p>
      <w:pPr>
        <w:ind w:left="730" w:right="360"/>
        <w:spacing w:after="0" w:line="265" w:lineRule="auto"/>
        <w:rPr>
          <w:rFonts w:ascii="Arial" w:cs="Arial" w:eastAsia="Arial" w:hAnsi="Arial"/>
          <w:sz w:val="17"/>
          <w:szCs w:val="17"/>
          <w:color w:val="auto"/>
        </w:rPr>
      </w:pPr>
      <w:r>
        <w:rPr>
          <w:rFonts w:ascii="Arial" w:cs="Arial" w:eastAsia="Arial" w:hAnsi="Arial"/>
          <w:sz w:val="17"/>
          <w:szCs w:val="17"/>
          <w:color w:val="auto"/>
        </w:rPr>
        <w:t>Party A’s Retainable Profits = 5% of the Total Actual Expenses Incurred by Party A for Operating the Internet Advertising Services (excluding the expenses of the revenue share distributed to Party B and other companies in cooperation with the Group and turnover tax payable (such as business tax))</w:t>
      </w:r>
    </w:p>
    <w:p>
      <w:pPr>
        <w:spacing w:after="0" w:line="175" w:lineRule="exact"/>
        <w:rPr>
          <w:rFonts w:ascii="Arial" w:cs="Arial" w:eastAsia="Arial" w:hAnsi="Arial"/>
          <w:sz w:val="17"/>
          <w:szCs w:val="17"/>
          <w:color w:val="auto"/>
        </w:rPr>
      </w:pPr>
    </w:p>
    <w:p>
      <w:pPr>
        <w:ind w:left="730" w:right="40" w:hanging="377"/>
        <w:spacing w:after="0" w:line="278" w:lineRule="auto"/>
        <w:tabs>
          <w:tab w:leader="none" w:pos="731" w:val="left"/>
        </w:tabs>
        <w:numPr>
          <w:ilvl w:val="1"/>
          <w:numId w:val="240"/>
        </w:numPr>
        <w:rPr>
          <w:rFonts w:ascii="Arial" w:cs="Arial" w:eastAsia="Arial" w:hAnsi="Arial"/>
          <w:sz w:val="17"/>
          <w:szCs w:val="17"/>
          <w:color w:val="auto"/>
        </w:rPr>
      </w:pPr>
      <w:r>
        <w:rPr>
          <w:rFonts w:ascii="Arial" w:cs="Arial" w:eastAsia="Arial" w:hAnsi="Arial"/>
          <w:sz w:val="17"/>
          <w:szCs w:val="17"/>
          <w:color w:val="auto"/>
        </w:rPr>
        <w:t>Calculation of Party B’s Share in Revenue Party B’s Share in Revenue = Distributable Revenue * [Party B’s Expenses / (Party B’s Expenses + Expenses of Other Companies in Cooperation with the Group)]</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750" w:hanging="397"/>
        <w:spacing w:after="0"/>
        <w:tabs>
          <w:tab w:leader="none" w:pos="75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Calculation of Share in Revenue of Other Companies in Cooperation with the Group</w:t>
      </w:r>
    </w:p>
    <w:p>
      <w:pPr>
        <w:spacing w:after="0" w:line="216" w:lineRule="exact"/>
        <w:rPr>
          <w:rFonts w:ascii="Arial" w:cs="Arial" w:eastAsia="Arial" w:hAnsi="Arial"/>
          <w:sz w:val="17"/>
          <w:szCs w:val="17"/>
          <w:color w:val="auto"/>
        </w:rPr>
      </w:pPr>
    </w:p>
    <w:p>
      <w:pPr>
        <w:ind w:left="730"/>
        <w:spacing w:after="0" w:line="278" w:lineRule="auto"/>
        <w:rPr>
          <w:rFonts w:ascii="Arial" w:cs="Arial" w:eastAsia="Arial" w:hAnsi="Arial"/>
          <w:sz w:val="17"/>
          <w:szCs w:val="17"/>
          <w:color w:val="auto"/>
        </w:rPr>
      </w:pPr>
      <w:r>
        <w:rPr>
          <w:rFonts w:ascii="Arial" w:cs="Arial" w:eastAsia="Arial" w:hAnsi="Arial"/>
          <w:sz w:val="17"/>
          <w:szCs w:val="17"/>
          <w:color w:val="auto"/>
        </w:rPr>
        <w:t>Share in Revenue of Other Companies in Cooperation with the Group = Distributable Revenue * [Expenses of Other Companies in Cooperation with the Group / (Party B’s Expenses + Expenses of Other Companies in Cooperation with the Group)]</w:t>
      </w:r>
    </w:p>
    <w:p>
      <w:pPr>
        <w:spacing w:after="0" w:line="164" w:lineRule="exact"/>
        <w:rPr>
          <w:rFonts w:ascii="Arial" w:cs="Arial" w:eastAsia="Arial" w:hAnsi="Arial"/>
          <w:sz w:val="17"/>
          <w:szCs w:val="17"/>
          <w:color w:val="auto"/>
        </w:rPr>
      </w:pPr>
    </w:p>
    <w:p>
      <w:pPr>
        <w:ind w:left="750" w:hanging="397"/>
        <w:spacing w:after="0"/>
        <w:tabs>
          <w:tab w:leader="none" w:pos="75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Payment Method</w:t>
      </w:r>
    </w:p>
    <w:p>
      <w:pPr>
        <w:spacing w:after="0" w:line="216" w:lineRule="exact"/>
        <w:rPr>
          <w:rFonts w:ascii="Arial" w:cs="Arial" w:eastAsia="Arial" w:hAnsi="Arial"/>
          <w:sz w:val="17"/>
          <w:szCs w:val="17"/>
          <w:color w:val="auto"/>
        </w:rPr>
      </w:pPr>
    </w:p>
    <w:p>
      <w:pPr>
        <w:ind w:left="730" w:right="80"/>
        <w:spacing w:after="0" w:line="278" w:lineRule="auto"/>
        <w:rPr>
          <w:rFonts w:ascii="Arial" w:cs="Arial" w:eastAsia="Arial" w:hAnsi="Arial"/>
          <w:sz w:val="17"/>
          <w:szCs w:val="17"/>
          <w:color w:val="auto"/>
        </w:rPr>
      </w:pPr>
      <w:r>
        <w:rPr>
          <w:rFonts w:ascii="Arial" w:cs="Arial" w:eastAsia="Arial" w:hAnsi="Arial"/>
          <w:sz w:val="17"/>
          <w:szCs w:val="17"/>
          <w:color w:val="auto"/>
        </w:rPr>
        <w:t>For Party B’s share in the revenue of the previous month, Party A shall wire transfer such amount to the following account of Party B within one month after each settlement.</w:t>
      </w:r>
    </w:p>
    <w:p>
      <w:pPr>
        <w:spacing w:after="0" w:line="164" w:lineRule="exact"/>
        <w:rPr>
          <w:rFonts w:ascii="Arial" w:cs="Arial" w:eastAsia="Arial" w:hAnsi="Arial"/>
          <w:sz w:val="17"/>
          <w:szCs w:val="17"/>
          <w:color w:val="auto"/>
        </w:rPr>
      </w:pPr>
    </w:p>
    <w:p>
      <w:pPr>
        <w:ind w:left="730" w:right="7920"/>
        <w:spacing w:after="0" w:line="505" w:lineRule="auto"/>
        <w:rPr>
          <w:rFonts w:ascii="Arial" w:cs="Arial" w:eastAsia="Arial" w:hAnsi="Arial"/>
          <w:sz w:val="17"/>
          <w:szCs w:val="17"/>
          <w:color w:val="auto"/>
        </w:rPr>
      </w:pPr>
      <w:r>
        <w:rPr>
          <w:rFonts w:ascii="Arial" w:cs="Arial" w:eastAsia="Arial" w:hAnsi="Arial"/>
          <w:sz w:val="17"/>
          <w:szCs w:val="17"/>
          <w:color w:val="auto"/>
        </w:rPr>
        <w:t>Party B’s Bank Account Information: Bank:</w:t>
      </w:r>
    </w:p>
    <w:p>
      <w:pPr>
        <w:ind w:left="730" w:right="9560"/>
        <w:spacing w:after="0" w:line="536" w:lineRule="auto"/>
        <w:rPr>
          <w:rFonts w:ascii="Arial" w:cs="Arial" w:eastAsia="Arial" w:hAnsi="Arial"/>
          <w:sz w:val="17"/>
          <w:szCs w:val="17"/>
          <w:color w:val="auto"/>
        </w:rPr>
      </w:pPr>
      <w:r>
        <w:rPr>
          <w:rFonts w:ascii="Arial" w:cs="Arial" w:eastAsia="Arial" w:hAnsi="Arial"/>
          <w:sz w:val="16"/>
          <w:szCs w:val="16"/>
          <w:color w:val="auto"/>
        </w:rPr>
        <w:t>Name: Account No.:</w:t>
      </w:r>
    </w:p>
    <w:p>
      <w:pPr>
        <w:spacing w:after="0" w:line="1" w:lineRule="exact"/>
        <w:rPr>
          <w:rFonts w:ascii="Arial" w:cs="Arial" w:eastAsia="Arial" w:hAnsi="Arial"/>
          <w:sz w:val="17"/>
          <w:szCs w:val="17"/>
          <w:color w:val="auto"/>
        </w:rPr>
      </w:pPr>
    </w:p>
    <w:p>
      <w:pPr>
        <w:ind w:left="730"/>
        <w:spacing w:after="0"/>
        <w:rPr>
          <w:rFonts w:ascii="Arial" w:cs="Arial" w:eastAsia="Arial" w:hAnsi="Arial"/>
          <w:sz w:val="17"/>
          <w:szCs w:val="17"/>
          <w:color w:val="auto"/>
        </w:rPr>
      </w:pPr>
      <w:r>
        <w:rPr>
          <w:rFonts w:ascii="Arial" w:cs="Arial" w:eastAsia="Arial" w:hAnsi="Arial"/>
          <w:sz w:val="17"/>
          <w:szCs w:val="17"/>
          <w:color w:val="auto"/>
        </w:rPr>
        <w:t>The bank account information of other companies in cooperation with the Group shall be notified separately.</w:t>
      </w:r>
    </w:p>
    <w:p>
      <w:pPr>
        <w:spacing w:after="0" w:line="210" w:lineRule="exact"/>
        <w:rPr>
          <w:rFonts w:ascii="Arial" w:cs="Arial" w:eastAsia="Arial" w:hAnsi="Arial"/>
          <w:sz w:val="17"/>
          <w:szCs w:val="17"/>
          <w:color w:val="auto"/>
        </w:rPr>
      </w:pPr>
    </w:p>
    <w:p>
      <w:pPr>
        <w:ind w:left="350" w:hanging="350"/>
        <w:spacing w:after="0"/>
        <w:tabs>
          <w:tab w:leader="none" w:pos="35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Intellectual Property and Confidential Provisions</w:t>
      </w:r>
    </w:p>
    <w:p>
      <w:pPr>
        <w:spacing w:after="0" w:line="222" w:lineRule="exact"/>
        <w:rPr>
          <w:rFonts w:ascii="Arial" w:cs="Arial" w:eastAsia="Arial" w:hAnsi="Arial"/>
          <w:sz w:val="17"/>
          <w:szCs w:val="17"/>
          <w:b w:val="1"/>
          <w:bCs w:val="1"/>
          <w:color w:val="auto"/>
        </w:rPr>
      </w:pPr>
    </w:p>
    <w:p>
      <w:pPr>
        <w:ind w:left="810" w:right="160" w:hanging="463"/>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4.1 Party B shall have sole and exclusive rights for any rights, ownership, interest, including, without limitation, any copyright, patent, proprietary rights, trade secrets, etc., over all and any intellectual property arising from the performance of this Agreement.</w:t>
      </w:r>
    </w:p>
    <w:p>
      <w:pPr>
        <w:spacing w:after="0" w:line="164" w:lineRule="exact"/>
        <w:rPr>
          <w:rFonts w:ascii="Arial" w:cs="Arial" w:eastAsia="Arial" w:hAnsi="Arial"/>
          <w:sz w:val="17"/>
          <w:szCs w:val="17"/>
          <w:b w:val="1"/>
          <w:bCs w:val="1"/>
          <w:color w:val="auto"/>
        </w:rPr>
      </w:pPr>
    </w:p>
    <w:p>
      <w:pPr>
        <w:ind w:left="810" w:right="440" w:hanging="463"/>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4.2 With the written consent of the right owner, Party A may accept the transfer of any rights, ownership, interests of all and any intellectual property arising from Party B’s performance of this Agreement, with the transfer method to be otherwise determined between both Parties.</w:t>
      </w:r>
    </w:p>
    <w:p>
      <w:pPr>
        <w:spacing w:after="0" w:line="140" w:lineRule="exact"/>
        <w:rPr>
          <w:rFonts w:ascii="Arial" w:cs="Arial" w:eastAsia="Arial" w:hAnsi="Arial"/>
          <w:sz w:val="17"/>
          <w:szCs w:val="17"/>
          <w:b w:val="1"/>
          <w:bCs w:val="1"/>
          <w:color w:val="auto"/>
        </w:rPr>
      </w:pPr>
    </w:p>
    <w:p>
      <w:pPr>
        <w:ind w:left="810" w:right="120" w:hanging="463"/>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4.3 Party B agrees to use its best reasonable efforts to protect or keep confidential all information marked with “confidential” or all or part of the information of Party A known to Party B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Without the prior written consent of Party A, Party B shall not disclose, provide or transfer such Confidential Information to any third party. Upon termination or expiration of this Agreement, Party B shall return any document, material or software containing such Confidential Information to its respective owner as requested by Party A, or shall destroy the same on its own, and delete any Confidential Information stored in all of Party B’s electronic devices and stop using the same.</w:t>
      </w:r>
    </w:p>
    <w:p>
      <w:pPr>
        <w:spacing w:after="0" w:line="165" w:lineRule="exact"/>
        <w:rPr>
          <w:rFonts w:ascii="Arial" w:cs="Arial" w:eastAsia="Arial" w:hAnsi="Arial"/>
          <w:sz w:val="17"/>
          <w:szCs w:val="17"/>
          <w:b w:val="1"/>
          <w:bCs w:val="1"/>
          <w:color w:val="auto"/>
        </w:rPr>
      </w:pPr>
    </w:p>
    <w:p>
      <w:pPr>
        <w:ind w:left="350"/>
        <w:spacing w:after="0"/>
        <w:rPr>
          <w:rFonts w:ascii="Arial" w:cs="Arial" w:eastAsia="Arial" w:hAnsi="Arial"/>
          <w:sz w:val="17"/>
          <w:szCs w:val="17"/>
          <w:b w:val="1"/>
          <w:bCs w:val="1"/>
          <w:color w:val="auto"/>
        </w:rPr>
      </w:pPr>
      <w:r>
        <w:rPr>
          <w:rFonts w:ascii="Arial" w:cs="Arial" w:eastAsia="Arial" w:hAnsi="Arial"/>
          <w:sz w:val="17"/>
          <w:szCs w:val="17"/>
          <w:color w:val="auto"/>
        </w:rPr>
        <w:t>4.4   Articles 4.1, 4.2, and 4.3 hereof shall survive the termination or expiration of this Agreement.</w:t>
      </w:r>
    </w:p>
    <w:p>
      <w:pPr>
        <w:spacing w:after="0" w:line="210" w:lineRule="exact"/>
        <w:rPr>
          <w:rFonts w:ascii="Arial" w:cs="Arial" w:eastAsia="Arial" w:hAnsi="Arial"/>
          <w:sz w:val="17"/>
          <w:szCs w:val="17"/>
          <w:b w:val="1"/>
          <w:bCs w:val="1"/>
          <w:color w:val="auto"/>
        </w:rPr>
      </w:pPr>
    </w:p>
    <w:p>
      <w:pPr>
        <w:ind w:left="350" w:hanging="350"/>
        <w:spacing w:after="0"/>
        <w:tabs>
          <w:tab w:leader="none" w:pos="35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22" w:lineRule="exact"/>
        <w:rPr>
          <w:rFonts w:ascii="Arial" w:cs="Arial" w:eastAsia="Arial" w:hAnsi="Arial"/>
          <w:sz w:val="17"/>
          <w:szCs w:val="17"/>
          <w:b w:val="1"/>
          <w:bCs w:val="1"/>
          <w:color w:val="auto"/>
        </w:rPr>
      </w:pPr>
    </w:p>
    <w:p>
      <w:pPr>
        <w:ind w:left="350"/>
        <w:spacing w:after="0"/>
        <w:rPr>
          <w:rFonts w:ascii="Arial" w:cs="Arial" w:eastAsia="Arial" w:hAnsi="Arial"/>
          <w:sz w:val="17"/>
          <w:szCs w:val="17"/>
          <w:b w:val="1"/>
          <w:bCs w:val="1"/>
          <w:color w:val="auto"/>
        </w:rPr>
      </w:pPr>
      <w:r>
        <w:rPr>
          <w:rFonts w:ascii="Arial" w:cs="Arial" w:eastAsia="Arial" w:hAnsi="Arial"/>
          <w:sz w:val="17"/>
          <w:szCs w:val="17"/>
          <w:color w:val="auto"/>
        </w:rPr>
        <w:t>5.1 Party A hereby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-5451475</wp:posOffset>
            </wp:positionV>
            <wp:extent cx="727392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196" w:lineRule="exact"/>
        <w:rPr>
          <w:sz w:val="20"/>
          <w:szCs w:val="20"/>
          <w:color w:val="auto"/>
        </w:rPr>
      </w:pPr>
    </w:p>
    <w:p>
      <w:pPr>
        <w:ind w:left="670"/>
        <w:spacing w:after="0"/>
        <w:tabs>
          <w:tab w:leader="none" w:pos="117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color w:val="auto"/>
        </w:rPr>
        <w:t>Party A is a corporation legally registered and validly existing in Beijing under the laws of PRC.</w:t>
      </w:r>
    </w:p>
    <w:p>
      <w:pPr>
        <w:spacing w:after="0" w:line="216" w:lineRule="exact"/>
        <w:rPr>
          <w:sz w:val="20"/>
          <w:szCs w:val="20"/>
          <w:color w:val="auto"/>
        </w:rPr>
      </w:pPr>
    </w:p>
    <w:p>
      <w:pPr>
        <w:ind w:left="1190" w:right="540" w:hanging="539"/>
        <w:spacing w:after="0" w:line="278" w:lineRule="auto"/>
        <w:tabs>
          <w:tab w:leader="none" w:pos="1170" w:val="left"/>
        </w:tabs>
        <w:rPr>
          <w:sz w:val="20"/>
          <w:szCs w:val="20"/>
          <w:color w:val="auto"/>
        </w:rPr>
      </w:pPr>
      <w:r>
        <w:rPr>
          <w:rFonts w:ascii="Arial" w:cs="Arial" w:eastAsia="Arial" w:hAnsi="Arial"/>
          <w:sz w:val="17"/>
          <w:szCs w:val="17"/>
          <w:color w:val="auto"/>
        </w:rPr>
        <w:t>5.1.2</w:t>
        <w:tab/>
        <w:t>Party A has all the rights, powers, authorities and capabilities, and all the consents and approvals necessary for the execution, delivery and performance of this Agreement.</w:t>
      </w:r>
    </w:p>
    <w:p>
      <w:pPr>
        <w:spacing w:after="0" w:line="165" w:lineRule="exact"/>
        <w:rPr>
          <w:sz w:val="20"/>
          <w:szCs w:val="20"/>
          <w:color w:val="auto"/>
        </w:rPr>
      </w:pPr>
    </w:p>
    <w:p>
      <w:pPr>
        <w:ind w:left="670"/>
        <w:spacing w:after="0"/>
        <w:tabs>
          <w:tab w:leader="none" w:pos="117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5"/>
          <w:szCs w:val="15"/>
          <w:color w:val="auto"/>
        </w:rPr>
        <w:t>This Agreement will be legal, effective and binding on Party A upon execution, and may be enforced against Party A according to its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208280</wp:posOffset>
            </wp:positionV>
            <wp:extent cx="727392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
        <w:spacing w:after="0"/>
        <w:rPr>
          <w:sz w:val="20"/>
          <w:szCs w:val="20"/>
          <w:color w:val="auto"/>
        </w:rPr>
      </w:pPr>
      <w:r>
        <w:rPr>
          <w:rFonts w:ascii="Arial" w:cs="Arial" w:eastAsia="Arial" w:hAnsi="Arial"/>
          <w:sz w:val="17"/>
          <w:szCs w:val="17"/>
          <w:color w:val="auto"/>
        </w:rPr>
        <w:t>5.2 Party B hereby represents and warrants that:</w:t>
      </w:r>
    </w:p>
    <w:p>
      <w:pPr>
        <w:spacing w:after="0" w:line="216" w:lineRule="exact"/>
        <w:rPr>
          <w:sz w:val="20"/>
          <w:szCs w:val="20"/>
          <w:color w:val="auto"/>
        </w:rPr>
      </w:pPr>
    </w:p>
    <w:p>
      <w:pPr>
        <w:ind w:left="670"/>
        <w:spacing w:after="0"/>
        <w:tabs>
          <w:tab w:leader="none" w:pos="117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5"/>
          <w:szCs w:val="15"/>
          <w:color w:val="auto"/>
        </w:rPr>
        <w:t>Party B is a corporation legally registered and validly existing in Beijing according the laws of PRC.</w:t>
      </w:r>
    </w:p>
    <w:p>
      <w:pPr>
        <w:spacing w:after="0" w:line="216" w:lineRule="exact"/>
        <w:rPr>
          <w:sz w:val="20"/>
          <w:szCs w:val="20"/>
          <w:color w:val="auto"/>
        </w:rPr>
      </w:pPr>
    </w:p>
    <w:p>
      <w:pPr>
        <w:ind w:left="1190" w:right="560" w:hanging="539"/>
        <w:spacing w:after="0" w:line="278" w:lineRule="auto"/>
        <w:tabs>
          <w:tab w:leader="none" w:pos="1170" w:val="left"/>
        </w:tabs>
        <w:rPr>
          <w:sz w:val="20"/>
          <w:szCs w:val="20"/>
          <w:color w:val="auto"/>
        </w:rPr>
      </w:pPr>
      <w:r>
        <w:rPr>
          <w:rFonts w:ascii="Arial" w:cs="Arial" w:eastAsia="Arial" w:hAnsi="Arial"/>
          <w:sz w:val="17"/>
          <w:szCs w:val="17"/>
          <w:color w:val="auto"/>
        </w:rPr>
        <w:t>5.2.2</w:t>
        <w:tab/>
        <w:t>Party B has all the rights, powers, authorities and capabilities, and all the consents and approvals necessary for the execution, delivery and performance of this Agreement.</w:t>
      </w:r>
    </w:p>
    <w:p>
      <w:pPr>
        <w:spacing w:after="0" w:line="165" w:lineRule="exact"/>
        <w:rPr>
          <w:sz w:val="20"/>
          <w:szCs w:val="20"/>
          <w:color w:val="auto"/>
        </w:rPr>
      </w:pPr>
    </w:p>
    <w:p>
      <w:pPr>
        <w:ind w:left="670"/>
        <w:spacing w:after="0"/>
        <w:tabs>
          <w:tab w:leader="none" w:pos="117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5"/>
          <w:szCs w:val="15"/>
          <w:color w:val="auto"/>
        </w:rPr>
        <w:t>This Agreement will be legal, effective and binding on Party B upon execution, and may be enforced against Party B according to its provisions.</w:t>
      </w:r>
    </w:p>
    <w:p>
      <w:pPr>
        <w:spacing w:after="0" w:line="210" w:lineRule="exact"/>
        <w:rPr>
          <w:sz w:val="20"/>
          <w:szCs w:val="20"/>
          <w:color w:val="auto"/>
        </w:rPr>
      </w:pPr>
    </w:p>
    <w:p>
      <w:pPr>
        <w:ind w:left="350" w:hanging="350"/>
        <w:spacing w:after="0"/>
        <w:tabs>
          <w:tab w:leader="none" w:pos="35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Effectuation and Term of Cooperation</w:t>
      </w:r>
    </w:p>
    <w:p>
      <w:pPr>
        <w:spacing w:after="0" w:line="222" w:lineRule="exact"/>
        <w:rPr>
          <w:rFonts w:ascii="Arial" w:cs="Arial" w:eastAsia="Arial" w:hAnsi="Arial"/>
          <w:sz w:val="17"/>
          <w:szCs w:val="17"/>
          <w:b w:val="1"/>
          <w:bCs w:val="1"/>
          <w:color w:val="auto"/>
        </w:rPr>
      </w:pPr>
    </w:p>
    <w:p>
      <w:pPr>
        <w:ind w:left="350"/>
        <w:spacing w:after="0"/>
        <w:rPr>
          <w:rFonts w:ascii="Arial" w:cs="Arial" w:eastAsia="Arial" w:hAnsi="Arial"/>
          <w:sz w:val="17"/>
          <w:szCs w:val="17"/>
          <w:b w:val="1"/>
          <w:bCs w:val="1"/>
          <w:color w:val="auto"/>
        </w:rPr>
      </w:pPr>
      <w:r>
        <w:rPr>
          <w:rFonts w:ascii="Arial" w:cs="Arial" w:eastAsia="Arial" w:hAnsi="Arial"/>
          <w:sz w:val="15"/>
          <w:szCs w:val="15"/>
          <w:color w:val="auto"/>
        </w:rPr>
        <w:t>This Agreement will become effective on July 1, 2015. Except for early termination pursuant to the provisions herein, this Agreement shall remain effective.</w:t>
      </w:r>
    </w:p>
    <w:p>
      <w:pPr>
        <w:sectPr>
          <w:pgSz w:w="11900" w:h="16838" w:orient="portrait"/>
          <w:cols w:equalWidth="0" w:num="1">
            <w:col w:w="11230"/>
          </w:cols>
          <w:pgMar w:left="430" w:top="127" w:right="239" w:bottom="0" w:gutter="0" w:footer="0" w:header="0"/>
        </w:sectPr>
      </w:pPr>
    </w:p>
    <w:bookmarkStart w:id="134" w:name="page135"/>
    <w:bookmarkEnd w:id="134"/>
    <w:p>
      <w:pPr>
        <w:ind w:left="360" w:hanging="350"/>
        <w:spacing w:after="0"/>
        <w:tabs>
          <w:tab w:leader="none" w:pos="36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222" w:lineRule="exact"/>
        <w:rPr>
          <w:rFonts w:ascii="Arial" w:cs="Arial" w:eastAsia="Arial" w:hAnsi="Arial"/>
          <w:sz w:val="17"/>
          <w:szCs w:val="17"/>
          <w:b w:val="1"/>
          <w:bCs w:val="1"/>
          <w:color w:val="auto"/>
        </w:rPr>
      </w:pPr>
    </w:p>
    <w:p>
      <w:pPr>
        <w:ind w:left="680" w:right="20" w:hanging="309"/>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7.1 If either Party breaches this Agreement materially and fails to make rectification within thirty (30) days after receiving the notice from the non-breaching Party regarding the occurrence and existence of such breach, without prejudice to the rights and remedies of such non-breaching Party under law or otherwise, the non-breaching Party may immediately terminate this Agreement upon prior written notice to the other Party. During the term of this Agreement, either Party may terminate this Agreement upon a thirty (30) prior written notice to the other Party.</w:t>
      </w:r>
    </w:p>
    <w:p>
      <w:pPr>
        <w:spacing w:after="0" w:line="164"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7.2 Article 4 shall survive the termination or expiration of this Agreement.</w:t>
      </w:r>
    </w:p>
    <w:p>
      <w:pPr>
        <w:spacing w:after="0" w:line="210" w:lineRule="exact"/>
        <w:rPr>
          <w:rFonts w:ascii="Arial" w:cs="Arial" w:eastAsia="Arial" w:hAnsi="Arial"/>
          <w:sz w:val="17"/>
          <w:szCs w:val="17"/>
          <w:b w:val="1"/>
          <w:bCs w:val="1"/>
          <w:color w:val="auto"/>
        </w:rPr>
      </w:pPr>
    </w:p>
    <w:p>
      <w:pPr>
        <w:ind w:left="360" w:hanging="350"/>
        <w:spacing w:after="0"/>
        <w:tabs>
          <w:tab w:leader="none" w:pos="36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p>
    <w:p>
      <w:pPr>
        <w:spacing w:after="0" w:line="222" w:lineRule="exact"/>
        <w:rPr>
          <w:rFonts w:ascii="Arial" w:cs="Arial" w:eastAsia="Arial" w:hAnsi="Arial"/>
          <w:sz w:val="17"/>
          <w:szCs w:val="17"/>
          <w:b w:val="1"/>
          <w:bCs w:val="1"/>
          <w:color w:val="auto"/>
        </w:rPr>
      </w:pPr>
    </w:p>
    <w:p>
      <w:pPr>
        <w:ind w:left="680" w:right="20" w:hanging="309"/>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8.1 “</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refers to any matter that is out of the reasonable control of a Party, which is unavoidable even with reasonable attention of the Party being affected, including, without limitation, acts of governments, acts of nature, fire, explosion, storm, flood, earthquake, tide, thunder or war. However, any shortage of credit, capital or finance shall not be regarded as an event of force majeure. The Party affected by Force Majeure and seeking for the exemption from performing its obligations hereunder shall notify the other Party of such event as soon as possible.</w:t>
      </w:r>
    </w:p>
    <w:p>
      <w:pPr>
        <w:spacing w:after="0" w:line="164" w:lineRule="exact"/>
        <w:rPr>
          <w:rFonts w:ascii="Arial" w:cs="Arial" w:eastAsia="Arial" w:hAnsi="Arial"/>
          <w:sz w:val="17"/>
          <w:szCs w:val="17"/>
          <w:b w:val="1"/>
          <w:bCs w:val="1"/>
          <w:color w:val="auto"/>
        </w:rPr>
      </w:pPr>
    </w:p>
    <w:p>
      <w:pPr>
        <w:ind w:left="680" w:right="80" w:hanging="309"/>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8.2 In the event that the affected party is delayed in or prevented from performing its obligations hereunder by Force Majeure, only within the scope of such delay or prevention, neither Party shall be liable for any loss, increased expense, or damage caused thereby under this Agreement, while such failure or delay of performance shall not be deemed as a breach of contract. However, the Party claiming to be affected by Force Majeure shall use its best reasonable efforts to minimize or remove the effects of Force Majeure. Upon the elimination of Force Majeure event, both Parties agree to resume the performance of this Agreement with their best efforts.</w:t>
      </w:r>
    </w:p>
    <w:p>
      <w:pPr>
        <w:spacing w:after="0" w:line="174" w:lineRule="exact"/>
        <w:rPr>
          <w:rFonts w:ascii="Arial" w:cs="Arial" w:eastAsia="Arial" w:hAnsi="Arial"/>
          <w:sz w:val="17"/>
          <w:szCs w:val="17"/>
          <w:b w:val="1"/>
          <w:bCs w:val="1"/>
          <w:color w:val="auto"/>
        </w:rPr>
      </w:pPr>
    </w:p>
    <w:p>
      <w:pPr>
        <w:ind w:left="360" w:hanging="350"/>
        <w:spacing w:after="0"/>
        <w:tabs>
          <w:tab w:leader="none" w:pos="36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Applicable Laws</w:t>
      </w:r>
    </w:p>
    <w:p>
      <w:pPr>
        <w:spacing w:after="0" w:line="222"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The validity, interpretation and performance of this Agreement shall be governed by the laws of PRC.</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1" w:lineRule="exact"/>
        <w:rPr>
          <w:rFonts w:ascii="Arial" w:cs="Arial" w:eastAsia="Arial" w:hAnsi="Arial"/>
          <w:sz w:val="17"/>
          <w:szCs w:val="17"/>
          <w:b w:val="1"/>
          <w:bCs w:val="1"/>
          <w:color w:val="auto"/>
        </w:rPr>
      </w:pPr>
    </w:p>
    <w:p>
      <w:pPr>
        <w:ind w:left="360" w:hanging="350"/>
        <w:spacing w:after="0"/>
        <w:tabs>
          <w:tab w:leader="none" w:pos="36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-481330</wp:posOffset>
            </wp:positionV>
            <wp:extent cx="727392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2" w:lineRule="exact"/>
        <w:rPr>
          <w:sz w:val="20"/>
          <w:szCs w:val="20"/>
          <w:color w:val="auto"/>
        </w:rPr>
      </w:pPr>
    </w:p>
    <w:p>
      <w:pPr>
        <w:jc w:val="both"/>
        <w:ind w:left="440"/>
        <w:spacing w:after="0" w:line="265" w:lineRule="auto"/>
        <w:rPr>
          <w:sz w:val="20"/>
          <w:szCs w:val="20"/>
          <w:color w:val="auto"/>
        </w:rPr>
      </w:pPr>
      <w:r>
        <w:rPr>
          <w:rFonts w:ascii="Arial" w:cs="Arial" w:eastAsia="Arial" w:hAnsi="Arial"/>
          <w:sz w:val="17"/>
          <w:szCs w:val="17"/>
          <w:color w:val="auto"/>
        </w:rPr>
        <w:t>Any notice or other communication sent by any Party hereunder shall be written in Chinese and English, and shall be delivered to the following addresses of the recipient(s) by hand, registered airmail, airmail with postage prepaid, recognized courier service or fax (followed by a mailed copy of the documents sent for confirmation).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Party A: </w:t>
      </w:r>
      <w:r>
        <w:rPr>
          <w:rFonts w:ascii="Arial" w:cs="Arial" w:eastAsia="Arial" w:hAnsi="Arial"/>
          <w:sz w:val="17"/>
          <w:szCs w:val="17"/>
          <w:b w:val="1"/>
          <w:bCs w:val="1"/>
          <w:color w:val="auto"/>
        </w:rPr>
        <w:t>Youdao Computer System Co., Ltd.</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Room 207, Building 3, Court No.1 East Zhongguancun Road, Haidian District, Beijing Municipality</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Party B: </w:t>
      </w:r>
      <w:r>
        <w:rPr>
          <w:rFonts w:ascii="Arial" w:cs="Arial" w:eastAsia="Arial" w:hAnsi="Arial"/>
          <w:sz w:val="17"/>
          <w:szCs w:val="17"/>
          <w:b w:val="1"/>
          <w:bCs w:val="1"/>
          <w:color w:val="auto"/>
        </w:rPr>
        <w:t>NetEase Youdao Information Technology (Beijing) Co., Ltd.</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Room 206, 6/F, Building 3, Tsinghua Science Park, No.1 Zhongguancun Road, Haidian District, Beijing Municipality</w:t>
      </w:r>
    </w:p>
    <w:p>
      <w:pPr>
        <w:spacing w:after="0" w:line="19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Transfer</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11.1  Without prior written consent of the other Party, neither Party shall transfer any of its rights or obligations hereunder to any third party.</w:t>
      </w:r>
    </w:p>
    <w:p>
      <w:pPr>
        <w:spacing w:after="0" w:line="216" w:lineRule="exact"/>
        <w:rPr>
          <w:sz w:val="20"/>
          <w:szCs w:val="20"/>
          <w:color w:val="auto"/>
        </w:rPr>
      </w:pPr>
    </w:p>
    <w:p>
      <w:pPr>
        <w:ind w:left="880" w:right="460" w:hanging="431"/>
        <w:spacing w:after="0" w:line="311" w:lineRule="auto"/>
        <w:rPr>
          <w:sz w:val="20"/>
          <w:szCs w:val="20"/>
          <w:color w:val="auto"/>
        </w:rPr>
      </w:pPr>
      <w:r>
        <w:rPr>
          <w:rFonts w:ascii="Arial" w:cs="Arial" w:eastAsia="Arial" w:hAnsi="Arial"/>
          <w:sz w:val="16"/>
          <w:szCs w:val="16"/>
          <w:color w:val="auto"/>
        </w:rPr>
        <w:t>11.2 Party A hereby agrees that, Party B may transfer its rights and obligations hereunder to any third party at its own discretion. With regard to such transfer, Party A only needs to send a written notice to Party B and does not need to obtain any consent from Party B.</w:t>
      </w:r>
    </w:p>
    <w:p>
      <w:pPr>
        <w:spacing w:after="0" w:line="135" w:lineRule="exact"/>
        <w:rPr>
          <w:sz w:val="20"/>
          <w:szCs w:val="20"/>
          <w:color w:val="auto"/>
        </w:rPr>
      </w:pPr>
    </w:p>
    <w:p>
      <w:pPr>
        <w:ind w:left="360" w:hanging="350"/>
        <w:spacing w:after="0"/>
        <w:tabs>
          <w:tab w:leader="none" w:pos="360"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p>
    <w:p>
      <w:pPr>
        <w:spacing w:after="0" w:line="222" w:lineRule="exact"/>
        <w:rPr>
          <w:rFonts w:ascii="Arial" w:cs="Arial" w:eastAsia="Arial" w:hAnsi="Arial"/>
          <w:sz w:val="17"/>
          <w:szCs w:val="17"/>
          <w:b w:val="1"/>
          <w:bCs w:val="1"/>
          <w:color w:val="auto"/>
        </w:rPr>
      </w:pPr>
    </w:p>
    <w:p>
      <w:pPr>
        <w:ind w:left="36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If any provision herein becomes invalid, illegal or un-enforceable because of any laws, such provision shall only be invalid in the corresponding jurisdiction. The invalid provision shall not affect the legal effects of the remaining provisions of this Agreement in such jurisdiction, and shall not cause such provision to be invalid, illegal or unenforceable in any other jurisdictions.</w:t>
      </w:r>
    </w:p>
    <w:p>
      <w:pPr>
        <w:spacing w:after="0" w:line="169" w:lineRule="exact"/>
        <w:rPr>
          <w:rFonts w:ascii="Arial" w:cs="Arial" w:eastAsia="Arial" w:hAnsi="Arial"/>
          <w:sz w:val="17"/>
          <w:szCs w:val="17"/>
          <w:b w:val="1"/>
          <w:bCs w:val="1"/>
          <w:color w:val="auto"/>
        </w:rPr>
      </w:pPr>
    </w:p>
    <w:p>
      <w:pPr>
        <w:ind w:left="360" w:hanging="350"/>
        <w:spacing w:after="0"/>
        <w:tabs>
          <w:tab w:leader="none" w:pos="360"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Modifications and Supplements</w:t>
      </w:r>
    </w:p>
    <w:p>
      <w:pPr>
        <w:spacing w:after="0" w:line="222" w:lineRule="exact"/>
        <w:rPr>
          <w:rFonts w:ascii="Arial" w:cs="Arial" w:eastAsia="Arial" w:hAnsi="Arial"/>
          <w:sz w:val="17"/>
          <w:szCs w:val="17"/>
          <w:b w:val="1"/>
          <w:bCs w:val="1"/>
          <w:color w:val="auto"/>
        </w:rPr>
      </w:pPr>
    </w:p>
    <w:p>
      <w:pPr>
        <w:ind w:left="360" w:right="22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Both Parties may make modifications and supplements to this Agreement in writing. Upon proper execution by the both Parties, the relevant modifications and supplemental agreements shall become an integral part of this Agreement with the same force and effects.</w:t>
      </w:r>
    </w:p>
    <w:p>
      <w:pPr>
        <w:spacing w:after="0" w:line="158" w:lineRule="exact"/>
        <w:rPr>
          <w:rFonts w:ascii="Arial" w:cs="Arial" w:eastAsia="Arial" w:hAnsi="Arial"/>
          <w:sz w:val="17"/>
          <w:szCs w:val="17"/>
          <w:b w:val="1"/>
          <w:bCs w:val="1"/>
          <w:color w:val="auto"/>
        </w:rPr>
      </w:pPr>
    </w:p>
    <w:p>
      <w:pPr>
        <w:ind w:left="360" w:hanging="350"/>
        <w:spacing w:after="0"/>
        <w:tabs>
          <w:tab w:leader="none" w:pos="360"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Supplementary Provisions</w:t>
      </w:r>
    </w:p>
    <w:p>
      <w:pPr>
        <w:spacing w:after="0" w:line="222"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17"/>
          <w:szCs w:val="17"/>
          <w:color w:val="auto"/>
        </w:rPr>
        <w:t>This Agreement is made in four counterparts. Each Party shall hold two counterparts.</w:t>
      </w: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[Remainder of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208280</wp:posOffset>
            </wp:positionV>
            <wp:extent cx="727392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Party A:</w:t>
      </w:r>
      <w:r>
        <w:rPr>
          <w:sz w:val="20"/>
          <w:szCs w:val="20"/>
          <w:color w:val="auto"/>
        </w:rPr>
        <w:tab/>
      </w:r>
      <w:r>
        <w:rPr>
          <w:rFonts w:ascii="Arial" w:cs="Arial" w:eastAsia="Arial" w:hAnsi="Arial"/>
          <w:sz w:val="15"/>
          <w:szCs w:val="15"/>
          <w:b w:val="1"/>
          <w:bCs w:val="1"/>
          <w:color w:val="auto"/>
        </w:rPr>
        <w:t>Youdao Computer System Co.,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199"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Party B:</w:t>
      </w:r>
      <w:r>
        <w:rPr>
          <w:sz w:val="20"/>
          <w:szCs w:val="20"/>
          <w:color w:val="auto"/>
        </w:rPr>
        <w:tab/>
      </w:r>
      <w:r>
        <w:rPr>
          <w:rFonts w:ascii="Arial" w:cs="Arial" w:eastAsia="Arial" w:hAnsi="Arial"/>
          <w:sz w:val="15"/>
          <w:szCs w:val="15"/>
          <w:b w:val="1"/>
          <w:bCs w:val="1"/>
          <w:color w:val="auto"/>
        </w:rPr>
        <w:t>NetEase Youdao Information Technology (Beijing) Co.,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201295</wp:posOffset>
            </wp:positionV>
            <wp:extent cx="727392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200"/>
          </w:cols>
          <w:pgMar w:left="420" w:top="327" w:right="279" w:bottom="788"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8.1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SUBSIDIARIES AND VARIABLE INTEREST ENTITIES OF NETEASE,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4560" w:type="dxa"/>
            <w:vAlign w:val="bottom"/>
          </w:tcPr>
          <w:p>
            <w:pPr>
              <w:ind w:left="1420"/>
              <w:spacing w:after="0"/>
              <w:rPr>
                <w:sz w:val="20"/>
                <w:szCs w:val="20"/>
                <w:color w:val="auto"/>
              </w:rPr>
            </w:pPr>
            <w:r>
              <w:rPr>
                <w:rFonts w:ascii="Arial" w:cs="Arial" w:eastAsia="Arial" w:hAnsi="Arial"/>
                <w:sz w:val="14"/>
                <w:szCs w:val="14"/>
                <w:b w:val="1"/>
                <w:bCs w:val="1"/>
                <w:color w:val="auto"/>
              </w:rPr>
              <w:t>Jurisdiction of Incorporation</w:t>
            </w:r>
          </w:p>
        </w:tc>
      </w:tr>
      <w:tr>
        <w:trPr>
          <w:trHeight w:val="19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NetEase Interactive Entertainment Limited</w:t>
            </w:r>
          </w:p>
        </w:tc>
        <w:tc>
          <w:tcPr>
            <w:tcW w:w="1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British Virgin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Lede Inc. (previously named Ujia.com,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Media,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HQG,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Youdao,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Yanxuan,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Miaode.com, Inc.</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Cayman Islands</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(Hong Kong)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 NetEase Interactive Entertainment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Lede (Hong Kong) Limited (previously named Ujia (Hong Kong)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Media (Hong Kong)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HQG,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Youdao (Hong Kong)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Yanxuan (Hong Kong) Limited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Hong Kong</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Guangzhou Boguan Telecommunication Technology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Information Technology (Beijing)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Youdao Information Technology (Beijing)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Langhe Technology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(Hangzhou) Network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Lede Technology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NetEase Media Technology (Beijing)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Youmai Technology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Hangzhou NetEase Yanxuan Trading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Tianjin Wang Zhi Yi Innovation and Technology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347"/>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Variable Interest Entities:</w:t>
            </w:r>
          </w:p>
        </w:tc>
        <w:tc>
          <w:tcPr>
            <w:tcW w:w="4560" w:type="dxa"/>
            <w:vAlign w:val="bottom"/>
          </w:tcPr>
          <w:p>
            <w:pPr>
              <w:ind w:left="1420"/>
              <w:spacing w:after="0"/>
              <w:rPr>
                <w:sz w:val="20"/>
                <w:szCs w:val="20"/>
                <w:color w:val="auto"/>
              </w:rPr>
            </w:pPr>
            <w:r>
              <w:rPr>
                <w:rFonts w:ascii="Arial" w:cs="Arial" w:eastAsia="Arial" w:hAnsi="Arial"/>
                <w:sz w:val="14"/>
                <w:szCs w:val="14"/>
                <w:b w:val="1"/>
                <w:bCs w:val="1"/>
                <w:color w:val="auto"/>
              </w:rPr>
              <w:t>Jurisdiction of Incorporation</w:t>
            </w:r>
          </w:p>
        </w:tc>
      </w:tr>
      <w:tr>
        <w:trPr>
          <w:trHeight w:val="19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Guangzhou NetEase Computer System Co., Ltd.(1)</w:t>
            </w:r>
          </w:p>
        </w:tc>
        <w:tc>
          <w:tcPr>
            <w:tcW w:w="1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860" w:type="dxa"/>
            <w:vAlign w:val="bottom"/>
            <w:gridSpan w:val="2"/>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Beijing NetEase Media Co., Ltd. (previously named Beijing Guangyitong Advertising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r>
        <w:trPr>
          <w:trHeight w:val="206"/>
        </w:trPr>
        <w:tc>
          <w:tcPr>
            <w:tcW w:w="6860" w:type="dxa"/>
            <w:vAlign w:val="bottom"/>
            <w:gridSpan w:val="2"/>
          </w:tcPr>
          <w:p>
            <w:pPr>
              <w:spacing w:after="0"/>
              <w:rPr>
                <w:sz w:val="17"/>
                <w:szCs w:val="17"/>
                <w:color w:val="auto"/>
              </w:rPr>
            </w:pPr>
          </w:p>
        </w:tc>
        <w:tc>
          <w:tcPr>
            <w:tcW w:w="4560" w:type="dxa"/>
            <w:vAlign w:val="bottom"/>
          </w:tcPr>
          <w:p>
            <w:pPr>
              <w:spacing w:after="0"/>
              <w:rPr>
                <w:sz w:val="17"/>
                <w:szCs w:val="17"/>
                <w:color w:val="auto"/>
              </w:rPr>
            </w:pPr>
          </w:p>
        </w:tc>
      </w:tr>
      <w:tr>
        <w:trPr>
          <w:trHeight w:val="193"/>
        </w:trPr>
        <w:tc>
          <w:tcPr>
            <w:tcW w:w="68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9"/>
              </w:rPr>
              <w:t>Hangzhou NetEase Leihuo Network Co., Ltd. (previously named Hangzhou Leihuo Network</w:t>
            </w:r>
          </w:p>
        </w:tc>
        <w:tc>
          <w:tcPr>
            <w:tcW w:w="4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People’s Republic of China</w:t>
            </w:r>
          </w:p>
        </w:tc>
      </w:tr>
      <w:tr>
        <w:trPr>
          <w:trHeight w:val="218"/>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 Ltd.)</w:t>
            </w:r>
          </w:p>
        </w:tc>
        <w:tc>
          <w:tcPr>
            <w:tcW w:w="4560" w:type="dxa"/>
            <w:vAlign w:val="bottom"/>
            <w:shd w:val="clear" w:color="auto" w:fill="CCEEFF"/>
          </w:tcPr>
          <w:p>
            <w:pPr>
              <w:spacing w:after="0"/>
              <w:rPr>
                <w:sz w:val="18"/>
                <w:szCs w:val="18"/>
                <w:color w:val="auto"/>
              </w:rPr>
            </w:pPr>
          </w:p>
        </w:tc>
      </w:tr>
      <w:tr>
        <w:trPr>
          <w:trHeight w:val="206"/>
        </w:trPr>
        <w:tc>
          <w:tcPr>
            <w:tcW w:w="6860" w:type="dxa"/>
            <w:vAlign w:val="bottom"/>
            <w:gridSpan w:val="2"/>
          </w:tcPr>
          <w:p>
            <w:pPr>
              <w:spacing w:after="0"/>
              <w:rPr>
                <w:sz w:val="17"/>
                <w:szCs w:val="17"/>
                <w:color w:val="auto"/>
              </w:rPr>
            </w:pPr>
          </w:p>
        </w:tc>
        <w:tc>
          <w:tcPr>
            <w:tcW w:w="4560" w:type="dxa"/>
            <w:vAlign w:val="bottom"/>
          </w:tcPr>
          <w:p>
            <w:pPr>
              <w:spacing w:after="0"/>
              <w:rPr>
                <w:sz w:val="17"/>
                <w:szCs w:val="17"/>
                <w:color w:val="auto"/>
              </w:rPr>
            </w:pPr>
          </w:p>
        </w:tc>
      </w:tr>
      <w:tr>
        <w:trPr>
          <w:trHeight w:val="206"/>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Beijing NetEase Youdao Computer System Co., Ltd.</w:t>
            </w: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People’s Republic of 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829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92" w:lineRule="exact"/>
        <w:rPr>
          <w:sz w:val="20"/>
          <w:szCs w:val="20"/>
          <w:color w:val="auto"/>
        </w:rPr>
      </w:pPr>
    </w:p>
    <w:p>
      <w:pPr>
        <w:ind w:right="360" w:firstLine="3"/>
        <w:spacing w:after="0" w:line="278" w:lineRule="auto"/>
        <w:tabs>
          <w:tab w:leader="none" w:pos="67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Guangzhou NetEase Computer System Co., Ltd. also has a wholly-owned subsidiary, Wangyibao Co., Ltd., which is incorporated under the laws of the People’s Republic of China.</w:t>
      </w:r>
    </w:p>
    <w:p>
      <w:pPr>
        <w:spacing w:after="0" w:line="164" w:lineRule="exact"/>
        <w:rPr>
          <w:rFonts w:ascii="Arial" w:cs="Arial" w:eastAsia="Arial" w:hAnsi="Arial"/>
          <w:sz w:val="17"/>
          <w:szCs w:val="17"/>
          <w:color w:val="auto"/>
        </w:rPr>
      </w:pPr>
    </w:p>
    <w:p>
      <w:pPr>
        <w:ind w:right="220" w:firstLine="3"/>
        <w:spacing w:after="0" w:line="257" w:lineRule="auto"/>
        <w:tabs>
          <w:tab w:leader="none" w:pos="67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Starting in August 2008, Blizzard Entertainment, Inc. (together with its affiliated companies) agreed to license certain online games to Shanghai EaseNet Network Technology Co., Ltd. for operation in the PRC. Shanghai EaseNet Network Technology Co., Ltd. is a People’s Republic of China company owned by William Lei Ding, our Chief Executive Officer, director and major shareholder and has contractual arrangements with the joint venture established between, and owned equally by, Blizzard Entertainment, Inc. (together with its affiliated companies) and us, and with us. The joint venture was established concurrently with the licensing of games from Blizzard Entertainment, Inc. (together with its affiliated companies) in August 2008 and provides technical services to Shanghai EaseNet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27392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jc w:val="right"/>
        <w:ind w:right="40"/>
        <w:spacing w:after="0"/>
        <w:rPr>
          <w:sz w:val="20"/>
          <w:szCs w:val="20"/>
          <w:color w:val="auto"/>
        </w:rPr>
      </w:pPr>
      <w:r>
        <w:rPr>
          <w:rFonts w:ascii="Arial" w:cs="Arial" w:eastAsia="Arial" w:hAnsi="Arial"/>
          <w:sz w:val="17"/>
          <w:szCs w:val="17"/>
          <w:b w:val="1"/>
          <w:bCs w:val="1"/>
          <w:color w:val="auto"/>
        </w:rPr>
        <w:t>Exhibit 12.1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William Lei Ding, certify that:</w:t>
      </w:r>
    </w:p>
    <w:p>
      <w:pPr>
        <w:spacing w:after="0" w:line="216" w:lineRule="exact"/>
        <w:rPr>
          <w:sz w:val="20"/>
          <w:szCs w:val="20"/>
          <w:color w:val="auto"/>
        </w:rPr>
      </w:pPr>
    </w:p>
    <w:p>
      <w:pPr>
        <w:ind w:left="640" w:hanging="217"/>
        <w:spacing w:after="0"/>
        <w:tabs>
          <w:tab w:leader="none" w:pos="6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NetEase, Inc.;</w:t>
      </w:r>
    </w:p>
    <w:p>
      <w:pPr>
        <w:spacing w:after="0" w:line="216" w:lineRule="exact"/>
        <w:rPr>
          <w:rFonts w:ascii="Arial" w:cs="Arial" w:eastAsia="Arial" w:hAnsi="Arial"/>
          <w:sz w:val="17"/>
          <w:szCs w:val="17"/>
          <w:color w:val="auto"/>
        </w:rPr>
      </w:pPr>
    </w:p>
    <w:p>
      <w:pPr>
        <w:ind w:right="120" w:firstLine="423"/>
        <w:spacing w:after="0" w:line="311" w:lineRule="auto"/>
        <w:tabs>
          <w:tab w:leader="none" w:pos="59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80" w:firstLine="423"/>
        <w:spacing w:after="0" w:line="278" w:lineRule="auto"/>
        <w:tabs>
          <w:tab w:leader="none" w:pos="63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4" w:lineRule="exact"/>
        <w:rPr>
          <w:rFonts w:ascii="Arial" w:cs="Arial" w:eastAsia="Arial" w:hAnsi="Arial"/>
          <w:sz w:val="17"/>
          <w:szCs w:val="17"/>
          <w:color w:val="auto"/>
        </w:rPr>
      </w:pPr>
    </w:p>
    <w:p>
      <w:pPr>
        <w:ind w:right="40" w:firstLine="423"/>
        <w:spacing w:after="0" w:line="347" w:lineRule="auto"/>
        <w:tabs>
          <w:tab w:leader="none" w:pos="63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8" w:lineRule="exact"/>
        <w:rPr>
          <w:rFonts w:ascii="Arial" w:cs="Arial" w:eastAsia="Arial" w:hAnsi="Arial"/>
          <w:sz w:val="15"/>
          <w:szCs w:val="15"/>
          <w:color w:val="auto"/>
        </w:rPr>
      </w:pPr>
    </w:p>
    <w:p>
      <w:pPr>
        <w:ind w:left="1240" w:right="520" w:hanging="620"/>
        <w:spacing w:after="0" w:line="265" w:lineRule="auto"/>
        <w:tabs>
          <w:tab w:leader="none" w:pos="121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right="200" w:hanging="620"/>
        <w:spacing w:after="0" w:line="265" w:lineRule="auto"/>
        <w:tabs>
          <w:tab w:leader="none" w:pos="122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240" w:right="80" w:hanging="620"/>
        <w:spacing w:after="0" w:line="311" w:lineRule="auto"/>
        <w:tabs>
          <w:tab w:leader="none" w:pos="122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1240" w:right="140" w:hanging="620"/>
        <w:spacing w:after="0" w:line="347" w:lineRule="auto"/>
        <w:tabs>
          <w:tab w:leader="none" w:pos="1221" w:val="left"/>
        </w:tabs>
        <w:numPr>
          <w:ilvl w:val="1"/>
          <w:numId w:val="246"/>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8" w:lineRule="exact"/>
        <w:rPr>
          <w:rFonts w:ascii="Arial" w:cs="Arial" w:eastAsia="Arial" w:hAnsi="Arial"/>
          <w:sz w:val="15"/>
          <w:szCs w:val="15"/>
          <w:color w:val="auto"/>
        </w:rPr>
      </w:pPr>
    </w:p>
    <w:p>
      <w:pPr>
        <w:ind w:right="800" w:firstLine="423"/>
        <w:spacing w:after="0" w:line="311" w:lineRule="auto"/>
        <w:tabs>
          <w:tab w:leader="none" w:pos="59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0" w:lineRule="exact"/>
        <w:rPr>
          <w:rFonts w:ascii="Arial" w:cs="Arial" w:eastAsia="Arial" w:hAnsi="Arial"/>
          <w:sz w:val="16"/>
          <w:szCs w:val="16"/>
          <w:color w:val="auto"/>
        </w:rPr>
      </w:pPr>
    </w:p>
    <w:p>
      <w:pPr>
        <w:ind w:left="1240" w:right="420" w:hanging="620"/>
        <w:spacing w:after="0" w:line="278" w:lineRule="auto"/>
        <w:tabs>
          <w:tab w:leader="none" w:pos="121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4" w:lineRule="exact"/>
        <w:rPr>
          <w:rFonts w:ascii="Arial" w:cs="Arial" w:eastAsia="Arial" w:hAnsi="Arial"/>
          <w:sz w:val="17"/>
          <w:szCs w:val="17"/>
          <w:color w:val="auto"/>
        </w:rPr>
      </w:pPr>
    </w:p>
    <w:p>
      <w:pPr>
        <w:ind w:left="1240" w:right="60" w:hanging="620"/>
        <w:spacing w:after="0" w:line="278" w:lineRule="auto"/>
        <w:tabs>
          <w:tab w:leader="none" w:pos="122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Date:</w:t>
        <w:tab/>
        <w:t>April 21, 2017</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Lei Ding</w:t>
            </w:r>
          </w:p>
        </w:tc>
        <w:tc>
          <w:tcPr>
            <w:tcW w:w="5740" w:type="dxa"/>
            <w:vAlign w:val="bottom"/>
          </w:tcPr>
          <w:p>
            <w:pPr>
              <w:spacing w:after="0"/>
              <w:rPr>
                <w:sz w:val="18"/>
                <w:szCs w:val="18"/>
                <w:color w:val="auto"/>
              </w:rPr>
            </w:pPr>
          </w:p>
        </w:tc>
      </w:tr>
      <w:tr>
        <w:trPr>
          <w:trHeight w:val="187"/>
        </w:trPr>
        <w:tc>
          <w:tcPr>
            <w:tcW w:w="580" w:type="dxa"/>
            <w:vAlign w:val="bottom"/>
          </w:tcPr>
          <w:p>
            <w:pPr>
              <w:spacing w:after="0"/>
              <w:rPr>
                <w:sz w:val="16"/>
                <w:szCs w:val="16"/>
                <w:color w:val="auto"/>
              </w:rPr>
            </w:pPr>
          </w:p>
        </w:tc>
        <w:tc>
          <w:tcPr>
            <w:tcW w:w="5140" w:type="dxa"/>
            <w:vAlign w:val="bottom"/>
          </w:tcPr>
          <w:p>
            <w:pPr>
              <w:spacing w:after="0" w:line="187" w:lineRule="exact"/>
              <w:rPr>
                <w:sz w:val="20"/>
                <w:szCs w:val="20"/>
                <w:color w:val="auto"/>
              </w:rPr>
            </w:pPr>
            <w:r>
              <w:rPr>
                <w:rFonts w:ascii="Arial" w:cs="Arial" w:eastAsia="Arial" w:hAnsi="Arial"/>
                <w:sz w:val="17"/>
                <w:szCs w:val="17"/>
                <w:color w:val="auto"/>
              </w:rPr>
              <w:t>William Lei Ding</w:t>
            </w:r>
          </w:p>
        </w:tc>
        <w:tc>
          <w:tcPr>
            <w:tcW w:w="5740" w:type="dxa"/>
            <w:vAlign w:val="bottom"/>
          </w:tcPr>
          <w:p>
            <w:pPr>
              <w:spacing w:after="0"/>
              <w:rPr>
                <w:sz w:val="16"/>
                <w:szCs w:val="16"/>
                <w:color w:val="auto"/>
              </w:rPr>
            </w:pPr>
          </w:p>
        </w:tc>
      </w:tr>
      <w:tr>
        <w:trPr>
          <w:trHeight w:val="217"/>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5740" w:type="dxa"/>
            <w:vAlign w:val="bottom"/>
          </w:tcPr>
          <w:p>
            <w:pPr>
              <w:spacing w:after="0"/>
              <w:rPr>
                <w:sz w:val="18"/>
                <w:szCs w:val="18"/>
                <w:color w:val="auto"/>
              </w:rPr>
            </w:pPr>
          </w:p>
        </w:tc>
      </w:tr>
      <w:tr>
        <w:trPr>
          <w:trHeight w:val="332"/>
        </w:trPr>
        <w:tc>
          <w:tcPr>
            <w:tcW w:w="5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7" w:name="page138"/>
    <w:bookmarkEnd w:id="137"/>
    <w:p>
      <w:pPr>
        <w:jc w:val="right"/>
        <w:ind w:right="40"/>
        <w:spacing w:after="0"/>
        <w:rPr>
          <w:sz w:val="20"/>
          <w:szCs w:val="20"/>
          <w:color w:val="auto"/>
        </w:rPr>
      </w:pPr>
      <w:r>
        <w:rPr>
          <w:rFonts w:ascii="Arial" w:cs="Arial" w:eastAsia="Arial" w:hAnsi="Arial"/>
          <w:sz w:val="17"/>
          <w:szCs w:val="17"/>
          <w:b w:val="1"/>
          <w:bCs w:val="1"/>
          <w:color w:val="auto"/>
        </w:rPr>
        <w:t>Exhibit 12.2</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Onward Choi, certify that:</w:t>
      </w:r>
    </w:p>
    <w:p>
      <w:pPr>
        <w:spacing w:after="0" w:line="216" w:lineRule="exact"/>
        <w:rPr>
          <w:sz w:val="20"/>
          <w:szCs w:val="20"/>
          <w:color w:val="auto"/>
        </w:rPr>
      </w:pPr>
    </w:p>
    <w:p>
      <w:pPr>
        <w:ind w:left="640" w:hanging="217"/>
        <w:spacing w:after="0"/>
        <w:tabs>
          <w:tab w:leader="none" w:pos="6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NetEase, Inc.;</w:t>
      </w:r>
    </w:p>
    <w:p>
      <w:pPr>
        <w:spacing w:after="0" w:line="216" w:lineRule="exact"/>
        <w:rPr>
          <w:rFonts w:ascii="Arial" w:cs="Arial" w:eastAsia="Arial" w:hAnsi="Arial"/>
          <w:sz w:val="17"/>
          <w:szCs w:val="17"/>
          <w:color w:val="auto"/>
        </w:rPr>
      </w:pPr>
    </w:p>
    <w:p>
      <w:pPr>
        <w:ind w:right="80" w:firstLine="423"/>
        <w:spacing w:after="0" w:line="311" w:lineRule="auto"/>
        <w:tabs>
          <w:tab w:leader="none" w:pos="63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80" w:firstLine="423"/>
        <w:spacing w:after="0" w:line="278" w:lineRule="auto"/>
        <w:tabs>
          <w:tab w:leader="none" w:pos="63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4" w:lineRule="exact"/>
        <w:rPr>
          <w:rFonts w:ascii="Arial" w:cs="Arial" w:eastAsia="Arial" w:hAnsi="Arial"/>
          <w:sz w:val="17"/>
          <w:szCs w:val="17"/>
          <w:color w:val="auto"/>
        </w:rPr>
      </w:pPr>
    </w:p>
    <w:p>
      <w:pPr>
        <w:ind w:right="40" w:firstLine="423"/>
        <w:spacing w:after="0" w:line="347" w:lineRule="auto"/>
        <w:tabs>
          <w:tab w:leader="none" w:pos="634"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8" w:lineRule="exact"/>
        <w:rPr>
          <w:rFonts w:ascii="Arial" w:cs="Arial" w:eastAsia="Arial" w:hAnsi="Arial"/>
          <w:sz w:val="15"/>
          <w:szCs w:val="15"/>
          <w:color w:val="auto"/>
        </w:rPr>
      </w:pPr>
    </w:p>
    <w:p>
      <w:pPr>
        <w:ind w:left="1120" w:right="140" w:hanging="500"/>
        <w:spacing w:after="0" w:line="265" w:lineRule="auto"/>
        <w:tabs>
          <w:tab w:leader="none" w:pos="111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120" w:right="120" w:hanging="500"/>
        <w:spacing w:after="0" w:line="265" w:lineRule="auto"/>
        <w:tabs>
          <w:tab w:leader="none" w:pos="112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1120" w:right="180" w:hanging="500"/>
        <w:spacing w:after="0" w:line="311" w:lineRule="auto"/>
        <w:tabs>
          <w:tab w:leader="none" w:pos="1125" w:val="left"/>
        </w:tabs>
        <w:numPr>
          <w:ilvl w:val="1"/>
          <w:numId w:val="2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1120" w:right="240" w:hanging="500"/>
        <w:spacing w:after="0" w:line="311" w:lineRule="auto"/>
        <w:tabs>
          <w:tab w:leader="none" w:pos="1122" w:val="left"/>
        </w:tabs>
        <w:numPr>
          <w:ilvl w:val="1"/>
          <w:numId w:val="24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0" w:lineRule="exact"/>
        <w:rPr>
          <w:rFonts w:ascii="Arial" w:cs="Arial" w:eastAsia="Arial" w:hAnsi="Arial"/>
          <w:sz w:val="16"/>
          <w:szCs w:val="16"/>
          <w:color w:val="auto"/>
        </w:rPr>
      </w:pPr>
    </w:p>
    <w:p>
      <w:pPr>
        <w:ind w:right="760" w:firstLine="423"/>
        <w:spacing w:after="0" w:line="311" w:lineRule="auto"/>
        <w:tabs>
          <w:tab w:leader="none" w:pos="63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0" w:lineRule="exact"/>
        <w:rPr>
          <w:rFonts w:ascii="Arial" w:cs="Arial" w:eastAsia="Arial" w:hAnsi="Arial"/>
          <w:sz w:val="16"/>
          <w:szCs w:val="16"/>
          <w:color w:val="auto"/>
        </w:rPr>
      </w:pPr>
    </w:p>
    <w:p>
      <w:pPr>
        <w:ind w:left="1120" w:right="100" w:hanging="500"/>
        <w:spacing w:after="0" w:line="278" w:lineRule="auto"/>
        <w:tabs>
          <w:tab w:leader="none" w:pos="111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4" w:lineRule="exact"/>
        <w:rPr>
          <w:rFonts w:ascii="Arial" w:cs="Arial" w:eastAsia="Arial" w:hAnsi="Arial"/>
          <w:sz w:val="17"/>
          <w:szCs w:val="17"/>
          <w:color w:val="auto"/>
        </w:rPr>
      </w:pPr>
    </w:p>
    <w:p>
      <w:pPr>
        <w:ind w:left="1120" w:right="160" w:hanging="500"/>
        <w:spacing w:after="0" w:line="278" w:lineRule="auto"/>
        <w:tabs>
          <w:tab w:leader="none" w:pos="112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5"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Date:</w:t>
        <w:tab/>
        <w:t>April 21, 2017</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Onward Choi</w:t>
            </w:r>
          </w:p>
        </w:tc>
        <w:tc>
          <w:tcPr>
            <w:tcW w:w="5740" w:type="dxa"/>
            <w:vAlign w:val="bottom"/>
          </w:tcPr>
          <w:p>
            <w:pPr>
              <w:spacing w:after="0"/>
              <w:rPr>
                <w:sz w:val="18"/>
                <w:szCs w:val="18"/>
                <w:color w:val="auto"/>
              </w:rPr>
            </w:pPr>
          </w:p>
        </w:tc>
      </w:tr>
      <w:tr>
        <w:trPr>
          <w:trHeight w:val="187"/>
        </w:trPr>
        <w:tc>
          <w:tcPr>
            <w:tcW w:w="580" w:type="dxa"/>
            <w:vAlign w:val="bottom"/>
          </w:tcPr>
          <w:p>
            <w:pPr>
              <w:spacing w:after="0"/>
              <w:rPr>
                <w:sz w:val="16"/>
                <w:szCs w:val="16"/>
                <w:color w:val="auto"/>
              </w:rPr>
            </w:pPr>
          </w:p>
        </w:tc>
        <w:tc>
          <w:tcPr>
            <w:tcW w:w="5140" w:type="dxa"/>
            <w:vAlign w:val="bottom"/>
          </w:tcPr>
          <w:p>
            <w:pPr>
              <w:spacing w:after="0" w:line="187" w:lineRule="exact"/>
              <w:rPr>
                <w:sz w:val="20"/>
                <w:szCs w:val="20"/>
                <w:color w:val="auto"/>
              </w:rPr>
            </w:pPr>
            <w:r>
              <w:rPr>
                <w:rFonts w:ascii="Arial" w:cs="Arial" w:eastAsia="Arial" w:hAnsi="Arial"/>
                <w:sz w:val="17"/>
                <w:szCs w:val="17"/>
                <w:color w:val="auto"/>
              </w:rPr>
              <w:t>Onward Choi</w:t>
            </w:r>
          </w:p>
        </w:tc>
        <w:tc>
          <w:tcPr>
            <w:tcW w:w="5740" w:type="dxa"/>
            <w:vAlign w:val="bottom"/>
          </w:tcPr>
          <w:p>
            <w:pPr>
              <w:spacing w:after="0"/>
              <w:rPr>
                <w:sz w:val="16"/>
                <w:szCs w:val="16"/>
                <w:color w:val="auto"/>
              </w:rPr>
            </w:pPr>
          </w:p>
        </w:tc>
      </w:tr>
      <w:tr>
        <w:trPr>
          <w:trHeight w:val="217"/>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Acting Chief Financial Officer</w:t>
            </w:r>
          </w:p>
        </w:tc>
        <w:tc>
          <w:tcPr>
            <w:tcW w:w="5740" w:type="dxa"/>
            <w:vAlign w:val="bottom"/>
          </w:tcPr>
          <w:p>
            <w:pPr>
              <w:spacing w:after="0"/>
              <w:rPr>
                <w:sz w:val="18"/>
                <w:szCs w:val="18"/>
                <w:color w:val="auto"/>
              </w:rPr>
            </w:pPr>
          </w:p>
        </w:tc>
      </w:tr>
      <w:tr>
        <w:trPr>
          <w:trHeight w:val="332"/>
        </w:trPr>
        <w:tc>
          <w:tcPr>
            <w:tcW w:w="5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8" w:name="page139"/>
    <w:bookmarkEnd w:id="138"/>
    <w:p>
      <w:pPr>
        <w:ind w:left="10540"/>
        <w:spacing w:after="0"/>
        <w:rPr>
          <w:sz w:val="20"/>
          <w:szCs w:val="20"/>
          <w:color w:val="auto"/>
        </w:rPr>
      </w:pPr>
      <w:r>
        <w:rPr>
          <w:rFonts w:ascii="Arial" w:cs="Arial" w:eastAsia="Arial" w:hAnsi="Arial"/>
          <w:sz w:val="16"/>
          <w:szCs w:val="16"/>
          <w:b w:val="1"/>
          <w:bCs w:val="1"/>
          <w:color w:val="auto"/>
        </w:rPr>
        <w:t>Exhibit 13.1</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906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6"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In connection with the periodic report of NetEase, Inc. (the “Company”) on Form 20-F for the year ended December 31, 2015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76" w:lineRule="exact"/>
        <w:rPr>
          <w:sz w:val="20"/>
          <w:szCs w:val="20"/>
          <w:color w:val="auto"/>
        </w:rPr>
      </w:pPr>
    </w:p>
    <w:p>
      <w:pPr>
        <w:ind w:left="180" w:hanging="177"/>
        <w:spacing w:after="0"/>
        <w:tabs>
          <w:tab w:leader="none" w:pos="1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16" w:lineRule="exact"/>
        <w:rPr>
          <w:rFonts w:ascii="Arial" w:cs="Arial" w:eastAsia="Arial" w:hAnsi="Arial"/>
          <w:sz w:val="17"/>
          <w:szCs w:val="17"/>
          <w:color w:val="auto"/>
        </w:rPr>
      </w:pPr>
    </w:p>
    <w:p>
      <w:pPr>
        <w:ind w:right="260" w:firstLine="3"/>
        <w:spacing w:after="0" w:line="278" w:lineRule="auto"/>
        <w:tabs>
          <w:tab w:leader="none" w:pos="17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indicated.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This Certificate has not been, and shall not be deemed, “filed” with the Securities and Exchange Commission.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5060" w:type="dxa"/>
            <w:vAlign w:val="bottom"/>
          </w:tcPr>
          <w:p>
            <w:pPr>
              <w:spacing w:after="0"/>
              <w:rPr>
                <w:sz w:val="20"/>
                <w:szCs w:val="20"/>
                <w:color w:val="auto"/>
              </w:rPr>
            </w:pPr>
            <w:r>
              <w:rPr>
                <w:rFonts w:ascii="Arial" w:cs="Arial" w:eastAsia="Arial" w:hAnsi="Arial"/>
                <w:sz w:val="17"/>
                <w:szCs w:val="17"/>
                <w:color w:val="auto"/>
              </w:rPr>
              <w:t>April 21, 2017</w:t>
            </w:r>
          </w:p>
        </w:tc>
        <w:tc>
          <w:tcPr>
            <w:tcW w:w="5700" w:type="dxa"/>
            <w:vAlign w:val="bottom"/>
          </w:tcPr>
          <w:p>
            <w:pPr>
              <w:spacing w:after="0"/>
              <w:rPr>
                <w:sz w:val="18"/>
                <w:szCs w:val="18"/>
                <w:color w:val="auto"/>
              </w:rPr>
            </w:pPr>
          </w:p>
        </w:tc>
      </w:tr>
      <w:tr>
        <w:trPr>
          <w:trHeight w:val="617"/>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Lei Ding</w:t>
            </w:r>
          </w:p>
        </w:tc>
        <w:tc>
          <w:tcPr>
            <w:tcW w:w="5700" w:type="dxa"/>
            <w:vAlign w:val="bottom"/>
          </w:tcPr>
          <w:p>
            <w:pPr>
              <w:spacing w:after="0"/>
              <w:rPr>
                <w:sz w:val="24"/>
                <w:szCs w:val="24"/>
                <w:color w:val="auto"/>
              </w:rPr>
            </w:pPr>
          </w:p>
        </w:tc>
      </w:tr>
      <w:tr>
        <w:trPr>
          <w:trHeight w:val="188"/>
        </w:trPr>
        <w:tc>
          <w:tcPr>
            <w:tcW w:w="700" w:type="dxa"/>
            <w:vAlign w:val="bottom"/>
          </w:tcPr>
          <w:p>
            <w:pPr>
              <w:spacing w:after="0" w:line="188" w:lineRule="exact"/>
              <w:rPr>
                <w:sz w:val="20"/>
                <w:szCs w:val="20"/>
                <w:color w:val="auto"/>
              </w:rPr>
            </w:pPr>
            <w:r>
              <w:rPr>
                <w:rFonts w:ascii="Arial" w:cs="Arial" w:eastAsia="Arial" w:hAnsi="Arial"/>
                <w:sz w:val="17"/>
                <w:szCs w:val="17"/>
                <w:color w:val="auto"/>
              </w:rPr>
              <w:t>Name:</w:t>
            </w:r>
          </w:p>
        </w:tc>
        <w:tc>
          <w:tcPr>
            <w:tcW w:w="5060" w:type="dxa"/>
            <w:vAlign w:val="bottom"/>
          </w:tcPr>
          <w:p>
            <w:pPr>
              <w:spacing w:after="0" w:line="188" w:lineRule="exact"/>
              <w:rPr>
                <w:sz w:val="20"/>
                <w:szCs w:val="20"/>
                <w:color w:val="auto"/>
              </w:rPr>
            </w:pPr>
            <w:r>
              <w:rPr>
                <w:rFonts w:ascii="Arial" w:cs="Arial" w:eastAsia="Arial" w:hAnsi="Arial"/>
                <w:sz w:val="17"/>
                <w:szCs w:val="17"/>
                <w:color w:val="auto"/>
              </w:rPr>
              <w:t>William Lei Ding</w:t>
            </w:r>
          </w:p>
        </w:tc>
        <w:tc>
          <w:tcPr>
            <w:tcW w:w="5700" w:type="dxa"/>
            <w:vAlign w:val="bottom"/>
          </w:tcPr>
          <w:p>
            <w:pPr>
              <w:spacing w:after="0"/>
              <w:rPr>
                <w:sz w:val="16"/>
                <w:szCs w:val="16"/>
                <w:color w:val="auto"/>
              </w:rPr>
            </w:pPr>
          </w:p>
        </w:tc>
      </w:t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6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5700" w:type="dxa"/>
            <w:vAlign w:val="bottom"/>
          </w:tcPr>
          <w:p>
            <w:pPr>
              <w:spacing w:after="0"/>
              <w:rPr>
                <w:sz w:val="18"/>
                <w:szCs w:val="18"/>
                <w:color w:val="auto"/>
              </w:rPr>
            </w:pPr>
          </w:p>
        </w:tc>
      </w:tr>
      <w:tr>
        <w:trPr>
          <w:trHeight w:val="332"/>
        </w:trPr>
        <w:tc>
          <w:tcPr>
            <w:tcW w:w="70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9" w:name="page140"/>
    <w:bookmarkEnd w:id="139"/>
    <w:p>
      <w:pPr>
        <w:ind w:left="10540"/>
        <w:spacing w:after="0"/>
        <w:rPr>
          <w:sz w:val="20"/>
          <w:szCs w:val="20"/>
          <w:color w:val="auto"/>
        </w:rPr>
      </w:pPr>
      <w:r>
        <w:rPr>
          <w:rFonts w:ascii="Arial" w:cs="Arial" w:eastAsia="Arial" w:hAnsi="Arial"/>
          <w:sz w:val="16"/>
          <w:szCs w:val="16"/>
          <w:b w:val="1"/>
          <w:bCs w:val="1"/>
          <w:color w:val="auto"/>
        </w:rPr>
        <w:t>Exhibit 13.2</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906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connection with the periodic report of NetEase, Inc. (the “Company”) on Form 20-F for the year ended December 31, 2015 as filed with the Securities and Exchange Commission (the “Report”), I, Onward Choi, the Acting Chief Financial Officer of the Company, hereby certify as of the date hereof, solely for purposes of Title 18, Chapter 63, Section 1350 of the United States Code, that to the best of my knowledge:</w:t>
      </w:r>
    </w:p>
    <w:p>
      <w:pPr>
        <w:spacing w:after="0" w:line="176" w:lineRule="exact"/>
        <w:rPr>
          <w:sz w:val="20"/>
          <w:szCs w:val="20"/>
          <w:color w:val="auto"/>
        </w:rPr>
      </w:pPr>
    </w:p>
    <w:p>
      <w:pPr>
        <w:ind w:left="180" w:hanging="177"/>
        <w:spacing w:after="0"/>
        <w:tabs>
          <w:tab w:leader="none" w:pos="1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16" w:lineRule="exact"/>
        <w:rPr>
          <w:rFonts w:ascii="Arial" w:cs="Arial" w:eastAsia="Arial" w:hAnsi="Arial"/>
          <w:sz w:val="17"/>
          <w:szCs w:val="17"/>
          <w:color w:val="auto"/>
        </w:rPr>
      </w:pPr>
    </w:p>
    <w:p>
      <w:pPr>
        <w:ind w:right="260" w:firstLine="3"/>
        <w:spacing w:after="0" w:line="278" w:lineRule="auto"/>
        <w:tabs>
          <w:tab w:leader="none" w:pos="17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indicated.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This Certificate has not been, and shall not be deemed, “filed” with the Securities and Exchange Commission.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20"/>
                <w:szCs w:val="20"/>
                <w:color w:val="auto"/>
              </w:rPr>
            </w:pPr>
            <w:r>
              <w:rPr>
                <w:rFonts w:ascii="Arial" w:cs="Arial" w:eastAsia="Arial" w:hAnsi="Arial"/>
                <w:sz w:val="17"/>
                <w:szCs w:val="17"/>
                <w:color w:val="auto"/>
              </w:rPr>
              <w:t>April 21, 2017</w:t>
            </w:r>
          </w:p>
        </w:tc>
        <w:tc>
          <w:tcPr>
            <w:tcW w:w="5700" w:type="dxa"/>
            <w:vAlign w:val="bottom"/>
          </w:tcPr>
          <w:p>
            <w:pPr>
              <w:spacing w:after="0"/>
              <w:rPr>
                <w:sz w:val="18"/>
                <w:szCs w:val="18"/>
                <w:color w:val="auto"/>
              </w:rPr>
            </w:pPr>
          </w:p>
        </w:tc>
      </w:tr>
      <w:tr>
        <w:trPr>
          <w:trHeight w:val="617"/>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Onward Choi</w:t>
            </w:r>
          </w:p>
        </w:tc>
        <w:tc>
          <w:tcPr>
            <w:tcW w:w="5700" w:type="dxa"/>
            <w:vAlign w:val="bottom"/>
          </w:tcPr>
          <w:p>
            <w:pPr>
              <w:spacing w:after="0"/>
              <w:rPr>
                <w:sz w:val="24"/>
                <w:szCs w:val="24"/>
                <w:color w:val="auto"/>
              </w:rPr>
            </w:pPr>
          </w:p>
        </w:tc>
      </w:tr>
      <w:tr>
        <w:trPr>
          <w:trHeight w:val="188"/>
        </w:trPr>
        <w:tc>
          <w:tcPr>
            <w:tcW w:w="680" w:type="dxa"/>
            <w:vAlign w:val="bottom"/>
          </w:tcPr>
          <w:p>
            <w:pPr>
              <w:spacing w:after="0" w:line="188" w:lineRule="exact"/>
              <w:rPr>
                <w:sz w:val="20"/>
                <w:szCs w:val="20"/>
                <w:color w:val="auto"/>
              </w:rPr>
            </w:pPr>
            <w:r>
              <w:rPr>
                <w:rFonts w:ascii="Arial" w:cs="Arial" w:eastAsia="Arial" w:hAnsi="Arial"/>
                <w:sz w:val="17"/>
                <w:szCs w:val="17"/>
                <w:color w:val="auto"/>
              </w:rPr>
              <w:t>Name:</w:t>
            </w:r>
          </w:p>
        </w:tc>
        <w:tc>
          <w:tcPr>
            <w:tcW w:w="5080" w:type="dxa"/>
            <w:vAlign w:val="bottom"/>
          </w:tcPr>
          <w:p>
            <w:pPr>
              <w:spacing w:after="0" w:line="188" w:lineRule="exact"/>
              <w:rPr>
                <w:sz w:val="20"/>
                <w:szCs w:val="20"/>
                <w:color w:val="auto"/>
              </w:rPr>
            </w:pPr>
            <w:r>
              <w:rPr>
                <w:rFonts w:ascii="Arial" w:cs="Arial" w:eastAsia="Arial" w:hAnsi="Arial"/>
                <w:sz w:val="17"/>
                <w:szCs w:val="17"/>
                <w:color w:val="auto"/>
              </w:rPr>
              <w:t>Onward Choi</w:t>
            </w:r>
          </w:p>
        </w:tc>
        <w:tc>
          <w:tcPr>
            <w:tcW w:w="5700" w:type="dxa"/>
            <w:vAlign w:val="bottom"/>
          </w:tcPr>
          <w:p>
            <w:pPr>
              <w:spacing w:after="0"/>
              <w:rPr>
                <w:sz w:val="16"/>
                <w:szCs w:val="16"/>
                <w:color w:val="auto"/>
              </w:rPr>
            </w:pPr>
          </w:p>
        </w:tc>
      </w:tr>
      <w:tr>
        <w:trPr>
          <w:trHeight w:val="217"/>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Acting Chief Financial Officer</w:t>
            </w:r>
          </w:p>
        </w:tc>
        <w:tc>
          <w:tcPr>
            <w:tcW w:w="5700" w:type="dxa"/>
            <w:vAlign w:val="bottom"/>
          </w:tcPr>
          <w:p>
            <w:pPr>
              <w:spacing w:after="0"/>
              <w:rPr>
                <w:sz w:val="18"/>
                <w:szCs w:val="18"/>
                <w:color w:val="auto"/>
              </w:rPr>
            </w:pPr>
          </w:p>
        </w:tc>
      </w:tr>
      <w:tr>
        <w:trPr>
          <w:trHeight w:val="332"/>
        </w:trPr>
        <w:tc>
          <w:tcPr>
            <w:tcW w:w="68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15.2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16" w:lineRule="exact"/>
        <w:rPr>
          <w:sz w:val="20"/>
          <w:szCs w:val="20"/>
          <w:color w:val="auto"/>
        </w:rPr>
      </w:pPr>
    </w:p>
    <w:p>
      <w:pPr>
        <w:ind w:right="340"/>
        <w:spacing w:after="0" w:line="347"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333-100069 and No. 333-164249) of NetEase, Inc. of our report dated April 21, 2017 relating to the financial statements and the effectiveness of internal control over financial reporting, which appears in this Form 20-F.</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Zhong Tian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Zhong Tian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Beijing, the People’s Republic of China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21,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7392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b w:val="1"/>
          <w:bCs w:val="1"/>
          <w:color w:val="auto"/>
        </w:rPr>
        <w:t>Exhibit 15.3</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NetEase,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Building No. 7, West Zone,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Zhongguancun Software Park (Phase II),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 10 Xibeiwang East Road, Haidian District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Beijing 100193, People’s Republic of China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21 April 2017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Sir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NetEase, Inc.</w:t>
      </w:r>
    </w:p>
    <w:p>
      <w:pPr>
        <w:spacing w:after="0" w:line="22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have acted as legal advisors as to the laws of the Cayman Islands to NetEase, Inc., an exempted limited liability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of an annual report on Form 20-F for the year ended December 31, 2016.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reference of our name under the headings “Taxation” and “Enforcement of Civil Liabilities” in the Form 20-F.</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Maples and Calder (Hong Kong)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727392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3925" cy="292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jc w:val="right"/>
        <w:ind w:right="40"/>
        <w:spacing w:after="0"/>
        <w:rPr>
          <w:sz w:val="20"/>
          <w:szCs w:val="20"/>
          <w:color w:val="auto"/>
        </w:rPr>
      </w:pPr>
      <w:r>
        <w:rPr>
          <w:rFonts w:ascii="Arial" w:cs="Arial" w:eastAsia="Arial" w:hAnsi="Arial"/>
          <w:sz w:val="17"/>
          <w:szCs w:val="17"/>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148590</wp:posOffset>
            </wp:positionV>
            <wp:extent cx="6085205" cy="4330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85205"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20/F, China Resources Building</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8 Jianguomenbei Avenue</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Beijing 100005, PRC</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T: (86-10) 8519-1300</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F: (86-10) 8519-1350</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junhebj@junhe.com</w:t>
      </w: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April 21,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NetEase,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Building No. 7, West Zone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Zhongguancun Software Park (Phase II)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 10 Xibeiwang East Road, Haidian District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Beijing, People’s Republic of China 100193.</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 Consent of People’s Republic of China Counsel</w:t>
      </w:r>
    </w:p>
    <w:p>
      <w:pPr>
        <w:spacing w:after="0" w:line="21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We consent to the reference to our firm under the heading “Enforcement of Civil Liabilities” in the annual report on Form 20-F for the year ended December 31, 2016 of NetEase, Inc. to be filed with the Securities and Exchange Commission in the month of April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60" w:type="dxa"/>
            <w:vAlign w:val="bottom"/>
          </w:tcPr>
          <w:p>
            <w:pPr>
              <w:spacing w:after="0"/>
              <w:rPr>
                <w:sz w:val="20"/>
                <w:szCs w:val="20"/>
                <w:color w:val="auto"/>
              </w:rPr>
            </w:pPr>
            <w:r>
              <w:rPr>
                <w:rFonts w:ascii="Arial" w:cs="Arial" w:eastAsia="Arial" w:hAnsi="Arial"/>
                <w:sz w:val="17"/>
                <w:szCs w:val="17"/>
                <w:color w:val="auto"/>
              </w:rPr>
              <w:t>Very truly yours,</w:t>
            </w:r>
          </w:p>
        </w:tc>
        <w:tc>
          <w:tcPr>
            <w:tcW w:w="2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95"/>
        </w:trPr>
        <w:tc>
          <w:tcPr>
            <w:tcW w:w="1960" w:type="dxa"/>
            <w:vAlign w:val="bottom"/>
          </w:tcPr>
          <w:p>
            <w:pPr>
              <w:spacing w:after="0"/>
              <w:rPr>
                <w:sz w:val="20"/>
                <w:szCs w:val="20"/>
                <w:color w:val="auto"/>
              </w:rPr>
            </w:pPr>
            <w:r>
              <w:rPr>
                <w:rFonts w:ascii="Arial" w:cs="Arial" w:eastAsia="Arial" w:hAnsi="Arial"/>
                <w:sz w:val="17"/>
                <w:szCs w:val="17"/>
                <w:color w:val="auto"/>
              </w:rPr>
              <w:t>/s/ Jun He Law Offices</w:t>
            </w: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7"/>
                <w:szCs w:val="17"/>
                <w:b w:val="1"/>
                <w:bCs w:val="1"/>
                <w:color w:val="auto"/>
              </w:rPr>
              <w:t>Jun He Law Offices</w:t>
            </w:r>
          </w:p>
        </w:tc>
        <w:tc>
          <w:tcPr>
            <w:tcW w:w="23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01"/>
        </w:trPr>
        <w:tc>
          <w:tcPr>
            <w:tcW w:w="1960" w:type="dxa"/>
            <w:vAlign w:val="bottom"/>
          </w:tcPr>
          <w:p>
            <w:pPr>
              <w:spacing w:after="0"/>
              <w:rPr>
                <w:sz w:val="20"/>
                <w:szCs w:val="20"/>
                <w:color w:val="auto"/>
              </w:rPr>
            </w:pPr>
            <w:r>
              <w:rPr>
                <w:rFonts w:ascii="Arial" w:cs="Arial" w:eastAsia="Arial" w:hAnsi="Arial"/>
                <w:sz w:val="17"/>
                <w:szCs w:val="17"/>
                <w:b w:val="1"/>
                <w:bCs w:val="1"/>
                <w:color w:val="auto"/>
              </w:rPr>
              <w:t>Beijing Head Office</w:t>
            </w:r>
          </w:p>
        </w:tc>
        <w:tc>
          <w:tcPr>
            <w:tcW w:w="2360" w:type="dxa"/>
            <w:vAlign w:val="bottom"/>
          </w:tcPr>
          <w:p>
            <w:pPr>
              <w:ind w:left="300"/>
              <w:spacing w:after="0"/>
              <w:rPr>
                <w:sz w:val="20"/>
                <w:szCs w:val="20"/>
                <w:color w:val="auto"/>
              </w:rPr>
            </w:pPr>
            <w:r>
              <w:rPr>
                <w:rFonts w:ascii="Arial" w:cs="Arial" w:eastAsia="Arial" w:hAnsi="Arial"/>
                <w:sz w:val="17"/>
                <w:szCs w:val="17"/>
                <w:b w:val="1"/>
                <w:bCs w:val="1"/>
                <w:color w:val="auto"/>
              </w:rPr>
              <w:t>Shenzhen Office</w:t>
            </w:r>
          </w:p>
        </w:tc>
        <w:tc>
          <w:tcPr>
            <w:tcW w:w="2380" w:type="dxa"/>
            <w:vAlign w:val="bottom"/>
          </w:tcPr>
          <w:p>
            <w:pPr>
              <w:ind w:left="320"/>
              <w:spacing w:after="0"/>
              <w:rPr>
                <w:sz w:val="20"/>
                <w:szCs w:val="20"/>
                <w:color w:val="auto"/>
              </w:rPr>
            </w:pPr>
            <w:r>
              <w:rPr>
                <w:rFonts w:ascii="Arial" w:cs="Arial" w:eastAsia="Arial" w:hAnsi="Arial"/>
                <w:sz w:val="17"/>
                <w:szCs w:val="17"/>
                <w:b w:val="1"/>
                <w:bCs w:val="1"/>
                <w:color w:val="auto"/>
              </w:rPr>
              <w:t>Dalian Office</w:t>
            </w:r>
          </w:p>
        </w:tc>
        <w:tc>
          <w:tcPr>
            <w:tcW w:w="2200" w:type="dxa"/>
            <w:vAlign w:val="bottom"/>
          </w:tcPr>
          <w:p>
            <w:pPr>
              <w:ind w:left="320"/>
              <w:spacing w:after="0"/>
              <w:rPr>
                <w:sz w:val="20"/>
                <w:szCs w:val="20"/>
                <w:color w:val="auto"/>
              </w:rPr>
            </w:pPr>
            <w:r>
              <w:rPr>
                <w:rFonts w:ascii="Arial" w:cs="Arial" w:eastAsia="Arial" w:hAnsi="Arial"/>
                <w:sz w:val="17"/>
                <w:szCs w:val="17"/>
                <w:b w:val="1"/>
                <w:bCs w:val="1"/>
                <w:color w:val="auto"/>
              </w:rPr>
              <w:t>Hong Kong Office</w:t>
            </w:r>
          </w:p>
        </w:tc>
        <w:tc>
          <w:tcPr>
            <w:tcW w:w="2560" w:type="dxa"/>
            <w:vAlign w:val="bottom"/>
          </w:tcPr>
          <w:p>
            <w:pPr>
              <w:ind w:left="320"/>
              <w:spacing w:after="0"/>
              <w:rPr>
                <w:sz w:val="20"/>
                <w:szCs w:val="20"/>
                <w:color w:val="auto"/>
              </w:rPr>
            </w:pPr>
            <w:r>
              <w:rPr>
                <w:rFonts w:ascii="Arial" w:cs="Arial" w:eastAsia="Arial" w:hAnsi="Arial"/>
                <w:sz w:val="17"/>
                <w:szCs w:val="17"/>
                <w:b w:val="1"/>
                <w:bCs w:val="1"/>
                <w:color w:val="auto"/>
              </w:rPr>
              <w:t>Silicon Valley Office</w:t>
            </w:r>
          </w:p>
        </w:tc>
      </w:tr>
      <w:tr>
        <w:trPr>
          <w:trHeight w:val="206"/>
        </w:trPr>
        <w:tc>
          <w:tcPr>
            <w:tcW w:w="1960" w:type="dxa"/>
            <w:vAlign w:val="bottom"/>
          </w:tcPr>
          <w:p>
            <w:pPr>
              <w:spacing w:after="0"/>
              <w:rPr>
                <w:sz w:val="20"/>
                <w:szCs w:val="20"/>
                <w:color w:val="auto"/>
              </w:rPr>
            </w:pPr>
            <w:r>
              <w:rPr>
                <w:rFonts w:ascii="Arial" w:cs="Arial" w:eastAsia="Arial" w:hAnsi="Arial"/>
                <w:sz w:val="17"/>
                <w:szCs w:val="17"/>
                <w:color w:val="auto"/>
              </w:rPr>
              <w:t>Tel: (86-10) 8519-1300</w:t>
            </w:r>
          </w:p>
        </w:tc>
        <w:tc>
          <w:tcPr>
            <w:tcW w:w="2360" w:type="dxa"/>
            <w:vAlign w:val="bottom"/>
          </w:tcPr>
          <w:p>
            <w:pPr>
              <w:ind w:left="300"/>
              <w:spacing w:after="0"/>
              <w:rPr>
                <w:sz w:val="20"/>
                <w:szCs w:val="20"/>
                <w:color w:val="auto"/>
              </w:rPr>
            </w:pPr>
            <w:r>
              <w:rPr>
                <w:rFonts w:ascii="Arial" w:cs="Arial" w:eastAsia="Arial" w:hAnsi="Arial"/>
                <w:sz w:val="17"/>
                <w:szCs w:val="17"/>
                <w:color w:val="auto"/>
              </w:rPr>
              <w:t>Tel: (86-755) 2587-0765</w:t>
            </w:r>
          </w:p>
        </w:tc>
        <w:tc>
          <w:tcPr>
            <w:tcW w:w="2380" w:type="dxa"/>
            <w:vAlign w:val="bottom"/>
          </w:tcPr>
          <w:p>
            <w:pPr>
              <w:ind w:left="320"/>
              <w:spacing w:after="0"/>
              <w:rPr>
                <w:sz w:val="20"/>
                <w:szCs w:val="20"/>
                <w:color w:val="auto"/>
              </w:rPr>
            </w:pPr>
            <w:r>
              <w:rPr>
                <w:rFonts w:ascii="Arial" w:cs="Arial" w:eastAsia="Arial" w:hAnsi="Arial"/>
                <w:sz w:val="17"/>
                <w:szCs w:val="17"/>
                <w:color w:val="auto"/>
              </w:rPr>
              <w:t>Tel: (86-411) 8250-7578</w:t>
            </w:r>
          </w:p>
        </w:tc>
        <w:tc>
          <w:tcPr>
            <w:tcW w:w="2200" w:type="dxa"/>
            <w:vAlign w:val="bottom"/>
          </w:tcPr>
          <w:p>
            <w:pPr>
              <w:ind w:left="320"/>
              <w:spacing w:after="0"/>
              <w:rPr>
                <w:sz w:val="20"/>
                <w:szCs w:val="20"/>
                <w:color w:val="auto"/>
              </w:rPr>
            </w:pPr>
            <w:r>
              <w:rPr>
                <w:rFonts w:ascii="Arial" w:cs="Arial" w:eastAsia="Arial" w:hAnsi="Arial"/>
                <w:sz w:val="17"/>
                <w:szCs w:val="17"/>
                <w:color w:val="auto"/>
              </w:rPr>
              <w:t>Tel: (852) 2167-0000</w:t>
            </w:r>
          </w:p>
        </w:tc>
        <w:tc>
          <w:tcPr>
            <w:tcW w:w="2560" w:type="dxa"/>
            <w:vAlign w:val="bottom"/>
          </w:tcPr>
          <w:p>
            <w:pPr>
              <w:ind w:left="320"/>
              <w:spacing w:after="0"/>
              <w:rPr>
                <w:sz w:val="20"/>
                <w:szCs w:val="20"/>
                <w:color w:val="auto"/>
              </w:rPr>
            </w:pPr>
            <w:r>
              <w:rPr>
                <w:rFonts w:ascii="Arial" w:cs="Arial" w:eastAsia="Arial" w:hAnsi="Arial"/>
                <w:sz w:val="17"/>
                <w:szCs w:val="17"/>
                <w:color w:val="auto"/>
              </w:rPr>
              <w:t>Tel: (1-888) 886-8168</w:t>
            </w:r>
          </w:p>
        </w:tc>
      </w:tr>
      <w:tr>
        <w:trPr>
          <w:trHeight w:val="200"/>
        </w:trPr>
        <w:tc>
          <w:tcPr>
            <w:tcW w:w="1960" w:type="dxa"/>
            <w:vAlign w:val="bottom"/>
          </w:tcPr>
          <w:p>
            <w:pPr>
              <w:spacing w:after="0"/>
              <w:rPr>
                <w:sz w:val="20"/>
                <w:szCs w:val="20"/>
                <w:color w:val="auto"/>
              </w:rPr>
            </w:pPr>
            <w:r>
              <w:rPr>
                <w:rFonts w:ascii="Arial" w:cs="Arial" w:eastAsia="Arial" w:hAnsi="Arial"/>
                <w:sz w:val="17"/>
                <w:szCs w:val="17"/>
                <w:color w:val="auto"/>
              </w:rPr>
              <w:t>Fax: (86-10) 8519-1350</w:t>
            </w:r>
          </w:p>
        </w:tc>
        <w:tc>
          <w:tcPr>
            <w:tcW w:w="2360" w:type="dxa"/>
            <w:vAlign w:val="bottom"/>
          </w:tcPr>
          <w:p>
            <w:pPr>
              <w:ind w:left="300"/>
              <w:spacing w:after="0"/>
              <w:rPr>
                <w:sz w:val="20"/>
                <w:szCs w:val="20"/>
                <w:color w:val="auto"/>
              </w:rPr>
            </w:pPr>
            <w:r>
              <w:rPr>
                <w:rFonts w:ascii="Arial" w:cs="Arial" w:eastAsia="Arial" w:hAnsi="Arial"/>
                <w:sz w:val="17"/>
                <w:szCs w:val="17"/>
                <w:color w:val="auto"/>
              </w:rPr>
              <w:t>Fax: (86-755) 2587-0780</w:t>
            </w:r>
          </w:p>
        </w:tc>
        <w:tc>
          <w:tcPr>
            <w:tcW w:w="2380" w:type="dxa"/>
            <w:vAlign w:val="bottom"/>
          </w:tcPr>
          <w:p>
            <w:pPr>
              <w:ind w:left="320"/>
              <w:spacing w:after="0"/>
              <w:rPr>
                <w:sz w:val="20"/>
                <w:szCs w:val="20"/>
                <w:color w:val="auto"/>
              </w:rPr>
            </w:pPr>
            <w:r>
              <w:rPr>
                <w:rFonts w:ascii="Arial" w:cs="Arial" w:eastAsia="Arial" w:hAnsi="Arial"/>
                <w:sz w:val="17"/>
                <w:szCs w:val="17"/>
                <w:color w:val="auto"/>
              </w:rPr>
              <w:t>Fax: (86-411) 8250-7579</w:t>
            </w:r>
          </w:p>
        </w:tc>
        <w:tc>
          <w:tcPr>
            <w:tcW w:w="2200" w:type="dxa"/>
            <w:vAlign w:val="bottom"/>
          </w:tcPr>
          <w:p>
            <w:pPr>
              <w:ind w:left="320"/>
              <w:spacing w:after="0"/>
              <w:rPr>
                <w:sz w:val="20"/>
                <w:szCs w:val="20"/>
                <w:color w:val="auto"/>
              </w:rPr>
            </w:pPr>
            <w:r>
              <w:rPr>
                <w:rFonts w:ascii="Arial" w:cs="Arial" w:eastAsia="Arial" w:hAnsi="Arial"/>
                <w:sz w:val="17"/>
                <w:szCs w:val="17"/>
                <w:color w:val="auto"/>
              </w:rPr>
              <w:t>Fax: (852) 2167-0050</w:t>
            </w:r>
          </w:p>
        </w:tc>
        <w:tc>
          <w:tcPr>
            <w:tcW w:w="2560" w:type="dxa"/>
            <w:vAlign w:val="bottom"/>
          </w:tcPr>
          <w:p>
            <w:pPr>
              <w:ind w:left="320"/>
              <w:spacing w:after="0"/>
              <w:rPr>
                <w:sz w:val="20"/>
                <w:szCs w:val="20"/>
                <w:color w:val="auto"/>
              </w:rPr>
            </w:pPr>
            <w:r>
              <w:rPr>
                <w:rFonts w:ascii="Arial" w:cs="Arial" w:eastAsia="Arial" w:hAnsi="Arial"/>
                <w:sz w:val="17"/>
                <w:szCs w:val="17"/>
                <w:color w:val="auto"/>
              </w:rPr>
              <w:t>Fax: (1-888) 808-2168</w:t>
            </w:r>
          </w:p>
        </w:tc>
      </w:tr>
      <w:tr>
        <w:trPr>
          <w:trHeight w:val="212"/>
        </w:trPr>
        <w:tc>
          <w:tcPr>
            <w:tcW w:w="1960" w:type="dxa"/>
            <w:vAlign w:val="bottom"/>
          </w:tcPr>
          <w:p>
            <w:pPr>
              <w:spacing w:after="0"/>
              <w:rPr>
                <w:sz w:val="20"/>
                <w:szCs w:val="20"/>
                <w:color w:val="auto"/>
              </w:rPr>
            </w:pPr>
            <w:r>
              <w:rPr>
                <w:rFonts w:ascii="Arial" w:cs="Arial" w:eastAsia="Arial" w:hAnsi="Arial"/>
                <w:sz w:val="17"/>
                <w:szCs w:val="17"/>
                <w:b w:val="1"/>
                <w:bCs w:val="1"/>
                <w:color w:val="auto"/>
              </w:rPr>
              <w:t>Shanghai Office</w:t>
            </w:r>
          </w:p>
        </w:tc>
        <w:tc>
          <w:tcPr>
            <w:tcW w:w="2360" w:type="dxa"/>
            <w:vAlign w:val="bottom"/>
          </w:tcPr>
          <w:p>
            <w:pPr>
              <w:ind w:left="300"/>
              <w:spacing w:after="0"/>
              <w:rPr>
                <w:sz w:val="20"/>
                <w:szCs w:val="20"/>
                <w:color w:val="auto"/>
              </w:rPr>
            </w:pPr>
            <w:r>
              <w:rPr>
                <w:rFonts w:ascii="Arial" w:cs="Arial" w:eastAsia="Arial" w:hAnsi="Arial"/>
                <w:sz w:val="17"/>
                <w:szCs w:val="17"/>
                <w:b w:val="1"/>
                <w:bCs w:val="1"/>
                <w:color w:val="auto"/>
              </w:rPr>
              <w:t>Guangzhou Office</w:t>
            </w:r>
          </w:p>
        </w:tc>
        <w:tc>
          <w:tcPr>
            <w:tcW w:w="2380" w:type="dxa"/>
            <w:vAlign w:val="bottom"/>
          </w:tcPr>
          <w:p>
            <w:pPr>
              <w:ind w:left="320"/>
              <w:spacing w:after="0"/>
              <w:rPr>
                <w:sz w:val="20"/>
                <w:szCs w:val="20"/>
                <w:color w:val="auto"/>
              </w:rPr>
            </w:pPr>
            <w:r>
              <w:rPr>
                <w:rFonts w:ascii="Arial" w:cs="Arial" w:eastAsia="Arial" w:hAnsi="Arial"/>
                <w:sz w:val="17"/>
                <w:szCs w:val="17"/>
                <w:b w:val="1"/>
                <w:bCs w:val="1"/>
                <w:color w:val="auto"/>
              </w:rPr>
              <w:t>Haikou Office</w:t>
            </w:r>
          </w:p>
        </w:tc>
        <w:tc>
          <w:tcPr>
            <w:tcW w:w="2200" w:type="dxa"/>
            <w:vAlign w:val="bottom"/>
          </w:tcPr>
          <w:p>
            <w:pPr>
              <w:ind w:left="320"/>
              <w:spacing w:after="0"/>
              <w:rPr>
                <w:sz w:val="20"/>
                <w:szCs w:val="20"/>
                <w:color w:val="auto"/>
              </w:rPr>
            </w:pPr>
            <w:r>
              <w:rPr>
                <w:rFonts w:ascii="Arial" w:cs="Arial" w:eastAsia="Arial" w:hAnsi="Arial"/>
                <w:sz w:val="17"/>
                <w:szCs w:val="17"/>
                <w:b w:val="1"/>
                <w:bCs w:val="1"/>
                <w:color w:val="auto"/>
              </w:rPr>
              <w:t>New York Office</w:t>
            </w:r>
          </w:p>
        </w:tc>
        <w:tc>
          <w:tcPr>
            <w:tcW w:w="2560" w:type="dxa"/>
            <w:vAlign w:val="bottom"/>
          </w:tcPr>
          <w:p>
            <w:pPr>
              <w:spacing w:after="0"/>
              <w:rPr>
                <w:sz w:val="18"/>
                <w:szCs w:val="18"/>
                <w:color w:val="auto"/>
              </w:rPr>
            </w:pPr>
          </w:p>
        </w:tc>
      </w:tr>
      <w:tr>
        <w:trPr>
          <w:trHeight w:val="206"/>
        </w:trPr>
        <w:tc>
          <w:tcPr>
            <w:tcW w:w="1960" w:type="dxa"/>
            <w:vAlign w:val="bottom"/>
          </w:tcPr>
          <w:p>
            <w:pPr>
              <w:spacing w:after="0"/>
              <w:rPr>
                <w:sz w:val="20"/>
                <w:szCs w:val="20"/>
                <w:color w:val="auto"/>
              </w:rPr>
            </w:pPr>
            <w:r>
              <w:rPr>
                <w:rFonts w:ascii="Arial" w:cs="Arial" w:eastAsia="Arial" w:hAnsi="Arial"/>
                <w:sz w:val="17"/>
                <w:szCs w:val="17"/>
                <w:color w:val="auto"/>
              </w:rPr>
              <w:t>Tel: (86-21) 5298-5488</w:t>
            </w:r>
          </w:p>
        </w:tc>
        <w:tc>
          <w:tcPr>
            <w:tcW w:w="2360" w:type="dxa"/>
            <w:vAlign w:val="bottom"/>
          </w:tcPr>
          <w:p>
            <w:pPr>
              <w:ind w:left="300"/>
              <w:spacing w:after="0"/>
              <w:rPr>
                <w:sz w:val="20"/>
                <w:szCs w:val="20"/>
                <w:color w:val="auto"/>
              </w:rPr>
            </w:pPr>
            <w:r>
              <w:rPr>
                <w:rFonts w:ascii="Arial" w:cs="Arial" w:eastAsia="Arial" w:hAnsi="Arial"/>
                <w:sz w:val="17"/>
                <w:szCs w:val="17"/>
                <w:color w:val="auto"/>
              </w:rPr>
              <w:t>Tel: (86-20) 2805-9088</w:t>
            </w:r>
          </w:p>
        </w:tc>
        <w:tc>
          <w:tcPr>
            <w:tcW w:w="2380" w:type="dxa"/>
            <w:vAlign w:val="bottom"/>
          </w:tcPr>
          <w:p>
            <w:pPr>
              <w:ind w:left="320"/>
              <w:spacing w:after="0"/>
              <w:rPr>
                <w:sz w:val="20"/>
                <w:szCs w:val="20"/>
                <w:color w:val="auto"/>
              </w:rPr>
            </w:pPr>
            <w:r>
              <w:rPr>
                <w:rFonts w:ascii="Arial" w:cs="Arial" w:eastAsia="Arial" w:hAnsi="Arial"/>
                <w:sz w:val="17"/>
                <w:szCs w:val="17"/>
                <w:color w:val="auto"/>
              </w:rPr>
              <w:t>Tel: (86-898) 6851-2544</w:t>
            </w:r>
          </w:p>
        </w:tc>
        <w:tc>
          <w:tcPr>
            <w:tcW w:w="2200" w:type="dxa"/>
            <w:vAlign w:val="bottom"/>
          </w:tcPr>
          <w:p>
            <w:pPr>
              <w:ind w:left="320"/>
              <w:spacing w:after="0"/>
              <w:rPr>
                <w:sz w:val="20"/>
                <w:szCs w:val="20"/>
                <w:color w:val="auto"/>
              </w:rPr>
            </w:pPr>
            <w:r>
              <w:rPr>
                <w:rFonts w:ascii="Arial" w:cs="Arial" w:eastAsia="Arial" w:hAnsi="Arial"/>
                <w:sz w:val="17"/>
                <w:szCs w:val="17"/>
                <w:color w:val="auto"/>
              </w:rPr>
              <w:t>Tel: (1-212) 703-8702</w:t>
            </w:r>
          </w:p>
        </w:tc>
        <w:tc>
          <w:tcPr>
            <w:tcW w:w="2560" w:type="dxa"/>
            <w:vAlign w:val="bottom"/>
          </w:tcPr>
          <w:p>
            <w:pPr>
              <w:ind w:left="860"/>
              <w:spacing w:after="0"/>
              <w:rPr>
                <w:sz w:val="20"/>
                <w:szCs w:val="20"/>
                <w:color w:val="auto"/>
              </w:rPr>
            </w:pPr>
            <w:r>
              <w:rPr>
                <w:rFonts w:ascii="Arial" w:cs="Arial" w:eastAsia="Arial" w:hAnsi="Arial"/>
                <w:sz w:val="17"/>
                <w:szCs w:val="17"/>
                <w:color w:val="auto"/>
              </w:rPr>
              <w:t>www.junhe.com</w:t>
            </w:r>
          </w:p>
        </w:tc>
      </w:tr>
      <w:tr>
        <w:trPr>
          <w:trHeight w:val="217"/>
        </w:trPr>
        <w:tc>
          <w:tcPr>
            <w:tcW w:w="1960" w:type="dxa"/>
            <w:vAlign w:val="bottom"/>
          </w:tcPr>
          <w:p>
            <w:pPr>
              <w:spacing w:after="0"/>
              <w:rPr>
                <w:sz w:val="20"/>
                <w:szCs w:val="20"/>
                <w:color w:val="auto"/>
              </w:rPr>
            </w:pPr>
            <w:r>
              <w:rPr>
                <w:rFonts w:ascii="Arial" w:cs="Arial" w:eastAsia="Arial" w:hAnsi="Arial"/>
                <w:sz w:val="17"/>
                <w:szCs w:val="17"/>
                <w:color w:val="auto"/>
              </w:rPr>
              <w:t>Fax: (86-21) 5298-5492</w:t>
            </w:r>
          </w:p>
        </w:tc>
        <w:tc>
          <w:tcPr>
            <w:tcW w:w="2360" w:type="dxa"/>
            <w:vAlign w:val="bottom"/>
          </w:tcPr>
          <w:p>
            <w:pPr>
              <w:ind w:left="300"/>
              <w:spacing w:after="0"/>
              <w:rPr>
                <w:sz w:val="20"/>
                <w:szCs w:val="20"/>
                <w:color w:val="auto"/>
              </w:rPr>
            </w:pPr>
            <w:r>
              <w:rPr>
                <w:rFonts w:ascii="Arial" w:cs="Arial" w:eastAsia="Arial" w:hAnsi="Arial"/>
                <w:sz w:val="17"/>
                <w:szCs w:val="17"/>
                <w:color w:val="auto"/>
              </w:rPr>
              <w:t>Fax: (86-20) 2805-9099</w:t>
            </w:r>
          </w:p>
        </w:tc>
        <w:tc>
          <w:tcPr>
            <w:tcW w:w="2380" w:type="dxa"/>
            <w:vAlign w:val="bottom"/>
          </w:tcPr>
          <w:p>
            <w:pPr>
              <w:ind w:left="320"/>
              <w:spacing w:after="0"/>
              <w:rPr>
                <w:sz w:val="20"/>
                <w:szCs w:val="20"/>
                <w:color w:val="auto"/>
              </w:rPr>
            </w:pPr>
            <w:r>
              <w:rPr>
                <w:rFonts w:ascii="Arial" w:cs="Arial" w:eastAsia="Arial" w:hAnsi="Arial"/>
                <w:sz w:val="17"/>
                <w:szCs w:val="17"/>
                <w:color w:val="auto"/>
              </w:rPr>
              <w:t>Fax: (86-898) 6851-3514</w:t>
            </w:r>
          </w:p>
        </w:tc>
        <w:tc>
          <w:tcPr>
            <w:tcW w:w="2200" w:type="dxa"/>
            <w:vAlign w:val="bottom"/>
          </w:tcPr>
          <w:p>
            <w:pPr>
              <w:ind w:left="320"/>
              <w:spacing w:after="0"/>
              <w:rPr>
                <w:sz w:val="20"/>
                <w:szCs w:val="20"/>
                <w:color w:val="auto"/>
              </w:rPr>
            </w:pPr>
            <w:r>
              <w:rPr>
                <w:rFonts w:ascii="Arial" w:cs="Arial" w:eastAsia="Arial" w:hAnsi="Arial"/>
                <w:sz w:val="17"/>
                <w:szCs w:val="17"/>
                <w:color w:val="auto"/>
              </w:rPr>
              <w:t>Fax: (1-212) 703-8720</w:t>
            </w:r>
          </w:p>
        </w:tc>
        <w:tc>
          <w:tcPr>
            <w:tcW w:w="2560" w:type="dxa"/>
            <w:vAlign w:val="bottom"/>
          </w:tcPr>
          <w:p>
            <w:pPr>
              <w:spacing w:after="0"/>
              <w:rPr>
                <w:sz w:val="18"/>
                <w:szCs w:val="18"/>
                <w:color w:val="auto"/>
              </w:rPr>
            </w:pPr>
          </w:p>
        </w:tc>
      </w:tr>
      <w:tr>
        <w:trPr>
          <w:trHeight w:val="332"/>
        </w:trPr>
        <w:tc>
          <w:tcPr>
            <w:tcW w:w="19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15FF32"/>
    <w:multiLevelType w:val="hybridMultilevel"/>
    <w:lvl w:ilvl="0">
      <w:lvlJc w:val="left"/>
      <w:lvlText w:val="o"/>
      <w:numFmt w:val="bullet"/>
      <w:start w:val="1"/>
    </w:lvl>
  </w:abstractNum>
  <w:abstractNum w:abstractNumId="1">
    <w:nsid w:val="56438D15"/>
    <w:multiLevelType w:val="hybridMultilevel"/>
    <w:lvl w:ilvl="0">
      <w:lvlJc w:val="left"/>
      <w:lvlText w:val="x"/>
      <w:numFmt w:val="bullet"/>
      <w:start w:val="1"/>
    </w:lvl>
  </w:abstractNum>
  <w:abstractNum w:abstractNumId="2">
    <w:nsid w:val="519E3149"/>
    <w:multiLevelType w:val="hybridMultilevel"/>
    <w:lvl w:ilvl="0">
      <w:lvlJc w:val="left"/>
      <w:lvlText w:val="o"/>
      <w:numFmt w:val="bullet"/>
      <w:start w:val="1"/>
    </w:lvl>
  </w:abstractNum>
  <w:abstractNum w:abstractNumId="3">
    <w:nsid w:val="2C6E4AFD"/>
    <w:multiLevelType w:val="hybridMultilevel"/>
    <w:lvl w:ilvl="0">
      <w:lvlJc w:val="left"/>
      <w:lvlText w:val="o"/>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abstractNum>
  <w:abstractNum w:abstractNumId="6">
    <w:nsid w:val="5046B5A9"/>
    <w:multiLevelType w:val="hybridMultilevel"/>
    <w:lvl w:ilvl="0">
      <w:lvlJc w:val="left"/>
      <w:lvlText w:val="%1."/>
      <w:numFmt w:val="upperLetter"/>
      <w:start w:val="1"/>
    </w:lvl>
  </w:abstractNum>
  <w:abstractNum w:abstractNumId="7">
    <w:nsid w:val="5D888A08"/>
    <w:multiLevelType w:val="hybridMultilevel"/>
    <w:lvl w:ilvl="0">
      <w:lvlJc w:val="left"/>
      <w:lvlText w:val="%1."/>
      <w:numFmt w:val="upperLetter"/>
      <w:start w:val="2"/>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1."/>
      <w:numFmt w:val="upperLetter"/>
      <w:start w:val="1"/>
    </w:lvl>
  </w:abstractNum>
  <w:abstractNum w:abstractNumId="17">
    <w:nsid w:val="2157F6BC"/>
    <w:multiLevelType w:val="hybridMultilevel"/>
    <w:lvl w:ilvl="0">
      <w:lvlJc w:val="left"/>
      <w:lvlText w:val="%1."/>
      <w:numFmt w:val="upperLetter"/>
      <w:start w:val="2"/>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1"/>
      <w:numFmt w:val="upperLetter"/>
      <w:start w:val="35"/>
    </w:lvl>
  </w:abstractNum>
  <w:abstractNum w:abstractNumId="23">
    <w:nsid w:val="49D0FEAC"/>
    <w:multiLevelType w:val="hybridMultilevel"/>
    <w:lvl w:ilvl="0">
      <w:lvlJc w:val="left"/>
      <w:lvlText w:val="(%1)"/>
      <w:numFmt w:val="lowerRoman"/>
      <w:start w:val="2"/>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1."/>
      <w:numFmt w:val="upperLetter"/>
      <w:start w:val="3"/>
    </w:lvl>
  </w:abstractNum>
  <w:abstractNum w:abstractNumId="27">
    <w:nsid w:val="634C574C"/>
    <w:multiLevelType w:val="hybridMultilevel"/>
    <w:lvl w:ilvl="0">
      <w:lvlJc w:val="left"/>
      <w:lvlText w:val="%1."/>
      <w:numFmt w:val="upperLetter"/>
      <w:start w:val="1"/>
    </w:lvl>
  </w:abstractNum>
  <w:abstractNum w:abstractNumId="28">
    <w:nsid w:val="24E99DD7"/>
    <w:multiLevelType w:val="hybridMultilevel"/>
    <w:lvl w:ilvl="0">
      <w:lvlJc w:val="left"/>
      <w:lvlText w:val="\emdash "/>
      <w:numFmt w:val="bullet"/>
      <w:start w:val="1"/>
    </w:lvl>
  </w:abstractNum>
  <w:abstractNum w:abstractNumId="29">
    <w:nsid w:val="2A31B62D"/>
    <w:multiLevelType w:val="hybridMultilevel"/>
    <w:lvl w:ilvl="0">
      <w:lvlJc w:val="left"/>
      <w:lvlText w:val="(%1)"/>
      <w:numFmt w:val="lowerRoman"/>
      <w:start w:val="2"/>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1."/>
      <w:numFmt w:val="upperLetter"/>
      <w:start w:val="2"/>
    </w:lvl>
  </w:abstractNum>
  <w:abstractNum w:abstractNumId="44">
    <w:nsid w:val="631B64D4"/>
    <w:multiLevelType w:val="hybridMultilevel"/>
    <w:lvl w:ilvl="0">
      <w:lvlJc w:val="left"/>
      <w:lvlText w:val="(%1)"/>
      <w:numFmt w:val="lowerRoman"/>
      <w:start w:val="3"/>
    </w:lvl>
  </w:abstractNum>
  <w:abstractNum w:abstractNumId="45">
    <w:nsid w:val="78B5E776"/>
    <w:multiLevelType w:val="hybridMultilevel"/>
    <w:lvl w:ilvl="0">
      <w:lvlJc w:val="left"/>
      <w:lvlText w:val="(%1)"/>
      <w:numFmt w:val="lowerRoman"/>
      <w:start w:val="5"/>
    </w:lvl>
  </w:abstractNum>
  <w:abstractNum w:abstractNumId="46">
    <w:nsid w:val="75486E47"/>
    <w:multiLevelType w:val="hybridMultilevel"/>
    <w:lvl w:ilvl="0">
      <w:lvlJc w:val="left"/>
      <w:lvlText w:val="(%1)"/>
      <w:numFmt w:val="lowerRoman"/>
      <w:start w:val="4"/>
    </w:lvl>
  </w:abstractNum>
  <w:abstractNum w:abstractNumId="47">
    <w:nsid w:val="6E534CDE"/>
    <w:multiLevelType w:val="hybridMultilevel"/>
    <w:lvl w:ilvl="0">
      <w:lvlJc w:val="left"/>
      <w:lvlText w:val="(%1)"/>
      <w:numFmt w:val="lowerRoman"/>
      <w:start w:val="4"/>
    </w:lvl>
  </w:abstractNum>
  <w:abstractNum w:abstractNumId="48">
    <w:nsid w:val="1A0DDE32"/>
    <w:multiLevelType w:val="hybridMultilevel"/>
    <w:lvl w:ilvl="0">
      <w:lvlJc w:val="left"/>
      <w:lvlText w:val="%1."/>
      <w:numFmt w:val="upperLetter"/>
      <w:start w:val="2"/>
    </w:lvl>
    <w:lvl w:ilvl="1">
      <w:lvlJc w:val="left"/>
      <w:lvlText w:val="·"/>
      <w:numFmt w:val="bullet"/>
      <w:start w:val="1"/>
    </w:lvl>
  </w:abstractNum>
  <w:abstractNum w:abstractNumId="49">
    <w:nsid w:val="65968C1C"/>
    <w:multiLevelType w:val="hybridMultilevel"/>
    <w:lvl w:ilvl="0">
      <w:lvlJc w:val="left"/>
      <w:lvlText w:val="%1."/>
      <w:numFmt w:val="upperLetter"/>
      <w:start w:val="4"/>
    </w:lvl>
  </w:abstractNum>
  <w:abstractNum w:abstractNumId="50">
    <w:nsid w:val="46263DEC"/>
    <w:multiLevelType w:val="hybridMultilevel"/>
    <w:lvl w:ilvl="0">
      <w:lvlJc w:val="left"/>
      <w:lvlText w:val="%1."/>
      <w:numFmt w:val="upperLetter"/>
      <w:start w:val="5"/>
    </w:lvl>
  </w:abstractNum>
  <w:abstractNum w:abstractNumId="51">
    <w:nsid w:val="260D8C4A"/>
    <w:multiLevelType w:val="hybridMultilevel"/>
    <w:lvl w:ilvl="0">
      <w:lvlJc w:val="left"/>
      <w:lvlText w:val="%1."/>
      <w:numFmt w:val="upperLetter"/>
      <w:start w:val="6"/>
    </w:lvl>
  </w:abstractNum>
  <w:abstractNum w:abstractNumId="52">
    <w:nsid w:val="73D4D3C4"/>
    <w:multiLevelType w:val="hybridMultilevel"/>
    <w:lvl w:ilvl="0">
      <w:lvlJc w:val="left"/>
      <w:lvlText w:val="(%1)"/>
      <w:numFmt w:val="lowerLetter"/>
      <w:start w:val="4"/>
    </w:lvl>
  </w:abstractNum>
  <w:abstractNum w:abstractNumId="53">
    <w:nsid w:val="746F2E30"/>
    <w:multiLevelType w:val="hybridMultilevel"/>
    <w:lvl w:ilvl="0">
      <w:lvlJc w:val="left"/>
      <w:lvlText w:val="%1."/>
      <w:numFmt w:val="upperLetter"/>
      <w:start w:val="1"/>
    </w:lvl>
  </w:abstractNum>
  <w:abstractNum w:abstractNumId="54">
    <w:nsid w:val="6FDE8AF6"/>
    <w:multiLevelType w:val="hybridMultilevel"/>
    <w:lvl w:ilvl="0">
      <w:lvlJc w:val="left"/>
      <w:lvlText w:val="%1."/>
      <w:numFmt w:val="upperLetter"/>
      <w:start w:val="2"/>
    </w:lvl>
  </w:abstractNum>
  <w:abstractNum w:abstractNumId="55">
    <w:nsid w:val="3FC32E20"/>
    <w:multiLevelType w:val="hybridMultilevel"/>
    <w:lvl w:ilvl="0">
      <w:lvlJc w:val="left"/>
      <w:lvlText w:val="%1."/>
      <w:numFmt w:val="upperLetter"/>
      <w:start w:val="3"/>
    </w:lvl>
  </w:abstractNum>
  <w:abstractNum w:abstractNumId="56">
    <w:nsid w:val="49C0E823"/>
    <w:multiLevelType w:val="hybridMultilevel"/>
    <w:lvl w:ilvl="0">
      <w:lvlJc w:val="left"/>
      <w:lvlText w:val="%1."/>
      <w:numFmt w:val="upperLetter"/>
      <w:start w:val="4"/>
    </w:lvl>
  </w:abstractNum>
  <w:abstractNum w:abstractNumId="57">
    <w:nsid w:val="14D53685"/>
    <w:multiLevelType w:val="hybridMultilevel"/>
    <w:lvl w:ilvl="0">
      <w:lvlJc w:val="left"/>
      <w:lvlText w:val="%1."/>
      <w:numFmt w:val="upperLetter"/>
      <w:start w:val="5"/>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
      <w:numFmt w:val="bullet"/>
      <w:start w:val="1"/>
    </w:lvl>
  </w:abstractNum>
  <w:abstractNum w:abstractNumId="60">
    <w:nsid w:val="3F06ECB2"/>
    <w:multiLevelType w:val="hybridMultilevel"/>
    <w:lvl w:ilvl="0">
      <w:lvlJc w:val="left"/>
      <w:lvlText w:val="(%1)"/>
      <w:numFmt w:val="decimal"/>
      <w:start w:val="1"/>
    </w:lvl>
  </w:abstractNum>
  <w:abstractNum w:abstractNumId="61">
    <w:nsid w:val="3B594807"/>
    <w:multiLevelType w:val="hybridMultilevel"/>
    <w:lvl w:ilvl="0">
      <w:lvlJc w:val="left"/>
      <w:lvlText w:val="%1."/>
      <w:numFmt w:val="upperLetter"/>
      <w:start w:val="1"/>
    </w:lvl>
  </w:abstractNum>
  <w:abstractNum w:abstractNumId="62">
    <w:nsid w:val="6CAA2304"/>
    <w:multiLevelType w:val="hybridMultilevel"/>
    <w:lvl w:ilvl="0">
      <w:lvlJc w:val="left"/>
      <w:lvlText w:val="%1."/>
      <w:numFmt w:val="upperLetter"/>
      <w:start w:val="2"/>
    </w:lvl>
  </w:abstractNum>
  <w:abstractNum w:abstractNumId="63">
    <w:nsid w:val="3F7C2FF4"/>
    <w:multiLevelType w:val="hybridMultilevel"/>
    <w:lvl w:ilvl="0">
      <w:lvlJc w:val="left"/>
      <w:lvlText w:val="·"/>
      <w:numFmt w:val="bullet"/>
      <w:start w:val="1"/>
    </w:lvl>
    <w:lvl w:ilvl="1">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
      <w:numFmt w:val="bullet"/>
      <w:start w:val="1"/>
    </w:lvl>
    <w:lvl w:ilvl="1">
      <w:lvlJc w:val="left"/>
      <w:lvlText w:val="·"/>
      <w:numFmt w:val="bullet"/>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
      <w:numFmt w:val="bullet"/>
      <w:start w:val="1"/>
    </w:lvl>
    <w:lvl w:ilvl="1">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lvl w:ilvl="1">
      <w:lvlJc w:val="left"/>
      <w:lvlText w:val="·"/>
      <w:numFmt w:val="bullet"/>
      <w:start w:val="1"/>
    </w:lvl>
  </w:abstractNum>
  <w:abstractNum w:abstractNumId="74">
    <w:nsid w:val="1C695DEC"/>
    <w:multiLevelType w:val="hybridMultilevel"/>
    <w:lvl w:ilvl="0">
      <w:lvlJc w:val="left"/>
      <w:lvlText w:val="%1."/>
      <w:numFmt w:val="upperLetter"/>
      <w:start w:val="3"/>
    </w:lvl>
  </w:abstractNum>
  <w:abstractNum w:abstractNumId="75">
    <w:nsid w:val="3FCFAED9"/>
    <w:multiLevelType w:val="hybridMultilevel"/>
    <w:lvl w:ilvl="0">
      <w:lvlJc w:val="left"/>
      <w:lvlText w:val="%1."/>
      <w:numFmt w:val="upperLetter"/>
      <w:start w:val="1"/>
    </w:lvl>
  </w:abstractNum>
  <w:abstractNum w:abstractNumId="76">
    <w:nsid w:val="F856867"/>
    <w:multiLevelType w:val="hybridMultilevel"/>
    <w:lvl w:ilvl="0">
      <w:lvlJc w:val="left"/>
      <w:lvlText w:val="%1."/>
      <w:numFmt w:val="upperLetter"/>
      <w:start w:val="2"/>
    </w:lvl>
  </w:abstractNum>
  <w:abstractNum w:abstractNumId="77">
    <w:nsid w:val="11B1CC33"/>
    <w:multiLevelType w:val="hybridMultilevel"/>
    <w:lvl w:ilvl="0">
      <w:lvlJc w:val="left"/>
      <w:lvlText w:val="%1."/>
      <w:numFmt w:val="upperLetter"/>
      <w:start w:val="1"/>
    </w:lvl>
  </w:abstractNum>
  <w:abstractNum w:abstractNumId="78">
    <w:nsid w:val="2E22FBB7"/>
    <w:multiLevelType w:val="hybridMultilevel"/>
    <w:lvl w:ilvl="0">
      <w:lvlJc w:val="left"/>
      <w:lvlText w:val="(%1)"/>
      <w:numFmt w:val="lowerLetter"/>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1."/>
      <w:numFmt w:val="upperLetter"/>
      <w:start w:val="3"/>
    </w:lvl>
  </w:abstractNum>
  <w:abstractNum w:abstractNumId="81">
    <w:nsid w:val="744939A3"/>
    <w:multiLevelType w:val="hybridMultilevel"/>
    <w:lvl w:ilvl="0">
      <w:lvlJc w:val="left"/>
      <w:lvlText w:val="%1."/>
      <w:numFmt w:val="upperLetter"/>
      <w:start w:val="4"/>
    </w:lvl>
  </w:abstractNum>
  <w:abstractNum w:abstractNumId="82">
    <w:nsid w:val="4FA0D2E3"/>
    <w:multiLevelType w:val="hybridMultilevel"/>
    <w:lvl w:ilvl="0">
      <w:lvlJc w:val="left"/>
      <w:lvlText w:val="%1."/>
      <w:numFmt w:val="upperLetter"/>
      <w:start w:val="5"/>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1)"/>
      <w:numFmt w:val="decimal"/>
      <w:start w:val="1"/>
    </w:lvl>
  </w:abstractNum>
  <w:abstractNum w:abstractNumId="87">
    <w:nsid w:val="32794FF7"/>
    <w:multiLevelType w:val="hybridMultilevel"/>
    <w:lvl w:ilvl="0">
      <w:lvlJc w:val="left"/>
      <w:lvlText w:val="(%1)"/>
      <w:numFmt w:val="lowerLetter"/>
      <w:start w:val="3"/>
    </w:lvl>
  </w:abstractNum>
  <w:abstractNum w:abstractNumId="88">
    <w:nsid w:val="5454945E"/>
    <w:multiLevelType w:val="hybridMultilevel"/>
    <w:lvl w:ilvl="0">
      <w:lvlJc w:val="left"/>
      <w:lvlText w:val="%1."/>
      <w:numFmt w:val="upperLetter"/>
      <w:start w:val="6"/>
    </w:lvl>
  </w:abstractNum>
  <w:abstractNum w:abstractNumId="89">
    <w:nsid w:val="4DEFDFA0"/>
    <w:multiLevelType w:val="hybridMultilevel"/>
    <w:lvl w:ilvl="0">
      <w:lvlJc w:val="left"/>
      <w:lvlText w:val="%1."/>
      <w:numFmt w:val="upperLetter"/>
      <w:start w:val="9"/>
    </w:lvl>
  </w:abstractNum>
  <w:abstractNum w:abstractNumId="90">
    <w:nsid w:val="2123D5F2"/>
    <w:multiLevelType w:val="hybridMultilevel"/>
    <w:lvl w:ilvl="0">
      <w:lvlJc w:val="left"/>
      <w:lvlText w:val="%1."/>
      <w:numFmt w:val="upperLetter"/>
      <w:start w:val="1"/>
    </w:lvl>
  </w:abstractNum>
  <w:abstractNum w:abstractNumId="91">
    <w:nsid w:val="135B8110"/>
    <w:multiLevelType w:val="hybridMultilevel"/>
    <w:lvl w:ilvl="0">
      <w:lvlJc w:val="left"/>
      <w:lvlText w:val="%1."/>
      <w:numFmt w:val="upperLetter"/>
      <w:start w:val="3"/>
    </w:lvl>
  </w:abstractNum>
  <w:abstractNum w:abstractNumId="92">
    <w:nsid w:val="94927A8"/>
    <w:multiLevelType w:val="hybridMultilevel"/>
    <w:lvl w:ilvl="0">
      <w:lvlJc w:val="left"/>
      <w:lvlText w:val="%1."/>
      <w:numFmt w:val="upperLetter"/>
      <w:start w:val="4"/>
    </w:lvl>
  </w:abstractNum>
  <w:abstractNum w:abstractNumId="93">
    <w:nsid w:val="DCDF8F6"/>
    <w:multiLevelType w:val="hybridMultilevel"/>
    <w:lvl w:ilvl="0">
      <w:lvlJc w:val="left"/>
      <w:lvlText w:val="(%1)"/>
      <w:numFmt w:val="decimal"/>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abstractNum>
  <w:abstractNum w:abstractNumId="96">
    <w:nsid w:val="24E60401"/>
    <w:multiLevelType w:val="hybridMultilevel"/>
    <w:lvl w:ilvl="0">
      <w:lvlJc w:val="left"/>
      <w:lvlText w:val="(%1)"/>
      <w:numFmt w:val="decimal"/>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1)"/>
      <w:numFmt w:val="lowerLetter"/>
      <w:start w:val="1"/>
    </w:lvl>
  </w:abstractNum>
  <w:abstractNum w:abstractNumId="100">
    <w:nsid w:val="779D8544"/>
    <w:multiLevelType w:val="hybridMultilevel"/>
    <w:lvl w:ilvl="0">
      <w:lvlJc w:val="left"/>
      <w:lvlText w:val="(%1)"/>
      <w:numFmt w:val="lowerLetter"/>
      <w:start w:val="2"/>
    </w:lvl>
  </w:abstractNum>
  <w:abstractNum w:abstractNumId="101">
    <w:nsid w:val="4AB26E78"/>
    <w:multiLevelType w:val="hybridMultilevel"/>
    <w:lvl w:ilvl="0">
      <w:lvlJc w:val="left"/>
      <w:lvlText w:val="(%1)"/>
      <w:numFmt w:val="decimal"/>
      <w:start w:val="1"/>
    </w:lvl>
  </w:abstractNum>
  <w:abstractNum w:abstractNumId="102">
    <w:nsid w:val="21FAA2FA"/>
    <w:multiLevelType w:val="hybridMultilevel"/>
    <w:lvl w:ilvl="0">
      <w:lvlJc w:val="left"/>
      <w:lvlText w:val="·"/>
      <w:numFmt w:val="bullet"/>
      <w:start w:val="1"/>
    </w:lvl>
  </w:abstractNum>
  <w:abstractNum w:abstractNumId="103">
    <w:nsid w:val="5451CF49"/>
    <w:multiLevelType w:val="hybridMultilevel"/>
    <w:lvl w:ilvl="0">
      <w:lvlJc w:val="left"/>
      <w:lvlText w:val="·"/>
      <w:numFmt w:val="bullet"/>
      <w:start w:val="1"/>
    </w:lvl>
  </w:abstractNum>
  <w:abstractNum w:abstractNumId="104">
    <w:nsid w:val="6181EF69"/>
    <w:multiLevelType w:val="hybridMultilevel"/>
    <w:lvl w:ilvl="0">
      <w:lvlJc w:val="left"/>
      <w:lvlText w:val="·"/>
      <w:numFmt w:val="bullet"/>
      <w:start w:val="1"/>
    </w:lvl>
  </w:abstractNum>
  <w:abstractNum w:abstractNumId="105">
    <w:nsid w:val="3E6400E6"/>
    <w:multiLevelType w:val="hybridMultilevel"/>
    <w:lvl w:ilvl="0">
      <w:lvlJc w:val="left"/>
      <w:lvlText w:val="*"/>
      <w:numFmt w:val="bullet"/>
      <w:start w:val="1"/>
    </w:lvl>
  </w:abstractNum>
  <w:abstractNum w:abstractNumId="106">
    <w:nsid w:val="14217E23"/>
    <w:multiLevelType w:val="hybridMultilevel"/>
    <w:lvl w:ilvl="0">
      <w:lvlJc w:val="left"/>
      <w:lvlText w:val="**"/>
      <w:numFmt w:val="bullet"/>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
      <w:numFmt w:val="bullet"/>
      <w:start w:val="1"/>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1."/>
      <w:numFmt w:val="decimal"/>
      <w:start w:val="2"/>
    </w:lvl>
  </w:abstractNum>
  <w:abstractNum w:abstractNumId="111">
    <w:nsid w:val="475E256A"/>
    <w:multiLevelType w:val="hybridMultilevel"/>
    <w:lvl w:ilvl="0">
      <w:lvlJc w:val="left"/>
      <w:lvlText w:val="(%1)"/>
      <w:numFmt w:val="lowerLetter"/>
      <w:start w:val="1"/>
    </w:lvl>
  </w:abstractNum>
  <w:abstractNum w:abstractNumId="112">
    <w:nsid w:val="368DB37E"/>
    <w:multiLevelType w:val="hybridMultilevel"/>
    <w:lvl w:ilvl="0">
      <w:lvlJc w:val="left"/>
      <w:lvlText w:val="(%1)"/>
      <w:numFmt w:val="lowerLetter"/>
      <w:start w:val="2"/>
    </w:lvl>
  </w:abstractNum>
  <w:abstractNum w:abstractNumId="113">
    <w:nsid w:val="6A3B714C"/>
    <w:multiLevelType w:val="hybridMultilevel"/>
    <w:lvl w:ilvl="0">
      <w:lvlJc w:val="left"/>
      <w:lvlText w:val="(%1)"/>
      <w:numFmt w:val="lowerLetter"/>
      <w:start w:val="3"/>
    </w:lvl>
  </w:abstractNum>
  <w:abstractNum w:abstractNumId="114">
    <w:nsid w:val="327B517E"/>
    <w:multiLevelType w:val="hybridMultilevel"/>
    <w:lvl w:ilvl="0">
      <w:lvlJc w:val="left"/>
      <w:lvlText w:val="(%1)"/>
      <w:numFmt w:val="lowerRoman"/>
      <w:start w:val="1"/>
    </w:lvl>
  </w:abstractNum>
  <w:abstractNum w:abstractNumId="115">
    <w:nsid w:val="1F461B51"/>
    <w:multiLevelType w:val="hybridMultilevel"/>
    <w:lvl w:ilvl="0">
      <w:lvlJc w:val="left"/>
      <w:lvlText w:val="(%1)"/>
      <w:numFmt w:val="lowerRoman"/>
      <w:start w:val="2"/>
    </w:lvl>
  </w:abstractNum>
  <w:abstractNum w:abstractNumId="116">
    <w:nsid w:val="29BACF25"/>
    <w:multiLevelType w:val="hybridMultilevel"/>
    <w:lvl w:ilvl="0">
      <w:lvlJc w:val="left"/>
      <w:lvlText w:val="(%1)"/>
      <w:numFmt w:val="lowerRoman"/>
      <w:start w:val="3"/>
    </w:lvl>
  </w:abstractNum>
  <w:abstractNum w:abstractNumId="117">
    <w:nsid w:val="5D5BABB3"/>
    <w:multiLevelType w:val="hybridMultilevel"/>
    <w:lvl w:ilvl="0">
      <w:lvlJc w:val="left"/>
      <w:lvlText w:val="(%1)"/>
      <w:numFmt w:val="lowerLetter"/>
      <w:start w:val="4"/>
    </w:lvl>
  </w:abstractNum>
  <w:abstractNum w:abstractNumId="118">
    <w:nsid w:val="51BF6B48"/>
    <w:multiLevelType w:val="hybridMultilevel"/>
    <w:lvl w:ilvl="0">
      <w:lvlJc w:val="left"/>
      <w:lvlText w:val="(%1)"/>
      <w:numFmt w:val="lowerLetter"/>
      <w:start w:val="5"/>
    </w:lvl>
  </w:abstractNum>
  <w:abstractNum w:abstractNumId="119">
    <w:nsid w:val="7E0F6384"/>
    <w:multiLevelType w:val="hybridMultilevel"/>
    <w:lvl w:ilvl="0">
      <w:lvlJc w:val="left"/>
      <w:lvlText w:val="(%1)"/>
      <w:numFmt w:val="lowerLetter"/>
      <w:start w:val="6"/>
    </w:lvl>
  </w:abstractNum>
  <w:abstractNum w:abstractNumId="120">
    <w:nsid w:val="2B4B8B53"/>
    <w:multiLevelType w:val="hybridMultilevel"/>
    <w:lvl w:ilvl="0">
      <w:lvlJc w:val="left"/>
      <w:lvlText w:val="(%1)"/>
      <w:numFmt w:val="lowerLetter"/>
      <w:start w:val="7"/>
    </w:lvl>
  </w:abstractNum>
  <w:abstractNum w:abstractNumId="121">
    <w:nsid w:val="72E3413A"/>
    <w:multiLevelType w:val="hybridMultilevel"/>
    <w:lvl w:ilvl="0">
      <w:lvlJc w:val="left"/>
      <w:lvlText w:val="(%1)"/>
      <w:numFmt w:val="lowerLetter"/>
      <w:start w:val="8"/>
    </w:lvl>
  </w:abstractNum>
  <w:abstractNum w:abstractNumId="122">
    <w:nsid w:val="116AE494"/>
    <w:multiLevelType w:val="hybridMultilevel"/>
    <w:lvl w:ilvl="0">
      <w:lvlJc w:val="left"/>
      <w:lvlText w:val="(%1)"/>
      <w:numFmt w:val="lowerRoman"/>
      <w:start w:val="1"/>
    </w:lvl>
  </w:abstractNum>
  <w:abstractNum w:abstractNumId="123">
    <w:nsid w:val="3494B2FB"/>
    <w:multiLevelType w:val="hybridMultilevel"/>
    <w:lvl w:ilvl="0">
      <w:lvlJc w:val="left"/>
      <w:lvlText w:val="(%1)"/>
      <w:numFmt w:val="lowerLetter"/>
      <w:start w:val="10"/>
    </w:lvl>
  </w:abstractNum>
  <w:abstractNum w:abstractNumId="124">
    <w:nsid w:val="B13A31"/>
    <w:multiLevelType w:val="hybridMultilevel"/>
    <w:lvl w:ilvl="0">
      <w:lvlJc w:val="left"/>
      <w:lvlText w:val="(%1)"/>
      <w:numFmt w:val="lowerLetter"/>
      <w:start w:val="11"/>
    </w:lvl>
  </w:abstractNum>
  <w:abstractNum w:abstractNumId="125">
    <w:nsid w:val="64429599"/>
    <w:multiLevelType w:val="hybridMultilevel"/>
    <w:lvl w:ilvl="0">
      <w:lvlJc w:val="left"/>
      <w:lvlText w:val="(%1)"/>
      <w:numFmt w:val="lowerLetter"/>
      <w:start w:val="12"/>
    </w:lvl>
  </w:abstractNum>
  <w:abstractNum w:abstractNumId="126">
    <w:nsid w:val="631F1690"/>
    <w:multiLevelType w:val="hybridMultilevel"/>
    <w:lvl w:ilvl="0">
      <w:lvlJc w:val="left"/>
      <w:lvlText w:val="(%1)"/>
      <w:numFmt w:val="lowerLetter"/>
      <w:start w:val="13"/>
    </w:lvl>
  </w:abstractNum>
  <w:abstractNum w:abstractNumId="127">
    <w:nsid w:val="25973E32"/>
    <w:multiLevelType w:val="hybridMultilevel"/>
    <w:lvl w:ilvl="0">
      <w:lvlJc w:val="left"/>
      <w:lvlText w:val="(%1)"/>
      <w:numFmt w:val="lowerLetter"/>
      <w:start w:val="14"/>
    </w:lvl>
  </w:abstractNum>
  <w:abstractNum w:abstractNumId="128">
    <w:nsid w:val="EAD6F57"/>
    <w:multiLevelType w:val="hybridMultilevel"/>
    <w:lvl w:ilvl="0">
      <w:lvlJc w:val="left"/>
      <w:lvlText w:val="(%1)"/>
      <w:numFmt w:val="lowerLetter"/>
      <w:start w:val="15"/>
    </w:lvl>
  </w:abstractNum>
  <w:abstractNum w:abstractNumId="129">
    <w:nsid w:val="6EC9D844"/>
    <w:multiLevelType w:val="hybridMultilevel"/>
    <w:lvl w:ilvl="0">
      <w:lvlJc w:val="left"/>
      <w:lvlText w:val="(%1)"/>
      <w:numFmt w:val="lowerLetter"/>
      <w:start w:val="16"/>
    </w:lvl>
  </w:abstractNum>
  <w:abstractNum w:abstractNumId="130">
    <w:nsid w:val="5C49EAEE"/>
    <w:multiLevelType w:val="hybridMultilevel"/>
    <w:lvl w:ilvl="0">
      <w:lvlJc w:val="left"/>
      <w:lvlText w:val="(%1)"/>
      <w:numFmt w:val="lowerLetter"/>
      <w:start w:val="17"/>
    </w:lvl>
  </w:abstractNum>
  <w:abstractNum w:abstractNumId="131">
    <w:nsid w:val="64AF49B"/>
    <w:multiLevelType w:val="hybridMultilevel"/>
    <w:lvl w:ilvl="0">
      <w:lvlJc w:val="left"/>
      <w:lvlText w:val="(%1)"/>
      <w:numFmt w:val="lowerLetter"/>
      <w:start w:val="18"/>
    </w:lvl>
  </w:abstractNum>
  <w:abstractNum w:abstractNumId="132">
    <w:nsid w:val="397C46BC"/>
    <w:multiLevelType w:val="hybridMultilevel"/>
    <w:lvl w:ilvl="0">
      <w:lvlJc w:val="left"/>
      <w:lvlText w:val="(%1)"/>
      <w:numFmt w:val="lowerLetter"/>
      <w:start w:val="19"/>
    </w:lvl>
  </w:abstractNum>
  <w:abstractNum w:abstractNumId="133">
    <w:nsid w:val="7E448DE9"/>
    <w:multiLevelType w:val="hybridMultilevel"/>
    <w:lvl w:ilvl="0">
      <w:lvlJc w:val="left"/>
      <w:lvlText w:val="(%1)"/>
      <w:numFmt w:val="lowerLetter"/>
      <w:start w:val="20"/>
    </w:lvl>
  </w:abstractNum>
  <w:abstractNum w:abstractNumId="134">
    <w:nsid w:val="5A9CC3E5"/>
    <w:multiLevelType w:val="hybridMultilevel"/>
    <w:lvl w:ilvl="0">
      <w:lvlJc w:val="left"/>
      <w:lvlText w:val="(%1)"/>
      <w:numFmt w:val="lowerLetter"/>
      <w:start w:val="21"/>
    </w:lvl>
  </w:abstractNum>
  <w:abstractNum w:abstractNumId="135">
    <w:nsid w:val="1AFE3625"/>
    <w:multiLevelType w:val="hybridMultilevel"/>
    <w:lvl w:ilvl="0">
      <w:lvlJc w:val="left"/>
      <w:lvlText w:val="(%1)"/>
      <w:numFmt w:val="lowerRoman"/>
      <w:start w:val="5"/>
    </w:lvl>
  </w:abstractNum>
  <w:abstractNum w:abstractNumId="136">
    <w:nsid w:val="3CA88ECF"/>
    <w:multiLevelType w:val="hybridMultilevel"/>
    <w:lvl w:ilvl="0">
      <w:lvlJc w:val="left"/>
      <w:lvlText w:val="(%1)"/>
      <w:numFmt w:val="lowerLetter"/>
      <w:start w:val="23"/>
    </w:lvl>
  </w:abstractNum>
  <w:abstractNum w:abstractNumId="137">
    <w:nsid w:val="6EBE4208"/>
    <w:multiLevelType w:val="hybridMultilevel"/>
    <w:lvl w:ilvl="0">
      <w:lvlJc w:val="left"/>
      <w:lvlText w:val="(%1)"/>
      <w:numFmt w:val="lowerRoman"/>
      <w:start w:val="10"/>
    </w:lvl>
  </w:abstractNum>
  <w:abstractNum w:abstractNumId="138">
    <w:nsid w:val="C058DF5"/>
    <w:multiLevelType w:val="hybridMultilevel"/>
    <w:lvl w:ilvl="0">
      <w:lvlJc w:val="left"/>
      <w:lvlText w:val="(%1)"/>
      <w:numFmt w:val="lowerLetter"/>
      <w:start w:val="4"/>
    </w:lvl>
  </w:abstractNum>
  <w:abstractNum w:abstractNumId="139">
    <w:nsid w:val="CBE5BE9"/>
    <w:multiLevelType w:val="hybridMultilevel"/>
    <w:lvl w:ilvl="0">
      <w:lvlJc w:val="left"/>
      <w:lvlText w:val="%1."/>
      <w:numFmt w:val="decimal"/>
      <w:start w:val="3"/>
    </w:lvl>
  </w:abstractNum>
  <w:abstractNum w:abstractNumId="140">
    <w:nsid w:val="3102BBE2"/>
    <w:multiLevelType w:val="hybridMultilevel"/>
    <w:lvl w:ilvl="0">
      <w:lvlJc w:val="left"/>
      <w:lvlText w:val="(%1)"/>
      <w:numFmt w:val="lowerLetter"/>
      <w:start w:val="1"/>
    </w:lvl>
  </w:abstractNum>
  <w:abstractNum w:abstractNumId="141">
    <w:nsid w:val="26A02C5E"/>
    <w:multiLevelType w:val="hybridMultilevel"/>
    <w:lvl w:ilvl="0">
      <w:lvlJc w:val="left"/>
      <w:lvlText w:val="(%1)"/>
      <w:numFmt w:val="lowerLetter"/>
      <w:start w:val="2"/>
    </w:lvl>
  </w:abstractNum>
  <w:abstractNum w:abstractNumId="142">
    <w:nsid w:val="541C8153"/>
    <w:multiLevelType w:val="hybridMultilevel"/>
    <w:lvl w:ilvl="0">
      <w:lvlJc w:val="left"/>
      <w:lvlText w:val="(%1)"/>
      <w:numFmt w:val="lowerLetter"/>
      <w:start w:val="3"/>
    </w:lvl>
  </w:abstractNum>
  <w:abstractNum w:abstractNumId="143">
    <w:nsid w:val="67906F60"/>
    <w:multiLevelType w:val="hybridMultilevel"/>
    <w:lvl w:ilvl="0">
      <w:lvlJc w:val="left"/>
      <w:lvlText w:val="(%1)"/>
      <w:numFmt w:val="lowerLetter"/>
      <w:start w:val="4"/>
    </w:lvl>
  </w:abstractNum>
  <w:abstractNum w:abstractNumId="144">
    <w:nsid w:val="10DB9DAA"/>
    <w:multiLevelType w:val="hybridMultilevel"/>
    <w:lvl w:ilvl="0">
      <w:lvlJc w:val="left"/>
      <w:lvlText w:val="(%1)"/>
      <w:numFmt w:val="lowerLetter"/>
      <w:start w:val="5"/>
    </w:lvl>
  </w:abstractNum>
  <w:abstractNum w:abstractNumId="145">
    <w:nsid w:val="697D2D2"/>
    <w:multiLevelType w:val="hybridMultilevel"/>
    <w:lvl w:ilvl="0">
      <w:lvlJc w:val="left"/>
      <w:lvlText w:val="%1."/>
      <w:numFmt w:val="decimal"/>
      <w:start w:val="4"/>
    </w:lvl>
  </w:abstractNum>
  <w:abstractNum w:abstractNumId="146">
    <w:nsid w:val="6D68AB2"/>
    <w:multiLevelType w:val="hybridMultilevel"/>
    <w:lvl w:ilvl="0">
      <w:lvlJc w:val="left"/>
      <w:lvlText w:val="%1."/>
      <w:numFmt w:val="decimal"/>
      <w:start w:val="6"/>
    </w:lvl>
  </w:abstractNum>
  <w:abstractNum w:abstractNumId="147">
    <w:nsid w:val="3A966CD0"/>
    <w:multiLevelType w:val="hybridMultilevel"/>
    <w:lvl w:ilvl="0">
      <w:lvlJc w:val="left"/>
      <w:lvlText w:val="%1."/>
      <w:numFmt w:val="decimal"/>
      <w:start w:val="8"/>
    </w:lvl>
  </w:abstractNum>
  <w:abstractNum w:abstractNumId="148">
    <w:nsid w:val="63F37E85"/>
    <w:multiLevelType w:val="hybridMultilevel"/>
    <w:lvl w:ilvl="0">
      <w:lvlJc w:val="left"/>
      <w:lvlText w:val="(%1)"/>
      <w:numFmt w:val="lowerLetter"/>
      <w:start w:val="1"/>
    </w:lvl>
  </w:abstractNum>
  <w:abstractNum w:abstractNumId="149">
    <w:nsid w:val="5895F5FA"/>
    <w:multiLevelType w:val="hybridMultilevel"/>
    <w:lvl w:ilvl="0">
      <w:lvlJc w:val="left"/>
      <w:lvlText w:val="(%1)"/>
      <w:numFmt w:val="decimal"/>
      <w:start w:val="1"/>
    </w:lvl>
  </w:abstractNum>
  <w:abstractNum w:abstractNumId="150">
    <w:nsid w:val="38A5D054"/>
    <w:multiLevelType w:val="hybridMultilevel"/>
    <w:lvl w:ilvl="0">
      <w:lvlJc w:val="left"/>
      <w:lvlText w:val="(%1)"/>
      <w:numFmt w:val="decimal"/>
      <w:start w:val="2"/>
    </w:lvl>
  </w:abstractNum>
  <w:abstractNum w:abstractNumId="151">
    <w:nsid w:val="F3F09D8"/>
    <w:multiLevelType w:val="hybridMultilevel"/>
    <w:lvl w:ilvl="0">
      <w:lvlJc w:val="left"/>
      <w:lvlText w:val="(%1)"/>
      <w:numFmt w:val="lowerLetter"/>
      <w:start w:val="2"/>
    </w:lvl>
  </w:abstractNum>
  <w:abstractNum w:abstractNumId="152">
    <w:nsid w:val="4B793735"/>
    <w:multiLevelType w:val="hybridMultilevel"/>
    <w:lvl w:ilvl="0">
      <w:lvlJc w:val="left"/>
      <w:lvlText w:val="%1."/>
      <w:numFmt w:val="decimal"/>
      <w:start w:val="11"/>
    </w:lvl>
  </w:abstractNum>
  <w:abstractNum w:abstractNumId="153">
    <w:nsid w:val="4A10B4E8"/>
    <w:multiLevelType w:val="hybridMultilevel"/>
    <w:lvl w:ilvl="0">
      <w:lvlJc w:val="left"/>
      <w:lvlText w:val="(%1)"/>
      <w:numFmt w:val="lowerLetter"/>
      <w:start w:val="1"/>
    </w:lvl>
  </w:abstractNum>
  <w:abstractNum w:abstractNumId="154">
    <w:nsid w:val="43D3BCD4"/>
    <w:multiLevelType w:val="hybridMultilevel"/>
    <w:lvl w:ilvl="0">
      <w:lvlJc w:val="left"/>
      <w:lvlText w:val="(%1)"/>
      <w:numFmt w:val="lowerLetter"/>
      <w:start w:val="2"/>
    </w:lvl>
  </w:abstractNum>
  <w:abstractNum w:abstractNumId="155">
    <w:nsid w:val="4C2A7166"/>
    <w:multiLevelType w:val="hybridMultilevel"/>
    <w:lvl w:ilvl="0">
      <w:lvlJc w:val="left"/>
      <w:lvlText w:val="(%1)"/>
      <w:numFmt w:val="lowerLetter"/>
      <w:start w:val="3"/>
    </w:lvl>
  </w:abstractNum>
  <w:abstractNum w:abstractNumId="156">
    <w:nsid w:val="2E534A82"/>
    <w:multiLevelType w:val="hybridMultilevel"/>
    <w:lvl w:ilvl="0">
      <w:lvlJc w:val="left"/>
      <w:lvlText w:val="(%1)"/>
      <w:numFmt w:val="lowerLetter"/>
      <w:start w:val="4"/>
    </w:lvl>
  </w:abstractNum>
  <w:abstractNum w:abstractNumId="157">
    <w:nsid w:val="26F2D364"/>
    <w:multiLevelType w:val="hybridMultilevel"/>
    <w:lvl w:ilvl="0">
      <w:lvlJc w:val="left"/>
      <w:lvlText w:val="%1."/>
      <w:numFmt w:val="decimal"/>
      <w:start w:val="12"/>
    </w:lvl>
  </w:abstractNum>
  <w:abstractNum w:abstractNumId="158">
    <w:nsid w:val="71C1AF98"/>
    <w:multiLevelType w:val="hybridMultilevel"/>
    <w:lvl w:ilvl="0">
      <w:lvlJc w:val="left"/>
      <w:lvlText w:val="%1."/>
      <w:numFmt w:val="decimal"/>
      <w:start w:val="13"/>
    </w:lvl>
  </w:abstractNum>
  <w:abstractNum w:abstractNumId="159">
    <w:nsid w:val="3D00B9D9"/>
    <w:multiLevelType w:val="hybridMultilevel"/>
    <w:lvl w:ilvl="0">
      <w:lvlJc w:val="left"/>
      <w:lvlText w:val="%1."/>
      <w:numFmt w:val="decimal"/>
      <w:start w:val="15"/>
    </w:lvl>
  </w:abstractNum>
  <w:abstractNum w:abstractNumId="160">
    <w:nsid w:val="15BCABA8"/>
    <w:multiLevelType w:val="hybridMultilevel"/>
    <w:lvl w:ilvl="0">
      <w:lvlJc w:val="left"/>
      <w:lvlText w:val="%1."/>
      <w:numFmt w:val="decimal"/>
      <w:start w:val="17"/>
    </w:lvl>
  </w:abstractNum>
  <w:abstractNum w:abstractNumId="161">
    <w:nsid w:val="4E0B9A87"/>
    <w:multiLevelType w:val="hybridMultilevel"/>
    <w:lvl w:ilvl="0">
      <w:lvlJc w:val="left"/>
      <w:lvlText w:val="%1."/>
      <w:numFmt w:val="decimal"/>
      <w:start w:val="18"/>
    </w:lvl>
  </w:abstractNum>
  <w:abstractNum w:abstractNumId="162">
    <w:nsid w:val="434BAE75"/>
    <w:multiLevelType w:val="hybridMultilevel"/>
    <w:lvl w:ilvl="0">
      <w:lvlJc w:val="left"/>
      <w:lvlText w:val="%1."/>
      <w:numFmt w:val="decimal"/>
      <w:start w:val="19"/>
    </w:lvl>
  </w:abstractNum>
  <w:abstractNum w:abstractNumId="163">
    <w:nsid w:val="4F38F265"/>
    <w:multiLevelType w:val="hybridMultilevel"/>
    <w:lvl w:ilvl="0">
      <w:lvlJc w:val="left"/>
      <w:lvlText w:val="(%1)"/>
      <w:numFmt w:val="lowerLetter"/>
      <w:start w:val="1"/>
    </w:lvl>
  </w:abstractNum>
  <w:abstractNum w:abstractNumId="164">
    <w:nsid w:val="4C502870"/>
    <w:multiLevelType w:val="hybridMultilevel"/>
    <w:lvl w:ilvl="0">
      <w:lvlJc w:val="left"/>
      <w:lvlText w:val="(%1)"/>
      <w:numFmt w:val="lowerLetter"/>
      <w:start w:val="2"/>
    </w:lvl>
  </w:abstractNum>
  <w:abstractNum w:abstractNumId="165">
    <w:nsid w:val="1DE8725A"/>
    <w:multiLevelType w:val="hybridMultilevel"/>
    <w:lvl w:ilvl="0">
      <w:lvlJc w:val="left"/>
      <w:lvlText w:val="(%1)"/>
      <w:numFmt w:val="lowerLetter"/>
      <w:start w:val="3"/>
    </w:lvl>
  </w:abstractNum>
  <w:abstractNum w:abstractNumId="166">
    <w:nsid w:val="6A37288A"/>
    <w:multiLevelType w:val="hybridMultilevel"/>
    <w:lvl w:ilvl="0">
      <w:lvlJc w:val="left"/>
      <w:lvlText w:val="(%1)"/>
      <w:numFmt w:val="lowerLetter"/>
      <w:start w:val="4"/>
    </w:lvl>
  </w:abstractNum>
  <w:abstractNum w:abstractNumId="167">
    <w:nsid w:val="8F8B73F"/>
    <w:multiLevelType w:val="hybridMultilevel"/>
    <w:lvl w:ilvl="0">
      <w:lvlJc w:val="left"/>
      <w:lvlText w:val="(%1)"/>
      <w:numFmt w:val="lowerLetter"/>
      <w:start w:val="5"/>
    </w:lvl>
  </w:abstractNum>
  <w:abstractNum w:abstractNumId="168">
    <w:nsid w:val="CA6B462"/>
    <w:multiLevelType w:val="hybridMultilevel"/>
    <w:lvl w:ilvl="0">
      <w:lvlJc w:val="left"/>
      <w:lvlText w:val="(%1)"/>
      <w:numFmt w:val="lowerLetter"/>
      <w:start w:val="6"/>
    </w:lvl>
  </w:abstractNum>
  <w:abstractNum w:abstractNumId="169">
    <w:nsid w:val="763CB680"/>
    <w:multiLevelType w:val="hybridMultilevel"/>
    <w:lvl w:ilvl="0">
      <w:lvlJc w:val="left"/>
      <w:lvlText w:val="%1."/>
      <w:numFmt w:val="decimal"/>
      <w:start w:val="20"/>
    </w:lvl>
  </w:abstractNum>
  <w:abstractNum w:abstractNumId="170">
    <w:nsid w:val="15B71329"/>
    <w:multiLevelType w:val="hybridMultilevel"/>
    <w:lvl w:ilvl="0">
      <w:lvlJc w:val="left"/>
      <w:lvlText w:val="%1."/>
      <w:numFmt w:val="decimal"/>
      <w:start w:val="21"/>
    </w:lvl>
  </w:abstractNum>
  <w:abstractNum w:abstractNumId="171">
    <w:nsid w:val="3DA97044"/>
    <w:multiLevelType w:val="hybridMultilevel"/>
    <w:lvl w:ilvl="0">
      <w:lvlJc w:val="left"/>
      <w:lvlText w:val="(%1)"/>
      <w:numFmt w:val="lowerLetter"/>
      <w:start w:val="1"/>
    </w:lvl>
  </w:abstractNum>
  <w:abstractNum w:abstractNumId="172">
    <w:nsid w:val="1CDCE2DE"/>
    <w:multiLevelType w:val="hybridMultilevel"/>
    <w:lvl w:ilvl="0">
      <w:lvlJc w:val="left"/>
      <w:lvlText w:val="(%1)"/>
      <w:numFmt w:val="lowerLetter"/>
      <w:start w:val="2"/>
    </w:lvl>
  </w:abstractNum>
  <w:abstractNum w:abstractNumId="173">
    <w:nsid w:val="69D3947C"/>
    <w:multiLevelType w:val="hybridMultilevel"/>
    <w:lvl w:ilvl="0">
      <w:lvlJc w:val="left"/>
      <w:lvlText w:val="%1."/>
      <w:numFmt w:val="decimal"/>
      <w:start w:val="22"/>
    </w:lvl>
  </w:abstractNum>
  <w:abstractNum w:abstractNumId="174">
    <w:nsid w:val="2539DFA5"/>
    <w:multiLevelType w:val="hybridMultilevel"/>
    <w:lvl w:ilvl="0">
      <w:lvlJc w:val="left"/>
      <w:lvlText w:val="%1."/>
      <w:numFmt w:val="decimal"/>
      <w:start w:val="23"/>
    </w:lvl>
  </w:abstractNum>
  <w:abstractNum w:abstractNumId="175">
    <w:nsid w:val="2DB88089"/>
    <w:multiLevelType w:val="hybridMultilevel"/>
    <w:lvl w:ilvl="0">
      <w:lvlJc w:val="left"/>
      <w:lvlText w:val="%1."/>
      <w:numFmt w:val="decimal"/>
      <w:start w:val="24"/>
    </w:lvl>
  </w:abstractNum>
  <w:abstractNum w:abstractNumId="176">
    <w:nsid w:val="706B674E"/>
    <w:multiLevelType w:val="hybridMultilevel"/>
    <w:lvl w:ilvl="0">
      <w:lvlJc w:val="left"/>
      <w:lvlText w:val="%1."/>
      <w:numFmt w:val="decimal"/>
      <w:start w:val="25"/>
    </w:lvl>
  </w:abstractNum>
  <w:abstractNum w:abstractNumId="177">
    <w:nsid w:val="2C106A57"/>
    <w:multiLevelType w:val="hybridMultilevel"/>
    <w:lvl w:ilvl="0">
      <w:lvlJc w:val="left"/>
      <w:lvlText w:val="(%1)"/>
      <w:numFmt w:val="lowerLetter"/>
      <w:start w:val="1"/>
    </w:lvl>
  </w:abstractNum>
  <w:abstractNum w:abstractNumId="178">
    <w:nsid w:val="684EED59"/>
    <w:multiLevelType w:val="hybridMultilevel"/>
    <w:lvl w:ilvl="0">
      <w:lvlJc w:val="left"/>
      <w:lvlText w:val="(%1)"/>
      <w:numFmt w:val="lowerLetter"/>
      <w:start w:val="2"/>
    </w:lvl>
  </w:abstractNum>
  <w:abstractNum w:abstractNumId="179">
    <w:nsid w:val="545EE5D3"/>
    <w:multiLevelType w:val="hybridMultilevel"/>
    <w:lvl w:ilvl="0">
      <w:lvlJc w:val="left"/>
      <w:lvlText w:val="%1."/>
      <w:numFmt w:val="decimal"/>
      <w:start w:val="26"/>
    </w:lvl>
  </w:abstractNum>
  <w:abstractNum w:abstractNumId="180">
    <w:nsid w:val="4A66051"/>
    <w:multiLevelType w:val="hybridMultilevel"/>
    <w:lvl w:ilvl="0">
      <w:lvlJc w:val="left"/>
      <w:lvlText w:val="%1."/>
      <w:numFmt w:val="decimal"/>
      <w:start w:val="27"/>
    </w:lvl>
  </w:abstractNum>
  <w:abstractNum w:abstractNumId="181">
    <w:nsid w:val="20F4BDAD"/>
    <w:multiLevelType w:val="hybridMultilevel"/>
    <w:lvl w:ilvl="0">
      <w:lvlJc w:val="left"/>
      <w:lvlText w:val="%1."/>
      <w:numFmt w:val="decimal"/>
      <w:start w:val="1"/>
    </w:lvl>
  </w:abstractNum>
  <w:abstractNum w:abstractNumId="182">
    <w:nsid w:val="639DEFAC"/>
    <w:multiLevelType w:val="hybridMultilevel"/>
    <w:lvl w:ilvl="0">
      <w:lvlJc w:val="left"/>
      <w:lvlText w:val="%1."/>
      <w:numFmt w:val="decimal"/>
      <w:start w:val="1"/>
    </w:lvl>
  </w:abstractNum>
  <w:abstractNum w:abstractNumId="183">
    <w:nsid w:val="501F9786"/>
    <w:multiLevelType w:val="hybridMultilevel"/>
    <w:lvl w:ilvl="0">
      <w:lvlJc w:val="left"/>
      <w:lvlText w:val="%1."/>
      <w:numFmt w:val="decimal"/>
      <w:start w:val="4"/>
    </w:lvl>
  </w:abstractNum>
  <w:abstractNum w:abstractNumId="184">
    <w:nsid w:val="6B057295"/>
    <w:multiLevelType w:val="hybridMultilevel"/>
    <w:lvl w:ilvl="0">
      <w:lvlJc w:val="left"/>
      <w:lvlText w:val="%1."/>
      <w:numFmt w:val="lowerLetter"/>
      <w:start w:val="1"/>
    </w:lvl>
  </w:abstractNum>
  <w:abstractNum w:abstractNumId="185">
    <w:nsid w:val="2771AC80"/>
    <w:multiLevelType w:val="hybridMultilevel"/>
    <w:lvl w:ilvl="0">
      <w:lvlJc w:val="left"/>
      <w:lvlText w:val="%1."/>
      <w:numFmt w:val="lowerLetter"/>
      <w:start w:val="2"/>
    </w:lvl>
  </w:abstractNum>
  <w:abstractNum w:abstractNumId="186">
    <w:nsid w:val="1C4A08EC"/>
    <w:multiLevelType w:val="hybridMultilevel"/>
    <w:lvl w:ilvl="0">
      <w:lvlJc w:val="left"/>
      <w:lvlText w:val="(%1)"/>
      <w:numFmt w:val="decimal"/>
      <w:start w:val="1"/>
    </w:lvl>
  </w:abstractNum>
  <w:abstractNum w:abstractNumId="187">
    <w:nsid w:val="1958BD17"/>
    <w:multiLevelType w:val="hybridMultilevel"/>
    <w:lvl w:ilvl="0">
      <w:lvlJc w:val="left"/>
      <w:lvlText w:val="(%1)"/>
      <w:numFmt w:val="upperLetter"/>
      <w:start w:val="1"/>
    </w:lvl>
  </w:abstractNum>
  <w:abstractNum w:abstractNumId="188">
    <w:nsid w:val="4E647FE4"/>
    <w:multiLevelType w:val="hybridMultilevel"/>
    <w:lvl w:ilvl="0">
      <w:lvlJc w:val="left"/>
      <w:lvlText w:val="%1."/>
      <w:numFmt w:val="decimal"/>
      <w:start w:val="1"/>
    </w:lvl>
    <w:lvl w:ilvl="1">
      <w:lvlJc w:val="left"/>
      <w:lvlText w:val="(%2)"/>
      <w:numFmt w:val="lowerLetter"/>
      <w:start w:val="1"/>
    </w:lvl>
  </w:abstractNum>
  <w:abstractNum w:abstractNumId="189">
    <w:nsid w:val="E0BB885"/>
    <w:multiLevelType w:val="hybridMultilevel"/>
    <w:lvl w:ilvl="0">
      <w:lvlJc w:val="left"/>
      <w:lvlText w:val="(%1)"/>
      <w:numFmt w:val="lowerLetter"/>
      <w:start w:val="4"/>
    </w:lvl>
  </w:abstractNum>
  <w:abstractNum w:abstractNumId="190">
    <w:nsid w:val="565976F1"/>
    <w:multiLevelType w:val="hybridMultilevel"/>
    <w:lvl w:ilvl="0">
      <w:lvlJc w:val="left"/>
      <w:lvlText w:val="(%1)"/>
      <w:numFmt w:val="lowerLetter"/>
      <w:start w:val="1"/>
    </w:lvl>
  </w:abstractNum>
  <w:abstractNum w:abstractNumId="191">
    <w:nsid w:val="64212B8C"/>
    <w:multiLevelType w:val="hybridMultilevel"/>
    <w:lvl w:ilvl="0">
      <w:lvlJc w:val="left"/>
      <w:lvlText w:val="%1."/>
      <w:numFmt w:val="decimal"/>
      <w:start w:val="2"/>
    </w:lvl>
    <w:lvl w:ilvl="1">
      <w:lvlJc w:val="left"/>
      <w:lvlText w:val="(%2)"/>
      <w:numFmt w:val="lowerLetter"/>
      <w:start w:val="1"/>
    </w:lvl>
  </w:abstractNum>
  <w:abstractNum w:abstractNumId="192">
    <w:nsid w:val="5C17530C"/>
    <w:multiLevelType w:val="hybridMultilevel"/>
    <w:lvl w:ilvl="0">
      <w:lvlJc w:val="left"/>
      <w:lvlText w:val="(%1)"/>
      <w:numFmt w:val="lowerLetter"/>
      <w:start w:val="1"/>
    </w:lvl>
  </w:abstractNum>
  <w:abstractNum w:abstractNumId="193">
    <w:nsid w:val="19A52566"/>
    <w:multiLevelType w:val="hybridMultilevel"/>
    <w:lvl w:ilvl="0">
      <w:lvlJc w:val="left"/>
      <w:lvlText w:val="%1"/>
      <w:numFmt w:val="decimal"/>
      <w:start w:val="1"/>
    </w:lvl>
    <w:lvl w:ilvl="1">
      <w:lvlJc w:val="left"/>
      <w:lvlText w:val="(%2)"/>
      <w:numFmt w:val="lowerLetter"/>
      <w:start w:val="5"/>
    </w:lvl>
  </w:abstractNum>
  <w:abstractNum w:abstractNumId="194">
    <w:nsid w:val="335A1DF1"/>
    <w:multiLevelType w:val="hybridMultilevel"/>
    <w:lvl w:ilvl="0">
      <w:lvlJc w:val="left"/>
      <w:lvlText w:val="%1."/>
      <w:numFmt w:val="decimal"/>
      <w:start w:val="3"/>
    </w:lvl>
    <w:lvl w:ilvl="1">
      <w:lvlJc w:val="left"/>
      <w:lvlText w:val="%2"/>
      <w:numFmt w:val="lowerLetter"/>
      <w:start w:val="1"/>
    </w:lvl>
  </w:abstractNum>
  <w:abstractNum w:abstractNumId="195">
    <w:nsid w:val="28677B7C"/>
    <w:multiLevelType w:val="hybridMultilevel"/>
    <w:lvl w:ilvl="0">
      <w:lvlJc w:val="left"/>
      <w:lvlText w:val="(%1)"/>
      <w:numFmt w:val="lowerLetter"/>
      <w:start w:val="1"/>
    </w:lvl>
  </w:abstractNum>
  <w:abstractNum w:abstractNumId="196">
    <w:nsid w:val="378D97C0"/>
    <w:multiLevelType w:val="hybridMultilevel"/>
    <w:lvl w:ilvl="0">
      <w:lvlJc w:val="left"/>
      <w:lvlText w:val="(%1)"/>
      <w:numFmt w:val="lowerLetter"/>
      <w:start w:val="6"/>
    </w:lvl>
  </w:abstractNum>
  <w:abstractNum w:abstractNumId="197">
    <w:nsid w:val="1D91467C"/>
    <w:multiLevelType w:val="hybridMultilevel"/>
    <w:lvl w:ilvl="0">
      <w:lvlJc w:val="left"/>
      <w:lvlText w:val="(%1)"/>
      <w:numFmt w:val="lowerLetter"/>
      <w:start w:val="1"/>
    </w:lvl>
  </w:abstractNum>
  <w:abstractNum w:abstractNumId="198">
    <w:nsid w:val="316032BB"/>
    <w:multiLevelType w:val="hybridMultilevel"/>
    <w:lvl w:ilvl="0">
      <w:lvlJc w:val="left"/>
      <w:lvlText w:val="%1"/>
      <w:numFmt w:val="decimal"/>
      <w:start w:val="1"/>
    </w:lvl>
    <w:lvl w:ilvl="1">
      <w:lvlJc w:val="left"/>
      <w:lvlText w:val="(%2)"/>
      <w:numFmt w:val="lowerLetter"/>
      <w:start w:val="5"/>
    </w:lvl>
  </w:abstractNum>
  <w:abstractNum w:abstractNumId="199">
    <w:nsid w:val="44344C22"/>
    <w:multiLevelType w:val="hybridMultilevel"/>
    <w:lvl w:ilvl="0">
      <w:lvlJc w:val="left"/>
      <w:lvlText w:val="%1."/>
      <w:numFmt w:val="decimal"/>
      <w:start w:val="4"/>
    </w:lvl>
    <w:lvl w:ilvl="1">
      <w:lvlJc w:val="left"/>
      <w:lvlText w:val="%2"/>
      <w:numFmt w:val="lowerLetter"/>
      <w:start w:val="1"/>
    </w:lvl>
  </w:abstractNum>
  <w:abstractNum w:abstractNumId="200">
    <w:nsid w:val="13CDFCFC"/>
    <w:multiLevelType w:val="hybridMultilevel"/>
    <w:lvl w:ilvl="0">
      <w:lvlJc w:val="left"/>
      <w:lvlText w:val="%1."/>
      <w:numFmt w:val="decimal"/>
      <w:start w:val="5"/>
    </w:lvl>
  </w:abstractNum>
  <w:abstractNum w:abstractNumId="201">
    <w:nsid w:val="471745E4"/>
    <w:multiLevelType w:val="hybridMultilevel"/>
    <w:lvl w:ilvl="0">
      <w:lvlJc w:val="left"/>
      <w:lvlText w:val="%1."/>
      <w:numFmt w:val="decimal"/>
      <w:start w:val="6"/>
    </w:lvl>
  </w:abstractNum>
  <w:abstractNum w:abstractNumId="202">
    <w:nsid w:val="1DDBC66"/>
    <w:multiLevelType w:val="hybridMultilevel"/>
    <w:lvl w:ilvl="0">
      <w:lvlJc w:val="left"/>
      <w:lvlText w:val="%1."/>
      <w:numFmt w:val="decimal"/>
      <w:start w:val="8"/>
    </w:lvl>
  </w:abstractNum>
  <w:abstractNum w:abstractNumId="203">
    <w:nsid w:val="30AADFDA"/>
    <w:multiLevelType w:val="hybridMultilevel"/>
    <w:lvl w:ilvl="0">
      <w:lvlJc w:val="left"/>
      <w:lvlText w:val="%1."/>
      <w:numFmt w:val="decimal"/>
      <w:start w:val="2"/>
    </w:lvl>
  </w:abstractNum>
  <w:abstractNum w:abstractNumId="204">
    <w:nsid w:val="30EADA61"/>
    <w:multiLevelType w:val="hybridMultilevel"/>
    <w:lvl w:ilvl="0">
      <w:lvlJc w:val="left"/>
      <w:lvlText w:val="(%1)"/>
      <w:numFmt w:val="decimal"/>
      <w:start w:val="1"/>
    </w:lvl>
  </w:abstractNum>
  <w:abstractNum w:abstractNumId="205">
    <w:nsid w:val="27179C0B"/>
    <w:multiLevelType w:val="hybridMultilevel"/>
    <w:lvl w:ilvl="0">
      <w:lvlJc w:val="left"/>
      <w:lvlText w:val="(%1)"/>
      <w:numFmt w:val="upperLetter"/>
      <w:start w:val="1"/>
    </w:lvl>
  </w:abstractNum>
  <w:abstractNum w:abstractNumId="206">
    <w:nsid w:val="5E636063"/>
    <w:multiLevelType w:val="hybridMultilevel"/>
    <w:lvl w:ilvl="0">
      <w:lvlJc w:val="left"/>
      <w:lvlText w:val="%1."/>
      <w:numFmt w:val="decimal"/>
      <w:start w:val="1"/>
    </w:lvl>
  </w:abstractNum>
  <w:abstractNum w:abstractNumId="207">
    <w:nsid w:val="215641AF"/>
    <w:multiLevelType w:val="hybridMultilevel"/>
    <w:lvl w:ilvl="0">
      <w:lvlJc w:val="left"/>
      <w:lvlText w:val="(%1)"/>
      <w:numFmt w:val="decimal"/>
      <w:start w:val="1"/>
    </w:lvl>
  </w:abstractNum>
  <w:abstractNum w:abstractNumId="208">
    <w:nsid w:val="53280662"/>
    <w:multiLevelType w:val="hybridMultilevel"/>
    <w:lvl w:ilvl="0">
      <w:lvlJc w:val="left"/>
      <w:lvlText w:val="%1."/>
      <w:numFmt w:val="decimal"/>
      <w:start w:val="2"/>
    </w:lvl>
  </w:abstractNum>
  <w:abstractNum w:abstractNumId="209">
    <w:nsid w:val="46B24DBC"/>
    <w:multiLevelType w:val="hybridMultilevel"/>
    <w:lvl w:ilvl="0">
      <w:lvlJc w:val="left"/>
      <w:lvlText w:val="%1."/>
      <w:numFmt w:val="decimal"/>
      <w:start w:val="3"/>
    </w:lvl>
  </w:abstractNum>
  <w:abstractNum w:abstractNumId="210">
    <w:nsid w:val="75B52783"/>
    <w:multiLevelType w:val="hybridMultilevel"/>
    <w:lvl w:ilvl="0">
      <w:lvlJc w:val="left"/>
      <w:lvlText w:val="(%1)"/>
      <w:numFmt w:val="decimal"/>
      <w:start w:val="1"/>
    </w:lvl>
  </w:abstractNum>
  <w:abstractNum w:abstractNumId="211">
    <w:nsid w:val="57CE66B4"/>
    <w:multiLevelType w:val="hybridMultilevel"/>
    <w:lvl w:ilvl="0">
      <w:lvlJc w:val="left"/>
      <w:lvlText w:val="%1."/>
      <w:numFmt w:val="decimal"/>
      <w:start w:val="5"/>
    </w:lvl>
    <w:lvl w:ilvl="1">
      <w:lvlJc w:val="left"/>
      <w:lvlText w:val="(%2)"/>
      <w:numFmt w:val="lowerLetter"/>
      <w:start w:val="1"/>
    </w:lvl>
  </w:abstractNum>
  <w:abstractNum w:abstractNumId="212">
    <w:nsid w:val="67A70B69"/>
    <w:multiLevelType w:val="hybridMultilevel"/>
    <w:lvl w:ilvl="0">
      <w:lvlJc w:val="left"/>
      <w:lvlText w:val="(%1)"/>
      <w:numFmt w:val="lowerLetter"/>
      <w:start w:val="3"/>
    </w:lvl>
  </w:abstractNum>
  <w:abstractNum w:abstractNumId="213">
    <w:nsid w:val="5953172F"/>
    <w:multiLevelType w:val="hybridMultilevel"/>
    <w:lvl w:ilvl="0">
      <w:lvlJc w:val="left"/>
      <w:lvlText w:val="(%1)"/>
      <w:numFmt w:val="lowerLetter"/>
      <w:start w:val="1"/>
    </w:lvl>
  </w:abstractNum>
  <w:abstractNum w:abstractNumId="214">
    <w:nsid w:val="27EDFE3A"/>
    <w:multiLevelType w:val="hybridMultilevel"/>
    <w:lvl w:ilvl="0">
      <w:lvlJc w:val="left"/>
      <w:lvlText w:val="%1."/>
      <w:numFmt w:val="decimal"/>
      <w:start w:val="7"/>
    </w:lvl>
    <w:lvl w:ilvl="1">
      <w:lvlJc w:val="left"/>
      <w:lvlText w:val="(%2)"/>
      <w:numFmt w:val="lowerLetter"/>
      <w:start w:val="1"/>
    </w:lvl>
  </w:abstractNum>
  <w:abstractNum w:abstractNumId="215">
    <w:nsid w:val="52AC7DFF"/>
    <w:multiLevelType w:val="hybridMultilevel"/>
    <w:lvl w:ilvl="0">
      <w:lvlJc w:val="left"/>
      <w:lvlText w:val="%1."/>
      <w:numFmt w:val="decimal"/>
      <w:start w:val="8"/>
    </w:lvl>
    <w:lvl w:ilvl="1">
      <w:lvlJc w:val="left"/>
      <w:lvlText w:val="(%2)"/>
      <w:numFmt w:val="decimal"/>
      <w:start w:val="1"/>
    </w:lvl>
  </w:abstractNum>
  <w:abstractNum w:abstractNumId="216">
    <w:nsid w:val="C4C3AF"/>
    <w:multiLevelType w:val="hybridMultilevel"/>
    <w:lvl w:ilvl="0">
      <w:lvlJc w:val="left"/>
      <w:lvlText w:val="%1."/>
      <w:numFmt w:val="decimal"/>
      <w:start w:val="11"/>
    </w:lvl>
  </w:abstractNum>
  <w:abstractNum w:abstractNumId="217">
    <w:nsid w:val="44380727"/>
    <w:multiLevelType w:val="hybridMultilevel"/>
    <w:lvl w:ilvl="0">
      <w:lvlJc w:val="left"/>
      <w:lvlText w:val="%1."/>
      <w:numFmt w:val="decimal"/>
      <w:start w:val="13"/>
    </w:lvl>
  </w:abstractNum>
  <w:abstractNum w:abstractNumId="218">
    <w:nsid w:val="6C053B16"/>
    <w:multiLevelType w:val="hybridMultilevel"/>
    <w:lvl w:ilvl="0">
      <w:lvlJc w:val="left"/>
      <w:lvlText w:val="%1."/>
      <w:numFmt w:val="decimal"/>
      <w:start w:val="1"/>
    </w:lvl>
  </w:abstractNum>
  <w:abstractNum w:abstractNumId="219">
    <w:nsid w:val="4F294393"/>
    <w:multiLevelType w:val="hybridMultilevel"/>
    <w:lvl w:ilvl="0">
      <w:lvlJc w:val="left"/>
      <w:lvlText w:val="%1."/>
      <w:numFmt w:val="decimal"/>
      <w:start w:val="1"/>
    </w:lvl>
  </w:abstractNum>
  <w:abstractNum w:abstractNumId="220">
    <w:nsid w:val="5243BFAC"/>
    <w:multiLevelType w:val="hybridMultilevel"/>
    <w:lvl w:ilvl="0">
      <w:lvlJc w:val="left"/>
      <w:lvlText w:val="%1."/>
      <w:numFmt w:val="decimal"/>
      <w:start w:val="2"/>
    </w:lvl>
  </w:abstractNum>
  <w:abstractNum w:abstractNumId="221">
    <w:nsid w:val="425EB207"/>
    <w:multiLevelType w:val="hybridMultilevel"/>
    <w:lvl w:ilvl="0">
      <w:lvlJc w:val="left"/>
      <w:lvlText w:val="%1."/>
      <w:numFmt w:val="decimal"/>
      <w:start w:val="3"/>
    </w:lvl>
  </w:abstractNum>
  <w:abstractNum w:abstractNumId="222">
    <w:nsid w:val="334A6F1F"/>
    <w:multiLevelType w:val="hybridMultilevel"/>
    <w:lvl w:ilvl="0">
      <w:lvlJc w:val="left"/>
      <w:lvlText w:val="%1."/>
      <w:numFmt w:val="decimal"/>
      <w:start w:val="4"/>
    </w:lvl>
  </w:abstractNum>
  <w:abstractNum w:abstractNumId="223">
    <w:nsid w:val="2E5B12B8"/>
    <w:multiLevelType w:val="hybridMultilevel"/>
    <w:lvl w:ilvl="0">
      <w:lvlJc w:val="left"/>
      <w:lvlText w:val="%1."/>
      <w:numFmt w:val="decimal"/>
      <w:start w:val="5"/>
    </w:lvl>
  </w:abstractNum>
  <w:abstractNum w:abstractNumId="224">
    <w:nsid w:val="5C03D76D"/>
    <w:multiLevelType w:val="hybridMultilevel"/>
    <w:lvl w:ilvl="0">
      <w:lvlJc w:val="left"/>
      <w:lvlText w:val="%1"/>
      <w:numFmt w:val="decimal"/>
      <w:start w:val="1"/>
    </w:lvl>
    <w:lvl w:ilvl="1">
      <w:lvlJc w:val="left"/>
      <w:lvlText w:val="(%2)"/>
      <w:numFmt w:val="decimal"/>
      <w:start w:val="30"/>
    </w:lvl>
  </w:abstractNum>
  <w:abstractNum w:abstractNumId="225">
    <w:nsid w:val="66A48D11"/>
    <w:multiLevelType w:val="hybridMultilevel"/>
    <w:lvl w:ilvl="0">
      <w:lvlJc w:val="left"/>
      <w:lvlText w:val="%1."/>
      <w:numFmt w:val="decimal"/>
      <w:start w:val="6"/>
    </w:lvl>
    <w:lvl w:ilvl="1">
      <w:lvlJc w:val="left"/>
      <w:lvlText w:val="%2"/>
      <w:numFmt w:val="decimal"/>
      <w:start w:val="1"/>
    </w:lvl>
  </w:abstractNum>
  <w:abstractNum w:abstractNumId="226">
    <w:nsid w:val="56C28E34"/>
    <w:multiLevelType w:val="hybridMultilevel"/>
    <w:lvl w:ilvl="0">
      <w:lvlJc w:val="left"/>
      <w:lvlText w:val="%1."/>
      <w:numFmt w:val="decimal"/>
      <w:start w:val="7"/>
    </w:lvl>
  </w:abstractNum>
  <w:abstractNum w:abstractNumId="227">
    <w:nsid w:val="13916F2D"/>
    <w:multiLevelType w:val="hybridMultilevel"/>
    <w:lvl w:ilvl="0">
      <w:lvlJc w:val="left"/>
      <w:lvlText w:val="%1."/>
      <w:numFmt w:val="decimal"/>
      <w:start w:val="8"/>
    </w:lvl>
  </w:abstractNum>
  <w:abstractNum w:abstractNumId="228">
    <w:nsid w:val="435D38D"/>
    <w:multiLevelType w:val="hybridMultilevel"/>
    <w:lvl w:ilvl="0">
      <w:lvlJc w:val="left"/>
      <w:lvlText w:val="%1."/>
      <w:numFmt w:val="decimal"/>
      <w:start w:val="9"/>
    </w:lvl>
  </w:abstractNum>
  <w:abstractNum w:abstractNumId="229">
    <w:nsid w:val="822C0EF"/>
    <w:multiLevelType w:val="hybridMultilevel"/>
    <w:lvl w:ilvl="0">
      <w:lvlJc w:val="left"/>
      <w:lvlText w:val="%1."/>
      <w:numFmt w:val="decimal"/>
      <w:start w:val="10"/>
    </w:lvl>
  </w:abstractNum>
  <w:abstractNum w:abstractNumId="230">
    <w:nsid w:val="57C5BB4F"/>
    <w:multiLevelType w:val="hybridMultilevel"/>
    <w:lvl w:ilvl="0">
      <w:lvlJc w:val="left"/>
      <w:lvlText w:val="%1."/>
      <w:numFmt w:val="decimal"/>
      <w:start w:val="1"/>
    </w:lvl>
  </w:abstractNum>
  <w:abstractNum w:abstractNumId="231">
    <w:nsid w:val="1803D089"/>
    <w:multiLevelType w:val="hybridMultilevel"/>
    <w:lvl w:ilvl="0">
      <w:lvlJc w:val="left"/>
      <w:lvlText w:val="%1."/>
      <w:numFmt w:val="decimal"/>
      <w:start w:val="1"/>
    </w:lvl>
  </w:abstractNum>
  <w:abstractNum w:abstractNumId="232">
    <w:nsid w:val="4F3A06D4"/>
    <w:multiLevelType w:val="hybridMultilevel"/>
    <w:lvl w:ilvl="0">
      <w:lvlJc w:val="left"/>
      <w:lvlText w:val="%1."/>
      <w:numFmt w:val="decimal"/>
      <w:start w:val="2"/>
    </w:lvl>
  </w:abstractNum>
  <w:abstractNum w:abstractNumId="233">
    <w:nsid w:val="59A377B6"/>
    <w:multiLevelType w:val="hybridMultilevel"/>
    <w:lvl w:ilvl="0">
      <w:lvlJc w:val="left"/>
      <w:lvlText w:val="%1."/>
      <w:numFmt w:val="decimal"/>
      <w:start w:val="5"/>
    </w:lvl>
  </w:abstractNum>
  <w:abstractNum w:abstractNumId="234">
    <w:nsid w:val="48AEB063"/>
    <w:multiLevelType w:val="hybridMultilevel"/>
    <w:lvl w:ilvl="0">
      <w:lvlJc w:val="left"/>
      <w:lvlText w:val="%1."/>
      <w:numFmt w:val="decimal"/>
      <w:start w:val="12"/>
    </w:lvl>
  </w:abstractNum>
  <w:abstractNum w:abstractNumId="235">
    <w:nsid w:val="24E135"/>
    <w:multiLevelType w:val="hybridMultilevel"/>
    <w:lvl w:ilvl="0">
      <w:lvlJc w:val="left"/>
      <w:lvlText w:val="%1."/>
      <w:numFmt w:val="decimal"/>
      <w:start w:val="1"/>
    </w:lvl>
  </w:abstractNum>
  <w:abstractNum w:abstractNumId="236">
    <w:nsid w:val="BB13C1"/>
    <w:multiLevelType w:val="hybridMultilevel"/>
    <w:lvl w:ilvl="0">
      <w:lvlJc w:val="left"/>
      <w:lvlText w:val="%1."/>
      <w:numFmt w:val="decimal"/>
      <w:start w:val="1"/>
    </w:lvl>
  </w:abstractNum>
  <w:abstractNum w:abstractNumId="237">
    <w:nsid w:val="271210C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38">
    <w:nsid w:val="217B22E4"/>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239">
    <w:nsid w:val="53E31A24"/>
    <w:multiLevelType w:val="hybridMultilevel"/>
    <w:lvl w:ilvl="0">
      <w:lvlJc w:val="left"/>
      <w:lvlText w:val="%1"/>
      <w:numFmt w:val="decimal"/>
      <w:start w:val="1"/>
    </w:lvl>
    <w:lvl w:ilvl="1">
      <w:lvlJc w:val="left"/>
      <w:lvlText w:val="%2)"/>
      <w:numFmt w:val="decimal"/>
      <w:start w:val="2"/>
    </w:lvl>
  </w:abstractNum>
  <w:abstractNum w:abstractNumId="240">
    <w:nsid w:val="6DC45E83"/>
    <w:multiLevelType w:val="hybridMultilevel"/>
    <w:lvl w:ilvl="0">
      <w:lvlJc w:val="left"/>
      <w:lvlText w:val="%1."/>
      <w:numFmt w:val="decimal"/>
      <w:start w:val="4"/>
    </w:lvl>
    <w:lvl w:ilvl="1">
      <w:lvlJc w:val="left"/>
      <w:lvlText w:val="%2"/>
      <w:numFmt w:val="decimal"/>
      <w:start w:val="1"/>
    </w:lvl>
  </w:abstractNum>
  <w:abstractNum w:abstractNumId="241">
    <w:nsid w:val="17304A67"/>
    <w:multiLevelType w:val="hybridMultilevel"/>
    <w:lvl w:ilvl="0">
      <w:lvlJc w:val="left"/>
      <w:lvlText w:val="%1."/>
      <w:numFmt w:val="decimal"/>
      <w:start w:val="6"/>
    </w:lvl>
  </w:abstractNum>
  <w:abstractNum w:abstractNumId="242">
    <w:nsid w:val="2BB180D8"/>
    <w:multiLevelType w:val="hybridMultilevel"/>
    <w:lvl w:ilvl="0">
      <w:lvlJc w:val="left"/>
      <w:lvlText w:val="%1."/>
      <w:numFmt w:val="decimal"/>
      <w:start w:val="7"/>
    </w:lvl>
  </w:abstractNum>
  <w:abstractNum w:abstractNumId="243">
    <w:nsid w:val="556B69ED"/>
    <w:multiLevelType w:val="hybridMultilevel"/>
    <w:lvl w:ilvl="0">
      <w:lvlJc w:val="left"/>
      <w:lvlText w:val="%1."/>
      <w:numFmt w:val="decimal"/>
      <w:start w:val="12"/>
    </w:lvl>
  </w:abstractNum>
  <w:abstractNum w:abstractNumId="244">
    <w:nsid w:val="70836196"/>
    <w:multiLevelType w:val="hybridMultilevel"/>
    <w:lvl w:ilvl="0">
      <w:lvlJc w:val="left"/>
      <w:lvlText w:val="(%1)"/>
      <w:numFmt w:val="decimal"/>
      <w:start w:val="1"/>
    </w:lvl>
  </w:abstractNum>
  <w:abstractNum w:abstractNumId="245">
    <w:nsid w:val="539F7F12"/>
    <w:multiLevelType w:val="hybridMultilevel"/>
    <w:lvl w:ilvl="0">
      <w:lvlJc w:val="left"/>
      <w:lvlText w:val="%1."/>
      <w:numFmt w:val="decimal"/>
      <w:start w:val="1"/>
    </w:lvl>
    <w:lvl w:ilvl="1">
      <w:lvlJc w:val="left"/>
      <w:lvlText w:val="(%2)"/>
      <w:numFmt w:val="lowerLetter"/>
      <w:start w:val="1"/>
    </w:lvl>
  </w:abstractNum>
  <w:abstractNum w:abstractNumId="246">
    <w:nsid w:val="2817E7EC"/>
    <w:multiLevelType w:val="hybridMultilevel"/>
    <w:lvl w:ilvl="0">
      <w:lvlJc w:val="left"/>
      <w:lvlText w:val="%1."/>
      <w:numFmt w:val="decimal"/>
      <w:start w:val="1"/>
    </w:lvl>
    <w:lvl w:ilvl="1">
      <w:lvlJc w:val="left"/>
      <w:lvlText w:val="(%2)"/>
      <w:numFmt w:val="lowerLetter"/>
      <w:start w:val="1"/>
    </w:lvl>
  </w:abstractNum>
  <w:abstractNum w:abstractNumId="247">
    <w:nsid w:val="71482545"/>
    <w:multiLevelType w:val="hybridMultilevel"/>
    <w:lvl w:ilvl="0">
      <w:lvlJc w:val="left"/>
      <w:lvlText w:val="%1."/>
      <w:numFmt w:val="decimal"/>
      <w:start w:val="1"/>
    </w:lvl>
  </w:abstractNum>
  <w:abstractNum w:abstractNumId="248">
    <w:nsid w:val="17D7863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2019-12-06T14:16:23Z</dcterms:created>
  <dcterms:modified xsi:type="dcterms:W3CDTF">2019-12-06T14:16:23Z</dcterms:modified>
</cp:coreProperties>
</file>