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163830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 THE</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2022</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000-30666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9"/>
          <w:szCs w:val="29"/>
          <w:b w:val="1"/>
          <w:bCs w:val="1"/>
          <w:color w:val="auto"/>
        </w:rPr>
        <w:t>NETEASE,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163830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NetEase Building, No. 599 Wangshang Road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Binjiang District, Hangzhou, 310052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560"/>
        <w:spacing w:after="0" w:line="207" w:lineRule="exact"/>
        <w:tabs>
          <w:tab w:leader="none" w:pos="57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63" w:right="1440" w:bottom="1440" w:gutter="0" w:footer="0" w:header="0"/>
        </w:sectPr>
      </w:pPr>
    </w:p>
    <w:bookmarkStart w:id="1" w:name="page2"/>
    <w:bookmarkEnd w:id="1"/>
    <w:p>
      <w:pPr>
        <w:ind w:left="5320"/>
        <w:spacing w:after="0"/>
        <w:rPr>
          <w:sz w:val="20"/>
          <w:szCs w:val="20"/>
          <w:color w:val="auto"/>
        </w:rPr>
      </w:pPr>
      <w:r>
        <w:rPr>
          <w:rFonts w:ascii="Times New Roman" w:cs="Times New Roman" w:eastAsia="Times New Roman" w:hAnsi="Times New Roman"/>
          <w:sz w:val="17"/>
          <w:szCs w:val="17"/>
          <w:color w:val="auto"/>
        </w:rPr>
        <w:t>Exhibits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EE"/>
        </w:rPr>
        <w:t>Exhibit 99.1 - NetEase Reports First Quarter 2022 Unaudited Financial Results</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NETEASE, INC.</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Charles Zhaoxuan Yang</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Charles Zhaoxuan Yang</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May 24,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654175" cy="394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417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 for Media and 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Margaret Shi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ir@service.netease.com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 571-8985-3378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Twitter: </w:t>
      </w:r>
      <w:r>
        <w:rPr>
          <w:rFonts w:ascii="Times New Roman" w:cs="Times New Roman" w:eastAsia="Times New Roman" w:hAnsi="Times New Roman"/>
          <w:sz w:val="18"/>
          <w:szCs w:val="18"/>
          <w:u w:val="single" w:color="auto"/>
          <w:color w:val="auto"/>
        </w:rPr>
        <w:t>https://twitter.com/NetEase_Global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NetEase Reports First Quarter 2022 Unaudited Financial Results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(Hangzhou – May 24, 2022)- NetEase, Inc. (NASDAQ: NTES and HKEX: 9999, “NetEase” or the “Company”), one of China’s leading internet and online game services providers, today announced its unaudited financial results for the first quarter ended March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2022 Financial Highlights</w:t>
      </w:r>
    </w:p>
    <w:p>
      <w:pPr>
        <w:spacing w:after="0" w:line="229" w:lineRule="exact"/>
        <w:rPr>
          <w:sz w:val="20"/>
          <w:szCs w:val="20"/>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revenues were RMB23.6 billion (US$3.7 billion), an increase of 14.8% compared with the first quarter of 2021.</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Online game services net revenues were RMB17.3 billion (US$2.7 billion), an increase of 15.3% compared with the first quarter of 2021.</w:t>
      </w:r>
    </w:p>
    <w:p>
      <w:pPr>
        <w:spacing w:after="0" w:line="2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Youdao net revenues were RMB1.2 billion (US$189.4 million), a decrease of 10.4% compared with the first quarter of 2021.</w:t>
      </w:r>
      <w:r>
        <w:rPr>
          <w:rFonts w:ascii="Times New Roman" w:cs="Times New Roman" w:eastAsia="Times New Roman" w:hAnsi="Times New Roman"/>
          <w:sz w:val="29"/>
          <w:szCs w:val="29"/>
          <w:color w:val="auto"/>
          <w:vertAlign w:val="superscript"/>
        </w:rPr>
        <w:t>[1]</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Music net revenues were RMB2.1 billion (US$326.1 million), an increase of 38.6% compared with the first quarter of 2021.</w:t>
      </w:r>
    </w:p>
    <w:p>
      <w:pPr>
        <w:spacing w:after="0" w:line="22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businesses and others net revenues were RMB3.0 billion (US$475.7 million), an increase of 11.5% compared with the first quarter of 2021.</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RMB12.8 billion (US$2.0 billion), an increase of 16.1% compared with the first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0" w:lineRule="exact"/>
        <w:rPr>
          <w:sz w:val="20"/>
          <w:szCs w:val="20"/>
          <w:color w:val="auto"/>
        </w:rPr>
      </w:pPr>
    </w:p>
    <w:p>
      <w:pPr>
        <w:jc w:val="both"/>
        <w:ind w:firstLine="8"/>
        <w:spacing w:after="0" w:line="210" w:lineRule="auto"/>
        <w:tabs>
          <w:tab w:leader="none" w:pos="265"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Youdao ceased offering after-school tutoring services for academic subjects under China’s compulsory education system (the “Academic AST Business”) at the end of December 2021. The net revenues from such services were included in its net revenues from learning services in 2021 and prior periods.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operating expenses were RMB7.3 billion (US$1.2 billion), an increase of 8.1% compared with the first quarter of 2021.</w:t>
      </w:r>
    </w:p>
    <w:p>
      <w:pPr>
        <w:spacing w:after="0" w:line="225" w:lineRule="exact"/>
        <w:rPr>
          <w:rFonts w:ascii="Times New Roman" w:cs="Times New Roman" w:eastAsia="Times New Roman" w:hAnsi="Times New Roman"/>
          <w:sz w:val="18"/>
          <w:szCs w:val="18"/>
          <w:color w:val="auto"/>
        </w:rPr>
      </w:pPr>
    </w:p>
    <w:p>
      <w:pPr>
        <w:ind w:left="340" w:hanging="332"/>
        <w:spacing w:after="0" w:line="29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attributable to the Company’s shareholders was RMB4.4 billion (US$693.1 million). Non-GAAP net income attributable to the Company’s shareholders was RMB5.1 billion (US$807.3 million).</w:t>
      </w:r>
      <w:r>
        <w:rPr>
          <w:rFonts w:ascii="Times New Roman" w:cs="Times New Roman" w:eastAsia="Times New Roman" w:hAnsi="Times New Roman"/>
          <w:sz w:val="29"/>
          <w:szCs w:val="29"/>
          <w:color w:val="auto"/>
          <w:vertAlign w:val="superscript"/>
        </w:rPr>
        <w:t>[2]</w:t>
      </w:r>
    </w:p>
    <w:p>
      <w:pPr>
        <w:spacing w:after="0" w:line="1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Basic net income per share was US$0.21 (US$1.06 per ADS). Non-GAAP basic net income per share was US$0.25 (US$1.23 per ADS).</w:t>
      </w:r>
      <w:r>
        <w:rPr>
          <w:rFonts w:ascii="Times New Roman" w:cs="Times New Roman" w:eastAsia="Times New Roman" w:hAnsi="Times New Roman"/>
          <w:sz w:val="29"/>
          <w:szCs w:val="29"/>
          <w:color w:val="auto"/>
          <w:vertAlign w:val="superscript"/>
        </w:rPr>
        <w:t>[2]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2022 and Recent Operational Highlights</w:t>
      </w:r>
    </w:p>
    <w:p>
      <w:pPr>
        <w:spacing w:after="0" w:line="224" w:lineRule="exact"/>
        <w:rPr>
          <w:sz w:val="20"/>
          <w:szCs w:val="20"/>
          <w:color w:val="auto"/>
        </w:rPr>
      </w:pPr>
    </w:p>
    <w:p>
      <w:pPr>
        <w:ind w:left="340" w:hanging="332"/>
        <w:spacing w:after="0" w:line="189" w:lineRule="auto"/>
        <w:tabs>
          <w:tab w:leader="none" w:pos="340" w:val="left"/>
        </w:tabs>
        <w:numPr>
          <w:ilvl w:val="0"/>
          <w:numId w:val="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 xml:space="preserve">Announced 2022 launch date for </w:t>
      </w:r>
      <w:r>
        <w:rPr>
          <w:rFonts w:ascii="Times New Roman" w:cs="Times New Roman" w:eastAsia="Times New Roman" w:hAnsi="Times New Roman"/>
          <w:sz w:val="18"/>
          <w:szCs w:val="18"/>
          <w:i w:val="1"/>
          <w:iCs w:val="1"/>
          <w:color w:val="auto"/>
        </w:rPr>
        <w:t>Diablo</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Immortal™</w:t>
      </w:r>
      <w:r>
        <w:rPr>
          <w:rFonts w:ascii="Times New Roman" w:cs="Times New Roman" w:eastAsia="Times New Roman" w:hAnsi="Times New Roman"/>
          <w:sz w:val="18"/>
          <w:szCs w:val="18"/>
          <w:color w:val="auto"/>
        </w:rPr>
        <w:t>, co-developed by NetEase and Blizzard Entertainment, slated for global market release on June 2 and release in China and Southeast Asia on June 23.</w:t>
      </w:r>
    </w:p>
    <w:p>
      <w:pPr>
        <w:spacing w:after="0" w:line="195" w:lineRule="exact"/>
        <w:rPr>
          <w:rFonts w:ascii="Times New Roman" w:cs="Times New Roman" w:eastAsia="Times New Roman" w:hAnsi="Times New Roman"/>
          <w:sz w:val="36"/>
          <w:szCs w:val="36"/>
          <w:color w:val="auto"/>
          <w:vertAlign w:val="superscript"/>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Invigorated </w:t>
      </w:r>
      <w:r>
        <w:rPr>
          <w:rFonts w:ascii="Times New Roman" w:cs="Times New Roman" w:eastAsia="Times New Roman" w:hAnsi="Times New Roman"/>
          <w:sz w:val="18"/>
          <w:szCs w:val="18"/>
          <w:i w:val="1"/>
          <w:iCs w:val="1"/>
          <w:color w:val="auto"/>
        </w:rPr>
        <w:t>Naraka: Bladepoint</w:t>
      </w:r>
      <w:r>
        <w:rPr>
          <w:rFonts w:ascii="Times New Roman" w:cs="Times New Roman" w:eastAsia="Times New Roman" w:hAnsi="Times New Roman"/>
          <w:sz w:val="18"/>
          <w:szCs w:val="18"/>
          <w:color w:val="auto"/>
        </w:rPr>
        <w:t>’s player community with captivating content updates and the first World Championship tournament.</w:t>
      </w:r>
    </w:p>
    <w:p>
      <w:pPr>
        <w:spacing w:after="0" w:line="225" w:lineRule="exact"/>
        <w:rPr>
          <w:rFonts w:ascii="Times New Roman" w:cs="Times New Roman" w:eastAsia="Times New Roman" w:hAnsi="Times New Roman"/>
          <w:sz w:val="18"/>
          <w:szCs w:val="18"/>
          <w:color w:val="auto"/>
        </w:rPr>
      </w:pPr>
    </w:p>
    <w:p>
      <w:pPr>
        <w:ind w:left="340" w:hanging="332"/>
        <w:spacing w:after="0" w:line="28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Delivered strong performances from longstanding flagship titles including </w:t>
      </w:r>
      <w:r>
        <w:rPr>
          <w:rFonts w:ascii="Times New Roman" w:cs="Times New Roman" w:eastAsia="Times New Roman" w:hAnsi="Times New Roman"/>
          <w:sz w:val="18"/>
          <w:szCs w:val="18"/>
          <w:i w:val="1"/>
          <w:iCs w:val="1"/>
          <w:color w:val="auto"/>
        </w:rPr>
        <w:t>Fantasy Westward Journey Online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New Westward Journey Online II</w:t>
      </w:r>
      <w:r>
        <w:rPr>
          <w:rFonts w:ascii="Times New Roman" w:cs="Times New Roman" w:eastAsia="Times New Roman" w:hAnsi="Times New Roman"/>
          <w:sz w:val="18"/>
          <w:szCs w:val="18"/>
          <w:color w:val="auto"/>
        </w:rPr>
        <w:t xml:space="preserve">, and maintained popularity of other hit titles including </w:t>
      </w:r>
      <w:r>
        <w:rPr>
          <w:rFonts w:ascii="Times New Roman" w:cs="Times New Roman" w:eastAsia="Times New Roman" w:hAnsi="Times New Roman"/>
          <w:sz w:val="18"/>
          <w:szCs w:val="18"/>
          <w:i w:val="1"/>
          <w:iCs w:val="1"/>
          <w:color w:val="auto"/>
        </w:rPr>
        <w:t>LifeAfter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Sky</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340" w:right="20" w:hanging="332"/>
        <w:spacing w:after="0" w:line="28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Launched new games in Japan in April: </w:t>
      </w:r>
      <w:r>
        <w:rPr>
          <w:rFonts w:ascii="Times New Roman" w:cs="Times New Roman" w:eastAsia="Times New Roman" w:hAnsi="Times New Roman"/>
          <w:sz w:val="18"/>
          <w:szCs w:val="18"/>
          <w:i w:val="1"/>
          <w:iCs w:val="1"/>
          <w:color w:val="auto"/>
        </w:rPr>
        <w:t>Revelation</w:t>
      </w:r>
      <w:r>
        <w:rPr>
          <w:rFonts w:ascii="Times New Roman" w:cs="Times New Roman" w:eastAsia="Times New Roman" w:hAnsi="Times New Roman"/>
          <w:sz w:val="18"/>
          <w:szCs w:val="18"/>
          <w:color w:val="auto"/>
        </w:rPr>
        <w:t xml:space="preserve"> mobile game, </w:t>
      </w:r>
      <w:r>
        <w:rPr>
          <w:rFonts w:ascii="Times New Roman" w:cs="Times New Roman" w:eastAsia="Times New Roman" w:hAnsi="Times New Roman"/>
          <w:sz w:val="18"/>
          <w:szCs w:val="18"/>
          <w:i w:val="1"/>
          <w:iCs w:val="1"/>
          <w:color w:val="auto"/>
        </w:rPr>
        <w:t>The Lord of the Rings: Rise to War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Dead by Daylight Mobile - NetEase</w:t>
      </w:r>
      <w:r>
        <w:rPr>
          <w:rFonts w:ascii="Times New Roman" w:cs="Times New Roman" w:eastAsia="Times New Roman" w:hAnsi="Times New Roman"/>
          <w:sz w:val="18"/>
          <w:szCs w:val="18"/>
          <w:color w:val="auto"/>
        </w:rPr>
        <w:t>, capturing wide interest from game players.</w:t>
      </w:r>
    </w:p>
    <w:p>
      <w:pPr>
        <w:spacing w:after="0" w:line="15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Propelled pipeline by advancing new games under development including console and mobile versions of </w:t>
      </w:r>
      <w:r>
        <w:rPr>
          <w:rFonts w:ascii="Times New Roman" w:cs="Times New Roman" w:eastAsia="Times New Roman" w:hAnsi="Times New Roman"/>
          <w:sz w:val="18"/>
          <w:szCs w:val="18"/>
          <w:i w:val="1"/>
          <w:iCs w:val="1"/>
          <w:color w:val="auto"/>
        </w:rPr>
        <w:t>Naraka: Bladepoint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Ghost World</w:t>
      </w:r>
    </w:p>
    <w:p>
      <w:pPr>
        <w:spacing w:after="0" w:line="2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Chronicle</w:t>
      </w:r>
      <w:r>
        <w:rPr>
          <w:rFonts w:ascii="Times New Roman" w:cs="Times New Roman" w:eastAsia="Times New Roman" w:hAnsi="Times New Roman"/>
          <w:sz w:val="18"/>
          <w:szCs w:val="18"/>
          <w:color w:val="auto"/>
        </w:rPr>
        <w:t>, as well as the roll-out of</w:t>
      </w:r>
      <w:r>
        <w:rPr>
          <w:rFonts w:ascii="Times New Roman" w:cs="Times New Roman" w:eastAsia="Times New Roman" w:hAnsi="Times New Roman"/>
          <w:sz w:val="18"/>
          <w:szCs w:val="18"/>
          <w:i w:val="1"/>
          <w:iCs w:val="1"/>
          <w:color w:val="auto"/>
        </w:rPr>
        <w:t xml:space="preserve"> Harry Potter: Magic Awakened </w:t>
      </w:r>
      <w:r>
        <w:rPr>
          <w:rFonts w:ascii="Times New Roman" w:cs="Times New Roman" w:eastAsia="Times New Roman" w:hAnsi="Times New Roman"/>
          <w:sz w:val="18"/>
          <w:szCs w:val="18"/>
          <w:color w:val="auto"/>
        </w:rPr>
        <w:t>in international markets.</w:t>
      </w:r>
    </w:p>
    <w:p>
      <w:pPr>
        <w:spacing w:after="0" w:line="206"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Youdao’s business development through the expansion of its smart devices and learning services portfolio, following its efficient transition to comply with the changing regulatory environment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7" w:lineRule="exact"/>
        <w:rPr>
          <w:sz w:val="20"/>
          <w:szCs w:val="20"/>
          <w:color w:val="auto"/>
        </w:rPr>
      </w:pPr>
    </w:p>
    <w:p>
      <w:pPr>
        <w:jc w:val="both"/>
        <w:ind w:right="20" w:firstLine="8"/>
        <w:spacing w:after="0" w:line="208" w:lineRule="auto"/>
        <w:tabs>
          <w:tab w:leader="none" w:pos="232" w:val="left"/>
        </w:tabs>
        <w:numPr>
          <w:ilvl w:val="0"/>
          <w:numId w:val="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As used in this announcement, non-GAAP net income attributable to the Company’s shareholders and non-GAAP basic net income per share and per ADS are defined to exclude share-based compensation expenses. See “Unaudited Reconciliation of GAAP and Non-GAAP Results” in this announcement.</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NetEase Cloud Music, with healthy growth in net revenues from both membership subscription and social entertainment services, and improved gross margin to 12.2%.</w:t>
      </w:r>
    </w:p>
    <w:p>
      <w:pPr>
        <w:spacing w:after="0" w:line="162"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“Strong contributions from our steady online game services led our healthy growth in the first quarter with total net revenues of RMB23.6 billion, an increase of 14.8% year-over-year,” said Mr. William Ding, CEO and Director of NetEase. “Both our flagship titles and many of our newer games continued to captivate our enthusiastic player community. With the April releases of </w:t>
      </w:r>
      <w:r>
        <w:rPr>
          <w:rFonts w:ascii="Times New Roman" w:cs="Times New Roman" w:eastAsia="Times New Roman" w:hAnsi="Times New Roman"/>
          <w:sz w:val="17"/>
          <w:szCs w:val="17"/>
          <w:i w:val="1"/>
          <w:iCs w:val="1"/>
          <w:color w:val="auto"/>
        </w:rPr>
        <w:t>Revelation</w:t>
      </w:r>
      <w:r>
        <w:rPr>
          <w:rFonts w:ascii="Times New Roman" w:cs="Times New Roman" w:eastAsia="Times New Roman" w:hAnsi="Times New Roman"/>
          <w:sz w:val="17"/>
          <w:szCs w:val="17"/>
          <w:color w:val="auto"/>
        </w:rPr>
        <w:t xml:space="preserve"> mobile game, </w:t>
      </w:r>
      <w:r>
        <w:rPr>
          <w:rFonts w:ascii="Times New Roman" w:cs="Times New Roman" w:eastAsia="Times New Roman" w:hAnsi="Times New Roman"/>
          <w:sz w:val="17"/>
          <w:szCs w:val="17"/>
          <w:i w:val="1"/>
          <w:iCs w:val="1"/>
          <w:color w:val="auto"/>
        </w:rPr>
        <w:t>The Lord of the Rings: Rise to War</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Dead by</w:t>
      </w:r>
    </w:p>
    <w:p>
      <w:pPr>
        <w:spacing w:after="0" w:line="2"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i w:val="1"/>
          <w:iCs w:val="1"/>
          <w:color w:val="auto"/>
        </w:rPr>
        <w:t>Daylight Mobile - NetEase</w:t>
      </w:r>
      <w:r>
        <w:rPr>
          <w:rFonts w:ascii="Times New Roman" w:cs="Times New Roman" w:eastAsia="Times New Roman" w:hAnsi="Times New Roman"/>
          <w:sz w:val="18"/>
          <w:szCs w:val="18"/>
          <w:color w:val="auto"/>
        </w:rPr>
        <w:t>, we reached more players overseas. With confirmed plans to release</w:t>
      </w:r>
      <w:r>
        <w:rPr>
          <w:rFonts w:ascii="Times New Roman" w:cs="Times New Roman" w:eastAsia="Times New Roman" w:hAnsi="Times New Roman"/>
          <w:sz w:val="18"/>
          <w:szCs w:val="18"/>
          <w:i w:val="1"/>
          <w:iCs w:val="1"/>
          <w:color w:val="auto"/>
        </w:rPr>
        <w:t xml:space="preserve"> Diablo</w:t>
      </w:r>
      <w:r>
        <w:rPr>
          <w:rFonts w:ascii="Times New Roman" w:cs="Times New Roman" w:eastAsia="Times New Roman" w:hAnsi="Times New Roman"/>
          <w:sz w:val="29"/>
          <w:szCs w:val="29"/>
          <w:i w:val="1"/>
          <w:iCs w:val="1"/>
          <w:color w:val="auto"/>
          <w:vertAlign w:val="superscript"/>
        </w:rPr>
        <w:t>®</w:t>
      </w:r>
      <w:r>
        <w:rPr>
          <w:rFonts w:ascii="Times New Roman" w:cs="Times New Roman" w:eastAsia="Times New Roman" w:hAnsi="Times New Roman"/>
          <w:sz w:val="18"/>
          <w:szCs w:val="18"/>
          <w:i w:val="1"/>
          <w:iCs w:val="1"/>
          <w:color w:val="auto"/>
        </w:rPr>
        <w:t xml:space="preserve"> Immortal™ </w:t>
      </w:r>
      <w:r>
        <w:rPr>
          <w:rFonts w:ascii="Times New Roman" w:cs="Times New Roman" w:eastAsia="Times New Roman" w:hAnsi="Times New Roman"/>
          <w:sz w:val="18"/>
          <w:szCs w:val="18"/>
          <w:color w:val="auto"/>
        </w:rPr>
        <w:t>in June, we are eager to bring players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amazing titles later this year.”</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other business lines, including Youdao, NetEase Cloud Music and Yanxuan, are also on track. We look forward to creating additional value for our stakeholders and bringing more creative content to our growing global community through the remainder of 2022,” Mr. Ding concluded.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2022 Financial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Revenues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revenues were RMB23,555.8 million (US$3,715.8 million) for the first quarter of 2022, compared with RMB24,373.6 million and RMB20,517.2 million for the preceding quarter and the first quarter of 2021, respectively.</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revenues from online game services were RMB17,272.7 million (US$2,724.7 million) for the first quarter of 2022, compared with RMB17,397.5 million and RMB14,981.8 million for the preceding quarter and the first quarter of 2021, respectively. Net revenues from mobile games accounted for approximately 66.9% of net revenues from online game services for the first quarter of 2022, compared with 68.3% and 72.8% for the preceding quarter and the first quarter of 2021, respectively.</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revenues from Youdao were RMB1,200.5 million (US$189.4 million) for the first quarter of 2022, compared with RMB1,333.8 million and RMB1,339.9 million for the preceding quarter and the first quarter of 2021,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revenues from Cloud Music were RMB2,067.2 million (US$326.1 million) for the first quarter of 2022, compared with RMB1,889.3 million and RMB1,491.2 million for the preceding quarter and the first quarter of 2021,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revenues from innovative businesses and others were RMB3,015.4 million (US$475.7 million) for the first quarter of 2022, compared with RMB3,753.0 million and RMB2,704.4 million for the preceding quarter and the first quarter of 2021,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auto"/>
        </w:rPr>
        <w:t>Gross Profit</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was RMB12,836.4 million (US$2,024.9 million) for the first quarter of 2022, compared with RMB12,917.8 million and RMB11,052.6 million for the preceding quarter and the first quarter of 2021,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Online game services gross profit was largely stable in the first quarter of 2022 compared with the preceding quarter. The year-over-year increase was mainly due to increased net revenues from newly launched games such as </w:t>
      </w:r>
      <w:r>
        <w:rPr>
          <w:rFonts w:ascii="Times New Roman" w:cs="Times New Roman" w:eastAsia="Times New Roman" w:hAnsi="Times New Roman"/>
          <w:sz w:val="18"/>
          <w:szCs w:val="18"/>
          <w:i w:val="1"/>
          <w:iCs w:val="1"/>
          <w:color w:val="auto"/>
        </w:rPr>
        <w:t>Naraka: Bladepoint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Harry Potter: Magic Awakened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quarter-over-quarter and year-over-year decreases in Youdao gross profit were primarily due to the conclusion of its Academic AST Business.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quarter-over-quarter and year-over-year increases in Cloud Music gross profit were primarily due to increased net revenues from its membership subscriptions and social entertainment services, as well as improved cost control.</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quarter-over-quarter decrease in innovative businesses and others gross profit was primarily due to a decrease in gross profit from advertising services due to seasonality.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Gross Profit Margin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margin for online game services was 65.1% for the first quarter of 2022, compared with 64.1% and 64.6% for the preceding quarter and the first quarter of 2021, respectively. Gross profit margin for online game services was generally stable, fluctuating within a narrow band based on the revenue mix of mobile and PC games, as well as self-developed and licensed games.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margin for Youdao was 53.1% for the first quarter of 2022, compared with 50.7% and 57.3% for the preceding quarter and the first quarter of 2021, respectively. The quarter-over-quarter increase was mainly due to gross profit margin improvement from its learning services. The year-over-year decrease was mainly due to the conclusion of its Academic AST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margin for Cloud Music was 12.2% for the first quarter of 2022, compared with 4.1% and a negative gross margin of 3.1% for the preceding quarter and the first quarter of 2021, respectively. The quarter-over-quarter and year-over-year improvements were mainly due to the factors enumerated above.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Gross profit margin for innovative businesses and others was 23.3% for the first quarter of 2022, compared with 26.8% and 24.1% for the preceding quarter and the first quarter of 2021, respectively. The quarter-over-quarter decrease was primarily due to the factors enumerated above.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auto"/>
        </w:rPr>
        <w:t>Operating Expenses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operating expenses were RMB7,329.3 million (US$1,156.2 million) for the first quarter of 2022, compared with RMB8,309.6 million and RMB6,777.1 million for the preceding quarter and the first quarter of 2021, respectively. The quarter-over-quarter decrease was mainly due to lower marketing, research and development expenditures related to online game services. The year-over-year increase was mainly due to increased marketing expenditures related to online game services, as well as higher research and development staff-related costs, which was partially offset by decreased marketing expenditures related to Youdao.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 Income/ (Expenses)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(expenses) consisted of investment income/ (loss), interest income, exchange gains/ (losses) and others. The quarter-over-quarter and year-over-year decreases were mainly due to higher investment loss arising from fair value changes of equity investments with readily determinable fair value.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a net income tax charge of RMB1,219.3 million (US$192.3 million) for the first quarter of 2022, compared with RMB934.0 million and RMB1,273.4 million for the preceding quarter and the first quarter of 2021, respectively. The effective tax rate for the first quarter of 2022 was 22.0%, compared with 14.2% and 22.0% for the preceding quarter and the first quarter of 2021, respectively. The effective tax rate represents certain estimates by the Company regarding the tax obligations and benefits applicable to it in each quarter.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 Income and Non-GAAP Net Income</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income attributable to the Company’s shareholders totaled RMB4,394.0 million (US$693.1 million) for the first quarter of 2022, compared with RMB5,694.2 million and RMB4,439.2 million for the preceding quarter and the first quarter of 2021,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Non-GAAP net income attributable to the Company’s shareholders for the first quarter of 2022 totaled RMB5,117.6 million (US$807.3 million), compared with RMB6,595.6 million and RMB5,080.7 million for the preceding quarter and the first quarter of 2021,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NetEase reported basic net income of US$0.21 per share (US$1.06 per ADS) for the first quarter of 2022, compared with US$0.27 per share (US$1.37 per ADS) and US$0.21 per share (US$1.05 per ADS) for the preceding quarter and the first quarter of 2021, respectively.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NetEase reported non-GAAP basic net income of US$0.25 per share (US$1.23 per ADS) for the first quarter of 2022, compared with US$0.32 per share (US$1.59 per ADS) and US$0.24 per share (US$1.20 per ADS) for the preceding quarter and the first quarter of 2021,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Quarterly Dividend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board of directors has approved a dividend of US$0.0644 per share (US$0.3220 per ADS) for the first quarter of 2022, to holders of ordinary shares and holders of ADSs as of the close of business on June 8, 2022, Beijing/Hong Kong Time and New York Time, respectively, payable in U.S. dollars. For holders of ordinary shares, in order to qualify for the dividend, all valid documents for the transfer of shares accompanied by the relevant share certificates must be lodged for registration with the Company’s Hong Kong branch share registrar, Computershare Hong Kong Investor Services Limited, at Shops 1712-1716, 17th Floor, Hopewell Centre, 183 Queen’s Road East, Wanchai, Hong Kong no later than 4:30 p.m. on June 8, 2022 (Beijing/ Hong Kong Time). The payment date is expected to be on June 20, 2022 for holders of ordinary shares and on or around June 23, 2022 for holders of ADSs.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NetEase paid a dividend of US$0.0810 per share (US$0.4050 per ADS) for the fourth quarter of 2021 in March 2022.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Company’s current dividend policy, the determination to make dividend distributions and the amount of such distribution in any particular quarter will be made at the discretion of its board of directors and will be based upon the Company’s operations and earnings, cash flow, financial condition and other relevant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2022, the Company’s total cash and cash equivalents, current and non-current time deposits and short-term investments balance totaled RMB107.0 billion (US$16.9 billion), compared with RMB103.4 billion as of December 31, 2021. Cash flows generated from operating activities was RMB4,582.6 million (US$722.9 million) for the first quarter of 2022, compared with RMB8,368.6 million and RMB5,542.7 million for the preceding quarter and the first quarter of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Repurchase/Purchase Program</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25, 2021, the Company announced that its board of directors had approved a share repurchase program of up to US$2.0 billion of the Company’s outstanding ADSs and ordinary shares in open market transactions for a period not to exceed 24 months beginning on March 2, 2021. On August 31, 2021, the Company announced that its board of directors had approved an amendment to such program to increase the total authorized repurchase amount to US$3.0 billion. As of March 31, 2022, approximately 20.1 million ADSs had been repurchased under this program for a total cost of US$1.9 billion.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On August 31, 2021, the Company announced that its board of directors had approved a share purchase program of up to US$50.0 million of Youdao’s outstanding ADSs for a period not to exceed 36 months beginning on September 2, 2021. Under the terms of this program, NetEase may purchase Youdao’s ADSs in open-market transactions on the New York Stock Exchange. As of March 31, 2022, approximately 1.2 million ADSs had been purchased under this program for a total cost of US$14.1 million.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extent to which NetEase repurchases its ADSs and its ordinary shares or purchases Youdao’s ADSs will depend upon a variety of factors, including market conditions. These programs may be suspended or discontinued at any time.</w:t>
      </w:r>
    </w:p>
    <w:p>
      <w:pPr>
        <w:spacing w:after="0" w:line="162" w:lineRule="exact"/>
        <w:rPr>
          <w:sz w:val="20"/>
          <w:szCs w:val="20"/>
          <w:color w:val="auto"/>
        </w:rPr>
      </w:pPr>
    </w:p>
    <w:p>
      <w:pPr>
        <w:ind w:firstLine="8"/>
        <w:spacing w:after="0" w:line="282" w:lineRule="auto"/>
        <w:tabs>
          <w:tab w:leader="none" w:pos="2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United States dollar (US$) amounts disclosed in this announcement are presented solely for the convenience of the reader. The percentages stated are calculated based on RMB.</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NetEase’s management team will host a teleconference call with simultaneous webcast at 8:00 a.m. New York Time on May 24, 2022 (Beijing/Hong Kong Time: 8:00 p.m., May 24, 2022). NetEase’s management will be on the call to discuss the quarterly results and answer questions.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Interested parties may participate in the conference call by dialing 1-323-701-0160 and providing conference ID: 2366082, 15 minutes prior to the initiation of the call. A replay of the call will be available by dialing 1-719-457-0820 and entering passcode 2366082#. The replay will be available through June 6, 2022.</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This call will be webcast live and the replay will be available for 12 months. Both will be available on NetEase’s Investor Relations website at </w:t>
      </w:r>
      <w:r>
        <w:rPr>
          <w:rFonts w:ascii="Times New Roman" w:cs="Times New Roman" w:eastAsia="Times New Roman" w:hAnsi="Times New Roman"/>
          <w:sz w:val="18"/>
          <w:szCs w:val="18"/>
          <w:u w:val="single" w:color="auto"/>
          <w:color w:val="auto"/>
        </w:rPr>
        <w:t>http://ir.netease.com/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NetEase, Inc.</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a leading internet technology company based in China, NetEase, Inc. (NASDAQ: NTES and HKEX: 9999, “NetEase”) provides premium online services centered around innovative and diverse content, community, communication and commerce. NetEase develops and operates some of China’s most popular mobile and PC games. In more recent years, NetEase has expanded into international markets including Japan and North America. In addition to its self-developed game content, NetEase partners with other leading game developers, such as Blizzard Entertainment and Mojang AB (a Microsoft subsidiary), to operate globally renowned games in China. NetEase’s other innovative service offerings include the majority-controlled subsidiaries </w:t>
      </w:r>
      <w:r>
        <w:rPr>
          <w:rFonts w:ascii="Times New Roman" w:cs="Times New Roman" w:eastAsia="Times New Roman" w:hAnsi="Times New Roman"/>
          <w:sz w:val="18"/>
          <w:szCs w:val="18"/>
          <w:i w:val="1"/>
          <w:iCs w:val="1"/>
          <w:color w:val="auto"/>
        </w:rPr>
        <w:t>Youdao</w:t>
      </w:r>
      <w:r>
        <w:rPr>
          <w:rFonts w:ascii="Times New Roman" w:cs="Times New Roman" w:eastAsia="Times New Roman" w:hAnsi="Times New Roman"/>
          <w:sz w:val="18"/>
          <w:szCs w:val="18"/>
          <w:color w:val="auto"/>
        </w:rPr>
        <w:t xml:space="preserve"> (NYSE: DAO), China’s leading technology-focused intelligent learning company, and Cloud Village (HKEX: 9899), also known as </w:t>
      </w:r>
      <w:r>
        <w:rPr>
          <w:rFonts w:ascii="Times New Roman" w:cs="Times New Roman" w:eastAsia="Times New Roman" w:hAnsi="Times New Roman"/>
          <w:sz w:val="18"/>
          <w:szCs w:val="18"/>
          <w:i w:val="1"/>
          <w:iCs w:val="1"/>
          <w:color w:val="auto"/>
        </w:rPr>
        <w:t>NetEase Cloud Music</w:t>
      </w:r>
      <w:r>
        <w:rPr>
          <w:rFonts w:ascii="Times New Roman" w:cs="Times New Roman" w:eastAsia="Times New Roman" w:hAnsi="Times New Roman"/>
          <w:sz w:val="18"/>
          <w:szCs w:val="18"/>
          <w:color w:val="auto"/>
        </w:rPr>
        <w:t xml:space="preserve">, China’s leading online music content community, as well as </w:t>
      </w:r>
      <w:r>
        <w:rPr>
          <w:rFonts w:ascii="Times New Roman" w:cs="Times New Roman" w:eastAsia="Times New Roman" w:hAnsi="Times New Roman"/>
          <w:sz w:val="18"/>
          <w:szCs w:val="18"/>
          <w:i w:val="1"/>
          <w:iCs w:val="1"/>
          <w:color w:val="auto"/>
        </w:rPr>
        <w:t>Yanxuan</w:t>
      </w:r>
      <w:r>
        <w:rPr>
          <w:rFonts w:ascii="Times New Roman" w:cs="Times New Roman" w:eastAsia="Times New Roman" w:hAnsi="Times New Roman"/>
          <w:sz w:val="18"/>
          <w:szCs w:val="18"/>
          <w:color w:val="auto"/>
        </w:rPr>
        <w:t xml:space="preserve">, NetEase’s private label e-commerce platform. For more information, please visit: </w:t>
      </w:r>
      <w:r>
        <w:rPr>
          <w:rFonts w:ascii="Times New Roman" w:cs="Times New Roman" w:eastAsia="Times New Roman" w:hAnsi="Times New Roman"/>
          <w:sz w:val="18"/>
          <w:szCs w:val="18"/>
          <w:u w:val="single" w:color="auto"/>
          <w:color w:val="auto"/>
        </w:rPr>
        <w:t>http://ir.netease.com/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statements of a forward-looking nature. These statements are made under the “safe harbor” provisions of the U.S. Private Securities Litigation Reform Act of 1995. You can identify these forward-looking statements by terminology such as “will,” “expects,” “anticipates,” “future,” “intends,” “plans,” “believes,” “estimates” and similar statements. In addition, statements that are not historical facts, including statements about NetEase’s strategies and business plans, its expectations regarding the growth of its business and its revenue and the quotations from management in this announcement are or contain forward-looking statements. NetEase may also make forward-looking statements in its periodic reports to the U.S. Securities and Exchange Commission (the “SEC”), in announcements made on the website of The Stock Exchange of Hong Kong Limited (the “Hong Kong Stock Exchange”), in press releases and other written materials and in oral statements made by its officers, directors or employees to third parties. The accuracy of these statements may be impacted by a number of business risks and uncertainties that could cause actual results to differ materially from those projected or anticipated, including risks related to: the risk that the online game market will not continue to grow or that NetEase will not be able to maintain its position in that market in China or globally; the risk that COVID-19 or other health risks in China or globally could adversely affect the Company’s operations or financial results; risks associated with NetEase’s business and operating strategies and its ability to implement such strategies; NetEase’s ability to develop and manage its operations and business; competition for, among other things, capital, technology and skilled personnel; potential changes in government regulation that could adversely affect the industry and geographical markets in which NetEase operates, including, among others, initiatives to enhance supervision of companies listed on an overseas stock exchange and tighten scrutiny over data privacy and data security, as well as the risk that NetEase’s ADSs could be barred from trading in the United States as a result of the Holding Foreign Companies Accountable Act and the rules promulgated thereunder; the risk that NetEase may not be able to continuously develop new and creative online services or that NetEase will not be able to set, or follow in a timely manner, trends in the market; competition in NetEase’s existing and potential markets; and the risk that fluctuations in the value of the Renminbi with respect to other currencies could adversely affect NetEase’s business and financial results. Further information regarding these and other risks is included in NetEase’s filings with the SEC and announcements on the website of the Hong Kong Stock Exchange. NetEase does not undertake any obligation to update this forward-looking information, except as required under the applicable law.</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NetEase considers and uses non-GAAP financial measures, such as non-GAAP net income attributable to the Company’s shareholders and non-GAAP basic and diluted net income per share and per ADS, as supplemental metrics in reviewing and assessing its operating performance and formulating its business plan. The presentation of non-GAAP financial measures is not intended to be considered in isolation or as a substitute for the financial information prepared and presented in accordance with accounting principles generally accepted in the United States of America (“U.S. GAAP”).</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NetEase defines non-GAAP net income attributable to the Company’s shareholders as net income attributable to the Company’s shareholders excluding share-based compensation expenses. Non-GAAP net income attributable to the Company’s shareholders enables NetEase’s management to assess its operating results without considering the impact of share-based compensation expenses. NetEase believes that these non-GAAP financial measures provide useful information to investors in understanding and evaluating the Company’s current operating performance and prospects in the same manner as management does, if they so choose. NetEase also believes that the use of this non-GAAP financial measure facilitates investors’ assessment of its operating performance.</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Non-GAAP financial measures are not defined under U.S. GAAP and are not presented in accordance with U.S. GAAP. Non-GAAP financial measures have limitations as analytical tools. One of the key limitations of using non-GAAP net income attributable to the Company’s shareholders is that it does not reflect all items of income / expense that affect our operations. Share-based compensation expenses have been and may continue to be incurred in NetEase’s business and are not reflected in the presentation of non-GAAP net income attributable to the Company’s shareholders. In addition, the non-GAAP financial measures NetEase uses may differ from the non-GAAP measures used by other companies, including peer companies, and therefore their comparability may be limited.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NetEase compensates for these limitations by reconciling non-GAAP net income attributable to the Company’s shareholders to the nearest U.S. GAAP performance measure, all of which should be considered when evaluating the Company’s performance. See “Unaudited Reconciliation of GAAP and Non-GAAP Results” at the end of this announcement. NetEase encourages you to review its financial information in its entirety and not rely on a single financial measure.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60" w:type="dxa"/>
            <w:vAlign w:val="bottom"/>
          </w:tcPr>
          <w:p>
            <w:pPr>
              <w:spacing w:after="0"/>
              <w:rPr>
                <w:sz w:val="19"/>
                <w:szCs w:val="19"/>
                <w:color w:val="auto"/>
              </w:rPr>
            </w:pPr>
          </w:p>
        </w:tc>
        <w:tc>
          <w:tcPr>
            <w:tcW w:w="16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USD (Note 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14,498,157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9,851,996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1,554,114</w:t>
            </w:r>
          </w:p>
        </w:tc>
        <w:tc>
          <w:tcPr>
            <w:tcW w:w="0" w:type="dxa"/>
            <w:vAlign w:val="bottom"/>
          </w:tcPr>
          <w:p>
            <w:pPr>
              <w:spacing w:after="0"/>
              <w:rPr>
                <w:sz w:val="1"/>
                <w:szCs w:val="1"/>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70,754,846</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81,302,719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12,825,189</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2,876,628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3,335,627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526,182</w:t>
            </w:r>
          </w:p>
        </w:tc>
        <w:tc>
          <w:tcPr>
            <w:tcW w:w="0" w:type="dxa"/>
            <w:vAlign w:val="bottom"/>
          </w:tcPr>
          <w:p>
            <w:pPr>
              <w:spacing w:after="0"/>
              <w:rPr>
                <w:sz w:val="1"/>
                <w:szCs w:val="1"/>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5,507,988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5,277,364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832,484</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964,733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861,312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135,869</w:t>
            </w:r>
          </w:p>
        </w:tc>
        <w:tc>
          <w:tcPr>
            <w:tcW w:w="0" w:type="dxa"/>
            <w:vAlign w:val="bottom"/>
          </w:tcPr>
          <w:p>
            <w:pPr>
              <w:spacing w:after="0"/>
              <w:rPr>
                <w:sz w:val="1"/>
                <w:szCs w:val="1"/>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Prepayments and other current assets, net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6,235,857</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7,097,923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1,119,671</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12,281,548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11,346,649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1,789,890</w:t>
            </w:r>
          </w:p>
        </w:tc>
        <w:tc>
          <w:tcPr>
            <w:tcW w:w="0" w:type="dxa"/>
            <w:vAlign w:val="bottom"/>
          </w:tcPr>
          <w:p>
            <w:pPr>
              <w:spacing w:after="0"/>
              <w:rPr>
                <w:sz w:val="1"/>
                <w:szCs w:val="1"/>
                <w:color w:val="auto"/>
              </w:rPr>
            </w:pPr>
          </w:p>
        </w:tc>
      </w:tr>
      <w:tr>
        <w:trPr>
          <w:trHeight w:val="230"/>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497</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113,120,254</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119,073,590</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18,783,399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5,433,858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5,842,168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921,579</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 use right, net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4,108,090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4,149,942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654,637</w:t>
            </w:r>
          </w:p>
        </w:tc>
        <w:tc>
          <w:tcPr>
            <w:tcW w:w="0" w:type="dxa"/>
            <w:vAlign w:val="bottom"/>
          </w:tcPr>
          <w:p>
            <w:pPr>
              <w:spacing w:after="0"/>
              <w:rPr>
                <w:sz w:val="1"/>
                <w:szCs w:val="1"/>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 assets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1,297,954</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1,127,257</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177,820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Time deposits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5,823,840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4,473,840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705,731</w:t>
            </w:r>
          </w:p>
        </w:tc>
        <w:tc>
          <w:tcPr>
            <w:tcW w:w="0" w:type="dxa"/>
            <w:vAlign w:val="bottom"/>
          </w:tcPr>
          <w:p>
            <w:pPr>
              <w:spacing w:after="0"/>
              <w:rPr>
                <w:sz w:val="1"/>
                <w:szCs w:val="1"/>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1,330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1,079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assets, net</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23,857,510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24,580,233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3,877,436</w:t>
            </w:r>
          </w:p>
        </w:tc>
        <w:tc>
          <w:tcPr>
            <w:tcW w:w="0" w:type="dxa"/>
            <w:vAlign w:val="bottom"/>
          </w:tcPr>
          <w:p>
            <w:pPr>
              <w:spacing w:after="0"/>
              <w:rPr>
                <w:sz w:val="1"/>
                <w:szCs w:val="1"/>
                <w:color w:val="auto"/>
              </w:rPr>
            </w:pPr>
          </w:p>
        </w:tc>
      </w:tr>
      <w:tr>
        <w:trPr>
          <w:trHeight w:val="229"/>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held for sale</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1,088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non-current assets</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40,523,670</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40,174,519</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6,337,373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153,643,924</w:t>
            </w:r>
          </w:p>
        </w:tc>
        <w:tc>
          <w:tcPr>
            <w:tcW w:w="34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159,248,109</w:t>
            </w:r>
          </w:p>
        </w:tc>
        <w:tc>
          <w:tcPr>
            <w:tcW w:w="3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25,120,772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7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Noncontrolling Interests and Shareholders’ Equity</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985,059</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924,572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145,848</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Salary and welfare payables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4,133,254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2,401,213</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378,782</w:t>
            </w:r>
          </w:p>
        </w:tc>
        <w:tc>
          <w:tcPr>
            <w:tcW w:w="0" w:type="dxa"/>
            <w:vAlign w:val="bottom"/>
          </w:tcPr>
          <w:p>
            <w:pPr>
              <w:spacing w:after="0"/>
              <w:rPr>
                <w:sz w:val="1"/>
                <w:szCs w:val="1"/>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payable</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4,537,050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4,614,865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727,977</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loans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19,352,313</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22,679,519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3,577,606</w:t>
            </w:r>
          </w:p>
        </w:tc>
        <w:tc>
          <w:tcPr>
            <w:tcW w:w="0" w:type="dxa"/>
            <w:vAlign w:val="bottom"/>
          </w:tcPr>
          <w:p>
            <w:pPr>
              <w:spacing w:after="0"/>
              <w:rPr>
                <w:sz w:val="1"/>
                <w:szCs w:val="1"/>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12,132,743</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12,050,962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1,900,992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 and other payables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9,360,907</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9,093,256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1,434,426</w:t>
            </w: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50,501,326</w:t>
            </w:r>
          </w:p>
        </w:tc>
        <w:tc>
          <w:tcPr>
            <w:tcW w:w="3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51,764,387</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8,165,631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1,345,874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1,490,406</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235,106</w:t>
            </w:r>
          </w:p>
        </w:tc>
        <w:tc>
          <w:tcPr>
            <w:tcW w:w="0" w:type="dxa"/>
            <w:vAlign w:val="bottom"/>
          </w:tcPr>
          <w:p>
            <w:pPr>
              <w:spacing w:after="0"/>
              <w:rPr>
                <w:sz w:val="1"/>
                <w:szCs w:val="1"/>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loans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1,275,140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3,174,100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500,702</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long-term payable</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1,097,708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1,044,882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164,826</w:t>
            </w:r>
          </w:p>
        </w:tc>
        <w:tc>
          <w:tcPr>
            <w:tcW w:w="0" w:type="dxa"/>
            <w:vAlign w:val="bottom"/>
          </w:tcPr>
          <w:p>
            <w:pPr>
              <w:spacing w:after="0"/>
              <w:rPr>
                <w:sz w:val="1"/>
                <w:szCs w:val="1"/>
                <w:color w:val="auto"/>
              </w:rPr>
            </w:pPr>
          </w:p>
        </w:tc>
      </w:tr>
      <w:tr>
        <w:trPr>
          <w:trHeight w:val="210"/>
        </w:trPr>
        <w:tc>
          <w:tcPr>
            <w:tcW w:w="6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3,718,722</w:t>
            </w:r>
          </w:p>
        </w:tc>
        <w:tc>
          <w:tcPr>
            <w:tcW w:w="3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5,709,388</w:t>
            </w:r>
          </w:p>
        </w:tc>
        <w:tc>
          <w:tcPr>
            <w:tcW w:w="3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900,634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54,220,048</w:t>
            </w:r>
          </w:p>
        </w:tc>
        <w:tc>
          <w:tcPr>
            <w:tcW w:w="34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57,473,775</w:t>
            </w:r>
          </w:p>
        </w:tc>
        <w:tc>
          <w:tcPr>
            <w:tcW w:w="32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9,066,265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145,238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146,754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23,150</w:t>
            </w: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NetEase, Inc.’s shareholders’ equity</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95,328,080</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97,671,521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15,407,304</w:t>
            </w:r>
          </w:p>
        </w:tc>
        <w:tc>
          <w:tcPr>
            <w:tcW w:w="0" w:type="dxa"/>
            <w:vAlign w:val="bottom"/>
          </w:tcPr>
          <w:p>
            <w:pPr>
              <w:spacing w:after="0"/>
              <w:rPr>
                <w:sz w:val="1"/>
                <w:szCs w:val="1"/>
                <w:color w:val="auto"/>
              </w:rPr>
            </w:pPr>
          </w:p>
        </w:tc>
      </w:tr>
      <w:tr>
        <w:trPr>
          <w:trHeight w:val="229"/>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3,950,558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3,956,059</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624,053</w:t>
            </w: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99,278,638</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101,627,580</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16,031,357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redeemable noncontrolling interests and shareholders’ equity</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153,643,924</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159,248,109</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25,120,772</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this announcement.</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7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760" w:type="dxa"/>
            <w:vAlign w:val="bottom"/>
            <w:tcBorders>
              <w:bottom w:val="single" w:sz="8" w:color="auto"/>
            </w:tcBorders>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3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31" w:lineRule="exact"/>
        <w:rPr>
          <w:sz w:val="20"/>
          <w:szCs w:val="20"/>
          <w:color w:val="auto"/>
        </w:rPr>
      </w:pPr>
    </w:p>
    <w:p>
      <w:pPr>
        <w:ind w:right="5120"/>
        <w:spacing w:after="0" w:line="260"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INCOME (in thousands, except per share data or per ADS data)</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4"/>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5200" w:type="dxa"/>
            <w:vAlign w:val="bottom"/>
          </w:tcPr>
          <w:p>
            <w:pPr>
              <w:spacing w:after="0"/>
              <w:rPr>
                <w:sz w:val="17"/>
                <w:szCs w:val="17"/>
                <w:color w:val="auto"/>
              </w:rPr>
            </w:pPr>
          </w:p>
        </w:tc>
        <w:tc>
          <w:tcPr>
            <w:tcW w:w="1600" w:type="dxa"/>
            <w:vAlign w:val="bottom"/>
            <w:gridSpan w:val="2"/>
          </w:tcPr>
          <w:p>
            <w:pPr>
              <w:jc w:val="center"/>
              <w:ind w:right="281"/>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560" w:type="dxa"/>
            <w:vAlign w:val="bottom"/>
            <w:gridSpan w:val="2"/>
          </w:tcPr>
          <w:p>
            <w:pPr>
              <w:jc w:val="center"/>
              <w:ind w:right="261"/>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540" w:type="dxa"/>
            <w:vAlign w:val="bottom"/>
            <w:gridSpan w:val="2"/>
          </w:tcPr>
          <w:p>
            <w:pPr>
              <w:jc w:val="center"/>
              <w:ind w:right="241"/>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r>
      <w:tr>
        <w:trPr>
          <w:trHeight w:val="238"/>
        </w:trPr>
        <w:tc>
          <w:tcPr>
            <w:tcW w:w="520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6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3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r>
      <w:tr>
        <w:trPr>
          <w:trHeight w:val="209"/>
        </w:trPr>
        <w:tc>
          <w:tcPr>
            <w:tcW w:w="52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6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USD (Note 1)</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6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20,517,211</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24,373,565</w:t>
            </w:r>
          </w:p>
        </w:tc>
        <w:tc>
          <w:tcPr>
            <w:tcW w:w="15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23,555,842</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3,715,843</w:t>
            </w: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6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(9,464,572)</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(11,455,785)</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(10,719,463)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(1,690,954)</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11,052,639</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12,917,780</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12,836,379</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2,024,889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6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(2,766,682)</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(3,300,032)</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(2,915,489)</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(459,907)</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(950,194)</w:t>
            </w:r>
          </w:p>
        </w:tc>
        <w:tc>
          <w:tcPr>
            <w:tcW w:w="15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(1,161,876)</w:t>
            </w: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(1,015,769)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(160,234)</w:t>
            </w: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(3,060,189)</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(3,847,704)</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(3,398,082)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(536,034)</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(6,777,065</w:t>
            </w:r>
          </w:p>
        </w:tc>
        <w:tc>
          <w:tcPr>
            <w:tcW w:w="360" w:type="dxa"/>
            <w:vAlign w:val="bottom"/>
            <w:tcBorders>
              <w:top w:val="single" w:sz="8" w:color="CCEEFF"/>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(8,309,612</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(7,329,340</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(1,156,175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profit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4,275,574</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4,608,168</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5,507,039</w:t>
            </w: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868,714</w:t>
            </w: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income/ (loss), net</w:t>
            </w:r>
          </w:p>
        </w:tc>
        <w:tc>
          <w:tcPr>
            <w:tcW w:w="16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695,298</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1,627,642</w:t>
            </w: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(548,702)</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(86,556)</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388,928</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395,029</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458,244</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72,286</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gains/ (losses), net</w:t>
            </w:r>
          </w:p>
        </w:tc>
        <w:tc>
          <w:tcPr>
            <w:tcW w:w="160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279,319</w:t>
            </w:r>
          </w:p>
        </w:tc>
        <w:tc>
          <w:tcPr>
            <w:tcW w:w="15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(331,390)</w:t>
            </w:r>
          </w:p>
        </w:tc>
        <w:tc>
          <w:tcPr>
            <w:tcW w:w="15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(97,880)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(15,440)</w:t>
            </w:r>
          </w:p>
        </w:tc>
      </w:t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160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color w:val="auto"/>
              </w:rPr>
              <w:t>147,967</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297,244</w:t>
            </w: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216,330</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34,125</w:t>
            </w: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tax</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5,787,086</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6,596,693</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5,535,031</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873,129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tax</w:t>
            </w:r>
          </w:p>
        </w:tc>
        <w:tc>
          <w:tcPr>
            <w:tcW w:w="16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(1,273,408)</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(933,985)</w:t>
            </w:r>
          </w:p>
        </w:tc>
        <w:tc>
          <w:tcPr>
            <w:tcW w:w="15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(1,219,271)</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(192,335)</w:t>
            </w: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4,513,678</w:t>
            </w:r>
          </w:p>
        </w:tc>
        <w:tc>
          <w:tcPr>
            <w:tcW w:w="3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5,662,708</w:t>
            </w: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4,315,760</w:t>
            </w:r>
          </w:p>
        </w:tc>
        <w:tc>
          <w:tcPr>
            <w:tcW w:w="3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680,794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333" w:right="339" w:bottom="1440" w:gutter="0" w:footer="0" w:header="0"/>
        </w:sectPr>
      </w:pPr>
    </w:p>
    <w:p>
      <w:pPr>
        <w:ind w:right="1420"/>
        <w:spacing w:after="0" w:line="261" w:lineRule="auto"/>
        <w:rPr>
          <w:sz w:val="20"/>
          <w:szCs w:val="20"/>
          <w:color w:val="auto"/>
        </w:rPr>
      </w:pPr>
      <w:r>
        <w:rPr>
          <w:rFonts w:ascii="Times New Roman" w:cs="Times New Roman" w:eastAsia="Times New Roman" w:hAnsi="Times New Roman"/>
          <w:sz w:val="18"/>
          <w:szCs w:val="18"/>
          <w:color w:val="auto"/>
        </w:rPr>
        <w:t>Accretion of redeemable noncontrolling interests Net loss attributable to noncontrolling interests</w:t>
      </w: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the Company’s shareholders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ADS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43" w:lineRule="exact"/>
        <w:rPr>
          <w:sz w:val="20"/>
          <w:szCs w:val="20"/>
          <w:color w:val="auto"/>
        </w:rPr>
      </w:pPr>
    </w:p>
    <w:p>
      <w:pPr>
        <w:ind w:left="180" w:hanging="161"/>
        <w:spacing w:after="0" w:line="263" w:lineRule="auto"/>
        <w:rPr>
          <w:sz w:val="20"/>
          <w:szCs w:val="20"/>
          <w:color w:val="auto"/>
        </w:rPr>
      </w:pPr>
      <w:r>
        <w:rPr>
          <w:rFonts w:ascii="Times New Roman" w:cs="Times New Roman" w:eastAsia="Times New Roman" w:hAnsi="Times New Roman"/>
          <w:sz w:val="18"/>
          <w:szCs w:val="18"/>
          <w:b w:val="1"/>
          <w:bCs w:val="1"/>
          <w:color w:val="auto"/>
        </w:rPr>
        <w:t>Weighted average number of ordinary shares used in calculating net income per share *</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Each ADS represents five ordinary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this announcement.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(143,827)</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(99,914)</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(733)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34"/>
        </w:trPr>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69,301</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131,360</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78,996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12,461</w:t>
            </w:r>
          </w:p>
        </w:tc>
        <w:tc>
          <w:tcPr>
            <w:tcW w:w="60" w:type="dxa"/>
            <w:vAlign w:val="bottom"/>
          </w:tcPr>
          <w:p>
            <w:pPr>
              <w:spacing w:after="0"/>
              <w:rPr>
                <w:sz w:val="20"/>
                <w:szCs w:val="20"/>
                <w:color w:val="auto"/>
              </w:rPr>
            </w:pP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4,439,152</w:t>
            </w:r>
          </w:p>
        </w:tc>
        <w:tc>
          <w:tcPr>
            <w:tcW w:w="3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5,694,154</w:t>
            </w:r>
          </w:p>
        </w:tc>
        <w:tc>
          <w:tcPr>
            <w:tcW w:w="3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4,394,023</w:t>
            </w:r>
          </w:p>
        </w:tc>
        <w:tc>
          <w:tcPr>
            <w:tcW w:w="3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693,139</w:t>
            </w:r>
          </w:p>
        </w:tc>
        <w:tc>
          <w:tcPr>
            <w:tcW w:w="60" w:type="dxa"/>
            <w:vAlign w:val="bottom"/>
          </w:tcPr>
          <w:p>
            <w:pPr>
              <w:spacing w:after="0"/>
              <w:rPr>
                <w:sz w:val="19"/>
                <w:szCs w:val="19"/>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42"/>
        </w:trPr>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1.33</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1.74</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0" w:type="dxa"/>
            <w:vAlign w:val="bottom"/>
          </w:tcPr>
          <w:p>
            <w:pPr>
              <w:spacing w:after="0"/>
              <w:rPr>
                <w:sz w:val="24"/>
                <w:szCs w:val="24"/>
                <w:color w:val="auto"/>
              </w:rPr>
            </w:pPr>
          </w:p>
        </w:tc>
      </w:tr>
      <w:tr>
        <w:trPr>
          <w:trHeight w:val="210"/>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3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60" w:type="dxa"/>
            <w:vAlign w:val="bottom"/>
          </w:tcPr>
          <w:p>
            <w:pPr>
              <w:spacing w:after="0"/>
              <w:rPr>
                <w:sz w:val="18"/>
                <w:szCs w:val="18"/>
                <w:color w:val="auto"/>
              </w:rPr>
            </w:pPr>
          </w:p>
        </w:tc>
      </w:tr>
      <w:tr>
        <w:trPr>
          <w:trHeight w:val="655"/>
        </w:trPr>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6.63</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8.68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6.70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tcPr>
          <w:p>
            <w:pPr>
              <w:spacing w:after="0"/>
              <w:rPr>
                <w:sz w:val="24"/>
                <w:szCs w:val="24"/>
                <w:color w:val="auto"/>
              </w:rPr>
            </w:pPr>
          </w:p>
        </w:tc>
      </w:tr>
      <w:tr>
        <w:trPr>
          <w:trHeight w:val="209"/>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3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3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3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18"/>
                <w:szCs w:val="18"/>
                <w:color w:val="auto"/>
              </w:rPr>
            </w:pPr>
          </w:p>
        </w:tc>
      </w:tr>
      <w:tr>
        <w:trPr>
          <w:trHeight w:val="871"/>
        </w:trPr>
        <w:tc>
          <w:tcPr>
            <w:tcW w:w="1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3,349,638</w:t>
            </w:r>
          </w:p>
        </w:tc>
        <w:tc>
          <w:tcPr>
            <w:tcW w:w="15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3,281,172</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3,277,280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3,277,280</w:t>
            </w:r>
          </w:p>
        </w:tc>
        <w:tc>
          <w:tcPr>
            <w:tcW w:w="60" w:type="dxa"/>
            <w:vAlign w:val="bottom"/>
          </w:tcPr>
          <w:p>
            <w:pPr>
              <w:spacing w:after="0"/>
              <w:rPr>
                <w:sz w:val="24"/>
                <w:szCs w:val="24"/>
                <w:color w:val="auto"/>
              </w:rPr>
            </w:pPr>
          </w:p>
        </w:tc>
      </w:tr>
      <w:tr>
        <w:trPr>
          <w:trHeight w:val="209"/>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3,399,981</w:t>
            </w:r>
          </w:p>
        </w:tc>
        <w:tc>
          <w:tcPr>
            <w:tcW w:w="36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3,323,004</w:t>
            </w:r>
          </w:p>
        </w:tc>
        <w:tc>
          <w:tcPr>
            <w:tcW w:w="3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3,316,129</w:t>
            </w:r>
          </w:p>
        </w:tc>
        <w:tc>
          <w:tcPr>
            <w:tcW w:w="3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3,316,129</w:t>
            </w:r>
          </w:p>
        </w:tc>
        <w:tc>
          <w:tcPr>
            <w:tcW w:w="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-3296285</wp:posOffset>
            </wp:positionH>
            <wp:positionV relativeFrom="paragraph">
              <wp:posOffset>-2322195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-2039620</wp:posOffset>
            </wp:positionV>
            <wp:extent cx="713232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-1722120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-1439545</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-1148080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-864870</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-574040</wp:posOffset>
            </wp:positionV>
            <wp:extent cx="71323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-3296285</wp:posOffset>
            </wp:positionH>
            <wp:positionV relativeFrom="paragraph">
              <wp:posOffset>-153670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865" w:lineRule="exact"/>
        <w:rPr>
          <w:sz w:val="20"/>
          <w:szCs w:val="20"/>
          <w:color w:val="auto"/>
        </w:rPr>
      </w:pPr>
    </w:p>
    <w:p>
      <w:pPr>
        <w:sectPr>
          <w:pgSz w:w="11900" w:h="16838" w:orient="portrait"/>
          <w:cols w:equalWidth="0" w:num="2">
            <w:col w:w="4960" w:space="240"/>
            <w:col w:w="6040"/>
          </w:cols>
          <w:pgMar w:left="320" w:top="333" w:right="339"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31" w:lineRule="exact"/>
        <w:rPr>
          <w:sz w:val="20"/>
          <w:szCs w:val="20"/>
          <w:color w:val="auto"/>
        </w:rPr>
      </w:pPr>
    </w:p>
    <w:p>
      <w:pPr>
        <w:ind w:right="4700"/>
        <w:spacing w:after="0" w:line="260" w:lineRule="auto"/>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01"/>
        </w:trPr>
        <w:tc>
          <w:tcPr>
            <w:tcW w:w="5520" w:type="dxa"/>
            <w:vAlign w:val="bottom"/>
          </w:tcPr>
          <w:p>
            <w:pPr>
              <w:spacing w:after="0"/>
              <w:rPr>
                <w:sz w:val="17"/>
                <w:szCs w:val="17"/>
                <w:color w:val="auto"/>
              </w:rPr>
            </w:pPr>
          </w:p>
        </w:tc>
        <w:tc>
          <w:tcPr>
            <w:tcW w:w="1500" w:type="dxa"/>
            <w:vAlign w:val="bottom"/>
            <w:gridSpan w:val="2"/>
          </w:tcPr>
          <w:p>
            <w:pPr>
              <w:jc w:val="center"/>
              <w:ind w:right="141"/>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40" w:type="dxa"/>
            <w:vAlign w:val="bottom"/>
            <w:gridSpan w:val="2"/>
          </w:tcPr>
          <w:p>
            <w:pPr>
              <w:jc w:val="center"/>
              <w:ind w:right="141"/>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center"/>
              <w:ind w:right="141"/>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6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80" w:type="dxa"/>
            <w:vAlign w:val="bottom"/>
          </w:tcPr>
          <w:p>
            <w:pPr>
              <w:spacing w:after="0"/>
              <w:rPr>
                <w:sz w:val="17"/>
                <w:szCs w:val="17"/>
                <w:color w:val="auto"/>
              </w:rPr>
            </w:pPr>
          </w:p>
        </w:tc>
      </w:t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8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2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USD (Note 1)</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4,513,678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5,662,708</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4,315,760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680,794</w:t>
            </w:r>
          </w:p>
        </w:tc>
        <w:tc>
          <w:tcPr>
            <w:tcW w:w="80" w:type="dxa"/>
            <w:vAlign w:val="bottom"/>
          </w:tcPr>
          <w:p>
            <w:pPr>
              <w:spacing w:after="0"/>
              <w:rPr>
                <w:sz w:val="18"/>
                <w:szCs w:val="18"/>
                <w:color w:val="auto"/>
              </w:rPr>
            </w:pPr>
          </w:p>
        </w:tc>
      </w:tr>
      <w:tr>
        <w:trPr>
          <w:trHeight w:val="198"/>
        </w:trPr>
        <w:tc>
          <w:tcPr>
            <w:tcW w:w="55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 operating</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activities:</w:t>
            </w:r>
          </w:p>
        </w:tc>
        <w:tc>
          <w:tcPr>
            <w:tcW w:w="1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819,830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836,042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766,180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120,862</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changes of equity security investments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(477,597)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(984,901)</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1,541,002</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243,087</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losses of investments and other long-term assets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69,572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5,000</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789</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 changes of short-term investments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(118,004)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(166,513)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(79,776)</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(12,584)</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cost</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650,253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1,002,899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746,154</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117,703</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(reversal of) expected credit losses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13,604</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12,932</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(313)</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losses on disposal of property, equipment and software</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48,779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1,445</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228</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exchange (gains)/ losses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(274,047)</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347,235</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98,034</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15,464</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Gains on disposal of long-term investments, business and subsidiaries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(7,323)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(13,091)</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(4,000)</w:t>
            </w: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328,075</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(431,015)</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315,228</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49,726</w:t>
            </w:r>
          </w:p>
        </w:tc>
      </w:tr>
      <w:tr>
        <w:trPr>
          <w:trHeight w:val="198"/>
        </w:trPr>
        <w:tc>
          <w:tcPr>
            <w:tcW w:w="5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 of results on equity method investees and revaluation results from</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previously held equity interest</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(51,892)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(448,053)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(911,498)</w:t>
            </w: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(143,785)</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(484,343)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(97,064)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212,075</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33,454</w:t>
            </w: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(253,495)</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73,588</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103,591</w:t>
            </w:r>
          </w:p>
        </w:tc>
        <w:tc>
          <w:tcPr>
            <w:tcW w:w="13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16,341</w:t>
            </w: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Prepayments and other assets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(785,224)</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870,684</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(569,843)</w:t>
            </w: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(89,891)</w:t>
            </w: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(60,654)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(89,207)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(92,373)</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(14,571)</w:t>
            </w: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Salary and welfare payables</w:t>
            </w:r>
          </w:p>
        </w:tc>
        <w:tc>
          <w:tcPr>
            <w:tcW w:w="15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(1,226,155)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1,521,743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(1,756,224)</w:t>
            </w: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(277,038)</w:t>
            </w:r>
          </w:p>
        </w:tc>
      </w:tr>
      <w:tr>
        <w:trPr>
          <w:trHeight w:val="216"/>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Taxes payable</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1,558,618</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528,725</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73,446</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11,586</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liabilities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740,938</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(1,162,982)</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(78,200)</w:t>
            </w:r>
          </w:p>
        </w:tc>
        <w:tc>
          <w:tcPr>
            <w:tcW w:w="13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(12,336)</w:t>
            </w:r>
          </w:p>
        </w:tc>
      </w:tr>
      <w:tr>
        <w:trPr>
          <w:trHeight w:val="230"/>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Accrued liabilities and other payables</w:t>
            </w:r>
          </w:p>
        </w:tc>
        <w:tc>
          <w:tcPr>
            <w:tcW w:w="15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656,564</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786,517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(103,136)</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(16,269)</w:t>
            </w:r>
          </w:p>
        </w:tc>
      </w:tr>
      <w:tr>
        <w:trPr>
          <w:trHeight w:val="209"/>
        </w:trPr>
        <w:tc>
          <w:tcPr>
            <w:tcW w:w="5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5,542,667</w:t>
            </w:r>
          </w:p>
        </w:tc>
        <w:tc>
          <w:tcPr>
            <w:tcW w:w="2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8,368,598</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4,582,552</w:t>
            </w:r>
          </w:p>
        </w:tc>
        <w:tc>
          <w:tcPr>
            <w:tcW w:w="22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722,880</w:t>
            </w:r>
          </w:p>
        </w:tc>
        <w:tc>
          <w:tcPr>
            <w:tcW w:w="80" w:type="dxa"/>
            <w:vAlign w:val="bottom"/>
            <w:tcBorders>
              <w:bottom w:val="single" w:sz="8" w:color="CCEEFF"/>
            </w:tcBorders>
          </w:tcPr>
          <w:p>
            <w:pPr>
              <w:spacing w:after="0"/>
              <w:rPr>
                <w:sz w:val="18"/>
                <w:szCs w:val="18"/>
                <w:color w:val="auto"/>
              </w:rPr>
            </w:pPr>
          </w:p>
        </w:tc>
      </w:tr>
      <w:tr>
        <w:trPr>
          <w:trHeight w:val="210"/>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equipment and software</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(329,746)</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(442,524)</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(749,361)</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(118,209)</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sale of property, equipment and software</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1,519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56,517</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12,565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intangible assets, content and licensed copyrights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(426,133)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(297,142)</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(143,836)</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(22,690)</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short-term investments with terms of three months or less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3,332,610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(1,474,371)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1,710,845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269,879</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short-term investments with terms over three months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(7,905,000)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(4,300,000)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(1,250,000)</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(197,183)</w:t>
            </w:r>
          </w:p>
        </w:tc>
      </w:tr>
      <w:tr>
        <w:trPr>
          <w:trHeight w:val="198"/>
        </w:trPr>
        <w:tc>
          <w:tcPr>
            <w:tcW w:w="5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Proceeds from maturities of short-term investments with terms over</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three months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2,857,341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3,313,543</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553,831</w:t>
            </w:r>
          </w:p>
        </w:tc>
        <w:tc>
          <w:tcPr>
            <w:tcW w:w="13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87,365</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long-term investments and acquisition of subsidiaries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(558,441)</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(2,020,029)</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(1,690,271)</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(266,634)</w:t>
            </w:r>
          </w:p>
        </w:tc>
      </w:tr>
      <w:tr>
        <w:trPr>
          <w:trHeight w:val="198"/>
        </w:trPr>
        <w:tc>
          <w:tcPr>
            <w:tcW w:w="5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Proceeds from disposal of long-term investments, businesses and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subsidiaries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198,900</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616,542</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34,237</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80" w:type="dxa"/>
            <w:vAlign w:val="bottom"/>
          </w:tcPr>
          <w:p>
            <w:pPr>
              <w:spacing w:after="0"/>
              <w:rPr>
                <w:sz w:val="20"/>
                <w:szCs w:val="20"/>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Placement/rollover of matured time deposits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(15,722,749)</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(26,628,133)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(24,045,997)</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(3,793,163)</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time deposits</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11,481,135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15,707,821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14,699,795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2,318,836</w:t>
            </w:r>
          </w:p>
        </w:tc>
        <w:tc>
          <w:tcPr>
            <w:tcW w:w="80" w:type="dxa"/>
            <w:vAlign w:val="bottom"/>
          </w:tcPr>
          <w:p>
            <w:pPr>
              <w:spacing w:after="0"/>
              <w:rPr>
                <w:sz w:val="18"/>
                <w:szCs w:val="18"/>
                <w:color w:val="auto"/>
              </w:rPr>
            </w:pPr>
          </w:p>
        </w:tc>
      </w:tr>
      <w:tr>
        <w:trPr>
          <w:trHeight w:val="230"/>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other long-term assets</w:t>
            </w:r>
          </w:p>
        </w:tc>
        <w:tc>
          <w:tcPr>
            <w:tcW w:w="15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(54,653)</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(99,692)</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(169,545)</w:t>
            </w:r>
          </w:p>
        </w:tc>
        <w:tc>
          <w:tcPr>
            <w:tcW w:w="13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(26,745)</w:t>
            </w:r>
          </w:p>
        </w:tc>
      </w:tr>
      <w:tr>
        <w:trPr>
          <w:trHeight w:val="209"/>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(7,125,217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(15,567,468</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(11,037,737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(1,741,161</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5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this announcement.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 (CONTINUED)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5520" w:type="dxa"/>
            <w:vAlign w:val="bottom"/>
          </w:tcPr>
          <w:p>
            <w:pPr>
              <w:spacing w:after="0"/>
              <w:rPr>
                <w:sz w:val="17"/>
                <w:szCs w:val="17"/>
                <w:color w:val="auto"/>
              </w:rPr>
            </w:pPr>
          </w:p>
        </w:tc>
        <w:tc>
          <w:tcPr>
            <w:tcW w:w="150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40" w:type="dxa"/>
            <w:vAlign w:val="bottom"/>
            <w:gridSpan w:val="2"/>
          </w:tcPr>
          <w:p>
            <w:pPr>
              <w:jc w:val="center"/>
              <w:ind w:right="141"/>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r>
      <w:tr>
        <w:trPr>
          <w:trHeight w:val="210"/>
        </w:trPr>
        <w:tc>
          <w:tcPr>
            <w:tcW w:w="55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USD (Note 1)</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changes in bank loans with terms of three months or less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2,122,041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425,020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3,403,195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536,841</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 of bank loans with terms over three months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236,916</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2,277,171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1,915,210</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302,117</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bank loans with terms over three months</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(167,700)</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(1,311,823)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paid for NetEase’s issuance of shares in Hong Kong</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(13,800)</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Net Amounts received/ (paid) related to capital contribution from or</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repurchase of noncontrolling interests and redeemable noncontrolling</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interests shareholders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1,507,049</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1,320,122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(102,042)</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(16,097)</w:t>
            </w:r>
          </w:p>
        </w:tc>
      </w:tr>
      <w:tr>
        <w:trPr>
          <w:trHeight w:val="198"/>
        </w:trPr>
        <w:tc>
          <w:tcPr>
            <w:tcW w:w="55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Cash paid for repurchase of NetEase’s ADSs/ purchase of subsidiaries’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ADSs and shares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(2,018,467)</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(2,112,256)</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(1,243,917)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(196,223)</w:t>
            </w: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 to noncontrolling interest shareholders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(731,250)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paid to NetEase’s shareholders</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(260,842)</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(940,540)</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(1,683,472)</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(265,561)</w:t>
            </w:r>
          </w:p>
        </w:tc>
      </w:tr>
      <w:tr>
        <w:trPr>
          <w:trHeight w:val="209"/>
        </w:trPr>
        <w:tc>
          <w:tcPr>
            <w:tcW w:w="5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1,405,197</w:t>
            </w:r>
          </w:p>
        </w:tc>
        <w:tc>
          <w:tcPr>
            <w:tcW w:w="2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(1,073,556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2,288,974</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361,077</w:t>
            </w:r>
          </w:p>
        </w:tc>
        <w:tc>
          <w:tcPr>
            <w:tcW w:w="100" w:type="dxa"/>
            <w:vAlign w:val="bottom"/>
            <w:tcBorders>
              <w:bottom w:val="single" w:sz="8" w:color="CCEEFF"/>
            </w:tcBorders>
          </w:tcPr>
          <w:p>
            <w:pPr>
              <w:spacing w:after="0"/>
              <w:rPr>
                <w:sz w:val="18"/>
                <w:szCs w:val="18"/>
                <w:color w:val="auto"/>
              </w:rPr>
            </w:pPr>
          </w:p>
        </w:tc>
      </w:tr>
      <w:tr>
        <w:trPr>
          <w:trHeight w:val="210"/>
        </w:trPr>
        <w:tc>
          <w:tcPr>
            <w:tcW w:w="55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5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cash equivalents and restricted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held in foreign currencies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35,993</w:t>
            </w:r>
          </w:p>
        </w:tc>
        <w:tc>
          <w:tcPr>
            <w:tcW w:w="14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(80,670)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(21,202)</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(3,345)</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(141,360)</w:t>
            </w:r>
          </w:p>
        </w:tc>
        <w:tc>
          <w:tcPr>
            <w:tcW w:w="14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(8,353,096)</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(4,187,413)</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(660,549)</w:t>
            </w:r>
          </w:p>
        </w:tc>
      </w:tr>
      <w:tr>
        <w:trPr>
          <w:trHeight w:val="194"/>
        </w:trPr>
        <w:tc>
          <w:tcPr>
            <w:tcW w:w="55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 at the beginning of the</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2"/>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12,168,605</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25,729,211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17,376,115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2,741,015</w:t>
            </w: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the period</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12,027,245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17,376,115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13,188,702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2,080,466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 net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550,191</w:t>
            </w:r>
          </w:p>
        </w:tc>
        <w:tc>
          <w:tcPr>
            <w:tcW w:w="14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858,304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1,515,330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239,037</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 expense</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43,902</w:t>
            </w:r>
          </w:p>
        </w:tc>
        <w:tc>
          <w:tcPr>
            <w:tcW w:w="14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42,879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37,741</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5,953</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this announcement.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SEGMENT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7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1"/>
        </w:trPr>
        <w:tc>
          <w:tcPr>
            <w:tcW w:w="5300" w:type="dxa"/>
            <w:vAlign w:val="bottom"/>
          </w:tcPr>
          <w:p>
            <w:pPr>
              <w:spacing w:after="0"/>
              <w:rPr>
                <w:sz w:val="17"/>
                <w:szCs w:val="17"/>
                <w:color w:val="auto"/>
              </w:rPr>
            </w:pPr>
          </w:p>
        </w:tc>
        <w:tc>
          <w:tcPr>
            <w:tcW w:w="1560" w:type="dxa"/>
            <w:vAlign w:val="bottom"/>
            <w:gridSpan w:val="2"/>
          </w:tcPr>
          <w:p>
            <w:pPr>
              <w:jc w:val="center"/>
              <w:ind w:right="261"/>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500" w:type="dxa"/>
            <w:vAlign w:val="bottom"/>
            <w:gridSpan w:val="2"/>
          </w:tcPr>
          <w:p>
            <w:pPr>
              <w:jc w:val="center"/>
              <w:ind w:right="201"/>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80" w:type="dxa"/>
            <w:vAlign w:val="bottom"/>
            <w:gridSpan w:val="2"/>
          </w:tcPr>
          <w:p>
            <w:pPr>
              <w:jc w:val="center"/>
              <w:ind w:right="181"/>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Pr>
          <w:p>
            <w:pPr>
              <w:spacing w:after="0"/>
              <w:rPr>
                <w:sz w:val="17"/>
                <w:szCs w:val="17"/>
                <w:color w:val="auto"/>
              </w:rPr>
            </w:pPr>
          </w:p>
        </w:tc>
      </w:tr>
      <w:tr>
        <w:trPr>
          <w:trHeight w:val="238"/>
        </w:trPr>
        <w:tc>
          <w:tcPr>
            <w:tcW w:w="53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3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8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20"/>
                <w:szCs w:val="20"/>
                <w:color w:val="auto"/>
              </w:rPr>
            </w:pPr>
          </w:p>
        </w:tc>
      </w:tr>
      <w:tr>
        <w:trPr>
          <w:trHeight w:val="210"/>
        </w:trPr>
        <w:tc>
          <w:tcPr>
            <w:tcW w:w="53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3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28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26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USD (Note 1)</w:t>
            </w: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Online game services</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14,981,784</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17,397,517</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17,272,650</w:t>
            </w:r>
          </w:p>
        </w:tc>
        <w:tc>
          <w:tcPr>
            <w:tcW w:w="14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2,724,694</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1,339,867</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1,333,791</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1,200,541</w:t>
            </w:r>
          </w:p>
        </w:tc>
        <w:tc>
          <w:tcPr>
            <w:tcW w:w="14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189,381</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Cloud Music</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1,491,167</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1,889,265</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2,067,206</w:t>
            </w:r>
          </w:p>
        </w:tc>
        <w:tc>
          <w:tcPr>
            <w:tcW w:w="14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326,094</w:t>
            </w:r>
          </w:p>
        </w:tc>
      </w:tr>
      <w:tr>
        <w:trPr>
          <w:trHeight w:val="230"/>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2,704,393</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3,752,992</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3,015,445</w:t>
            </w:r>
          </w:p>
        </w:tc>
        <w:tc>
          <w:tcPr>
            <w:tcW w:w="14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475,674</w:t>
            </w:r>
          </w:p>
        </w:tc>
      </w:tr>
      <w:tr>
        <w:trPr>
          <w:trHeight w:val="209"/>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20,517,211</w:t>
            </w:r>
          </w:p>
        </w:tc>
        <w:tc>
          <w:tcPr>
            <w:tcW w:w="34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24,373,565</w:t>
            </w:r>
          </w:p>
        </w:tc>
        <w:tc>
          <w:tcPr>
            <w:tcW w:w="28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23,555,842</w:t>
            </w:r>
          </w:p>
        </w:tc>
        <w:tc>
          <w:tcPr>
            <w:tcW w:w="26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3,715,843</w:t>
            </w:r>
          </w:p>
        </w:tc>
        <w:tc>
          <w:tcPr>
            <w:tcW w:w="160" w:type="dxa"/>
            <w:vAlign w:val="bottom"/>
            <w:tcBorders>
              <w:bottom w:val="single" w:sz="8" w:color="CCEEFF"/>
            </w:tcBorders>
          </w:tcPr>
          <w:p>
            <w:pPr>
              <w:spacing w:after="0"/>
              <w:rPr>
                <w:sz w:val="18"/>
                <w:szCs w:val="18"/>
                <w:color w:val="auto"/>
              </w:rPr>
            </w:pPr>
          </w:p>
        </w:tc>
      </w:tr>
      <w:tr>
        <w:trPr>
          <w:trHeight w:val="209"/>
        </w:trPr>
        <w:tc>
          <w:tcPr>
            <w:tcW w:w="53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 game services</w:t>
            </w:r>
          </w:p>
        </w:tc>
        <w:tc>
          <w:tcPr>
            <w:tcW w:w="15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(5,302,713)</w:t>
            </w: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(6,239,410)</w:t>
            </w: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(6,027,519)</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(950,818)</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Youdao</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(572,415)</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(657,329)</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(562,691)</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(88,762)</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Music</w:t>
            </w:r>
          </w:p>
        </w:tc>
        <w:tc>
          <w:tcPr>
            <w:tcW w:w="15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(1,537,726)</w:t>
            </w:r>
          </w:p>
        </w:tc>
        <w:tc>
          <w:tcPr>
            <w:tcW w:w="15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(1,812,036)</w:t>
            </w:r>
          </w:p>
        </w:tc>
        <w:tc>
          <w:tcPr>
            <w:tcW w:w="14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(1,815,649)</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(286,412)</w:t>
            </w:r>
          </w:p>
        </w:tc>
      </w:tr>
      <w:tr>
        <w:trPr>
          <w:trHeight w:val="230"/>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(2,051,718)</w:t>
            </w:r>
          </w:p>
        </w:tc>
        <w:tc>
          <w:tcPr>
            <w:tcW w:w="15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(2,747,010)</w:t>
            </w:r>
          </w:p>
        </w:tc>
        <w:tc>
          <w:tcPr>
            <w:tcW w:w="14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(2,313,604)</w:t>
            </w: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(364,962)</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(9,464,572</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(11,455,785</w:t>
            </w:r>
          </w:p>
        </w:tc>
        <w:tc>
          <w:tcPr>
            <w:tcW w:w="280" w:type="dxa"/>
            <w:vAlign w:val="bottom"/>
            <w:tcBorders>
              <w:top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(10,719,463</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(1,690,954</w:t>
            </w:r>
          </w:p>
        </w:tc>
        <w:tc>
          <w:tcPr>
            <w:tcW w:w="160" w:type="dxa"/>
            <w:vAlign w:val="bottom"/>
            <w:tcBorders>
              <w:top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Online game services</w:t>
            </w:r>
          </w:p>
        </w:tc>
        <w:tc>
          <w:tcPr>
            <w:tcW w:w="15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9,679,071</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11,158,107</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11,245,131</w:t>
            </w:r>
          </w:p>
        </w:tc>
        <w:tc>
          <w:tcPr>
            <w:tcW w:w="14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1,773,876</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Youdao</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767,452</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676,462</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637,850</w:t>
            </w:r>
          </w:p>
        </w:tc>
        <w:tc>
          <w:tcPr>
            <w:tcW w:w="14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100,619</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Cloud Music</w:t>
            </w:r>
          </w:p>
        </w:tc>
        <w:tc>
          <w:tcPr>
            <w:tcW w:w="15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(46,559)</w:t>
            </w: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77,229</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251,557</w:t>
            </w:r>
          </w:p>
        </w:tc>
        <w:tc>
          <w:tcPr>
            <w:tcW w:w="14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39,682</w:t>
            </w:r>
          </w:p>
        </w:tc>
      </w:tr>
      <w:tr>
        <w:trPr>
          <w:trHeight w:val="22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15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652,675</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1,005,982</w:t>
            </w:r>
          </w:p>
        </w:tc>
        <w:tc>
          <w:tcPr>
            <w:tcW w:w="14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701,841</w:t>
            </w:r>
          </w:p>
        </w:tc>
        <w:tc>
          <w:tcPr>
            <w:tcW w:w="14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110,712</w:t>
            </w:r>
          </w:p>
        </w:tc>
      </w:tr>
      <w:tr>
        <w:trPr>
          <w:trHeight w:val="263"/>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11,052,639</w:t>
            </w:r>
          </w:p>
        </w:tc>
        <w:tc>
          <w:tcPr>
            <w:tcW w:w="34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12,917,780</w:t>
            </w:r>
          </w:p>
        </w:tc>
        <w:tc>
          <w:tcPr>
            <w:tcW w:w="280" w:type="dxa"/>
            <w:vAlign w:val="bottom"/>
            <w:tcBorders>
              <w:bottom w:val="single" w:sz="8" w:color="CCEEFF"/>
            </w:tcBorders>
          </w:tcPr>
          <w:p>
            <w:pPr>
              <w:spacing w:after="0"/>
              <w:rPr>
                <w:sz w:val="22"/>
                <w:szCs w:val="22"/>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12,836,379</w:t>
            </w:r>
          </w:p>
        </w:tc>
        <w:tc>
          <w:tcPr>
            <w:tcW w:w="26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2,024,889</w:t>
            </w:r>
          </w:p>
        </w:tc>
        <w:tc>
          <w:tcPr>
            <w:tcW w:w="160" w:type="dxa"/>
            <w:vAlign w:val="bottom"/>
            <w:tcBorders>
              <w:bottom w:val="single" w:sz="8" w:color="CCEEFF"/>
            </w:tcBorders>
          </w:tcPr>
          <w:p>
            <w:pPr>
              <w:spacing w:after="0"/>
              <w:rPr>
                <w:sz w:val="22"/>
                <w:szCs w:val="22"/>
                <w:color w:val="auto"/>
              </w:rPr>
            </w:pPr>
          </w:p>
        </w:tc>
      </w:tr>
      <w:tr>
        <w:trPr>
          <w:trHeight w:val="196"/>
        </w:trPr>
        <w:tc>
          <w:tcPr>
            <w:tcW w:w="5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Gross profit margin:</w:t>
            </w: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Online game services</w:t>
            </w:r>
          </w:p>
        </w:tc>
        <w:tc>
          <w:tcPr>
            <w:tcW w:w="15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64.6%</w:t>
            </w:r>
          </w:p>
        </w:tc>
        <w:tc>
          <w:tcPr>
            <w:tcW w:w="15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64.1%</w:t>
            </w:r>
          </w:p>
        </w:tc>
        <w:tc>
          <w:tcPr>
            <w:tcW w:w="1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65.1%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Youdao</w:t>
            </w:r>
          </w:p>
        </w:tc>
        <w:tc>
          <w:tcPr>
            <w:tcW w:w="15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57.3%</w:t>
            </w:r>
          </w:p>
        </w:tc>
        <w:tc>
          <w:tcPr>
            <w:tcW w:w="15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50.7%</w:t>
            </w: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53.1%</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Cloud Music</w:t>
            </w:r>
          </w:p>
        </w:tc>
        <w:tc>
          <w:tcPr>
            <w:tcW w:w="15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(3.1)%</w:t>
            </w:r>
          </w:p>
        </w:tc>
        <w:tc>
          <w:tcPr>
            <w:tcW w:w="15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w:t>
            </w:r>
          </w:p>
        </w:tc>
        <w:tc>
          <w:tcPr>
            <w:tcW w:w="14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12.2%</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Innovative businesses and others</w:t>
            </w:r>
          </w:p>
        </w:tc>
        <w:tc>
          <w:tcPr>
            <w:tcW w:w="15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24.1%</w:t>
            </w:r>
          </w:p>
        </w:tc>
        <w:tc>
          <w:tcPr>
            <w:tcW w:w="15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26.8%</w:t>
            </w: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this announcement.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NETEASE,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UNAUDITED FINANCIAL INFORMATION</w:t>
      </w:r>
    </w:p>
    <w:p>
      <w:pPr>
        <w:spacing w:after="0" w:line="229" w:lineRule="exact"/>
        <w:rPr>
          <w:sz w:val="20"/>
          <w:szCs w:val="20"/>
          <w:color w:val="auto"/>
        </w:rPr>
      </w:pPr>
    </w:p>
    <w:p>
      <w:pPr>
        <w:jc w:val="both"/>
        <w:ind w:left="660" w:right="20" w:hanging="647"/>
        <w:spacing w:after="0" w:line="266" w:lineRule="auto"/>
        <w:rPr>
          <w:sz w:val="20"/>
          <w:szCs w:val="20"/>
          <w:color w:val="auto"/>
        </w:rPr>
      </w:pPr>
      <w:r>
        <w:rPr>
          <w:rFonts w:ascii="Times New Roman" w:cs="Times New Roman" w:eastAsia="Times New Roman" w:hAnsi="Times New Roman"/>
          <w:sz w:val="18"/>
          <w:szCs w:val="18"/>
          <w:color w:val="auto"/>
        </w:rPr>
        <w:t>Note 1: The conversion of Renminbi (RMB) into United States dollars (USD) is based on the noon buying rate of USD1.00 = RMB6.3393 on the last trading day of March 2022 (March 31, 2022) as set forth in the H.10 statistical release of the U.S. Federal Reserve Board. No representation is made that the RMB amounts could have been, or could be, converted into US$ at that rate on March 31, 2022, or at any other certain date.</w:t>
      </w:r>
    </w:p>
    <w:p>
      <w:pPr>
        <w:spacing w:after="0" w:line="176"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Note 2: Share-based compensation cost reported in the Company’s unaudited condensed consolidated statements of income is set out as follows in RMB and USD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1"/>
        </w:trPr>
        <w:tc>
          <w:tcPr>
            <w:tcW w:w="5520" w:type="dxa"/>
            <w:vAlign w:val="bottom"/>
          </w:tcPr>
          <w:p>
            <w:pPr>
              <w:spacing w:after="0"/>
              <w:rPr>
                <w:sz w:val="17"/>
                <w:szCs w:val="17"/>
                <w:color w:val="auto"/>
              </w:rPr>
            </w:pPr>
          </w:p>
        </w:tc>
        <w:tc>
          <w:tcPr>
            <w:tcW w:w="150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4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7"/>
                <w:szCs w:val="17"/>
                <w:color w:val="auto"/>
              </w:rPr>
            </w:pPr>
          </w:p>
        </w:tc>
      </w:tr>
      <w:tr>
        <w:trPr>
          <w:trHeight w:val="238"/>
        </w:trPr>
        <w:tc>
          <w:tcPr>
            <w:tcW w:w="55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2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USD (Note 1)</w:t>
            </w:r>
          </w:p>
        </w:tc>
        <w:tc>
          <w:tcPr>
            <w:tcW w:w="100" w:type="dxa"/>
            <w:vAlign w:val="bottom"/>
          </w:tcPr>
          <w:p>
            <w:pPr>
              <w:spacing w:after="0"/>
              <w:rPr>
                <w:sz w:val="18"/>
                <w:szCs w:val="18"/>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cost included in: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187,926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267,424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198,135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31,255</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24,231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38,657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30,373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4,791</w:t>
            </w: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229,603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358,595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279,062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44,021</w:t>
            </w:r>
          </w:p>
        </w:tc>
      </w:tr>
      <w:tr>
        <w:trPr>
          <w:trHeight w:val="234"/>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208,493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338,223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238,584</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37,636</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this announcement.</w:t>
      </w:r>
    </w:p>
    <w:p>
      <w:pPr>
        <w:spacing w:after="0" w:line="225" w:lineRule="exact"/>
        <w:rPr>
          <w:sz w:val="20"/>
          <w:szCs w:val="20"/>
          <w:color w:val="auto"/>
        </w:rPr>
      </w:pPr>
    </w:p>
    <w:p>
      <w:pPr>
        <w:jc w:val="both"/>
        <w:ind w:left="660" w:hanging="647"/>
        <w:spacing w:after="0" w:line="282" w:lineRule="auto"/>
        <w:rPr>
          <w:sz w:val="20"/>
          <w:szCs w:val="20"/>
          <w:color w:val="auto"/>
        </w:rPr>
      </w:pPr>
      <w:r>
        <w:rPr>
          <w:rFonts w:ascii="Times New Roman" w:cs="Times New Roman" w:eastAsia="Times New Roman" w:hAnsi="Times New Roman"/>
          <w:sz w:val="18"/>
          <w:szCs w:val="18"/>
          <w:color w:val="auto"/>
        </w:rPr>
        <w:t>Note 3: The financial information prepared and presented in this announcement might be different from those published and to be published by NetEase’s listed subsidiaries to meet the disclosure requirements under U.S. GAAP or different accounting standards requirement.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The unaudited reconciliation on GAAP and non-GAAP results is set out as follows in RMB and USD (in thousands, except per share data or per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ADS data):</w:t>
      </w:r>
    </w:p>
    <w:p>
      <w:pPr>
        <w:sectPr>
          <w:pgSz w:w="11900" w:h="16838" w:orient="portrait"/>
          <w:cols w:equalWidth="0" w:num="1">
            <w:col w:w="11240"/>
          </w:cols>
          <w:pgMar w:left="320" w:top="33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860"/>
        <w:spacing w:after="0" w:line="261" w:lineRule="auto"/>
        <w:rPr>
          <w:sz w:val="20"/>
          <w:szCs w:val="20"/>
          <w:color w:val="auto"/>
        </w:rPr>
      </w:pPr>
      <w:r>
        <w:rPr>
          <w:rFonts w:ascii="Times New Roman" w:cs="Times New Roman" w:eastAsia="Times New Roman" w:hAnsi="Times New Roman"/>
          <w:sz w:val="18"/>
          <w:szCs w:val="18"/>
          <w:color w:val="auto"/>
        </w:rPr>
        <w:t>Net income attributable to the Company’s shareholders Add: Share-based compensation</w:t>
      </w:r>
    </w:p>
    <w:p>
      <w:pPr>
        <w:spacing w:after="0"/>
        <w:rPr>
          <w:sz w:val="20"/>
          <w:szCs w:val="20"/>
          <w:color w:val="auto"/>
        </w:rPr>
      </w:pPr>
      <w:r>
        <w:rPr>
          <w:rFonts w:ascii="Times New Roman" w:cs="Times New Roman" w:eastAsia="Times New Roman" w:hAnsi="Times New Roman"/>
          <w:sz w:val="17"/>
          <w:szCs w:val="17"/>
          <w:color w:val="auto"/>
        </w:rPr>
        <w:t>Non-GAAP net income attributable to the Company’s shareholders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per share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income per ADS *</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Diluted</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Each ADS represents five ordinary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this announcement.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50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44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24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7"/>
                <w:szCs w:val="17"/>
                <w:color w:val="auto"/>
              </w:rPr>
            </w:pPr>
          </w:p>
        </w:tc>
      </w:tr>
      <w:tr>
        <w:trPr>
          <w:trHeight w:val="238"/>
        </w:trPr>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4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0"/>
                <w:szCs w:val="20"/>
                <w:color w:val="auto"/>
              </w:rPr>
            </w:pPr>
          </w:p>
        </w:tc>
      </w:tr>
      <w:tr>
        <w:trPr>
          <w:trHeight w:val="191"/>
        </w:trPr>
        <w:tc>
          <w:tcPr>
            <w:tcW w:w="1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RMB</w:t>
            </w:r>
          </w:p>
        </w:tc>
        <w:tc>
          <w:tcPr>
            <w:tcW w:w="24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RMB</w:t>
            </w:r>
          </w:p>
        </w:tc>
        <w:tc>
          <w:tcPr>
            <w:tcW w:w="220" w:type="dxa"/>
            <w:vAlign w:val="bottom"/>
          </w:tcPr>
          <w:p>
            <w:pPr>
              <w:spacing w:after="0"/>
              <w:rPr>
                <w:sz w:val="16"/>
                <w:szCs w:val="16"/>
                <w:color w:val="auto"/>
              </w:rPr>
            </w:pPr>
          </w:p>
        </w:tc>
        <w:tc>
          <w:tcPr>
            <w:tcW w:w="12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RMB</w:t>
            </w:r>
          </w:p>
        </w:tc>
        <w:tc>
          <w:tcPr>
            <w:tcW w:w="220" w:type="dxa"/>
            <w:vAlign w:val="bottom"/>
          </w:tcPr>
          <w:p>
            <w:pPr>
              <w:spacing w:after="0"/>
              <w:rPr>
                <w:sz w:val="16"/>
                <w:szCs w:val="16"/>
                <w:color w:val="auto"/>
              </w:rPr>
            </w:pPr>
          </w:p>
        </w:tc>
        <w:tc>
          <w:tcPr>
            <w:tcW w:w="1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USD (Note 1)</w:t>
            </w:r>
          </w:p>
        </w:tc>
        <w:tc>
          <w:tcPr>
            <w:tcW w:w="20" w:type="dxa"/>
            <w:vAlign w:val="bottom"/>
          </w:tcPr>
          <w:p>
            <w:pPr>
              <w:spacing w:after="0"/>
              <w:rPr>
                <w:sz w:val="16"/>
                <w:szCs w:val="16"/>
                <w:color w:val="auto"/>
              </w:rPr>
            </w:pPr>
          </w:p>
        </w:tc>
      </w:tr>
      <w:tr>
        <w:trPr>
          <w:trHeight w:val="230"/>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4,439,152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5,694,154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4,394,023</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693,139</w:t>
            </w:r>
          </w:p>
        </w:tc>
        <w:tc>
          <w:tcPr>
            <w:tcW w:w="20" w:type="dxa"/>
            <w:vAlign w:val="bottom"/>
          </w:tcPr>
          <w:p>
            <w:pPr>
              <w:spacing w:after="0"/>
              <w:rPr>
                <w:sz w:val="19"/>
                <w:szCs w:val="19"/>
                <w:color w:val="auto"/>
              </w:rPr>
            </w:pPr>
          </w:p>
        </w:tc>
      </w:tr>
      <w:tr>
        <w:trPr>
          <w:trHeight w:val="234"/>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641,534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901,421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723,603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114,146</w:t>
            </w:r>
          </w:p>
        </w:tc>
      </w:tr>
      <w:tr>
        <w:trPr>
          <w:trHeight w:val="223"/>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5,080,686</w:t>
            </w:r>
          </w:p>
        </w:tc>
        <w:tc>
          <w:tcPr>
            <w:tcW w:w="2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6,595,575</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5,117,626</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807,285</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0.25</w:t>
            </w:r>
          </w:p>
        </w:tc>
      </w:tr>
      <w:tr>
        <w:trPr>
          <w:trHeight w:val="210"/>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20" w:type="dxa"/>
            <w:vAlign w:val="bottom"/>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0.24</w:t>
            </w:r>
          </w:p>
        </w:tc>
      </w:tr>
      <w:tr>
        <w:trPr>
          <w:trHeight w:val="655"/>
        </w:trPr>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r>
      <w:tr>
        <w:trPr>
          <w:trHeight w:val="209"/>
        </w:trPr>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20" w:type="dxa"/>
            <w:vAlign w:val="bottom"/>
          </w:tcPr>
          <w:p>
            <w:pPr>
              <w:spacing w:after="0"/>
              <w:rPr>
                <w:sz w:val="18"/>
                <w:szCs w:val="18"/>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-1610995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-1328420</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-1010920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-728345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-436880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-153670</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865" w:lineRule="exact"/>
        <w:rPr>
          <w:sz w:val="20"/>
          <w:szCs w:val="20"/>
          <w:color w:val="auto"/>
        </w:rPr>
      </w:pPr>
    </w:p>
    <w:p>
      <w:pPr>
        <w:sectPr>
          <w:pgSz w:w="11900" w:h="16838" w:orient="portrait"/>
          <w:cols w:equalWidth="0" w:num="2">
            <w:col w:w="4840" w:space="680"/>
            <w:col w:w="5720"/>
          </w:cols>
          <w:pgMar w:left="320" w:top="333" w:right="339" w:bottom="1440" w:gutter="0" w:footer="0" w:header="0"/>
          <w:type w:val="continuous"/>
        </w:sect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lvl w:ilvl="1">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2022-05-24T05:40:34Z</dcterms:created>
  <dcterms:modified xsi:type="dcterms:W3CDTF">2022-05-24T05:40:34Z</dcterms:modified>
</cp:coreProperties>
</file>