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955" cy="523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523875"/>
                    </a:xfrm>
                    <a:prstGeom prst="rect">
                      <a:avLst/>
                    </a:prstGeom>
                    <a:noFill/>
                  </pic:spPr>
                </pic:pic>
              </a:graphicData>
            </a:graphic>
          </wp:anchor>
        </w:drawing>
        <w:t>The Securities and Exchange Commission has not necessarily reviewed the information in this filing and has not determined if it is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accurate and complete.</w:t>
      </w:r>
    </w:p>
    <w:p>
      <w:pPr>
        <w:jc w:val="center"/>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5737860</wp:posOffset>
            </wp:positionH>
            <wp:positionV relativeFrom="paragraph">
              <wp:posOffset>71120</wp:posOffset>
            </wp:positionV>
            <wp:extent cx="1386205" cy="1567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6205" cy="1567180"/>
                    </a:xfrm>
                    <a:prstGeom prst="rect">
                      <a:avLst/>
                    </a:prstGeom>
                    <a:noFill/>
                  </pic:spPr>
                </pic:pic>
              </a:graphicData>
            </a:graphic>
          </wp:anchor>
        </w:drawing>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60"/>
        </w:trPr>
        <w:tc>
          <w:tcPr>
            <w:tcW w:w="220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0"/>
                <w:szCs w:val="20"/>
                <w:color w:val="auto"/>
              </w:rPr>
              <w:t>OMB APPROVAL</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tcPr>
          <w:p>
            <w:pPr>
              <w:spacing w:after="0"/>
              <w:rPr>
                <w:sz w:val="20"/>
                <w:szCs w:val="20"/>
                <w:color w:val="auto"/>
              </w:rPr>
            </w:pPr>
          </w:p>
        </w:tc>
        <w:tc>
          <w:tcPr>
            <w:tcW w:w="6860" w:type="dxa"/>
            <w:vAlign w:val="bottom"/>
            <w:vMerge w:val="restart"/>
          </w:tcPr>
          <w:p>
            <w:pPr>
              <w:jc w:val="center"/>
              <w:ind w:right="1021"/>
              <w:spacing w:after="0"/>
              <w:rPr>
                <w:sz w:val="20"/>
                <w:szCs w:val="20"/>
                <w:color w:val="auto"/>
              </w:rPr>
            </w:pPr>
            <w:r>
              <w:rPr>
                <w:rFonts w:ascii="Times New Roman" w:cs="Times New Roman" w:eastAsia="Times New Roman" w:hAnsi="Times New Roman"/>
                <w:sz w:val="20"/>
                <w:szCs w:val="20"/>
                <w:color w:val="auto"/>
                <w:w w:val="98"/>
              </w:rPr>
              <w:t>UNITED STATES SECURITIES AND EXCHANGE COMMISSION</w:t>
            </w:r>
          </w:p>
        </w:tc>
        <w:tc>
          <w:tcPr>
            <w:tcW w:w="4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OMB</w:t>
            </w:r>
          </w:p>
        </w:tc>
        <w:tc>
          <w:tcPr>
            <w:tcW w:w="1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3235-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Number:</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0006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6860" w:type="dxa"/>
            <w:vAlign w:val="bottom"/>
            <w:vMerge w:val="restart"/>
          </w:tcPr>
          <w:p>
            <w:pPr>
              <w:jc w:val="center"/>
              <w:ind w:right="1041"/>
              <w:spacing w:after="0" w:line="223" w:lineRule="exact"/>
              <w:rPr>
                <w:sz w:val="20"/>
                <w:szCs w:val="20"/>
                <w:color w:val="auto"/>
              </w:rPr>
            </w:pPr>
            <w:r>
              <w:rPr>
                <w:rFonts w:ascii="Times New Roman" w:cs="Times New Roman" w:eastAsia="Times New Roman" w:hAnsi="Times New Roman"/>
                <w:sz w:val="20"/>
                <w:szCs w:val="20"/>
                <w:color w:val="auto"/>
                <w:w w:val="98"/>
              </w:rPr>
              <w:t>Washington, D.C. 20549</w:t>
            </w: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200" w:type="dxa"/>
            <w:vAlign w:val="bottom"/>
          </w:tcPr>
          <w:p>
            <w:pPr>
              <w:spacing w:after="0"/>
              <w:rPr>
                <w:sz w:val="9"/>
                <w:szCs w:val="9"/>
                <w:color w:val="auto"/>
              </w:rPr>
            </w:pPr>
          </w:p>
        </w:tc>
        <w:tc>
          <w:tcPr>
            <w:tcW w:w="6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6860" w:type="dxa"/>
            <w:vAlign w:val="bottom"/>
            <w:vMerge w:val="restart"/>
          </w:tcPr>
          <w:p>
            <w:pPr>
              <w:jc w:val="center"/>
              <w:ind w:right="1041"/>
              <w:spacing w:after="0"/>
              <w:rPr>
                <w:sz w:val="20"/>
                <w:szCs w:val="20"/>
                <w:color w:val="auto"/>
              </w:rPr>
            </w:pPr>
            <w:r>
              <w:rPr>
                <w:rFonts w:ascii="Times New Roman" w:cs="Times New Roman" w:eastAsia="Times New Roman" w:hAnsi="Times New Roman"/>
                <w:sz w:val="20"/>
                <w:szCs w:val="20"/>
                <w:color w:val="auto"/>
                <w:w w:val="99"/>
              </w:rPr>
              <w:t>FORM 13F</w:t>
            </w:r>
          </w:p>
        </w:tc>
        <w:tc>
          <w:tcPr>
            <w:tcW w:w="40" w:type="dxa"/>
            <w:vAlign w:val="bottom"/>
          </w:tcPr>
          <w:p>
            <w:pPr>
              <w:spacing w:after="0"/>
              <w:rPr>
                <w:sz w:val="10"/>
                <w:szCs w:val="10"/>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Expires:</w:t>
            </w:r>
          </w:p>
        </w:tc>
        <w:tc>
          <w:tcPr>
            <w:tcW w:w="11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200" w:type="dxa"/>
            <w:vAlign w:val="bottom"/>
          </w:tcPr>
          <w:p>
            <w:pPr>
              <w:spacing w:after="0"/>
              <w:rPr>
                <w:sz w:val="12"/>
                <w:szCs w:val="12"/>
                <w:color w:val="auto"/>
              </w:rPr>
            </w:pPr>
          </w:p>
        </w:tc>
        <w:tc>
          <w:tcPr>
            <w:tcW w:w="6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2200" w:type="dxa"/>
            <w:vAlign w:val="bottom"/>
          </w:tcPr>
          <w:p>
            <w:pPr>
              <w:spacing w:after="0"/>
              <w:rPr>
                <w:sz w:val="22"/>
                <w:szCs w:val="22"/>
                <w:color w:val="auto"/>
              </w:rPr>
            </w:pPr>
          </w:p>
        </w:tc>
        <w:tc>
          <w:tcPr>
            <w:tcW w:w="6860" w:type="dxa"/>
            <w:vAlign w:val="bottom"/>
          </w:tcPr>
          <w:p>
            <w:pPr>
              <w:jc w:val="center"/>
              <w:ind w:right="1021"/>
              <w:spacing w:after="0"/>
              <w:rPr>
                <w:sz w:val="20"/>
                <w:szCs w:val="20"/>
                <w:color w:val="auto"/>
              </w:rPr>
            </w:pPr>
            <w:r>
              <w:rPr>
                <w:rFonts w:ascii="Times New Roman" w:cs="Times New Roman" w:eastAsia="Times New Roman" w:hAnsi="Times New Roman"/>
                <w:sz w:val="20"/>
                <w:szCs w:val="20"/>
                <w:color w:val="auto"/>
                <w:w w:val="97"/>
              </w:rPr>
              <w:t>FORM 13F COVER PAGE</w:t>
            </w:r>
          </w:p>
        </w:tc>
        <w:tc>
          <w:tcPr>
            <w:tcW w:w="40" w:type="dxa"/>
            <w:vAlign w:val="bottom"/>
          </w:tcPr>
          <w:p>
            <w:pPr>
              <w:spacing w:after="0"/>
              <w:rPr>
                <w:sz w:val="22"/>
                <w:szCs w:val="22"/>
                <w:color w:val="auto"/>
              </w:rPr>
            </w:pP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Estimated average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20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burden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hours per</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20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response:</w:t>
            </w: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60" w:type="dxa"/>
            <w:vAlign w:val="bottom"/>
            <w:tcBorders>
              <w:bottom w:val="single" w:sz="8" w:color="9A9A9A"/>
            </w:tcBorders>
            <w:gridSpan w:val="2"/>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370"/>
        </w:trPr>
        <w:tc>
          <w:tcPr>
            <w:tcW w:w="9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Report for the Calendar Year or Quarter Ended: 06-30-2022</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Check here if Amendment</w:t>
            </w:r>
          </w:p>
        </w:tc>
        <w:tc>
          <w:tcPr>
            <w:tcW w:w="68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Amendment Number:</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7122160</wp:posOffset>
            </wp:positionH>
            <wp:positionV relativeFrom="paragraph">
              <wp:posOffset>-451485</wp:posOffset>
            </wp:positionV>
            <wp:extent cx="3302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-451485</wp:posOffset>
            </wp:positionV>
            <wp:extent cx="3302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ind w:left="40"/>
        <w:spacing w:after="0"/>
        <w:tabs>
          <w:tab w:leader="none" w:pos="3140" w:val="left"/>
        </w:tabs>
        <w:rPr>
          <w:sz w:val="20"/>
          <w:szCs w:val="20"/>
          <w:color w:val="auto"/>
        </w:rPr>
      </w:pPr>
      <w:r>
        <w:rPr>
          <w:rFonts w:ascii="Times New Roman" w:cs="Times New Roman" w:eastAsia="Times New Roman" w:hAnsi="Times New Roman"/>
          <w:sz w:val="20"/>
          <w:szCs w:val="20"/>
          <w:color w:val="auto"/>
        </w:rPr>
        <w:t>This Amendment (Check only one.):</w:t>
      </w:r>
      <w:r>
        <w:rPr>
          <w:sz w:val="20"/>
          <w:szCs w:val="20"/>
          <w:color w:val="auto"/>
        </w:rPr>
        <w:tab/>
      </w:r>
      <w:r>
        <w:rPr>
          <w:rFonts w:ascii="Times New Roman" w:cs="Times New Roman" w:eastAsia="Times New Roman" w:hAnsi="Times New Roman"/>
          <w:sz w:val="19"/>
          <w:szCs w:val="19"/>
          <w:color w:val="auto"/>
        </w:rPr>
        <w:t>is a restatement.</w:t>
      </w:r>
    </w:p>
    <w:p>
      <w:pPr>
        <w:spacing w:after="0" w:line="4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0"/>
          <w:szCs w:val="20"/>
          <w:color w:val="auto"/>
        </w:rPr>
        <w:t>adds new holdings entries.</w:t>
      </w:r>
    </w:p>
    <w:p>
      <w:pPr>
        <w:spacing w:after="0" w:line="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Institutional Investment Manager Filing this Report:</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59"/>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NetEase, Inc.</w:t>
            </w:r>
          </w:p>
        </w:tc>
        <w:tc>
          <w:tcPr>
            <w:tcW w:w="0" w:type="dxa"/>
            <w:vAlign w:val="bottom"/>
          </w:tcPr>
          <w:p>
            <w:pPr>
              <w:spacing w:after="0"/>
              <w:rPr>
                <w:sz w:val="1"/>
                <w:szCs w:val="1"/>
                <w:color w:val="auto"/>
              </w:rPr>
            </w:pPr>
          </w:p>
        </w:tc>
      </w:tr>
      <w:tr>
        <w:trPr>
          <w:trHeight w:val="273"/>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Address:</w:t>
            </w:r>
          </w:p>
        </w:tc>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8"/>
              </w:rPr>
              <w:t>Netease Building, No. 599 Wangshang Rd</w:t>
            </w:r>
          </w:p>
        </w:tc>
        <w:tc>
          <w:tcPr>
            <w:tcW w:w="0" w:type="dxa"/>
            <w:vAlign w:val="bottom"/>
          </w:tcPr>
          <w:p>
            <w:pPr>
              <w:spacing w:after="0"/>
              <w:rPr>
                <w:sz w:val="1"/>
                <w:szCs w:val="1"/>
                <w:color w:val="auto"/>
              </w:rPr>
            </w:pPr>
          </w:p>
        </w:tc>
      </w:tr>
      <w:tr>
        <w:trPr>
          <w:trHeight w:val="273"/>
        </w:trPr>
        <w:tc>
          <w:tcPr>
            <w:tcW w:w="1420" w:type="dxa"/>
            <w:vAlign w:val="bottom"/>
          </w:tcPr>
          <w:p>
            <w:pPr>
              <w:spacing w:after="0"/>
              <w:rPr>
                <w:sz w:val="23"/>
                <w:szCs w:val="23"/>
                <w:color w:val="auto"/>
              </w:rPr>
            </w:pPr>
          </w:p>
        </w:tc>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Binjiang District</w:t>
            </w:r>
          </w:p>
        </w:tc>
        <w:tc>
          <w:tcPr>
            <w:tcW w:w="0" w:type="dxa"/>
            <w:vAlign w:val="bottom"/>
          </w:tcPr>
          <w:p>
            <w:pPr>
              <w:spacing w:after="0"/>
              <w:rPr>
                <w:sz w:val="1"/>
                <w:szCs w:val="1"/>
                <w:color w:val="auto"/>
              </w:rPr>
            </w:pPr>
          </w:p>
        </w:tc>
      </w:tr>
      <w:tr>
        <w:trPr>
          <w:trHeight w:val="273"/>
        </w:trPr>
        <w:tc>
          <w:tcPr>
            <w:tcW w:w="1420" w:type="dxa"/>
            <w:vAlign w:val="bottom"/>
          </w:tcPr>
          <w:p>
            <w:pPr>
              <w:spacing w:after="0"/>
              <w:rPr>
                <w:sz w:val="23"/>
                <w:szCs w:val="23"/>
                <w:color w:val="auto"/>
              </w:rPr>
            </w:pPr>
          </w:p>
        </w:tc>
        <w:tc>
          <w:tcPr>
            <w:tcW w:w="3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Hangzhou, F4 310052</w:t>
            </w: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r>
              <w:rPr>
                <w:rFonts w:ascii="Times New Roman" w:cs="Times New Roman" w:eastAsia="Times New Roman" w:hAnsi="Times New Roman"/>
                <w:sz w:val="20"/>
                <w:szCs w:val="20"/>
                <w:color w:val="auto"/>
              </w:rPr>
              <w:t>Form 13F File</w:t>
            </w:r>
          </w:p>
        </w:tc>
        <w:tc>
          <w:tcPr>
            <w:tcW w:w="36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028-22646</w:t>
            </w:r>
          </w:p>
        </w:tc>
        <w:tc>
          <w:tcPr>
            <w:tcW w:w="0" w:type="dxa"/>
            <w:vAlign w:val="bottom"/>
          </w:tcPr>
          <w:p>
            <w:pPr>
              <w:spacing w:after="0"/>
              <w:rPr>
                <w:sz w:val="1"/>
                <w:szCs w:val="1"/>
                <w:color w:val="auto"/>
              </w:rPr>
            </w:pPr>
          </w:p>
        </w:tc>
      </w:tr>
      <w:tr>
        <w:trPr>
          <w:trHeight w:val="147"/>
        </w:trPr>
        <w:tc>
          <w:tcPr>
            <w:tcW w:w="1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Number:</w:t>
            </w:r>
          </w:p>
        </w:tc>
        <w:tc>
          <w:tcPr>
            <w:tcW w:w="3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9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Person Signing this Report on Behalf of Reporting Manager:</w:t>
      </w:r>
    </w:p>
    <w:p>
      <w:pPr>
        <w:sectPr>
          <w:pgSz w:w="11900" w:h="16838" w:orient="portrait"/>
          <w:cols w:equalWidth="0" w:num="1">
            <w:col w:w="11240"/>
          </w:cols>
          <w:pgMar w:left="320" w:top="300" w:right="339" w:bottom="1440" w:gutter="0" w:footer="0" w:header="0"/>
        </w:sectPr>
      </w:pP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Charles Zhaoxuan Yang</w:t>
      </w:r>
    </w:p>
    <w:p>
      <w:pPr>
        <w:spacing w:after="0" w:line="54" w:lineRule="exact"/>
        <w:rPr>
          <w:sz w:val="24"/>
          <w:szCs w:val="24"/>
          <w:color w:val="auto"/>
        </w:rPr>
      </w:pPr>
    </w:p>
    <w:p>
      <w:pPr>
        <w:sectPr>
          <w:pgSz w:w="11900" w:h="16838" w:orient="portrait"/>
          <w:cols w:equalWidth="0" w:num="2">
            <w:col w:w="980" w:space="720"/>
            <w:col w:w="9540"/>
          </w:cols>
          <w:pgMar w:left="320" w:top="30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54" w:lineRule="exact"/>
        <w:rPr>
          <w:sz w:val="24"/>
          <w:szCs w:val="24"/>
          <w:color w:val="auto"/>
        </w:rPr>
      </w:pPr>
    </w:p>
    <w:p>
      <w:pPr>
        <w:sectPr>
          <w:pgSz w:w="11900" w:h="16838" w:orient="portrait"/>
          <w:cols w:equalWidth="0" w:num="2">
            <w:col w:w="980" w:space="720"/>
            <w:col w:w="9540"/>
          </w:cols>
          <w:pgMar w:left="320" w:top="30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9"/>
          <w:szCs w:val="19"/>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86-571-8985-2070</w:t>
      </w:r>
    </w:p>
    <w:p>
      <w:pPr>
        <w:spacing w:after="0" w:line="54" w:lineRule="exact"/>
        <w:rPr>
          <w:sz w:val="24"/>
          <w:szCs w:val="24"/>
          <w:color w:val="auto"/>
        </w:rPr>
      </w:pPr>
    </w:p>
    <w:p>
      <w:pPr>
        <w:sectPr>
          <w:pgSz w:w="11900" w:h="16838" w:orient="portrait"/>
          <w:cols w:equalWidth="0" w:num="2">
            <w:col w:w="980" w:space="720"/>
            <w:col w:w="9540"/>
          </w:cols>
          <w:pgMar w:left="320" w:top="300"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9"/>
          <w:szCs w:val="19"/>
          <w:color w:val="auto"/>
        </w:rPr>
        <w:t>Signature, Place, and Date of Signing:</w:t>
      </w:r>
    </w:p>
    <w:p>
      <w:pPr>
        <w:sectPr>
          <w:pgSz w:w="11900" w:h="16838" w:orient="portrait"/>
          <w:cols w:equalWidth="0" w:num="1">
            <w:col w:w="11240"/>
          </w:cols>
          <w:pgMar w:left="320" w:top="300" w:right="339" w:bottom="1440" w:gutter="0" w:footer="0" w:header="0"/>
          <w:type w:val="continuous"/>
        </w:sectPr>
      </w:pPr>
    </w:p>
    <w:p>
      <w:pPr>
        <w:spacing w:after="0" w:line="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/s/ Charles Zhaoxuan Yang</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Hangzhou, F4</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08-26-2022</w:t>
      </w:r>
    </w:p>
    <w:p>
      <w:pPr>
        <w:spacing w:after="0" w:line="54" w:lineRule="exact"/>
        <w:rPr>
          <w:sz w:val="24"/>
          <w:szCs w:val="24"/>
          <w:color w:val="auto"/>
        </w:rPr>
      </w:pPr>
    </w:p>
    <w:p>
      <w:pPr>
        <w:sectPr>
          <w:pgSz w:w="11900" w:h="16838" w:orient="portrait"/>
          <w:cols w:equalWidth="0" w:num="3">
            <w:col w:w="2180" w:space="640"/>
            <w:col w:w="1180" w:space="380"/>
            <w:col w:w="6860"/>
          </w:cols>
          <w:pgMar w:left="320" w:top="300"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4"/>
          <w:szCs w:val="24"/>
          <w:color w:val="auto"/>
        </w:rPr>
      </w:pPr>
    </w:p>
    <w:p>
      <w:pPr>
        <w:sectPr>
          <w:pgSz w:w="11900" w:h="16838" w:orient="portrait"/>
          <w:cols w:equalWidth="0" w:num="3">
            <w:col w:w="2380" w:space="720"/>
            <w:col w:w="960" w:space="660"/>
            <w:col w:w="6520"/>
          </w:cols>
          <w:pgMar w:left="320" w:top="300" w:right="339" w:bottom="1440" w:gutter="0" w:footer="0" w:header="0"/>
          <w:type w:val="continuous"/>
        </w:sectPr>
      </w:pPr>
    </w:p>
    <w:p>
      <w:pPr>
        <w:spacing w:after="0" w:line="30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Report Type (Check only one.):</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X 13F HOLDINGS REPORT. (Check here if all holdings of this reporting manager are reported in this report.)</w:t>
      </w:r>
    </w:p>
    <w:p>
      <w:pPr>
        <w:spacing w:after="0" w:line="43"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20"/>
          <w:szCs w:val="20"/>
          <w:color w:val="auto"/>
        </w:rPr>
        <w:t>13F NOTICE. (Check here if no holdings reported are in this report, and all holdings are reported by other reporting manager(s).)</w:t>
      </w:r>
    </w:p>
    <w:p>
      <w:pPr>
        <w:spacing w:after="0" w:line="43" w:lineRule="exact"/>
        <w:rPr>
          <w:sz w:val="24"/>
          <w:szCs w:val="24"/>
          <w:color w:val="auto"/>
        </w:rPr>
      </w:pPr>
    </w:p>
    <w:p>
      <w:pPr>
        <w:ind w:left="240" w:right="580"/>
        <w:spacing w:after="0" w:line="262" w:lineRule="auto"/>
        <w:rPr>
          <w:sz w:val="20"/>
          <w:szCs w:val="20"/>
          <w:color w:val="auto"/>
        </w:rPr>
      </w:pPr>
      <w:r>
        <w:rPr>
          <w:rFonts w:ascii="Times New Roman" w:cs="Times New Roman" w:eastAsia="Times New Roman" w:hAnsi="Times New Roman"/>
          <w:sz w:val="20"/>
          <w:szCs w:val="20"/>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13F Summary Page</w:t>
      </w:r>
    </w:p>
    <w:p>
      <w:pPr>
        <w:spacing w:after="0" w:line="43" w:lineRule="exact"/>
        <w:rPr>
          <w:sz w:val="24"/>
          <w:szCs w:val="24"/>
          <w:color w:val="auto"/>
        </w:rPr>
      </w:pPr>
    </w:p>
    <w:tbl>
      <w:tblPr>
        <w:tblLayout w:type="fixed"/>
        <w:tblInd w:w="160" w:type="dxa"/>
        <w:tblCellMar>
          <w:top w:w="0" w:type="dxa"/>
          <w:left w:w="0" w:type="dxa"/>
          <w:bottom w:w="0" w:type="dxa"/>
          <w:right w:w="0" w:type="dxa"/>
        </w:tblCellMar>
      </w:tblPr>
      <w:tr>
        <w:trPr>
          <w:trHeight w:val="259"/>
        </w:trPr>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Summary:</w:t>
            </w:r>
          </w:p>
        </w:tc>
        <w:tc>
          <w:tcPr>
            <w:tcW w:w="1100" w:type="dxa"/>
            <w:vAlign w:val="bottom"/>
          </w:tcPr>
          <w:p>
            <w:pPr>
              <w:spacing w:after="0"/>
              <w:rPr>
                <w:sz w:val="22"/>
                <w:szCs w:val="22"/>
                <w:color w:val="auto"/>
              </w:rPr>
            </w:pPr>
          </w:p>
        </w:tc>
      </w:tr>
      <w:tr>
        <w:trPr>
          <w:trHeight w:val="273"/>
        </w:trPr>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Number of Other Included Managers:</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73"/>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Form 13F</w:t>
            </w:r>
          </w:p>
        </w:tc>
        <w:tc>
          <w:tcPr>
            <w:tcW w:w="25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Information Table Entry 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73"/>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Form 13F</w:t>
            </w:r>
          </w:p>
        </w:tc>
        <w:tc>
          <w:tcPr>
            <w:tcW w:w="25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7"/>
              </w:rPr>
              <w:t>Information Table Value 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130,642</w:t>
            </w:r>
          </w:p>
        </w:tc>
      </w:tr>
      <w:tr>
        <w:trPr>
          <w:trHeight w:val="273"/>
        </w:trPr>
        <w:tc>
          <w:tcPr>
            <w:tcW w:w="8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(thousands)</w:t>
            </w:r>
          </w:p>
        </w:tc>
      </w:tr>
    </w:tbl>
    <w:p>
      <w:pPr>
        <w:spacing w:after="0" w:line="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List of Other Included Managers:</w:t>
      </w:r>
    </w:p>
    <w:p>
      <w:pPr>
        <w:spacing w:after="0" w:line="43" w:lineRule="exact"/>
        <w:rPr>
          <w:sz w:val="24"/>
          <w:szCs w:val="24"/>
          <w:color w:val="auto"/>
        </w:rPr>
      </w:pPr>
    </w:p>
    <w:p>
      <w:pPr>
        <w:ind w:left="40" w:right="500"/>
        <w:spacing w:after="0" w:line="258" w:lineRule="auto"/>
        <w:rPr>
          <w:sz w:val="20"/>
          <w:szCs w:val="20"/>
          <w:color w:val="auto"/>
        </w:rPr>
      </w:pPr>
      <w:r>
        <w:rPr>
          <w:rFonts w:ascii="Times New Roman" w:cs="Times New Roman" w:eastAsia="Times New Roman" w:hAnsi="Times New Roman"/>
          <w:sz w:val="20"/>
          <w:szCs w:val="20"/>
          <w:color w:val="auto"/>
        </w:rPr>
        <w:t>Provide a numbered list of the name(s) and Form 13F file number(s) of all institutional investment managers with respect to which this report is filed, other than the manager filing this report.</w:t>
      </w:r>
    </w:p>
    <w:p>
      <w:pPr>
        <w:spacing w:after="0" w:line="1" w:lineRule="exact"/>
        <w:rPr>
          <w:sz w:val="24"/>
          <w:szCs w:val="24"/>
          <w:color w:val="auto"/>
        </w:rPr>
      </w:pPr>
    </w:p>
    <w:p>
      <w:pPr>
        <w:ind w:left="40" w:right="3620"/>
        <w:spacing w:after="0" w:line="314" w:lineRule="auto"/>
        <w:rPr>
          <w:sz w:val="20"/>
          <w:szCs w:val="20"/>
          <w:color w:val="auto"/>
        </w:rPr>
      </w:pPr>
      <w:r>
        <w:rPr>
          <w:rFonts w:ascii="Times New Roman" w:cs="Times New Roman" w:eastAsia="Times New Roman" w:hAnsi="Times New Roman"/>
          <w:sz w:val="20"/>
          <w:szCs w:val="20"/>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22225</wp:posOffset>
            </wp:positionV>
            <wp:extent cx="716915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type w:val="continuous"/>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94615</wp:posOffset>
            </wp:positionV>
            <wp:extent cx="7132955" cy="523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523875"/>
                    </a:xfrm>
                    <a:prstGeom prst="rect">
                      <a:avLst/>
                    </a:prstGeom>
                    <a:noFill/>
                  </pic:spPr>
                </pic:pic>
              </a:graphicData>
            </a:graphic>
          </wp:anchor>
        </w:drawing>
        <w:t>The Securities and Exchange Commission has not necessarily reviewed the information in this filing and has not determined if it is</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accurate and complete.</w:t>
      </w:r>
    </w:p>
    <w:p>
      <w:pPr>
        <w:jc w:val="center"/>
        <w:ind w:right="60"/>
        <w:spacing w:after="0"/>
        <w:rPr>
          <w:sz w:val="20"/>
          <w:szCs w:val="20"/>
          <w:color w:val="auto"/>
        </w:rPr>
      </w:pPr>
      <w:r>
        <w:rPr>
          <w:rFonts w:ascii="Times New Roman" w:cs="Times New Roman" w:eastAsia="Times New Roman" w:hAnsi="Times New Roman"/>
          <w:sz w:val="20"/>
          <w:szCs w:val="20"/>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71120</wp:posOffset>
            </wp:positionV>
            <wp:extent cx="1386205" cy="1567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6205" cy="156718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0"/>
                <w:szCs w:val="20"/>
                <w:color w:val="auto"/>
              </w:rPr>
              <w:t>OMB APPROVAL</w:t>
            </w:r>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7740" w:type="dxa"/>
            <w:vAlign w:val="bottom"/>
            <w:gridSpan w:val="7"/>
            <w:vMerge w:val="restart"/>
          </w:tcPr>
          <w:p>
            <w:pPr>
              <w:jc w:val="center"/>
              <w:ind w:left="141"/>
              <w:spacing w:after="0"/>
              <w:rPr>
                <w:sz w:val="20"/>
                <w:szCs w:val="20"/>
                <w:color w:val="auto"/>
              </w:rPr>
            </w:pPr>
            <w:r>
              <w:rPr>
                <w:rFonts w:ascii="Times New Roman" w:cs="Times New Roman" w:eastAsia="Times New Roman" w:hAnsi="Times New Roman"/>
                <w:sz w:val="20"/>
                <w:szCs w:val="20"/>
                <w:color w:val="auto"/>
                <w:w w:val="98"/>
              </w:rPr>
              <w:t>UNITED STATES SECURITIES AND EXCHANGE COMMISSION</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OMB</w:t>
            </w:r>
          </w:p>
        </w:tc>
        <w:tc>
          <w:tcPr>
            <w:tcW w:w="10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3235-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7740" w:type="dxa"/>
            <w:vAlign w:val="bottom"/>
            <w:gridSpan w:val="7"/>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Number:</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0006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940" w:type="dxa"/>
            <w:vAlign w:val="bottom"/>
            <w:gridSpan w:val="3"/>
            <w:vMerge w:val="restart"/>
          </w:tcPr>
          <w:p>
            <w:pPr>
              <w:jc w:val="center"/>
              <w:ind w:left="201"/>
              <w:spacing w:after="0" w:line="223" w:lineRule="exact"/>
              <w:rPr>
                <w:sz w:val="20"/>
                <w:szCs w:val="20"/>
                <w:color w:val="auto"/>
              </w:rPr>
            </w:pPr>
            <w:r>
              <w:rPr>
                <w:rFonts w:ascii="Times New Roman" w:cs="Times New Roman" w:eastAsia="Times New Roman" w:hAnsi="Times New Roman"/>
                <w:sz w:val="20"/>
                <w:szCs w:val="20"/>
                <w:color w:val="auto"/>
                <w:w w:val="98"/>
              </w:rPr>
              <w:t>Washington, D.C. 20549</w:t>
            </w: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940" w:type="dxa"/>
            <w:vAlign w:val="bottom"/>
            <w:gridSpan w:val="3"/>
            <w:vMerge w:val="continue"/>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gridSpan w:val="4"/>
            <w:vMerge w:val="restart"/>
          </w:tcPr>
          <w:p>
            <w:pPr>
              <w:ind w:left="180"/>
              <w:spacing w:after="0"/>
              <w:rPr>
                <w:sz w:val="20"/>
                <w:szCs w:val="20"/>
                <w:color w:val="auto"/>
              </w:rPr>
            </w:pPr>
            <w:r>
              <w:rPr>
                <w:rFonts w:ascii="Times New Roman" w:cs="Times New Roman" w:eastAsia="Times New Roman" w:hAnsi="Times New Roman"/>
                <w:sz w:val="20"/>
                <w:szCs w:val="20"/>
                <w:color w:val="auto"/>
              </w:rPr>
              <w:t>Oct 31,</w:t>
            </w:r>
          </w:p>
        </w:tc>
        <w:tc>
          <w:tcPr>
            <w:tcW w:w="0" w:type="dxa"/>
            <w:vAlign w:val="bottom"/>
          </w:tcPr>
          <w:p>
            <w:pPr>
              <w:spacing w:after="0"/>
              <w:rPr>
                <w:sz w:val="1"/>
                <w:szCs w:val="1"/>
                <w:color w:val="auto"/>
              </w:rPr>
            </w:pPr>
          </w:p>
        </w:tc>
      </w:tr>
      <w:tr>
        <w:trPr>
          <w:trHeight w:val="124"/>
        </w:trPr>
        <w:tc>
          <w:tcPr>
            <w:tcW w:w="1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80" w:type="dxa"/>
            <w:vAlign w:val="bottom"/>
            <w:gridSpan w:val="2"/>
            <w:vMerge w:val="restart"/>
          </w:tcPr>
          <w:p>
            <w:pPr>
              <w:jc w:val="center"/>
              <w:ind w:right="561"/>
              <w:spacing w:after="0"/>
              <w:rPr>
                <w:sz w:val="20"/>
                <w:szCs w:val="20"/>
                <w:color w:val="auto"/>
              </w:rPr>
            </w:pPr>
            <w:r>
              <w:rPr>
                <w:rFonts w:ascii="Times New Roman" w:cs="Times New Roman" w:eastAsia="Times New Roman" w:hAnsi="Times New Roman"/>
                <w:sz w:val="20"/>
                <w:szCs w:val="20"/>
                <w:color w:val="auto"/>
                <w:w w:val="99"/>
              </w:rPr>
              <w:t>FORM 13F</w:t>
            </w:r>
          </w:p>
        </w:tc>
        <w:tc>
          <w:tcPr>
            <w:tcW w:w="1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Expires:</w:t>
            </w:r>
          </w:p>
        </w:tc>
        <w:tc>
          <w:tcPr>
            <w:tcW w:w="11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300" w:type="dxa"/>
            <w:vAlign w:val="bottom"/>
            <w:gridSpan w:val="4"/>
          </w:tcPr>
          <w:p>
            <w:pPr>
              <w:jc w:val="center"/>
              <w:ind w:right="941"/>
              <w:spacing w:after="0"/>
              <w:rPr>
                <w:sz w:val="20"/>
                <w:szCs w:val="20"/>
                <w:color w:val="auto"/>
              </w:rPr>
            </w:pPr>
            <w:r>
              <w:rPr>
                <w:rFonts w:ascii="Times New Roman" w:cs="Times New Roman" w:eastAsia="Times New Roman" w:hAnsi="Times New Roman"/>
                <w:sz w:val="20"/>
                <w:szCs w:val="20"/>
                <w:color w:val="auto"/>
                <w:w w:val="98"/>
              </w:rPr>
              <w:t>FORM 13F INFORMATION TABLE</w:t>
            </w: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Estimated average</w:t>
            </w: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burden</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hours per</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23.8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980" w:type="dxa"/>
            <w:vAlign w:val="bottom"/>
            <w:gridSpan w:val="2"/>
          </w:tcPr>
          <w:p>
            <w:pPr>
              <w:spacing w:after="0"/>
              <w:rPr>
                <w:sz w:val="3"/>
                <w:szCs w:val="3"/>
                <w:color w:val="auto"/>
              </w:rPr>
            </w:pPr>
          </w:p>
        </w:tc>
        <w:tc>
          <w:tcPr>
            <w:tcW w:w="1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980" w:type="dxa"/>
            <w:vAlign w:val="bottom"/>
            <w:tcBorders>
              <w:bottom w:val="single" w:sz="8" w:color="9A9A9A"/>
            </w:tcBorders>
            <w:gridSpan w:val="2"/>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gridSpan w:val="3"/>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4"/>
        </w:trPr>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COLUMN</w:t>
            </w:r>
          </w:p>
        </w:tc>
        <w:tc>
          <w:tcPr>
            <w:tcW w:w="1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COLUMN 2</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COLUMN</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COLUMN</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COLUMN 5</w:t>
            </w:r>
          </w:p>
        </w:tc>
        <w:tc>
          <w:tcPr>
            <w:tcW w:w="1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COLUMN 6</w:t>
            </w:r>
          </w:p>
        </w:tc>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COLUMN</w:t>
            </w: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COLUMN 8</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w:t>
            </w:r>
          </w:p>
        </w:tc>
        <w:tc>
          <w:tcPr>
            <w:tcW w:w="1260" w:type="dxa"/>
            <w:vAlign w:val="bottom"/>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w:t>
            </w: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VALUE</w:t>
            </w:r>
          </w:p>
        </w:tc>
        <w:tc>
          <w:tcPr>
            <w:tcW w:w="760" w:type="dxa"/>
            <w:vAlign w:val="bottom"/>
          </w:tcPr>
          <w:p>
            <w:pPr>
              <w:ind w:left="60"/>
              <w:spacing w:after="0" w:line="223" w:lineRule="exact"/>
              <w:rPr>
                <w:sz w:val="20"/>
                <w:szCs w:val="20"/>
                <w:color w:val="auto"/>
              </w:rPr>
            </w:pPr>
            <w:r>
              <w:rPr>
                <w:rFonts w:ascii="Times New Roman" w:cs="Times New Roman" w:eastAsia="Times New Roman" w:hAnsi="Times New Roman"/>
                <w:sz w:val="20"/>
                <w:szCs w:val="20"/>
                <w:color w:val="auto"/>
              </w:rPr>
              <w:t>SHRS</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SH/  PUT/</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auto"/>
              </w:rPr>
              <w:t>INVESTMENT OTHER</w:t>
            </w:r>
          </w:p>
        </w:tc>
        <w:tc>
          <w:tcPr>
            <w:tcW w:w="2480" w:type="dxa"/>
            <w:vAlign w:val="bottom"/>
            <w:gridSpan w:val="7"/>
            <w:vMerge w:val="restart"/>
          </w:tcPr>
          <w:p>
            <w:pPr>
              <w:ind w:left="120"/>
              <w:spacing w:after="0"/>
              <w:rPr>
                <w:sz w:val="20"/>
                <w:szCs w:val="20"/>
                <w:color w:val="auto"/>
              </w:rPr>
            </w:pPr>
            <w:r>
              <w:rPr>
                <w:rFonts w:ascii="Times New Roman" w:cs="Times New Roman" w:eastAsia="Times New Roman" w:hAnsi="Times New Roman"/>
                <w:sz w:val="20"/>
                <w:szCs w:val="20"/>
                <w:color w:val="auto"/>
              </w:rPr>
              <w:t>VOTING AUTHORITY</w:t>
            </w:r>
          </w:p>
        </w:tc>
        <w:tc>
          <w:tcPr>
            <w:tcW w:w="0" w:type="dxa"/>
            <w:vAlign w:val="bottom"/>
          </w:tcPr>
          <w:p>
            <w:pPr>
              <w:spacing w:after="0"/>
              <w:rPr>
                <w:sz w:val="1"/>
                <w:szCs w:val="1"/>
                <w:color w:val="auto"/>
              </w:rPr>
            </w:pPr>
          </w:p>
        </w:tc>
      </w:tr>
      <w:tr>
        <w:trPr>
          <w:trHeight w:val="147"/>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OR</w:t>
            </w:r>
          </w:p>
        </w:tc>
        <w:tc>
          <w:tcPr>
            <w:tcW w:w="1220" w:type="dxa"/>
            <w:vAlign w:val="bottom"/>
            <w:vMerge w:val="continue"/>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2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NAME OF</w:t>
            </w:r>
          </w:p>
        </w:tc>
        <w:tc>
          <w:tcPr>
            <w:tcW w:w="1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TITLE OF</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CUSIP</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(x$1000)</w:t>
            </w:r>
          </w:p>
        </w:tc>
        <w:tc>
          <w:tcPr>
            <w:tcW w:w="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PRN</w:t>
            </w:r>
          </w:p>
        </w:tc>
        <w:tc>
          <w:tcPr>
            <w:tcW w:w="2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PRN CALL DISCRETION</w:t>
            </w:r>
          </w:p>
        </w:tc>
        <w:tc>
          <w:tcPr>
            <w:tcW w:w="3560" w:type="dxa"/>
            <w:vAlign w:val="bottom"/>
            <w:gridSpan w:val="8"/>
            <w:vMerge w:val="restart"/>
          </w:tcPr>
          <w:p>
            <w:pPr>
              <w:ind w:left="100"/>
              <w:spacing w:after="0"/>
              <w:rPr>
                <w:sz w:val="20"/>
                <w:szCs w:val="20"/>
                <w:color w:val="auto"/>
              </w:rPr>
            </w:pPr>
            <w:r>
              <w:rPr>
                <w:rFonts w:ascii="Times New Roman" w:cs="Times New Roman" w:eastAsia="Times New Roman" w:hAnsi="Times New Roman"/>
                <w:sz w:val="20"/>
                <w:szCs w:val="20"/>
                <w:color w:val="auto"/>
              </w:rPr>
              <w:t>MANAGER SOLESHARED NONE</w:t>
            </w:r>
          </w:p>
        </w:tc>
        <w:tc>
          <w:tcPr>
            <w:tcW w:w="0" w:type="dxa"/>
            <w:vAlign w:val="bottom"/>
          </w:tcPr>
          <w:p>
            <w:pPr>
              <w:spacing w:after="0"/>
              <w:rPr>
                <w:sz w:val="1"/>
                <w:szCs w:val="1"/>
                <w:color w:val="auto"/>
              </w:rPr>
            </w:pPr>
          </w:p>
        </w:tc>
      </w:tr>
      <w:tr>
        <w:trPr>
          <w:trHeight w:val="147"/>
        </w:trPr>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ISSUER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CLASS</w:t>
            </w:r>
          </w:p>
        </w:tc>
        <w:tc>
          <w:tcPr>
            <w:tcW w:w="11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AMT</w:t>
            </w:r>
          </w:p>
        </w:tc>
        <w:tc>
          <w:tcPr>
            <w:tcW w:w="2580" w:type="dxa"/>
            <w:vAlign w:val="bottom"/>
            <w:gridSpan w:val="2"/>
            <w:vMerge w:val="continue"/>
          </w:tcPr>
          <w:p>
            <w:pPr>
              <w:spacing w:after="0"/>
              <w:rPr>
                <w:sz w:val="12"/>
                <w:szCs w:val="12"/>
                <w:color w:val="auto"/>
              </w:rPr>
            </w:pPr>
          </w:p>
        </w:tc>
        <w:tc>
          <w:tcPr>
            <w:tcW w:w="35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APPLOVIN</w:t>
            </w:r>
          </w:p>
        </w:tc>
        <w:tc>
          <w:tcPr>
            <w:tcW w:w="1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 CL A</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03831W108</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120,999</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3,513,331 SH</w:t>
            </w:r>
          </w:p>
        </w:tc>
        <w:tc>
          <w:tcPr>
            <w:tcW w:w="1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SOLE</w:t>
            </w:r>
          </w:p>
        </w:tc>
        <w:tc>
          <w:tcPr>
            <w:tcW w:w="1080" w:type="dxa"/>
            <w:vAlign w:val="bottom"/>
          </w:tcPr>
          <w:p>
            <w:pPr>
              <w:spacing w:after="0"/>
              <w:rPr>
                <w:sz w:val="24"/>
                <w:szCs w:val="24"/>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3,513,331 0</w:t>
            </w:r>
          </w:p>
        </w:tc>
        <w:tc>
          <w:tcPr>
            <w:tcW w:w="10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w:t>
            </w: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YOUDAO</w:t>
            </w:r>
          </w:p>
        </w:tc>
        <w:tc>
          <w:tcPr>
            <w:tcW w:w="1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SPONSORED</w:t>
            </w:r>
          </w:p>
        </w:tc>
        <w:tc>
          <w:tcPr>
            <w:tcW w:w="1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98741T104</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9,643</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1,959,873 SH</w:t>
            </w:r>
          </w:p>
        </w:tc>
        <w:tc>
          <w:tcPr>
            <w:tcW w:w="1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SOLE</w:t>
            </w:r>
          </w:p>
        </w:tc>
        <w:tc>
          <w:tcPr>
            <w:tcW w:w="1080" w:type="dxa"/>
            <w:vAlign w:val="bottom"/>
          </w:tcPr>
          <w:p>
            <w:pPr>
              <w:spacing w:after="0"/>
              <w:rPr>
                <w:sz w:val="24"/>
                <w:szCs w:val="24"/>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1,959,873 0</w:t>
            </w:r>
          </w:p>
        </w:tc>
        <w:tc>
          <w:tcPr>
            <w:tcW w:w="10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0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w:t>
            </w:r>
          </w:p>
        </w:tc>
        <w:tc>
          <w:tcPr>
            <w:tcW w:w="1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ADS</w:t>
            </w:r>
          </w:p>
        </w:tc>
        <w:tc>
          <w:tcPr>
            <w:tcW w:w="1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-1852295</wp:posOffset>
            </wp:positionV>
            <wp:extent cx="3302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-1852295</wp:posOffset>
            </wp:positionV>
            <wp:extent cx="3302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sectPr>
      <w:pgSz w:w="11900" w:h="16838" w:orient="portrait"/>
      <w:cols w:equalWidth="0" w:num="1">
        <w:col w:w="11300"/>
      </w:cols>
      <w:pgMar w:left="320" w:top="20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2022-08-26T06:24:56Z</dcterms:created>
  <dcterms:modified xsi:type="dcterms:W3CDTF">2022-08-26T06:24:56Z</dcterms:modified>
</cp:coreProperties>
</file>