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ilename1.htm"/>
      <w:bookmarkStart w:id="1" w:name="ksfilename1"/>
      <w:bookmarkEnd w:id="0"/>
      <w:bookmarkEnd w:id="1"/>
      <w:r>
        <w:rPr/>
        <w:t> </w:t>
      </w:r>
    </w:p>
    <w:p>
      <w:pPr>
        <w:pStyle w:val="TextBody"/>
        <w:bidi w:val="0"/>
        <w:spacing w:before="0" w:after="283"/>
        <w:jc w:val="left"/>
        <w:rPr/>
      </w:pPr>
      <w:r>
        <w:rPr/>
        <w:drawing>
          <wp:inline distT="0" distB="0" distL="0" distR="0">
            <wp:extent cx="2352675" cy="466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52675" cy="466725"/>
                    </a:xfrm>
                    <a:prstGeom prst="rect">
                      <a:avLst/>
                    </a:prstGeom>
                  </pic:spPr>
                </pic:pic>
              </a:graphicData>
            </a:graphic>
          </wp:inline>
        </w:drawing>
      </w: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14,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VIA EDGAR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Kathleen Collins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Ms. Chen Chen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Division of Corporation Finance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of Technology</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Exchange Commission</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 F Street, N.E.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sz w:val="20"/>
        </w:rPr>
        <w:t>NetEase, Inc. (the “Company”)</w:t>
      </w:r>
    </w:p>
    <w:p>
      <w:pPr>
        <w:pStyle w:val="TextBody"/>
        <w:bidi w:val="0"/>
        <w:spacing w:before="0" w:after="0"/>
        <w:ind w:left="0" w:right="0" w:firstLine="36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20-F for the Fiscal Year Ended December 31, 2024</w:t>
      </w:r>
    </w:p>
    <w:tbl>
      <w:tblPr>
        <w:tblW w:w="2023" w:type="dxa"/>
        <w:jc w:val="left"/>
        <w:tblInd w:w="0" w:type="dxa"/>
        <w:tblLayout w:type="fixed"/>
        <w:tblCellMar>
          <w:top w:w="0" w:type="dxa"/>
          <w:left w:w="0" w:type="dxa"/>
          <w:bottom w:w="0" w:type="dxa"/>
          <w:right w:w="0" w:type="dxa"/>
        </w:tblCellMar>
      </w:tblPr>
      <w:tblGrid>
        <w:gridCol w:w="38"/>
        <w:gridCol w:w="1910"/>
        <w:gridCol w:w="75"/>
      </w:tblGrid>
      <w:tr>
        <w:trPr/>
        <w:tc>
          <w:tcPr>
            <w:tcW w:w="38" w:type="dxa"/>
            <w:tcBorders/>
            <w:vAlign w:val="center"/>
          </w:tcPr>
          <w:p>
            <w:pPr>
              <w:pStyle w:val="TableContents"/>
              <w:bidi w:val="0"/>
              <w:spacing w:before="0" w:after="283"/>
              <w:jc w:val="left"/>
              <w:rPr>
                <w:sz w:val="4"/>
                <w:szCs w:val="4"/>
              </w:rPr>
            </w:pPr>
            <w:r>
              <w:rPr>
                <w:sz w:val="4"/>
                <w:szCs w:val="4"/>
              </w:rPr>
            </w:r>
          </w:p>
        </w:tc>
        <w:tc>
          <w:tcPr>
            <w:tcW w:w="1910" w:type="dxa"/>
            <w:tcBorders>
              <w:bottom w:val="single" w:sz="8" w:space="0" w:color="000000"/>
            </w:tcBorders>
            <w:tcMar>
              <w:bottom w:w="28" w:type="dxa"/>
            </w:tcMar>
            <w:vAlign w:val="center"/>
          </w:tcPr>
          <w:p>
            <w:pPr>
              <w:pStyle w:val="TableContents"/>
              <w:bidi w:val="0"/>
              <w:spacing w:before="0" w:after="283"/>
              <w:jc w:val="both"/>
              <w:rPr>
                <w:b/>
              </w:rPr>
            </w:pPr>
            <w:r>
              <w:rPr>
                <w:b/>
              </w:rPr>
              <w:t>File No. 000-30666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Ms. Collins and Ms. Chen,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in receipt of the letter from the staff (the “</w:t>
      </w:r>
      <w:r>
        <w:rPr>
          <w:rFonts w:ascii="Times New Roman;Times;Serif" w:hAnsi="Times New Roman;Times;Serif"/>
          <w:b/>
          <w:i w:val="false"/>
          <w:caps w:val="false"/>
          <w:smallCaps w:val="false"/>
          <w:sz w:val="20"/>
        </w:rPr>
        <w:t>Staff</w:t>
      </w:r>
      <w:r>
        <w:rPr>
          <w:rFonts w:ascii="Times New Roman;Times;Serif" w:hAnsi="Times New Roman;Times;Serif"/>
          <w:b w:val="false"/>
          <w:i w:val="false"/>
          <w:caps w:val="false"/>
          <w:smallCaps w:val="false"/>
          <w:sz w:val="20"/>
        </w:rPr>
        <w:t>”) of the Securities and Exchange Commission dated July 2, 2025 (the “</w:t>
      </w:r>
      <w:r>
        <w:rPr>
          <w:rFonts w:ascii="Times New Roman;Times;Serif" w:hAnsi="Times New Roman;Times;Serif"/>
          <w:b/>
          <w:i w:val="false"/>
          <w:caps w:val="false"/>
          <w:smallCaps w:val="false"/>
          <w:sz w:val="20"/>
        </w:rPr>
        <w:t>Comment Letter</w:t>
      </w:r>
      <w:r>
        <w:rPr>
          <w:rFonts w:ascii="Times New Roman;Times;Serif" w:hAnsi="Times New Roman;Times;Serif"/>
          <w:b w:val="false"/>
          <w:i w:val="false"/>
          <w:caps w:val="false"/>
          <w:smallCaps w:val="false"/>
          <w:sz w:val="20"/>
        </w:rPr>
        <w:t>”), pursuant to which the Staff provided comments regarding the Company’s Form 20-F for the fiscal year ended December 31, 2024. The Company respectfully requests an extension to the deadline for responding to the Comment Letter due to the additional time needed to gather sufficient information and prepare a thorough response. The Company will provide its response to the Comment Letter via EDGAR as soon as possible, and in any event no later than July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you have any questions regarding the request made herein, please do not hesitate to contact the undersigned at +65 6980 0628 or paulboltz@oc.netease.com or the Company’s U.S. counsel, Haiping Li of Skadden, Arps, Slate, Meagher &amp; Flom LLP at +852 3740 4835 or haiping.li@skadden.com.</w:t>
      </w:r>
    </w:p>
    <w:p>
      <w:pPr>
        <w:pStyle w:val="TextBody"/>
        <w:bidi w:val="0"/>
        <w:spacing w:before="0" w:after="0"/>
        <w:ind w:left="0" w:right="0" w:hanging="0"/>
        <w:jc w:val="left"/>
        <w:rPr>
          <w:caps w:val="false"/>
          <w:smallCaps w:val="false"/>
        </w:rPr>
      </w:pPr>
      <w:r>
        <w:rPr>
          <w:caps w:val="false"/>
          <w:smallCaps w:val="false"/>
        </w:rPr>
        <w:t> </w:t>
      </w:r>
    </w:p>
    <w:tbl>
      <w:tblPr>
        <w:tblW w:w="1475" w:type="dxa"/>
        <w:jc w:val="left"/>
        <w:tblInd w:w="0" w:type="dxa"/>
        <w:tblLayout w:type="fixed"/>
        <w:tblCellMar>
          <w:top w:w="0" w:type="dxa"/>
          <w:left w:w="0" w:type="dxa"/>
          <w:bottom w:w="0" w:type="dxa"/>
          <w:right w:w="0" w:type="dxa"/>
        </w:tblCellMar>
      </w:tblPr>
      <w:tblGrid>
        <w:gridCol w:w="75"/>
        <w:gridCol w:w="1400"/>
      </w:tblGrid>
      <w:tr>
        <w:trPr/>
        <w:tc>
          <w:tcPr>
            <w:tcW w:w="75"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both"/>
              <w:rPr>
                <w:sz w:val="20"/>
              </w:rPr>
            </w:pPr>
            <w:r>
              <w:rPr>
                <w:sz w:val="20"/>
              </w:rPr>
              <w:t>Very truly yours,</w:t>
            </w:r>
          </w:p>
        </w:tc>
      </w:tr>
    </w:tbl>
    <w:p>
      <w:pPr>
        <w:pStyle w:val="TextBody"/>
        <w:bidi w:val="0"/>
        <w:spacing w:before="0" w:after="0"/>
        <w:ind w:left="1680" w:right="0" w:firstLine="4321"/>
        <w:jc w:val="left"/>
        <w:rPr>
          <w:caps w:val="false"/>
          <w:smallCaps w:val="false"/>
        </w:rPr>
      </w:pPr>
      <w:r>
        <w:rPr>
          <w:caps w:val="false"/>
          <w:smallCaps w:val="false"/>
        </w:rPr>
        <w:t> </w:t>
      </w:r>
    </w:p>
    <w:tbl>
      <w:tblPr>
        <w:tblW w:w="1745" w:type="dxa"/>
        <w:jc w:val="left"/>
        <w:tblInd w:w="0" w:type="dxa"/>
        <w:tblLayout w:type="fixed"/>
        <w:tblCellMar>
          <w:top w:w="0" w:type="dxa"/>
          <w:left w:w="0" w:type="dxa"/>
          <w:bottom w:w="0" w:type="dxa"/>
          <w:right w:w="0" w:type="dxa"/>
        </w:tblCellMar>
      </w:tblPr>
      <w:tblGrid>
        <w:gridCol w:w="75"/>
        <w:gridCol w:w="1670"/>
      </w:tblGrid>
      <w:tr>
        <w:trPr/>
        <w:tc>
          <w:tcPr>
            <w:tcW w:w="75" w:type="dxa"/>
            <w:tcBorders/>
            <w:vAlign w:val="center"/>
          </w:tcPr>
          <w:p>
            <w:pPr>
              <w:pStyle w:val="TableContents"/>
              <w:bidi w:val="0"/>
              <w:spacing w:before="0" w:after="283"/>
              <w:jc w:val="left"/>
              <w:rPr/>
            </w:pPr>
            <w:r>
              <w:rPr/>
              <w:t> </w:t>
            </w:r>
          </w:p>
        </w:tc>
        <w:tc>
          <w:tcPr>
            <w:tcW w:w="16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Paul W. Boltz, Jr.</w:t>
            </w:r>
          </w:p>
        </w:tc>
      </w:tr>
      <w:tr>
        <w:trPr/>
        <w:tc>
          <w:tcPr>
            <w:tcW w:w="75"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Paul W. Boltz, Jr.</w:t>
            </w:r>
          </w:p>
        </w:tc>
      </w:tr>
      <w:tr>
        <w:trPr/>
        <w:tc>
          <w:tcPr>
            <w:tcW w:w="75" w:type="dxa"/>
            <w:tcBorders/>
            <w:vAlign w:val="center"/>
          </w:tcPr>
          <w:p>
            <w:pPr>
              <w:pStyle w:val="TableContents"/>
              <w:bidi w:val="0"/>
              <w:spacing w:before="0" w:after="283"/>
              <w:jc w:val="left"/>
              <w:rPr/>
            </w:pPr>
            <w:r>
              <w:rPr/>
              <w:t> </w:t>
            </w:r>
          </w:p>
        </w:tc>
        <w:tc>
          <w:tcPr>
            <w:tcW w:w="16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Counsel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499"/>
        <w:gridCol w:w="9641"/>
      </w:tblGrid>
      <w:tr>
        <w:trPr/>
        <w:tc>
          <w:tcPr>
            <w:tcW w:w="6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pPr>
            <w:r>
              <w:rPr/>
              <w:t>cc:</w:t>
            </w:r>
          </w:p>
        </w:tc>
        <w:tc>
          <w:tcPr>
            <w:tcW w:w="9641" w:type="dxa"/>
            <w:tcBorders/>
            <w:vAlign w:val="center"/>
          </w:tcPr>
          <w:p>
            <w:pPr>
              <w:pStyle w:val="TableContents"/>
              <w:bidi w:val="0"/>
              <w:spacing w:before="0" w:after="283"/>
              <w:jc w:val="left"/>
              <w:rPr/>
            </w:pPr>
            <w:r>
              <w:rPr/>
              <w:t>Sarah Ying Li, Head of Financial Reporting, NetEase, Inc.</w:t>
            </w:r>
          </w:p>
        </w:tc>
      </w:tr>
    </w:tbl>
    <w:p>
      <w:pPr>
        <w:pStyle w:val="TextBody"/>
        <w:bidi w:val="0"/>
        <w:spacing w:before="0" w:after="0"/>
        <w:ind w:left="120" w:right="0" w:firstLine="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Haiping Li, Esq., Partner, Skadden, Arps, Slate, Meagher &amp; Flom LLP</w:t>
      </w:r>
    </w:p>
    <w:p>
      <w:pPr>
        <w:pStyle w:val="TextBody"/>
        <w:bidi w:val="0"/>
        <w:spacing w:before="0" w:after="0"/>
        <w:ind w:left="120" w:right="0" w:firstLine="60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Lanny Lu, Partner, PricewaterhouseCoopers Zhong Tian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242</Words>
  <Characters>1255</Characters>
  <CharactersWithSpaces>1494</CharactersWithSpaces>
  <Paragraphs>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