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20-F</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[_] REGISTRATION STATEMENT PURSUANT TO SECTION 12(b) OR (g) OF THE SECURITIES</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EXCHANGE ACT OF 1934</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3160" w:right="3239" w:hanging="3150"/>
        <w:spacing w:after="0" w:line="234" w:lineRule="auto"/>
        <w:tabs>
          <w:tab w:leader="none" w:pos="36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fiscal year ended December 31, 2002</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[_] TRANSITION REPORT PURSUANT TO SECTION 13 OR 15(d) OF THE SECURITIES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EXCHANGE ACT OF 1934</w:t>
      </w: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For the transition period from ________to _________.</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Commission file number: 333-11724</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NETEASE.COM, INC.</w:t>
      </w:r>
    </w:p>
    <w:p>
      <w:pPr>
        <w:ind w:left="88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Cayman Islands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(Jurisdiction of incorporation or organization)</w:t>
      </w:r>
    </w:p>
    <w:p>
      <w:pPr>
        <w:spacing w:after="0" w:line="167"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Suite 1901, Tower E3</w:t>
      </w:r>
    </w:p>
    <w:p>
      <w:pPr>
        <w:ind w:left="1500"/>
        <w:spacing w:after="0" w:line="237" w:lineRule="auto"/>
        <w:rPr>
          <w:sz w:val="20"/>
          <w:szCs w:val="20"/>
          <w:color w:val="auto"/>
        </w:rPr>
      </w:pPr>
      <w:r>
        <w:rPr>
          <w:rFonts w:ascii="Courier New" w:cs="Courier New" w:eastAsia="Courier New" w:hAnsi="Courier New"/>
          <w:sz w:val="15"/>
          <w:szCs w:val="15"/>
          <w:color w:val="auto"/>
        </w:rPr>
        <w:t>The Towers, Oriental Plaza, Dong Cheng District</w:t>
      </w:r>
    </w:p>
    <w:p>
      <w:pPr>
        <w:ind w:left="1680"/>
        <w:spacing w:after="0" w:line="238" w:lineRule="auto"/>
        <w:rPr>
          <w:sz w:val="20"/>
          <w:szCs w:val="20"/>
          <w:color w:val="auto"/>
        </w:rPr>
      </w:pPr>
      <w:r>
        <w:rPr>
          <w:rFonts w:ascii="Courier New" w:cs="Courier New" w:eastAsia="Courier New" w:hAnsi="Courier New"/>
          <w:sz w:val="15"/>
          <w:szCs w:val="15"/>
          <w:color w:val="auto"/>
        </w:rPr>
        <w:t>Beijing 100738, People's Republic of China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17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Securities registered or to be registered pursuant to Section 12(g) of the Act.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Name of each exchange and Title of each class on which registered: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American Depositary Shares, each representing 100 ordinary shares, par value</w:t>
      </w:r>
    </w:p>
    <w:p>
      <w:pPr>
        <w:jc w:val="center"/>
        <w:ind w:right="3139"/>
        <w:spacing w:after="0" w:line="238" w:lineRule="auto"/>
        <w:rPr>
          <w:sz w:val="20"/>
          <w:szCs w:val="20"/>
          <w:color w:val="auto"/>
        </w:rPr>
      </w:pPr>
      <w:r>
        <w:rPr>
          <w:rFonts w:ascii="Courier New" w:cs="Courier New" w:eastAsia="Courier New" w:hAnsi="Courier New"/>
          <w:sz w:val="15"/>
          <w:szCs w:val="15"/>
          <w:color w:val="auto"/>
        </w:rPr>
        <w:t>US$0.0001 per share, Nasdaq National Market</w:t>
      </w:r>
    </w:p>
    <w:p>
      <w:pPr>
        <w:ind w:left="88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(Title of Class)</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for which there is a reporting obligation pursuant to Section 15(d)</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Indicate the number of outstanding shares of each of the issuer's classes of capital or common stock as of the close of the period covered by the annual report: 3,100,162,536 ordinary shares, par value US$0.0001 per share.</w:t>
      </w:r>
    </w:p>
    <w:p>
      <w:pPr>
        <w:spacing w:after="0" w:line="161"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[X] Yes</w:t>
      </w:r>
      <w:r>
        <w:rPr>
          <w:sz w:val="20"/>
          <w:szCs w:val="20"/>
          <w:color w:val="auto"/>
        </w:rPr>
        <w:tab/>
      </w:r>
      <w:r>
        <w:rPr>
          <w:rFonts w:ascii="Courier New" w:cs="Courier New" w:eastAsia="Courier New" w:hAnsi="Courier New"/>
          <w:sz w:val="14"/>
          <w:szCs w:val="14"/>
          <w:color w:val="auto"/>
        </w:rPr>
        <w:t>[_] No</w:t>
      </w:r>
    </w:p>
    <w:p>
      <w:pPr>
        <w:spacing w:after="0" w:line="173" w:lineRule="exact"/>
        <w:rPr>
          <w:sz w:val="24"/>
          <w:szCs w:val="24"/>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167" w:lineRule="exact"/>
        <w:rPr>
          <w:sz w:val="24"/>
          <w:szCs w:val="24"/>
          <w:color w:val="auto"/>
        </w:rPr>
      </w:pPr>
    </w:p>
    <w:p>
      <w:pPr>
        <w:ind w:left="800"/>
        <w:spacing w:after="0"/>
        <w:tabs>
          <w:tab w:leader="none" w:pos="1920" w:val="left"/>
        </w:tabs>
        <w:rPr>
          <w:sz w:val="20"/>
          <w:szCs w:val="20"/>
          <w:color w:val="auto"/>
        </w:rPr>
      </w:pPr>
      <w:r>
        <w:rPr>
          <w:rFonts w:ascii="Courier New" w:cs="Courier New" w:eastAsia="Courier New" w:hAnsi="Courier New"/>
          <w:sz w:val="15"/>
          <w:szCs w:val="15"/>
          <w:color w:val="auto"/>
        </w:rPr>
        <w:t>[_] Item 17</w:t>
      </w:r>
      <w:r>
        <w:rPr>
          <w:sz w:val="20"/>
          <w:szCs w:val="20"/>
          <w:color w:val="auto"/>
        </w:rPr>
        <w:tab/>
      </w:r>
      <w:r>
        <w:rPr>
          <w:rFonts w:ascii="Courier New" w:cs="Courier New" w:eastAsia="Courier New" w:hAnsi="Courier New"/>
          <w:sz w:val="14"/>
          <w:szCs w:val="14"/>
          <w:color w:val="auto"/>
        </w:rPr>
        <w:t>[X] Item 18</w:t>
      </w:r>
    </w:p>
    <w:p>
      <w:pPr>
        <w:sectPr>
          <w:pgSz w:w="11900" w:h="16838" w:orient="portrait"/>
          <w:cols w:equalWidth="0" w:num="1">
            <w:col w:w="10239"/>
          </w:cols>
          <w:pgMar w:left="220" w:top="561" w:right="1440" w:bottom="1440" w:gutter="0" w:footer="0" w:header="0"/>
        </w:sectPr>
      </w:pPr>
    </w:p>
    <w:bookmarkStart w:id="1" w:name="page2"/>
    <w:bookmarkEnd w:id="1"/>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PART I</w:t>
            </w:r>
          </w:p>
        </w:tc>
        <w:tc>
          <w:tcPr>
            <w:tcW w:w="360" w:type="dxa"/>
            <w:vAlign w:val="bottom"/>
          </w:tcPr>
          <w:p>
            <w:pPr>
              <w:spacing w:after="0"/>
              <w:rPr>
                <w:sz w:val="14"/>
                <w:szCs w:val="14"/>
                <w:color w:val="auto"/>
              </w:rPr>
            </w:pPr>
          </w:p>
        </w:tc>
        <w:tc>
          <w:tcPr>
            <w:tcW w:w="5940" w:type="dxa"/>
            <w:vAlign w:val="bottom"/>
          </w:tcPr>
          <w:p>
            <w:pPr>
              <w:spacing w:after="0"/>
              <w:rPr>
                <w:sz w:val="14"/>
                <w:szCs w:val="14"/>
                <w:color w:val="auto"/>
              </w:rPr>
            </w:pPr>
          </w:p>
        </w:tc>
      </w:tr>
      <w:tr>
        <w:trPr>
          <w:trHeight w:val="336"/>
        </w:trPr>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Identity of Directors, Senior Management and Advisers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Offer Statistics and Expected Timetable</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Key Information</w:t>
            </w:r>
          </w:p>
        </w:tc>
      </w:tr>
      <w:tr>
        <w:trPr>
          <w:trHeight w:val="168"/>
        </w:trPr>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Selected Financial Data</w:t>
            </w:r>
          </w:p>
        </w:tc>
      </w:tr>
      <w:tr>
        <w:trPr>
          <w:trHeight w:val="168"/>
        </w:trPr>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Risk Factors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Information on the Company</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Operating and Financial Review and Prospects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Directors, Senior Management and Employees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Major Shareholder and Related Party Transactions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Financial Information</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Offer and Listing</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Additional Information</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Quantitative and Qualitative Disclosures About Market Risk</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Description of Securities Other than Equity Securities</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II</w:t>
            </w:r>
          </w:p>
        </w:tc>
        <w:tc>
          <w:tcPr>
            <w:tcW w:w="3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6"/>
        </w:trPr>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Defaults, Dividend Arrearages and Delinquencies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Material Modifications to the Rights of Security Holders and Use of</w:t>
            </w:r>
          </w:p>
        </w:tc>
      </w:tr>
      <w:tr>
        <w:trPr>
          <w:trHeight w:val="168"/>
        </w:trPr>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Proceeds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Controls and Procedures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Reserved</w:t>
            </w:r>
          </w:p>
        </w:tc>
      </w:tr>
      <w:tr>
        <w:trPr>
          <w:trHeight w:val="336"/>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PART III</w:t>
            </w:r>
          </w:p>
        </w:tc>
        <w:tc>
          <w:tcPr>
            <w:tcW w:w="5940" w:type="dxa"/>
            <w:vAlign w:val="bottom"/>
          </w:tcPr>
          <w:p>
            <w:pPr>
              <w:spacing w:after="0"/>
              <w:rPr>
                <w:sz w:val="24"/>
                <w:szCs w:val="24"/>
                <w:color w:val="auto"/>
              </w:rPr>
            </w:pPr>
          </w:p>
        </w:tc>
      </w:tr>
      <w:tr>
        <w:trPr>
          <w:trHeight w:val="336"/>
        </w:trPr>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59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Financial Statements</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5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Exhibits</w:t>
            </w:r>
          </w:p>
        </w:tc>
      </w:tr>
    </w:tbl>
    <w:p>
      <w:pPr>
        <w:sectPr>
          <w:pgSz w:w="11900" w:h="16838" w:orient="portrait"/>
          <w:cols w:equalWidth="0" w:num="1">
            <w:col w:w="10239"/>
          </w:cols>
          <w:pgMar w:left="220" w:top="617" w:right="1440" w:bottom="1440" w:gutter="0" w:footer="0" w:header="0"/>
        </w:sectPr>
      </w:pPr>
    </w:p>
    <w:bookmarkStart w:id="2" w:name="page3"/>
    <w:bookmarkEnd w:id="2"/>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annual report on Form 20-F includes our audited consolidated financial statements as of December 31, 2001 and 2002, and for the years ended December 31, 2000, 2001 and 2002.</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We completed the initial public offering of 4,500,000 American Depositary Shares, each representing 100 of our ordinary shares, par value US$0.0001 per share, on July 6, 2000. On June 30, 2000, we listed our American Depositary Shares on the Nasdaq National Market, or Nasdaq, under the symbol "NTES."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66" w:lineRule="exact"/>
        <w:rPr>
          <w:sz w:val="20"/>
          <w:szCs w:val="20"/>
          <w:color w:val="auto"/>
        </w:rPr>
      </w:pPr>
    </w:p>
    <w:p>
      <w:pPr>
        <w:ind w:left="880" w:right="3239" w:hanging="433"/>
        <w:spacing w:after="0" w:line="258"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we will not be able to continue to successfully monetize the user base of the NetEase Web sites and that our e-commerce and other fee-based services revenues will not continue to grow;</w:t>
      </w:r>
    </w:p>
    <w:p>
      <w:pPr>
        <w:spacing w:after="0" w:line="161" w:lineRule="exact"/>
        <w:rPr>
          <w:sz w:val="20"/>
          <w:szCs w:val="20"/>
          <w:color w:val="auto"/>
        </w:rPr>
      </w:pPr>
    </w:p>
    <w:p>
      <w:pPr>
        <w:ind w:left="880" w:right="3239" w:hanging="433"/>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current popularity of short messaging services (SMS) in China will not continue for whatever reason, including SMS being superseded by other technologies for which we are unable to offer attractive products and services;</w:t>
      </w:r>
    </w:p>
    <w:p>
      <w:pPr>
        <w:spacing w:after="0" w:line="175" w:lineRule="exact"/>
        <w:rPr>
          <w:sz w:val="20"/>
          <w:szCs w:val="20"/>
          <w:color w:val="auto"/>
        </w:rPr>
      </w:pPr>
    </w:p>
    <w:p>
      <w:pPr>
        <w:ind w:left="880" w:right="3759" w:hanging="433"/>
        <w:spacing w:after="0" w:line="234"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we may not be able to continuously develop new and creative online services;</w:t>
      </w:r>
    </w:p>
    <w:p>
      <w:pPr>
        <w:spacing w:after="0" w:line="173" w:lineRule="exact"/>
        <w:rPr>
          <w:sz w:val="20"/>
          <w:szCs w:val="20"/>
          <w:color w:val="auto"/>
        </w:rPr>
      </w:pPr>
    </w:p>
    <w:p>
      <w:pPr>
        <w:ind w:left="880" w:right="323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online game market will not continue to grow or that we will not be able to maintain our position in that market;</w:t>
      </w:r>
    </w:p>
    <w:p>
      <w:pPr>
        <w:spacing w:after="0" w:line="173" w:lineRule="exact"/>
        <w:rPr>
          <w:sz w:val="20"/>
          <w:szCs w:val="20"/>
          <w:color w:val="auto"/>
        </w:rPr>
      </w:pPr>
    </w:p>
    <w:p>
      <w:pPr>
        <w:ind w:left="880" w:right="323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online advertising market in China will not continue to grow and will remain subject to intense competition;</w:t>
      </w:r>
    </w:p>
    <w:p>
      <w:pPr>
        <w:spacing w:after="0" w:line="173" w:lineRule="exact"/>
        <w:rPr>
          <w:sz w:val="20"/>
          <w:szCs w:val="20"/>
          <w:color w:val="auto"/>
        </w:rPr>
      </w:pPr>
    </w:p>
    <w:p>
      <w:pPr>
        <w:ind w:left="880" w:right="3839" w:hanging="433"/>
        <w:spacing w:after="0" w:line="261"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the outbreak in China of severe acute respiratory syndrome, or SARS, on our business and results of operations;</w:t>
      </w:r>
    </w:p>
    <w:p>
      <w:pPr>
        <w:spacing w:after="0" w:line="160" w:lineRule="exact"/>
        <w:rPr>
          <w:sz w:val="20"/>
          <w:szCs w:val="20"/>
          <w:color w:val="auto"/>
        </w:rPr>
      </w:pPr>
    </w:p>
    <w:p>
      <w:pPr>
        <w:ind w:left="880" w:right="349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we will not be able to control our expenses in future periods;</w:t>
      </w:r>
    </w:p>
    <w:p>
      <w:pPr>
        <w:spacing w:after="0" w:line="173" w:lineRule="exact"/>
        <w:rPr>
          <w:sz w:val="20"/>
          <w:szCs w:val="20"/>
          <w:color w:val="auto"/>
        </w:rPr>
      </w:pPr>
    </w:p>
    <w:p>
      <w:pPr>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our company and our board of directors have not implemented effective or complete steps to ensure that the circumstances which led to the restatement of our financial statements for the year ended December 31, 2000 will not recur;</w:t>
      </w:r>
    </w:p>
    <w:p>
      <w:pPr>
        <w:spacing w:after="0" w:line="175" w:lineRule="exact"/>
        <w:rPr>
          <w:sz w:val="20"/>
          <w:szCs w:val="20"/>
          <w:color w:val="auto"/>
        </w:rPr>
      </w:pPr>
    </w:p>
    <w:p>
      <w:pPr>
        <w:ind w:left="880" w:right="383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develop and implement additional operational and financial systems to manage our operations;</w:t>
      </w:r>
    </w:p>
    <w:p>
      <w:pPr>
        <w:spacing w:after="0" w:line="173" w:lineRule="exact"/>
        <w:rPr>
          <w:sz w:val="20"/>
          <w:szCs w:val="20"/>
          <w:color w:val="auto"/>
        </w:rPr>
      </w:pPr>
    </w:p>
    <w:p>
      <w:pPr>
        <w:ind w:left="880" w:right="3239" w:hanging="433"/>
        <w:spacing w:after="0" w:line="234"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uncertainties, general competition and price pressures in the marketplace;</w:t>
      </w:r>
    </w:p>
    <w:p>
      <w:pPr>
        <w:spacing w:after="0" w:line="173" w:lineRule="exact"/>
        <w:rPr>
          <w:sz w:val="20"/>
          <w:szCs w:val="20"/>
          <w:color w:val="auto"/>
        </w:rPr>
      </w:pPr>
    </w:p>
    <w:p>
      <w:pPr>
        <w:ind w:left="880" w:right="357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as to future profitability and the risk that security, reliability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ind w:left="880" w:right="3679"/>
        <w:spacing w:after="0" w:line="234" w:lineRule="auto"/>
        <w:rPr>
          <w:sz w:val="20"/>
          <w:szCs w:val="20"/>
          <w:color w:val="auto"/>
        </w:rPr>
      </w:pPr>
      <w:r>
        <w:rPr>
          <w:rFonts w:ascii="Courier New" w:cs="Courier New" w:eastAsia="Courier New" w:hAnsi="Courier New"/>
          <w:sz w:val="15"/>
          <w:szCs w:val="15"/>
          <w:color w:val="auto"/>
        </w:rPr>
        <w:t>confidentiality concerns may impede broad use of the Internet and e-commerce and other services; and</w:t>
      </w:r>
    </w:p>
    <w:p>
      <w:pPr>
        <w:spacing w:after="0" w:line="173" w:lineRule="exact"/>
        <w:rPr>
          <w:sz w:val="20"/>
          <w:szCs w:val="20"/>
          <w:color w:val="auto"/>
        </w:rPr>
      </w:pPr>
    </w:p>
    <w:p>
      <w:pPr>
        <w:ind w:left="880" w:right="3399" w:hanging="433"/>
        <w:spacing w:after="0" w:line="235"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risks outlined in our filings with the Securities and Exchange Commission, including our registration statement on Form F-1, as amended.</w:t>
      </w:r>
    </w:p>
    <w:p>
      <w:pPr>
        <w:spacing w:after="0" w:line="174"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We do not undertake any obligation to update this forward-looking information, except as required under applicable law.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 w:name="page5"/>
    <w:bookmarkEnd w:id="4"/>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Identity of Directors, Senior Management and Advisers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Offer Statistics and Expected Timetable</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Key Information</w:t>
      </w:r>
    </w:p>
    <w:p>
      <w:pPr>
        <w:spacing w:after="0" w:line="166"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ind w:right="4540" w:firstLine="437"/>
        <w:spacing w:after="0" w:line="236" w:lineRule="auto"/>
        <w:rPr>
          <w:sz w:val="20"/>
          <w:szCs w:val="20"/>
          <w:color w:val="auto"/>
        </w:rPr>
      </w:pPr>
      <w:r>
        <w:rPr>
          <w:rFonts w:ascii="Courier New" w:cs="Courier New" w:eastAsia="Courier New" w:hAnsi="Courier New"/>
          <w:sz w:val="15"/>
          <w:szCs w:val="15"/>
          <w:color w:val="auto"/>
        </w:rPr>
        <w:t>The following table presents the selected consolidated financial information for our business. You should read the following information in conjunction with Item 5 "Operating and Financial Review and Prospects" below. The following data have been derived from our audited consolidated financial statements for the years ended December 31, 2000, 2001 and 2002 and as of December 31, 2001 and 2002, which were prepared in accordance with United States generally accepted accounting principles, or U.S. GAAP, and should be read in conjunction with those statements, which are included in this annual report beginning on page F-1.</w:t>
      </w:r>
    </w:p>
    <w:p>
      <w:pPr>
        <w:sectPr>
          <w:pgSz w:w="11900" w:h="16838" w:orient="portrait"/>
          <w:cols w:equalWidth="0" w:num="1">
            <w:col w:w="11540"/>
          </w:cols>
          <w:pgMar w:left="220" w:top="617"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RMB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RMB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00"/>
        <w:spacing w:after="0"/>
        <w:tabs>
          <w:tab w:leader="none" w:pos="19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p>
    <w:p>
      <w:pPr>
        <w:ind w:left="600"/>
        <w:spacing w:after="0" w:line="237" w:lineRule="auto"/>
        <w:tabs>
          <w:tab w:leader="none" w:pos="1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00"/>
        <w:spacing w:after="0" w:line="238" w:lineRule="auto"/>
        <w:tabs>
          <w:tab w:leader="none" w:pos="1980" w:val="left"/>
        </w:tabs>
        <w:rPr>
          <w:sz w:val="20"/>
          <w:szCs w:val="20"/>
          <w:color w:val="auto"/>
        </w:rPr>
      </w:pP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5"/>
          <w:szCs w:val="15"/>
          <w:color w:val="auto"/>
        </w:rPr>
        <w:t>RMB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RMB</w:t>
      </w:r>
    </w:p>
    <w:p>
      <w:pPr>
        <w:spacing w:after="0" w:line="200" w:lineRule="exact"/>
        <w:rPr>
          <w:sz w:val="20"/>
          <w:szCs w:val="20"/>
          <w:color w:val="auto"/>
        </w:rPr>
      </w:pPr>
    </w:p>
    <w:p>
      <w:pPr>
        <w:sectPr>
          <w:pgSz w:w="11900" w:h="16838" w:orient="portrait"/>
          <w:cols w:equalWidth="0" w:num="4">
            <w:col w:w="5940" w:space="720"/>
            <w:col w:w="340" w:space="540"/>
            <w:col w:w="2700" w:space="620"/>
            <w:col w:w="680"/>
          </w:cols>
          <w:pgMar w:left="220" w:top="617" w:right="139" w:bottom="0" w:gutter="0" w:footer="0" w:header="0"/>
          <w:type w:val="continuous"/>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Advertising services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172,850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10,796,074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30,067,477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14,163,952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34,209,376</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E-commerce and other services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2,459,101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2,455,834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14,103,151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197,357,067</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Software licensing and related integration</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projects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2,942,582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3,515,831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450,350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33,218</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1,002,025</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3,115,432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16,771,006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32,973,661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28,300,321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232,568,468</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value-added taxes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(230,749)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(1,150,169)</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(2,476,444)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(2,274,784)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(11,627,216)</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revenues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2,884,683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15,620,837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30,497,217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26,025,537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220,941,252</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e-commerce and other</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(242,657)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(5,540,600)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(38,738,335)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(60,058,488)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(69,769,449)</w:t>
            </w: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Software licensing and related integration</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projects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(946,531)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(258,819)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 compensation cost*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(6,296,816)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(1,171,084)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(1,908,125)</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cost of revenues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(1,189,188)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(12,096,235)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(39,909,419)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(60,058,488)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(71,677,574)</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Gross profit (loss on revenues)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1,695,495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3,524,602</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(9,412,202)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(34,032,951)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149,263,678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(311,957)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(16,709,221)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(162,922,561)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(181,560,624)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(92,785,244)</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 impairment loss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(2,766,543)</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(746,857)</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 expenses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(964,855)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(9,525,436)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(11,169,454)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(13,808,360)</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 compensation cost*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(39,116,583)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(12,668,476)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(2,357,758)</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(1,898,733)</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Class action settlement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(36,005,385)</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(1,262,957)</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(56,790,659)</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(185,116,473)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(197,854,379)</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(145,244,579)</w:t>
            </w:r>
          </w:p>
        </w:tc>
      </w:tr>
      <w:tr>
        <w:trPr>
          <w:trHeight w:val="168"/>
        </w:trPr>
        <w:tc>
          <w:tcPr>
            <w:tcW w:w="4380" w:type="dxa"/>
            <w:vAlign w:val="bottom"/>
          </w:tcPr>
          <w:p>
            <w:pPr>
              <w:spacing w:after="0"/>
              <w:rPr>
                <w:sz w:val="14"/>
                <w:szCs w:val="14"/>
                <w:color w:val="auto"/>
              </w:rPr>
            </w:pPr>
          </w:p>
        </w:tc>
        <w:tc>
          <w:tcPr>
            <w:tcW w:w="71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profit (loss)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432,538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(53,266,057)</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(194,528,675)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(231,887,330)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4,019,099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 of 163.net usage right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impairment loss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(8,924,381)</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income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5,719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357,160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27,858,710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17,571,187</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7,562,322</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(2,589,735)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(9,882,874)</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(1,401,041)</w:t>
            </w:r>
          </w:p>
        </w:tc>
      </w:tr>
      <w:tr>
        <w:trPr>
          <w:trHeight w:val="505"/>
        </w:trPr>
        <w:tc>
          <w:tcPr>
            <w:tcW w:w="4380" w:type="dxa"/>
            <w:vAlign w:val="bottom"/>
          </w:tcPr>
          <w:p>
            <w:pPr>
              <w:spacing w:after="0"/>
              <w:rPr>
                <w:sz w:val="24"/>
                <w:szCs w:val="2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3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US$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(Note)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Advertising services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4,131,567</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E-commerce and other services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23,835,395</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Software licensing and related integration</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projects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121,018</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revenues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28,087,980</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value-added taxes ..................</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(1,404,253)</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revenues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26,683,727</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e-commerce and other</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services ..................................</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(8,426,262)</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Software licensing and related integration</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projects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ectPr>
          <w:pgSz w:w="11900" w:h="16838" w:orient="portrait"/>
          <w:cols w:equalWidth="0" w:num="1">
            <w:col w:w="11540"/>
          </w:cols>
          <w:pgMar w:left="220" w:top="617" w:right="1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82"/>
              </w:rPr>
              <w:t>Share compensation cost* .....................</w:t>
            </w:r>
          </w:p>
        </w:tc>
        <w:tc>
          <w:tcPr>
            <w:tcW w:w="2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(230,450)</w:t>
            </w:r>
          </w:p>
        </w:tc>
      </w:tr>
      <w:tr>
        <w:trPr>
          <w:trHeight w:val="168"/>
        </w:trPr>
        <w:tc>
          <w:tcPr>
            <w:tcW w:w="342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Total cost of revenues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(8,656,712)</w:t>
            </w:r>
          </w:p>
        </w:tc>
      </w:tr>
      <w:tr>
        <w:trPr>
          <w:trHeight w:val="168"/>
        </w:trPr>
        <w:tc>
          <w:tcPr>
            <w:tcW w:w="342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Gross profit (loss on revenues) .................</w:t>
            </w:r>
          </w:p>
        </w:tc>
        <w:tc>
          <w:tcPr>
            <w:tcW w:w="2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18,027,015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54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540" w:type="dxa"/>
            <w:vAlign w:val="bottom"/>
          </w:tcPr>
          <w:p>
            <w:pPr>
              <w:spacing w:after="0"/>
              <w:rPr>
                <w:sz w:val="14"/>
                <w:szCs w:val="1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expenses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(11,205,948)</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Asset impairment loss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(90,200)</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Research and development expenses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(1,667,676)</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Share compensation cost*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(229,316)</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Class action settlement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(4,348,476)</w:t>
            </w:r>
          </w:p>
        </w:tc>
      </w:tr>
      <w:tr>
        <w:trPr>
          <w:trHeight w:val="168"/>
        </w:trPr>
        <w:tc>
          <w:tcPr>
            <w:tcW w:w="342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Total operating expenses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(17,541,616)</w:t>
            </w:r>
          </w:p>
        </w:tc>
      </w:tr>
      <w:tr>
        <w:trPr>
          <w:trHeight w:val="168"/>
        </w:trPr>
        <w:tc>
          <w:tcPr>
            <w:tcW w:w="342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77"/>
              </w:rPr>
              <w:t>Operating profit (loss) .........................</w:t>
            </w:r>
          </w:p>
        </w:tc>
        <w:tc>
          <w:tcPr>
            <w:tcW w:w="2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485,399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2540" w:type="dxa"/>
            <w:vAlign w:val="bottom"/>
          </w:tcPr>
          <w:p>
            <w:pPr>
              <w:spacing w:after="0"/>
              <w:rPr>
                <w:sz w:val="14"/>
                <w:szCs w:val="1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Sale of 163.net usage right ..................</w:t>
            </w:r>
          </w:p>
        </w:tc>
        <w:tc>
          <w:tcPr>
            <w:tcW w:w="2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Investments impairment loss ..................</w:t>
            </w:r>
          </w:p>
        </w:tc>
        <w:tc>
          <w:tcPr>
            <w:tcW w:w="2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Interest income ..............................</w:t>
            </w:r>
          </w:p>
        </w:tc>
        <w:tc>
          <w:tcPr>
            <w:tcW w:w="2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913,324</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Interest expense .............................</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(169,208)</w:t>
            </w:r>
          </w:p>
        </w:tc>
      </w:tr>
      <w:tr>
        <w:trPr>
          <w:trHeight w:val="505"/>
        </w:trPr>
        <w:tc>
          <w:tcPr>
            <w:tcW w:w="3420" w:type="dxa"/>
            <w:vAlign w:val="bottom"/>
          </w:tcPr>
          <w:p>
            <w:pPr>
              <w:spacing w:after="0"/>
              <w:rPr>
                <w:sz w:val="24"/>
                <w:szCs w:val="24"/>
                <w:color w:val="auto"/>
              </w:rPr>
            </w:pPr>
          </w:p>
        </w:tc>
        <w:tc>
          <w:tcPr>
            <w:tcW w:w="2540" w:type="dxa"/>
            <w:vAlign w:val="bottom"/>
          </w:tcPr>
          <w:p>
            <w:pPr>
              <w:jc w:val="right"/>
              <w:ind w:right="2387"/>
              <w:spacing w:after="0"/>
              <w:rPr>
                <w:sz w:val="20"/>
                <w:szCs w:val="20"/>
                <w:color w:val="auto"/>
              </w:rPr>
            </w:pPr>
            <w:r>
              <w:rPr>
                <w:rFonts w:ascii="Courier New" w:cs="Courier New" w:eastAsia="Courier New" w:hAnsi="Courier New"/>
                <w:sz w:val="14"/>
                <w:szCs w:val="14"/>
                <w:color w:val="auto"/>
                <w:w w:val="70"/>
              </w:rPr>
              <w:t>3</w:t>
            </w:r>
          </w:p>
        </w:tc>
      </w:tr>
    </w:tbl>
    <w:p>
      <w:pPr>
        <w:sectPr>
          <w:pgSz w:w="11900" w:h="16838" w:orient="portrait"/>
          <w:cols w:equalWidth="0" w:num="1">
            <w:col w:w="10239"/>
          </w:cols>
          <w:pgMar w:left="220" w:top="135"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 Ended December 31,</w:t>
            </w: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5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RMB</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RMB</w:t>
            </w:r>
          </w:p>
        </w:tc>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RMB</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w:t>
            </w:r>
          </w:p>
        </w:tc>
        <w:tc>
          <w:tcPr>
            <w:tcW w:w="12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RMB</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net .......................................</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(71,056)</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(494,018)</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(40,516)</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3,725,370</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tax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367,201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(51,902,915)</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(169,268,799) (233,163,914)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13,905,750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(34,464)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(71,338)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2,395,888</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332,737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(51,974,253)</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(169,268,799) (233,163,914)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16,301,638</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(loss) per ADS, basic .................</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0.02</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(7.74)</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0.53</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ADS, diluted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0.52</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basic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1,868,817,200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1,900,430,600</w:t>
            </w:r>
          </w:p>
        </w:tc>
        <w:tc>
          <w:tcPr>
            <w:tcW w:w="2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2,497,467,200 3,013,419,400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3,051,395,100</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ADSs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basic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18,688,172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19,004,306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24,974,672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30,134,194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30,513,951</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diluted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1,868,817,200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1,900,430,600</w:t>
            </w:r>
          </w:p>
        </w:tc>
        <w:tc>
          <w:tcPr>
            <w:tcW w:w="25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2,497,467,200 3,013,419,400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3,127,837,900</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ADSs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diluted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18,688,172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19,004,306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24,974,672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30,134,194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31,278,379</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 - advertising, e-commerce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other services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(6,296,816)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(1,171,084)</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(1,908,125)</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(34,346,268)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(7,437,230)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(204,423)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(1,522,369)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(4,770,315)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(5,231,246)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(2,153,335)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(376,364)</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6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(45,413,399)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(13,839,560)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(2,357,758)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3,806,858</w:t>
            </w:r>
          </w:p>
        </w:tc>
      </w:tr>
      <w:tr>
        <w:trPr>
          <w:trHeight w:val="168"/>
        </w:trPr>
        <w:tc>
          <w:tcPr>
            <w:tcW w:w="4560" w:type="dxa"/>
            <w:vAlign w:val="bottom"/>
          </w:tcPr>
          <w:p>
            <w:pPr>
              <w:spacing w:after="0"/>
              <w:rPr>
                <w:sz w:val="14"/>
                <w:szCs w:val="14"/>
                <w:color w:val="auto"/>
              </w:rPr>
            </w:pPr>
          </w:p>
        </w:tc>
        <w:tc>
          <w:tcPr>
            <w:tcW w:w="6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(1,083,248)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(9,312,383)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(33,970,794)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(21,095,334)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(12,567,218)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1,232,379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(15,687,474)</w:t>
            </w: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(124,653,301) (185,689,512)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26,798,362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Investing activities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(1,083,248)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(9,312,383)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(53,037,513)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(67,263,076)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42,676,950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Financing activities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142,600,415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904,853,021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(22,310,060)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(78,125,861)</w:t>
            </w:r>
          </w:p>
        </w:tc>
      </w:tr>
      <w:tr>
        <w:trPr>
          <w:trHeight w:val="505"/>
        </w:trPr>
        <w:tc>
          <w:tcPr>
            <w:tcW w:w="4560" w:type="dxa"/>
            <w:vAlign w:val="bottom"/>
          </w:tcPr>
          <w:p>
            <w:pPr>
              <w:spacing w:after="0"/>
              <w:rPr>
                <w:sz w:val="24"/>
                <w:szCs w:val="24"/>
                <w:color w:val="auto"/>
              </w:rPr>
            </w:pPr>
          </w:p>
        </w:tc>
        <w:tc>
          <w:tcPr>
            <w:tcW w:w="1400" w:type="dxa"/>
            <w:vAlign w:val="bottom"/>
          </w:tcPr>
          <w:p>
            <w:pPr>
              <w:jc w:val="center"/>
              <w:ind w:left="967"/>
              <w:spacing w:after="0"/>
              <w:rPr>
                <w:sz w:val="20"/>
                <w:szCs w:val="20"/>
                <w:color w:val="auto"/>
              </w:rPr>
            </w:pPr>
            <w:r>
              <w:rPr>
                <w:rFonts w:ascii="Courier New" w:cs="Courier New" w:eastAsia="Courier New" w:hAnsi="Courier New"/>
                <w:sz w:val="15"/>
                <w:szCs w:val="15"/>
                <w:color w:val="auto"/>
                <w:w w:val="99"/>
              </w:rPr>
              <w:t>2002</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400" w:type="dxa"/>
            <w:vAlign w:val="bottom"/>
          </w:tcPr>
          <w:p>
            <w:pPr>
              <w:jc w:val="center"/>
              <w:ind w:left="96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w w:val="90"/>
              </w:rPr>
              <w:t>Other, net .............................................</w:t>
            </w:r>
          </w:p>
        </w:tc>
        <w:tc>
          <w:tcPr>
            <w:tcW w:w="28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449,924</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Income (loss) before tax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1,679,439</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Provision for income tax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289,358</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Net income (loss)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1,968,797</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596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per ADS, basic .......................</w:t>
            </w:r>
          </w:p>
        </w:tc>
        <w:tc>
          <w:tcPr>
            <w:tcW w:w="14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88"/>
              </w:rPr>
              <w:t>0.06</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(loss) per ADS, diluted .....................</w:t>
            </w:r>
          </w:p>
        </w:tc>
        <w:tc>
          <w:tcPr>
            <w:tcW w:w="1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88"/>
              </w:rPr>
              <w:t>0.06</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Outstanding, basic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3,051,395,100</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ADSs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Outstanding, basic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30,513,951</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Outstanding, diluted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3,127,837,900</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ADSs</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Outstanding, diluted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31,278,379</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 - advertising, e-commerce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89"/>
              </w:rPr>
              <w:t>and other services .................................</w:t>
            </w:r>
          </w:p>
        </w:tc>
        <w:tc>
          <w:tcPr>
            <w:tcW w:w="28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(230,450)</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Selling, general and administrative expenses ...........</w:t>
            </w:r>
          </w:p>
        </w:tc>
        <w:tc>
          <w:tcPr>
            <w:tcW w:w="28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(183,861)</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Research and development expenses ......................</w:t>
            </w:r>
          </w:p>
        </w:tc>
        <w:tc>
          <w:tcPr>
            <w:tcW w:w="28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(45,455)</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459,766</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Capital expenditures ...................................</w:t>
            </w:r>
          </w:p>
        </w:tc>
        <w:tc>
          <w:tcPr>
            <w:tcW w:w="28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(1,517,781)</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Operating activities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3,236,517</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Investing activities ................................</w:t>
            </w:r>
          </w:p>
        </w:tc>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5,154,221</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9"/>
              </w:rPr>
              <w:t>Financing activities ................................</w:t>
            </w:r>
          </w:p>
        </w:tc>
        <w:tc>
          <w:tcPr>
            <w:tcW w:w="280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(9,435,491)</w:t>
            </w: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ectPr>
          <w:pgSz w:w="11900" w:h="16838" w:orient="portrait"/>
          <w:cols w:equalWidth="0" w:num="1">
            <w:col w:w="11200"/>
          </w:cols>
          <w:pgMar w:left="220" w:top="953" w:right="4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As of December 31,</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RMB</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RMB</w:t>
            </w: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RMB</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RMB</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RMB</w:t>
            </w:r>
          </w:p>
        </w:tc>
        <w:tc>
          <w:tcPr>
            <w:tcW w:w="11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117,800,096</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708,561,012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479,608,534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560,069,711</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67,641,269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Working capital (deficit)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(345,804)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126,556,803</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717,438,219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507,101,314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551,182,770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66,567,968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Property, equipment and software, net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1,171,483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9,508,437</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35,362,091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36,356,088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26,379,182</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3,185,892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2,388,242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143,728,182</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921,095,550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674,793,068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619,678,196</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74,840,362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current liabilities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1,562,563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7,662,942</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148,555,114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119,763,534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38,654,444</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4,668,411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shareholders' equity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825,679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136,065,240</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772,540,436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555,029,534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581,023,752</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70,171,951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 Translations of amounts from RMB into U.S. dollars for the</w:t>
      </w:r>
    </w:p>
    <w:p>
      <w:pPr>
        <w:ind w:left="440"/>
        <w:spacing w:after="0" w:line="237" w:lineRule="auto"/>
        <w:rPr>
          <w:sz w:val="20"/>
          <w:szCs w:val="20"/>
          <w:color w:val="auto"/>
        </w:rPr>
      </w:pPr>
      <w:r>
        <w:rPr>
          <w:rFonts w:ascii="Courier New" w:cs="Courier New" w:eastAsia="Courier New" w:hAnsi="Courier New"/>
          <w:sz w:val="15"/>
          <w:szCs w:val="15"/>
          <w:color w:val="auto"/>
        </w:rPr>
        <w:t>convenience of the reader were calculated at the noon buying rate of</w:t>
      </w:r>
    </w:p>
    <w:p>
      <w:pPr>
        <w:ind w:left="440"/>
        <w:spacing w:after="0" w:line="238" w:lineRule="auto"/>
        <w:rPr>
          <w:sz w:val="20"/>
          <w:szCs w:val="20"/>
          <w:color w:val="auto"/>
        </w:rPr>
      </w:pPr>
      <w:r>
        <w:rPr>
          <w:rFonts w:ascii="Courier New" w:cs="Courier New" w:eastAsia="Courier New" w:hAnsi="Courier New"/>
          <w:sz w:val="15"/>
          <w:szCs w:val="15"/>
          <w:color w:val="auto"/>
        </w:rPr>
        <w:t>US$1.00: RMB8.2800 on December 31, 2002 in The City of New York for cable</w:t>
      </w:r>
    </w:p>
    <w:p>
      <w:pPr>
        <w:ind w:left="440"/>
        <w:spacing w:after="0" w:line="237" w:lineRule="auto"/>
        <w:rPr>
          <w:sz w:val="20"/>
          <w:szCs w:val="20"/>
          <w:color w:val="auto"/>
        </w:rPr>
      </w:pPr>
      <w:r>
        <w:rPr>
          <w:rFonts w:ascii="Courier New" w:cs="Courier New" w:eastAsia="Courier New" w:hAnsi="Courier New"/>
          <w:sz w:val="15"/>
          <w:szCs w:val="15"/>
          <w:color w:val="auto"/>
        </w:rPr>
        <w:t>transfers of RMB as certified for customs purposes by the Federal Reserve</w:t>
      </w:r>
    </w:p>
    <w:p>
      <w:pPr>
        <w:ind w:left="440"/>
        <w:spacing w:after="0" w:line="238" w:lineRule="auto"/>
        <w:rPr>
          <w:sz w:val="20"/>
          <w:szCs w:val="20"/>
          <w:color w:val="auto"/>
        </w:rPr>
      </w:pPr>
      <w:r>
        <w:rPr>
          <w:rFonts w:ascii="Courier New" w:cs="Courier New" w:eastAsia="Courier New" w:hAnsi="Courier New"/>
          <w:sz w:val="15"/>
          <w:szCs w:val="15"/>
          <w:color w:val="auto"/>
        </w:rPr>
        <w:t>Bank of New York. No representation is made that the RMB amounts could have</w:t>
      </w:r>
    </w:p>
    <w:p>
      <w:pPr>
        <w:ind w:left="440"/>
        <w:spacing w:after="0" w:line="237" w:lineRule="auto"/>
        <w:rPr>
          <w:sz w:val="20"/>
          <w:szCs w:val="20"/>
          <w:color w:val="auto"/>
        </w:rPr>
      </w:pPr>
      <w:r>
        <w:rPr>
          <w:rFonts w:ascii="Courier New" w:cs="Courier New" w:eastAsia="Courier New" w:hAnsi="Courier New"/>
          <w:sz w:val="15"/>
          <w:szCs w:val="15"/>
          <w:color w:val="auto"/>
        </w:rPr>
        <w:t>been, or could be, converted into United States dollars at that rate on</w:t>
      </w:r>
    </w:p>
    <w:p>
      <w:pPr>
        <w:ind w:left="440"/>
        <w:spacing w:after="0" w:line="238" w:lineRule="auto"/>
        <w:rPr>
          <w:sz w:val="20"/>
          <w:szCs w:val="20"/>
          <w:color w:val="auto"/>
        </w:rPr>
      </w:pPr>
      <w:r>
        <w:rPr>
          <w:rFonts w:ascii="Courier New" w:cs="Courier New" w:eastAsia="Courier New" w:hAnsi="Courier New"/>
          <w:sz w:val="15"/>
          <w:szCs w:val="15"/>
          <w:color w:val="auto"/>
        </w:rPr>
        <w:t>December 31, 2002, or at any other rate.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Exchange Rate Information</w:t>
      </w:r>
    </w:p>
    <w:p>
      <w:pPr>
        <w:spacing w:after="0" w:line="173" w:lineRule="exact"/>
        <w:rPr>
          <w:sz w:val="20"/>
          <w:szCs w:val="20"/>
          <w:color w:val="auto"/>
        </w:rPr>
      </w:pPr>
    </w:p>
    <w:p>
      <w:pPr>
        <w:ind w:left="440" w:right="4540" w:firstLine="437"/>
        <w:spacing w:after="0" w:line="236" w:lineRule="auto"/>
        <w:rPr>
          <w:sz w:val="20"/>
          <w:szCs w:val="20"/>
          <w:color w:val="auto"/>
        </w:rPr>
      </w:pPr>
      <w:r>
        <w:rPr>
          <w:rFonts w:ascii="Courier New" w:cs="Courier New" w:eastAsia="Courier New" w:hAnsi="Courier New"/>
          <w:sz w:val="15"/>
          <w:szCs w:val="15"/>
          <w:color w:val="auto"/>
        </w:rPr>
        <w:t>We have published our financial statements in Renminbi, or RMB. Our business is currently conducted in and from China in Renminbi. In this annual report, all references to Renminbi and RMB are to the legal currency of China and all references to U.S. dollars, dollars, $ and US$ are to the legal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640" w:right="139" w:bottom="1440" w:gutter="0" w:footer="0" w:header="0"/>
        </w:sectPr>
      </w:pPr>
    </w:p>
    <w:bookmarkStart w:id="8" w:name="page9"/>
    <w:bookmarkEnd w:id="8"/>
    <w:p>
      <w:pPr>
        <w:ind w:right="3239"/>
        <w:spacing w:after="0" w:line="255" w:lineRule="auto"/>
        <w:rPr>
          <w:sz w:val="20"/>
          <w:szCs w:val="20"/>
          <w:color w:val="auto"/>
        </w:rPr>
      </w:pPr>
      <w:r>
        <w:rPr>
          <w:rFonts w:ascii="Courier New" w:cs="Courier New" w:eastAsia="Courier New" w:hAnsi="Courier New"/>
          <w:sz w:val="14"/>
          <w:szCs w:val="14"/>
          <w:color w:val="auto"/>
        </w:rPr>
        <w:t>currency of the United States. The conversion of Renminbi into U.S. dollars in this annual report is based on the noon buying rate in The City of New York for cable transfers of Renminbi as certified for customs purposes by the Federal Reserve Bank of New York. For your convenience, this annual report contains translations of some Renminbi or U.S. dollar amounts for 2002 at US$1.00: RMB8.2800, which was the prevailing rate on December 31, 2002. The prevailing rate at June 20, 2003 was US$1.00: RMB8.2772. We make no representation that any Renminbi or U.S. dollar amounts could have been, or could be, converted into U.S. dollars or Renminbi, as the case may be, at any particular rate, the rates stated below, or at all. The Chinese government imposes control over its foreign currency reserves in part through direct regulation of the conversion of Renminbi into foreign exchange and through restrictions on foreign trade.</w:t>
      </w:r>
    </w:p>
    <w:p>
      <w:pPr>
        <w:spacing w:after="0" w:line="16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The following table sets forth the average buying rate for Renminbi expressed as per one U.S. dollar for the years 1998, 1999, 2000, 2001 and 2002.</w:t>
      </w:r>
    </w:p>
    <w:p>
      <w:pPr>
        <w:spacing w:after="0" w:line="15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tbl>
      <w:tblPr>
        <w:tblLayout w:type="fixed"/>
        <w:tblInd w:w="2020" w:type="dxa"/>
        <w:tblCellMar>
          <w:top w:w="0" w:type="dxa"/>
          <w:left w:w="0" w:type="dxa"/>
          <w:bottom w:w="0" w:type="dxa"/>
          <w:right w:w="0" w:type="dxa"/>
        </w:tblCellMar>
      </w:tblP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Year</w:t>
            </w:r>
          </w:p>
        </w:tc>
        <w:tc>
          <w:tcPr>
            <w:tcW w:w="2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Renminbi Average/(1)/</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28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8.2969</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1999</w:t>
            </w:r>
          </w:p>
        </w:tc>
        <w:tc>
          <w:tcPr>
            <w:tcW w:w="28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8.2785</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2000</w:t>
            </w:r>
          </w:p>
        </w:tc>
        <w:tc>
          <w:tcPr>
            <w:tcW w:w="28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8.2784</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2001</w:t>
            </w:r>
          </w:p>
        </w:tc>
        <w:tc>
          <w:tcPr>
            <w:tcW w:w="28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8.2772</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2002</w:t>
            </w:r>
          </w:p>
        </w:tc>
        <w:tc>
          <w:tcPr>
            <w:tcW w:w="28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8.2772</w:t>
            </w:r>
          </w:p>
        </w:tc>
      </w:tr>
    </w:tbl>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w:t>
      </w:r>
    </w:p>
    <w:p>
      <w:pPr>
        <w:spacing w:after="0" w:line="173" w:lineRule="exact"/>
        <w:rPr>
          <w:sz w:val="20"/>
          <w:szCs w:val="20"/>
          <w:color w:val="auto"/>
        </w:rPr>
      </w:pPr>
    </w:p>
    <w:p>
      <w:pPr>
        <w:ind w:right="3499" w:firstLine="10"/>
        <w:spacing w:after="0" w:line="234" w:lineRule="auto"/>
        <w:tabs>
          <w:tab w:leader="none" w:pos="43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by averaging the rates on the last business day of each month during the relevant period.</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high and low exchange rates for Renminbi expressed as per one U.S. dollar during the past six months.</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jc w:val="center"/>
        <w:ind w:right="79"/>
        <w:spacing w:after="0" w:line="237" w:lineRule="auto"/>
        <w:rPr>
          <w:sz w:val="20"/>
          <w:szCs w:val="20"/>
          <w:color w:val="auto"/>
        </w:rPr>
      </w:pPr>
      <w:r>
        <w:rPr>
          <w:rFonts w:ascii="Courier New" w:cs="Courier New" w:eastAsia="Courier New" w:hAnsi="Courier New"/>
          <w:sz w:val="15"/>
          <w:szCs w:val="15"/>
          <w:color w:val="auto"/>
        </w:rPr>
        <w:t>Renminbi Average</w:t>
      </w:r>
    </w:p>
    <w:p>
      <w:pPr>
        <w:ind w:left="4380"/>
        <w:spacing w:after="0" w:line="238" w:lineRule="auto"/>
        <w:rPr>
          <w:sz w:val="20"/>
          <w:szCs w:val="20"/>
          <w:color w:val="auto"/>
        </w:rPr>
      </w:pPr>
      <w:r>
        <w:rPr>
          <w:rFonts w:ascii="Courier New" w:cs="Courier New" w:eastAsia="Courier New" w:hAnsi="Courier New"/>
          <w:sz w:val="15"/>
          <w:szCs w:val="15"/>
          <w:color w:val="auto"/>
        </w:rPr>
        <w:t>----------------</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tabs>
          <w:tab w:leader="none" w:pos="4020" w:val="left"/>
          <w:tab w:leader="none" w:pos="5680" w:val="left"/>
        </w:tabs>
        <w:rPr>
          <w:sz w:val="20"/>
          <w:szCs w:val="20"/>
          <w:color w:val="auto"/>
        </w:rPr>
      </w:pPr>
      <w:r>
        <w:rPr>
          <w:rFonts w:ascii="Courier New" w:cs="Courier New" w:eastAsia="Courier New" w:hAnsi="Courier New"/>
          <w:sz w:val="15"/>
          <w:szCs w:val="15"/>
          <w:color w:val="auto"/>
        </w:rPr>
        <w:t>Month Ended</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ind w:left="1760"/>
        <w:spacing w:after="0"/>
        <w:tabs>
          <w:tab w:leader="none" w:pos="4020" w:val="left"/>
          <w:tab w:leader="none" w:pos="5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2002</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8.2800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8.2771</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1920" w:type="dxa"/>
            <w:vAlign w:val="bottom"/>
          </w:tcPr>
          <w:p>
            <w:pPr>
              <w:spacing w:after="0" w:line="169" w:lineRule="exact"/>
              <w:rPr>
                <w:sz w:val="20"/>
                <w:szCs w:val="20"/>
                <w:color w:val="auto"/>
              </w:rPr>
            </w:pPr>
            <w:r>
              <w:rPr>
                <w:rFonts w:ascii="Courier New" w:cs="Courier New" w:eastAsia="Courier New" w:hAnsi="Courier New"/>
                <w:sz w:val="15"/>
                <w:szCs w:val="15"/>
                <w:color w:val="auto"/>
              </w:rPr>
              <w:t>January 31, 2003</w:t>
            </w:r>
          </w:p>
        </w:tc>
        <w:tc>
          <w:tcPr>
            <w:tcW w:w="162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8.2800</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8.2766</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00" w:type="dxa"/>
        <w:tblCellMar>
          <w:top w:w="0" w:type="dxa"/>
          <w:left w:w="0" w:type="dxa"/>
          <w:bottom w:w="0" w:type="dxa"/>
          <w:right w:w="0" w:type="dxa"/>
        </w:tblCellMar>
      </w:tblPr>
      <w:tr>
        <w:trPr>
          <w:trHeight w:val="169"/>
        </w:trPr>
        <w:tc>
          <w:tcPr>
            <w:tcW w:w="1960" w:type="dxa"/>
            <w:vAlign w:val="bottom"/>
          </w:tcPr>
          <w:p>
            <w:pPr>
              <w:spacing w:after="0" w:line="169" w:lineRule="exact"/>
              <w:rPr>
                <w:sz w:val="20"/>
                <w:szCs w:val="20"/>
                <w:color w:val="auto"/>
              </w:rPr>
            </w:pPr>
            <w:r>
              <w:rPr>
                <w:rFonts w:ascii="Courier New" w:cs="Courier New" w:eastAsia="Courier New" w:hAnsi="Courier New"/>
                <w:sz w:val="15"/>
                <w:szCs w:val="15"/>
                <w:color w:val="auto"/>
              </w:rPr>
              <w:t>February 28, 2003</w:t>
            </w:r>
          </w:p>
        </w:tc>
        <w:tc>
          <w:tcPr>
            <w:tcW w:w="158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8.2800</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8.2768</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80" w:type="dxa"/>
        <w:tblCellMar>
          <w:top w:w="0" w:type="dxa"/>
          <w:left w:w="0" w:type="dxa"/>
          <w:bottom w:w="0" w:type="dxa"/>
          <w:right w:w="0" w:type="dxa"/>
        </w:tblCellMar>
      </w:tblPr>
      <w:tr>
        <w:trPr>
          <w:trHeight w:val="169"/>
        </w:trPr>
        <w:tc>
          <w:tcPr>
            <w:tcW w:w="1800" w:type="dxa"/>
            <w:vAlign w:val="bottom"/>
          </w:tcPr>
          <w:p>
            <w:pPr>
              <w:spacing w:after="0" w:line="169" w:lineRule="exact"/>
              <w:rPr>
                <w:sz w:val="20"/>
                <w:szCs w:val="20"/>
                <w:color w:val="auto"/>
              </w:rPr>
            </w:pPr>
            <w:r>
              <w:rPr>
                <w:rFonts w:ascii="Courier New" w:cs="Courier New" w:eastAsia="Courier New" w:hAnsi="Courier New"/>
                <w:sz w:val="15"/>
                <w:szCs w:val="15"/>
                <w:color w:val="auto"/>
              </w:rPr>
              <w:t>March 31, 2003</w:t>
            </w:r>
          </w:p>
        </w:tc>
        <w:tc>
          <w:tcPr>
            <w:tcW w:w="166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8.2776</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8.2770</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1580" w:type="dxa"/>
        <w:tblCellMar>
          <w:top w:w="0" w:type="dxa"/>
          <w:left w:w="0" w:type="dxa"/>
          <w:bottom w:w="0" w:type="dxa"/>
          <w:right w:w="0" w:type="dxa"/>
        </w:tblCellMar>
      </w:tblPr>
      <w:tr>
        <w:trPr>
          <w:trHeight w:val="169"/>
        </w:trPr>
        <w:tc>
          <w:tcPr>
            <w:tcW w:w="1800" w:type="dxa"/>
            <w:vAlign w:val="bottom"/>
          </w:tcPr>
          <w:p>
            <w:pPr>
              <w:spacing w:after="0" w:line="169" w:lineRule="exact"/>
              <w:rPr>
                <w:sz w:val="20"/>
                <w:szCs w:val="20"/>
                <w:color w:val="auto"/>
              </w:rPr>
            </w:pPr>
            <w:r>
              <w:rPr>
                <w:rFonts w:ascii="Courier New" w:cs="Courier New" w:eastAsia="Courier New" w:hAnsi="Courier New"/>
                <w:sz w:val="15"/>
                <w:szCs w:val="15"/>
                <w:color w:val="auto"/>
              </w:rPr>
              <w:t>April 30, 2003</w:t>
            </w:r>
          </w:p>
        </w:tc>
        <w:tc>
          <w:tcPr>
            <w:tcW w:w="166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8.2774</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8.2769</w:t>
            </w:r>
          </w:p>
        </w:tc>
      </w:tr>
    </w:tbl>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680"/>
        <w:spacing w:after="0" w:line="238" w:lineRule="auto"/>
        <w:tabs>
          <w:tab w:leader="none" w:pos="3920" w:val="left"/>
          <w:tab w:leader="none" w:pos="5580" w:val="left"/>
        </w:tabs>
        <w:rPr>
          <w:sz w:val="20"/>
          <w:szCs w:val="20"/>
          <w:color w:val="auto"/>
        </w:rPr>
      </w:pPr>
      <w:r>
        <w:rPr>
          <w:rFonts w:ascii="Courier New" w:cs="Courier New" w:eastAsia="Courier New" w:hAnsi="Courier New"/>
          <w:sz w:val="15"/>
          <w:szCs w:val="15"/>
          <w:color w:val="auto"/>
        </w:rPr>
        <w:t>May 31, 2003</w:t>
      </w:r>
      <w:r>
        <w:rPr>
          <w:sz w:val="20"/>
          <w:szCs w:val="20"/>
          <w:color w:val="auto"/>
        </w:rPr>
        <w:tab/>
      </w:r>
      <w:r>
        <w:rPr>
          <w:rFonts w:ascii="Courier New" w:cs="Courier New" w:eastAsia="Courier New" w:hAnsi="Courier New"/>
          <w:sz w:val="15"/>
          <w:szCs w:val="15"/>
          <w:color w:val="auto"/>
        </w:rPr>
        <w:t>8.2771</w:t>
      </w:r>
      <w:r>
        <w:rPr>
          <w:sz w:val="20"/>
          <w:szCs w:val="20"/>
          <w:color w:val="auto"/>
        </w:rPr>
        <w:tab/>
      </w:r>
      <w:r>
        <w:rPr>
          <w:rFonts w:ascii="Courier New" w:cs="Courier New" w:eastAsia="Courier New" w:hAnsi="Courier New"/>
          <w:sz w:val="15"/>
          <w:szCs w:val="15"/>
          <w:color w:val="auto"/>
        </w:rPr>
        <w:t>8.2768</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240" w:right="6299" w:hanging="793"/>
        <w:spacing w:after="0" w:line="465"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and Indebtedness Not Applicable.</w:t>
      </w:r>
    </w:p>
    <w:p>
      <w:pPr>
        <w:spacing w:after="0" w:line="14" w:lineRule="exact"/>
        <w:rPr>
          <w:rFonts w:ascii="Courier New" w:cs="Courier New" w:eastAsia="Courier New" w:hAnsi="Courier New"/>
          <w:sz w:val="15"/>
          <w:szCs w:val="15"/>
          <w:color w:val="auto"/>
        </w:rPr>
      </w:pPr>
    </w:p>
    <w:p>
      <w:pPr>
        <w:ind w:left="1240" w:right="5419" w:hanging="793"/>
        <w:spacing w:after="0" w:line="465"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Reasons for the Offer and Use of Proceeds Not Applicable.</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 w:name="page10"/>
    <w:bookmarkEnd w:id="9"/>
    <w:p>
      <w:pPr>
        <w:ind w:left="1240" w:hanging="443"/>
        <w:spacing w:after="0"/>
        <w:tabs>
          <w:tab w:leader="none" w:pos="12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 Factors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Risks Related to Our Company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Our business prospects are difficult to evaluate because we commenced our operations in 1997, changed our business focus in 1998 and introduced several new revenue sources in 2001.</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business was established in June 1997 as an Internet software developer. In mid-1998, our business focus changed to an Internet technology provider, and we commenced developing the NetEase Web sites. In July 1999, we commenced our e-commerce services, and in September 1999, we restructured our operations to place our Internet portal operations in Guangzhou NetEase Computer System Co., Ltd., or Guangzhou NetEase. In 2001, we began focusing on fee-based premium services and online entertainment services, including wireless value-added services, premium e-mail services, online games and other subscription-type products. In 2002, certain of these new services, in particular wireless value-added services and online games, enjoyed greater popularity (and generated greater profit) than our other fee-based premium services, but we cannot be certain whether this trend will continue. For a discussion of these and other services, please refer to Item 4.B. "Information on the Company--Business Overview--Our Products and Services."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we have a limited operating history, when you evaluate our business and prospects you must consider the risks and difficulties frequently encountered by companies in the early stages of development, particularly companies in the new and rapidly evolving Internet service markets. In addition, our change of business focus from developing Web-based software products to developing and providing technological services to the NetEase Web sites and then to also providing e-commerce and other services makes it difficult to evaluate our future prospects. We cannot assure you that we will be able to increase or maintain our revenues from online advertising and e-commerce and other services.</w:t>
      </w:r>
    </w:p>
    <w:p>
      <w:pPr>
        <w:spacing w:after="0" w:line="17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incurred significant losses in the past and may incur additional losses in the future.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we had a net profit of US$2.0 million in 2002, we incurred significant net losses in 2001, 2000 and 1999 and had only minimal profit in 1998. Accordingly, as of December 31, 2002, we had an accumulated deficit of approximately US$52.9 million. The markets in which we operate are highly competitive, and given the relatively short period of time during which we have achieved profitability, we cannot be certain that we will be able to maintain or increase our profits. Moreover, as our business expands, we may incur additional expenses which would also adversely affect our profitability.</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market for the delivery of wireless value-added services is rapidly evolving, and our ability to generate revenues from our wireless value-added services could suffer if this market does not develop or we fail to address this market effectively.</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must continue to adapt our strategy for wireless value-added services, which contributed the bulk of our fee-based premium services and online entertainment services revenue in 2002, to compete in the rapidly evolving wireless value-added services market. We currently offer products and services for users of short messaging services (SMS) and, beginning in 2003, for multi-media messaging services (MMS), both of which enable mobile phone users to communicate with each other and receive information on their phone screens. Competitors have introduced or developed, or are in the process of introducing or developing, competing wireless value-added services accessible through a variety of handheld devices. We cannot assure you that there will be demand for the wireless value-added services provided by us. In addition, there are numerous other technologies in varying stages of development, such as third generation cellular phone technology (3G), which could radically alter or eliminate the SMS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10" w:name="page11"/>
    <w:bookmarkEnd w:id="10"/>
    <w:p>
      <w:pPr>
        <w:ind w:right="3239"/>
        <w:spacing w:after="0" w:line="236" w:lineRule="auto"/>
        <w:rPr>
          <w:sz w:val="20"/>
          <w:szCs w:val="20"/>
          <w:color w:val="auto"/>
        </w:rPr>
      </w:pPr>
      <w:r>
        <w:rPr>
          <w:rFonts w:ascii="Courier New" w:cs="Courier New" w:eastAsia="Courier New" w:hAnsi="Courier New"/>
          <w:sz w:val="15"/>
          <w:szCs w:val="15"/>
          <w:color w:val="auto"/>
        </w:rPr>
        <w:t>and MMS markets. Accordingly, it is extremely difficult to predict which services will be successful in this market or the future size and growth of this market. In addition, given the limited history and rapidly evolving nature of this market, we cannot predict the price that wireless subscribers will be willing to pay for these services. If acceptance of our wireless value-added services is less than anticipated, our results from operations could be impacted.</w:t>
      </w:r>
    </w:p>
    <w:p>
      <w:pPr>
        <w:spacing w:after="0" w:line="176"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Currently, we are dependent on our relationship with the two mobile phone companies in China for our wireless value-added services revenues and the alteration or termination of either or both of these relationships could adversely impact our business.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wireless value-added services are conducted in conjunction with the two mobile phone companies in China, China Mobile and China Unicom. If our strategic relationship with either company is terminated or scaled-back, it may be difficult, if not impossible, to find appropriate replacement partners with the requisite licenses and permits, infrastructure and customer base to offer these services, which could adversely affect our business. Our wireless value-added services are provided through a number of contracts with the provincial affiliates of China Mobile and with China Unicom, and each of these contracts is non-exclusive and of a limited term (generally six months or one year). These contracts may also be terminated in advance under certain circumstances. We cannot be certain that we will be able to renew these contracts as necessary or enter into new arrangements with these or other affiliates of China Mobile and China Unicom. We may also be compelled to amend our arrangements with these mobile phone carriers in ways which adversely affect our business.</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experienced a decline in the rate of growth of our online games which appears to be a result of the outbreak of severe acute respiratory syndrome, or SARS, and any recurrence of SARS or another widespread public health problem could further adversely affect our business and results of operations.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April and May 2003, we experienced a decline in the rate of growth of our online game services which we believe resulted from the Chinese government's closure of Internet cafes in Beijing and elsewhere to prevent the spread of SARS. Many users of our online game services can only access those services at Internet cafes. A renewed outbreak of SARS or another widespread public health problem in China where virtually all of our revenue is derived and in Beijing, Shanghai and Guangzhou where most of our employees are located could have a negative effect on our operations. Our operations may be impacted by a number of health-related factors, including, among other things:</w:t>
      </w:r>
    </w:p>
    <w:p>
      <w:pPr>
        <w:spacing w:after="0" w:line="165" w:lineRule="exact"/>
        <w:rPr>
          <w:sz w:val="20"/>
          <w:szCs w:val="20"/>
          <w:color w:val="auto"/>
        </w:rPr>
      </w:pPr>
    </w:p>
    <w:p>
      <w:pPr>
        <w:ind w:left="880" w:right="349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quarantines or closures of some of our offices which would severely disrupt our operations,</w:t>
      </w:r>
    </w:p>
    <w:p>
      <w:pPr>
        <w:spacing w:after="0" w:line="167"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sickness or death of our key officers and employees,</w:t>
      </w:r>
    </w:p>
    <w:p>
      <w:pPr>
        <w:spacing w:after="0" w:line="173" w:lineRule="exact"/>
        <w:rPr>
          <w:sz w:val="20"/>
          <w:szCs w:val="20"/>
          <w:color w:val="auto"/>
        </w:rPr>
      </w:pPr>
    </w:p>
    <w:p>
      <w:pPr>
        <w:ind w:left="880" w:right="3399" w:hanging="433"/>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closure of Internet cafes and other public areas where people access the Internet, and</w:t>
      </w:r>
    </w:p>
    <w:p>
      <w:pPr>
        <w:spacing w:after="0" w:line="167"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slowdown in the Chinese economy.</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Any of the foregoing events or other unforeseen consequences of public health problems could adversely affect our business and results of operations. We will continue to monitor the impact of SARS on our business.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1" w:name="page12"/>
    <w:bookmarkEnd w:id="11"/>
    <w:p>
      <w:pPr>
        <w:ind w:right="3399"/>
        <w:spacing w:after="0" w:line="235" w:lineRule="auto"/>
        <w:rPr>
          <w:sz w:val="20"/>
          <w:szCs w:val="20"/>
          <w:color w:val="auto"/>
        </w:rPr>
      </w:pPr>
      <w:r>
        <w:rPr>
          <w:rFonts w:ascii="Courier New" w:cs="Courier New" w:eastAsia="Courier New" w:hAnsi="Courier New"/>
          <w:sz w:val="15"/>
          <w:szCs w:val="15"/>
          <w:color w:val="auto"/>
        </w:rPr>
        <w:t>E-commerce and other services have become the significant part of our revenue, but continued growth in the popularity of these services and customers' willingness and ability to pay for them is uncertain.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revenue growth depends on the increasing acceptance and use of our e-commerce services, fee-based premium services, wireless value-added services and online entertainment services. We have, however, only limited experience in offering these services and cannot be certain that they will generate sustainable revenue. Further, these services may never become widely accepted for various reasons, many of which are beyond our control, including:</w:t>
      </w:r>
    </w:p>
    <w:p>
      <w:pPr>
        <w:spacing w:after="0" w:line="166" w:lineRule="exact"/>
        <w:rPr>
          <w:sz w:val="20"/>
          <w:szCs w:val="20"/>
          <w:color w:val="auto"/>
        </w:rPr>
      </w:pPr>
    </w:p>
    <w:p>
      <w:pPr>
        <w:ind w:left="880" w:right="323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inexperience with these technologies, some of which are largely new to China, and customers' willingness to pay for online services;</w:t>
      </w:r>
    </w:p>
    <w:p>
      <w:pPr>
        <w:spacing w:after="0" w:line="173" w:lineRule="exact"/>
        <w:rPr>
          <w:sz w:val="20"/>
          <w:szCs w:val="20"/>
          <w:color w:val="auto"/>
        </w:rPr>
      </w:pPr>
    </w:p>
    <w:p>
      <w:pPr>
        <w:jc w:val="both"/>
        <w:ind w:left="880" w:right="3319" w:hanging="433"/>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changes in technology and customer tastes which could adversely impact the popularity of our services, such as our fee-based wireless value-added services and online games; and</w:t>
      </w:r>
    </w:p>
    <w:p>
      <w:pPr>
        <w:spacing w:after="0" w:line="174" w:lineRule="exact"/>
        <w:rPr>
          <w:sz w:val="20"/>
          <w:szCs w:val="20"/>
          <w:color w:val="auto"/>
        </w:rPr>
      </w:pPr>
    </w:p>
    <w:p>
      <w:pPr>
        <w:ind w:left="880" w:right="3759" w:hanging="433"/>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concerns about security, reliability, cost, ease of deployment, administration and quality of service associated with conducting business over the Internet.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Further, online payment systems in China are not as widely available or acceptable to consumers in China as in the United States and elsewhere. Although major Chinese banks have instituted online payment systems, these systems are still at an early stage. In addition, a limited number of consumers in China have credit cards or debit cards. The perceived lack of secure online payment systems may limit the number of e-commerce transactions that we can service. If online payment services do not develop, our ability to grow our e-commerce business would be limited.</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the introduction of our first online game, "Westward Journey Online," at the end of 2001, we introduced a prepaid debit point card which we believe has facilitated the usability and growth of all of our online game services. To address the difficulty of making online payments in China, users can buy this card at local stores and other locations in China. The points contained in the card can then be used to pay for online services, such as playing time for online games. We cannot be certain, however, that Internet users in China will be willing to adopt this payment method on a wide-spread and consistent basis or that it will be immune to the security and other concerns which have thus far contributed to the relatively low level of e-commerce activity in China. If the Internet does not become more widely accepted as a medium for e-commerce and our other fee-based services, our ability to generate increased revenue will be negatively affected.</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If we fail to develop and introduce new fee-based services timely and successfully, we will not be able to compete effectively and our ability to generate revenues will suffer.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operate in a highly competitive, quickly changing environment, and our future success depends not only on the popularity of our existing fee-based services but also on our ability to develop and introduce new fee-based services that our customers and users choose to buy. If we are unsuccessful at developing and introducing new fee-based services that are appealing to users with acceptable prices and terms, our business and operating results would be negatively impacted because we would not be able to compete effectively and our ability to generate revenues would suffer. The development of new services can be very difficult and requires high levels of innovation. The development process can also be lengthy and costly, in particular for developing new online games. If we fail to anticipate our users' needs and technological trends accurately or are otherwise unable to complete the development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2" w:name="page13"/>
    <w:bookmarkEnd w:id="12"/>
    <w:p>
      <w:pPr>
        <w:ind w:right="3399"/>
        <w:spacing w:after="0" w:line="234" w:lineRule="auto"/>
        <w:rPr>
          <w:sz w:val="20"/>
          <w:szCs w:val="20"/>
          <w:color w:val="auto"/>
        </w:rPr>
      </w:pPr>
      <w:r>
        <w:rPr>
          <w:rFonts w:ascii="Courier New" w:cs="Courier New" w:eastAsia="Courier New" w:hAnsi="Courier New"/>
          <w:sz w:val="15"/>
          <w:szCs w:val="15"/>
          <w:color w:val="auto"/>
        </w:rPr>
        <w:t>services in a timely fashion, we will be unable to introduce new services into the market to successfully compete.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demand for new services is difficult to forecast, in part due to the relative immaturity of the market for our fee-based services in China and relatively short life cycles of Internet-based technologies. As we introduce and support additional services and as competition in the market for our services intensifies, we expect that it will become more difficult to forecast demand. In particular, competition in the online game market is growing as more and more online games are introduced by existing and new market participants.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depend on China Mobile and China Unicom to maintain accurate records concerning the fees paid by customers for wireless value-added services and our portion of those fees, and we have had to make estimates on occasion as to what revenues we should record in this regard. Any mistakes in this process could adversely affect our business.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China Mobile and China Unicom pay us a portion of the fees they receive from their customers for the wireless value-added services we provide, and we are dependent on their ability to maintain accurate records of the services provided and concomitant fees paid. We do not collect fees from these operators in certain circumstances due to technical issues with their billing and transmission systems. The rate of these billing and transmission failures varies among the operators and also changes from month to month. Billing and transmission failures may result in a significant reduction in our wireless value-added services revenue.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we have only limited means to independently verify the information provided to us in this regard, and our business could be adversely affected if these mobile phone companies miscalculate the net revenue from the services and our portion of that revenue. Further, we normally recognize revenue based on statements from the mobile phone companies, but in very limited circumstances, we may recognize revenue based on our own statistical records and after consultation with the mobile phone companies. Recognizing revenue based on such estimates could potentially require us to later make adjustments in our financial records when the mobile phone companies' statements and cash payments are received. Such estimates are never made in connection with the fiscal year-end accounts, such as those appearing in this document.</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We expect that a portion of our future revenues will continue to come from our advertising services, but the online advertising market in China is still relatively new and subject to intense competition.</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we anticipate that the revenues generated by our fee-based premium services and online entertainment services will continue to constitute the major portion of our future revenues, we believe that we will continue to rely on advertising revenues as one of our primary revenue sources for the foreseeable future. Online advertising in China is still relatively new and many of our current and potential advertisers have limited experience with the Internet as an advertising medium, have not traditionally devoted a significant portion of their advertising expenditures or other available funds to Web-based advertising, and may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pacing w:after="0" w:line="164" w:lineRule="exact"/>
        <w:rPr>
          <w:sz w:val="20"/>
          <w:szCs w:val="20"/>
          <w:color w:val="auto"/>
        </w:rPr>
      </w:pPr>
    </w:p>
    <w:p>
      <w:pPr>
        <w:ind w:left="880" w:right="383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a large base of users possessing demographic characteristics attractive to advertisers;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3" w:name="page14"/>
    <w:bookmarkEnd w:id="13"/>
    <w:p>
      <w:pPr>
        <w:ind w:left="1140" w:right="3579" w:hanging="343"/>
        <w:spacing w:after="0" w:line="234" w:lineRule="auto"/>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of software that blocks Internet advertisements before they appear on a user's screen;</w:t>
      </w:r>
    </w:p>
    <w:p>
      <w:pPr>
        <w:spacing w:after="0" w:line="167" w:lineRule="exact"/>
        <w:rPr>
          <w:sz w:val="20"/>
          <w:szCs w:val="20"/>
          <w:color w:val="auto"/>
        </w:rPr>
      </w:pPr>
    </w:p>
    <w:p>
      <w:pPr>
        <w:ind w:left="1140" w:hanging="343"/>
        <w:spacing w:after="0"/>
        <w:tabs>
          <w:tab w:leader="none" w:pos="11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downward pressure on online advertising prices; and</w:t>
      </w:r>
    </w:p>
    <w:p>
      <w:pPr>
        <w:spacing w:after="0" w:line="173" w:lineRule="exact"/>
        <w:rPr>
          <w:sz w:val="20"/>
          <w:szCs w:val="20"/>
          <w:color w:val="auto"/>
        </w:rPr>
      </w:pPr>
    </w:p>
    <w:p>
      <w:pPr>
        <w:ind w:left="1140" w:hanging="343"/>
        <w:spacing w:after="0"/>
        <w:tabs>
          <w:tab w:leader="none" w:pos="11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our advertising delivery and tracking system.</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 addition, China's entry into the World Trade Organization, and the resulting gradual opening of its telecommunications sector, may facilitate more foreign participation in the Chinese Internet market by such companies, for example, as Yahoo! and American Online.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for advertising spending in China.</w:t>
      </w:r>
    </w:p>
    <w:p>
      <w:pPr>
        <w:spacing w:after="0" w:line="16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If the Internet does not become more widely accepted as a medium for advertising, our ability to generate increased revenue will be negatively affected.</w:t>
      </w:r>
    </w:p>
    <w:p>
      <w:pPr>
        <w:spacing w:after="0" w:line="174"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Our advertising revenues are subject to the overall state of the online advertising industry which is itself subject to general economic conditions.</w:t>
      </w:r>
    </w:p>
    <w:p>
      <w:pPr>
        <w:spacing w:after="0" w:line="16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Expenditures by advertisers tend to be cyclical, reflecting overall economic conditions as well as budgeting and buying patterns. The demand for Internet advertising in China has been generally stabilizing in recent quarters but it still remains relatively soft as companies are reluctant to expand their marketing and advertising budgets or delay spending their budgeted resources. This has resulted in intense market competition which affected the general pricing in the Internet advertising market in China, and we have had to devote significant resources to maintain and enhance our revenue from advertising.</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Because a portion of our revenue is derived from Internet advertising services, our future revenue could be materially and adversely affected if we cannot adapt successfully to new Internet advertising pricing models.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It is difficult to predict which Internet advertising pricing model, if any, will emerge as the industry standard. This makes it difficult to project our future online advertising rates and revenues. For example, in past periods, our obligations to advertisers typically included guarantees of a minimum number of impressions or times that an advertisement appears in pages viewed by users. We have been largely successful in 2002 in moving to advertising contracts whose fees are based on the actual time period that the advertisements appear on the NetEase Web sites rather than based on guaranteed minimum impressions. We cannot predict whether advertisers will continue to agree to this form of advertising arrangement in the near-term or whether new pricing models will emerge which we can successfully adopt and implement. Our advertising services revenues could be materially and adversely affected if we are unable to adapt to new forms of Internet advertising or if we fail to adopt the most profitable form.</w:t>
      </w:r>
    </w:p>
    <w:p>
      <w:pPr>
        <w:spacing w:after="0" w:line="16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business and our reputation were materially harmed because we had to restate our financial statements.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rapid growth has placed and continues to place a significant strain on our resources. In one particular instance in our history, we have not been able to manage our growth effectively. Specifically, in the second quarter of 2001, our board of directors through its audit committee initiated an investigation into whether the terms of certain contracts between our company and third party advertisers had been appropriately reflected in our financial statements. The audit committee subsequently determined by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4" w:name="page15"/>
    <w:bookmarkEnd w:id="14"/>
    <w:p>
      <w:pPr>
        <w:ind w:right="3499"/>
        <w:spacing w:after="0" w:line="235" w:lineRule="auto"/>
        <w:rPr>
          <w:sz w:val="20"/>
          <w:szCs w:val="20"/>
          <w:color w:val="auto"/>
        </w:rPr>
      </w:pPr>
      <w:r>
        <w:rPr>
          <w:rFonts w:ascii="Courier New" w:cs="Courier New" w:eastAsia="Courier New" w:hAnsi="Courier New"/>
          <w:sz w:val="15"/>
          <w:szCs w:val="15"/>
          <w:color w:val="auto"/>
        </w:rPr>
        <w:t>end of the investigation that the terms and execution status of certain advertising contracts between our company and third party advertisers and the nature of certain barter transactions were such that revenue could not be recognized in fiscal year 2000.</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taken a number of steps to strengthen our controls and procedures to minimize the recurrence of this problem. We are also continuously working to bolster our management team to ensure that the controls and procedures are implemented in a consistent, effective manner. We believe that these improved controls and procedures have been effective, but it is possible that the same or new problems will arise as our business continues to expand. Further, as noted below, we cannot be certain that we will be able to employ and retain suitable senior managers to oversee the implementation of our controls and procedures in the future.</w:t>
      </w:r>
    </w:p>
    <w:p>
      <w:pPr>
        <w:spacing w:after="0" w:line="178" w:lineRule="exact"/>
        <w:rPr>
          <w:sz w:val="20"/>
          <w:szCs w:val="20"/>
          <w:color w:val="auto"/>
        </w:rPr>
      </w:pPr>
    </w:p>
    <w:p>
      <w:pPr>
        <w:ind w:right="3839" w:firstLine="787"/>
        <w:spacing w:after="0" w:line="261" w:lineRule="auto"/>
        <w:rPr>
          <w:sz w:val="20"/>
          <w:szCs w:val="20"/>
          <w:color w:val="auto"/>
        </w:rPr>
      </w:pPr>
      <w:r>
        <w:rPr>
          <w:rFonts w:ascii="Courier New" w:cs="Courier New" w:eastAsia="Courier New" w:hAnsi="Courier New"/>
          <w:sz w:val="14"/>
          <w:szCs w:val="14"/>
          <w:color w:val="auto"/>
        </w:rPr>
        <w:t>If we make any mistakes in operating our business, our operating results may fluctuate and cause the price of our ADSs to decline.</w:t>
      </w:r>
    </w:p>
    <w:p>
      <w:pPr>
        <w:spacing w:after="0" w:line="160"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success of our business is dependent on our ability to retain our existing key employees and to add and retain new senior officers to our management.</w:t>
      </w:r>
    </w:p>
    <w:p>
      <w:pPr>
        <w:spacing w:after="0" w:line="16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depend on the services of our existing key employees. Our success will largely depend on our ability to retain these key employees and to attract and retain qualified senior and middle level managers to our management team. We also depend on our ability to attract and retain highly skilled technical, editorial, marketing and customer service personnel in the future. We cannot assure you that we will be able to attract or retain such personnel or that any personnel we hire in the future will successfully integrate into our organization or ultimately contribute positively to our business. The loss of any of our key employees would significantly harm our business. We do not maintain key person life insurance on any of our employees.</w:t>
      </w:r>
    </w:p>
    <w:p>
      <w:pPr>
        <w:spacing w:after="0" w:line="16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In the past, we have not been able to accurately or comprehensively track the delivery of advertisements through the NetEase Web sites, which problem, if it recurs, may make us less attractive to our present and potential advertisers.</w:t>
      </w:r>
    </w:p>
    <w:p>
      <w:pPr>
        <w:spacing w:after="0" w:line="16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depend on third party proprietary and licensed advertisement serving technology, as well as software which we developed ourselves, to deliver and track all types of advertisements we offer to our advertising customers, such as banner ads, text links, logo displays and pop-up advertisements. Advertisement serving technology allows us to measure the demographics of our user base and the delivery of advertisements on the NetEase Web sites. This technology is still developing. It is important to advertisers that we accurately measure the demographics of the user base of the NetEase Web sites and the delivery of advertisements through the NetEase Web sites. To date, we believe that we have implemented this system successfully, but we cannot be certain that it will be effective as new forms of online advertising arise from time to time. Companies may choose not to advertise on the NetEase Web sites or may pay less for advertising if our advertisement serving system is not perceived to be reliable.</w:t>
      </w:r>
    </w:p>
    <w:p>
      <w:pPr>
        <w:spacing w:after="0" w:line="164"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We believe we were a passive foreign investment company for the 2000, 2001 and 2002 taxable years, which will result in adverse U.S. tax consequences to U.S. investors who held our shares or American Depositary Shares during any of those taxable years, and we cannot be certain whether we will be treated as a passive foreign investment company for the 2003 taxable year.</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Based upon the nature of our income and assets, we believe we were a passive foreign investment company for U.S. federal income tax purposes for the 2000, 2001 and 2002 taxable years, and we cannot be certain whether we will be treated as a passive foreign investment company for the 2003 taxable year. The determination of whether or not we are a passive foreign investment company is made on an annual basis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5" w:name="page16"/>
    <w:bookmarkEnd w:id="15"/>
    <w:p>
      <w:pPr>
        <w:ind w:right="3239"/>
        <w:spacing w:after="0" w:line="254" w:lineRule="auto"/>
        <w:rPr>
          <w:sz w:val="20"/>
          <w:szCs w:val="20"/>
          <w:color w:val="auto"/>
        </w:rPr>
      </w:pPr>
      <w:r>
        <w:rPr>
          <w:rFonts w:ascii="Courier New" w:cs="Courier New" w:eastAsia="Courier New" w:hAnsi="Courier New"/>
          <w:sz w:val="14"/>
          <w:szCs w:val="14"/>
          <w:color w:val="auto"/>
        </w:rPr>
        <w:t>and depends on the composition of our income and assets, including goodwill, from time to time. The calculation of goodwill is based, in part, on the then market value of our American Depositary Shares, which is subject to change. In addition, we have made a number of assumptions regarding the calculation of goodwill and the allocation of goodwill among active and passive assets. While we believe our approach is reasonable, the relevant authorities in this area are unclear, so we cannot assure you that our belief that we were a passive foreign investment company for the 2000, 2001 and 2002 taxable years is accurate and we cannot predict with certainty whether we will be treated as a passive foreign investment company for the 2003 taxable year. U.S. investors who owned our shares during any taxable year in which we were a passive foreign investment company generally will be subject to increased U.S. tax liabilities and reporting requirements for those taxable years and all succeeding years, regardless of whether we continue to be a passive foreign investment company for the 2003 taxable year and any succeeding years, although a shareholder election to terminate such deemed passive foreign investment company status may be made in certain circumstances. The same adverse U.S. tax consequences will apply to our U.S. investors who acquire our shares during the 2003 taxable year or any subsequent taxable year if we are treated as a passive foreign investment company for that taxable year. Even if we were not a passive foreign investment company for the 2000, 2001 or 2002 taxable years and/or are not treated as a passive foreign investment company for the 2003 taxable year, we cannot assure you that we will not become a passive foreign investment company for any future taxable year. See Item 10.E. "Taxation--United States Federal Income Taxation--U.S. Holders--Passive Foreign Investment Company."</w:t>
      </w:r>
    </w:p>
    <w:p>
      <w:pPr>
        <w:spacing w:after="0" w:line="34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Our revenues fluctuate significantly and may adversely impact the trading price of our American Depositary Shares or any other securities which become publicly traded.</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175" w:lineRule="exact"/>
        <w:rPr>
          <w:sz w:val="20"/>
          <w:szCs w:val="20"/>
          <w:color w:val="auto"/>
        </w:rPr>
      </w:pPr>
    </w:p>
    <w:p>
      <w:pPr>
        <w:ind w:left="1140" w:right="4199" w:hanging="343"/>
        <w:spacing w:after="0" w:line="234" w:lineRule="auto"/>
        <w:tabs>
          <w:tab w:leader="none" w:pos="11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users to the NetEase Web sites in the increasingly competitive Internet market in China;</w:t>
      </w:r>
    </w:p>
    <w:p>
      <w:pPr>
        <w:spacing w:after="0" w:line="167" w:lineRule="exact"/>
        <w:rPr>
          <w:sz w:val="20"/>
          <w:szCs w:val="20"/>
          <w:color w:val="auto"/>
        </w:rPr>
      </w:pPr>
    </w:p>
    <w:p>
      <w:pPr>
        <w:ind w:left="1140" w:hanging="343"/>
        <w:spacing w:after="0"/>
        <w:tabs>
          <w:tab w:leader="none" w:pos="11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successfully implement our business strategies as planned; and</w:t>
      </w:r>
    </w:p>
    <w:p>
      <w:pPr>
        <w:spacing w:after="0" w:line="173" w:lineRule="exact"/>
        <w:rPr>
          <w:sz w:val="20"/>
          <w:szCs w:val="20"/>
          <w:color w:val="auto"/>
        </w:rPr>
      </w:pPr>
    </w:p>
    <w:p>
      <w:pPr>
        <w:ind w:left="1140" w:right="4279" w:hanging="343"/>
        <w:spacing w:after="0" w:line="234" w:lineRule="auto"/>
        <w:tabs>
          <w:tab w:leader="none" w:pos="11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 and develop our Internet applications, services, technologies and infrastructure.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Usage of our wireless value-added services and online games has typically increased around the Chinese New Year holiday and other traditional Chinese holidays. In contrast, advertising expenditures in China have historically been significantly lower during the first calendar quarter of the year due to the Chinese New Year holiday and the traditional close of advertisers' annual budgets. Expenditures for our e-commerce services have also historically followed the seasonal trend for advertising. If our revenues decrease or expenses increase during these periods, we may not be able to offset our expenses with sufficient revenues.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American Depositary Shares or any other securities of ours which may become publicly traded to decline.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6" w:name="page17"/>
    <w:bookmarkEnd w:id="16"/>
    <w:p>
      <w:pPr>
        <w:ind w:right="3579"/>
        <w:spacing w:after="0" w:line="236" w:lineRule="auto"/>
        <w:rPr>
          <w:sz w:val="20"/>
          <w:szCs w:val="20"/>
          <w:color w:val="auto"/>
        </w:rPr>
      </w:pPr>
      <w:r>
        <w:rPr>
          <w:rFonts w:ascii="Courier New" w:cs="Courier New" w:eastAsia="Courier New" w:hAnsi="Courier New"/>
          <w:sz w:val="15"/>
          <w:szCs w:val="15"/>
          <w:color w:val="auto"/>
        </w:rPr>
        <w:t>If Guangzhou NetEase, Guangyitong Advertising or Guangyitong Advertising's ultimate shareholders violate our contractual arrangements with them, our business could be disrupted, our reputation may be harmed and we may have to resort to litigation to enforce our rights which may be time consuming and expensive.</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Because of current Chinese laws and restrictions, Guangzhou NetEase operates the NetEase Web sites and Beijing Guangyitong Advertising Co., Ltd., or Guangyitong Advertising, an 80%-owned subsidiary of Guangzhou NetEase, operates the online advertising business pursuant to contractual arrangements with us. Guangzhou NetEase is 80% owned by our founder, Chief Architect and a director, William Lei Ding, and 20% owned by our former employee Bo Ding, William Lei Ding's brother. Bo Ding owns the remaining 20% of Guangyitong Advertising.</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interests of the shareholders of Guangzhou NetEase may differ from ours and those of our shareholders because they own a larger percentage of Guangzhou NetEase than of our company. In addition, Guangzhou NetEase, as an Internet content provider, and Guangyitong Advertising, as an advertising firm, may be subject to laws and regulations in China that are incompatible with the business strategies or operations of our company. Guangzhou NetEase, Guangyitong Advertising or Guangyitong Advertising's ultimate shareholders could violate our agreements with them by, among other things, failing to operate and maintain the NetEase Web sites or advertising business in an acceptable manner, failing to remit revenues to us on a timely basis or at all or diverting customers or business opportunities from our company to Guangzhou NetEase. A violation of these agreements could disrupt our business and adversely affect our reputation in the market. If Guangzhou NetEase, Guangyitong Advertising or Guangyitong Advertising's ultimate shareholders violate our agreements with them, we may have to resort to litigation to enforce our rights. This litigation could result in the disruption of our business, diversion of our resources and the incurrence of substantial costs.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Because our contractual arrangements with Guangzhou NetEase, Guangyitong Advertising and Guangyitong Advertising's ultimate shareholders do not detail the parties' rights and obligations, our remedies for a breach of these arrangements are limited.</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current relationship with Guangzhou NetEase, Guangyitong Advertising and Guangyitong Advertising's ultimate shareholders is based on a number of contracts.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Guangyitong Advertising or Guangyitong Advertising's ultimate shareholders for breaching our agreements. In addition, we have limited experience in implementing these agreements. Because we rely significantly on Guangzhou NetEase and Guangyitong Advertising for our business, the realization of any of these risks may disrupt our operations or cause degradation in the quality and service provided on, or a temporary or permanent shutdown of, the NetEase Web sites.</w:t>
      </w:r>
    </w:p>
    <w:p>
      <w:pPr>
        <w:spacing w:after="0" w:line="33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Increased government regulation of the information industry in China may result in the Chinese government requiring us to obtain additional licenses or other governmental approvals to conduct our business which, if unattainable, may restrict our operations.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telecommunications industry, including Internet content provision (known as ICP) services, is highly regulated by the Chinese government, the main relevant government authority being the Ministry of Information Industry or MII. Prior to China's entry into the World Trade Organization, or the WTO, the Chinese government generally prohibited foreign investors from taking any equity ownership</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55" w:lineRule="auto"/>
        <w:rPr>
          <w:sz w:val="20"/>
          <w:szCs w:val="20"/>
          <w:color w:val="auto"/>
        </w:rPr>
      </w:pPr>
      <w:r>
        <w:rPr>
          <w:rFonts w:ascii="Courier New" w:cs="Courier New" w:eastAsia="Courier New" w:hAnsi="Courier New"/>
          <w:sz w:val="14"/>
          <w:szCs w:val="14"/>
          <w:color w:val="auto"/>
        </w:rPr>
        <w:t>in or operating any telecommunications business. ICP services are classified as telecommunications value-added services and therefore fell within the scope of this prohibition. This prohibition was partially lifted following China's entry into the WTO. Pursuant to the Administrative Rules for Foreign Investments in Telecommunications Enterprises promulgated by the State Council dated December 5, 2001, foreign investors may now hold in the aggregate up to 49% of the total equity in any value-added telecommunications business in China, subject to certain geographic limitations. This percentage ceiling is to be increased to 50% by the second anniversary of China's entry into the WTO.</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To operate the NetEase Web sites in compliance with all the relevant ICP-related Chinese regulations, Guangzhou NetEase has successfully obtained an ICP license issued by the Guangdong Provincial Telecommunications Bureau, or Guangdong Bureau, dated as of December 14, 2000. On February 15, 2001, the News Office of the Beijing Municipal People's Government approved Guangzhou NetEase's application in respect of its news displaying services on the NetEase Web sites. As for special approvals for other online services, Guangzhou NetEase has submitted applications for online dissemination of health- and drug-related information and Internet publishing. We believe that Guangzhou NetEase will also have to apply for approval of our online game activities with the Ministry of Culture by September 1, 2003 in accordance with recently adopted regulations.</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rely exclusively on our contractual arrangements with Guangzhou NetEase and its approval to operate as an Internet content provider for our business operations. We believe that our present operations are structured to comply with Chinese law. However, many Chinese regulations are subject to extensive interpretive powers of governmental agencies and commissions. We cannot be certain that the Chinese government will not take action to prohibit or restrict our business activities. We are uncertain as to whether the Chinese government will reclassify our business as a media or retail company, due to our acceptance of Internet advertising fees and e-commerce related services fees as sources of revenues, or as a result of our current corporate structure. Such reclassification could subject us to penalties or fines or significant restrictions on our business. Also, we may fail to obtain some or all the licenses, permits or clearances we may need in the future, including, for example, the requisite approvals for our online game business from the Ministry of Culture. In addition, we may have difficulties enforcing our rights under our agreements with Guangzhou NetEase and Guangyitong Advertising if either of these parties breaches any of our agreements with them because we do not have approval from appropriate Chinese authorities to provide Internet content services or Internet advertising services. Future changes in Chinese government policies affecting the provision of information services, including the provision of online services, Internet access, e-commerce services and online advertising, may impose additional regulatory requirements on us or our service providers or otherwise harm our business.</w:t>
      </w:r>
    </w:p>
    <w:p>
      <w:pPr>
        <w:spacing w:after="0" w:line="34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Our business would be materially harmed if the Chinese government were to take any action against us for the content on the NetEase Web sites.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Chinese government has enacted regulations governing Internet access and distribution of news and other information over the Internet. In the past, the Chinese government has stopped the distribution of information over the Internet that it believed to be inappropriate. We cannot predict the effect of further developments in the Chinese legal system, particularly with regard to the Internet, including the promulgation of new laws, changes to existing laws or the interpretation or enforcement of laws.</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If we are found to be in violation of any existing or future Chinese laws or regulations, the relevant Chinese authorities would have broad discretion in dealing with such a violation, including, without limitation, the following:</w:t>
      </w:r>
    </w:p>
    <w:p>
      <w:pPr>
        <w:spacing w:after="0" w:line="169" w:lineRule="exact"/>
        <w:rPr>
          <w:sz w:val="20"/>
          <w:szCs w:val="20"/>
          <w:color w:val="auto"/>
        </w:rPr>
      </w:pPr>
    </w:p>
    <w:p>
      <w:pPr>
        <w:ind w:left="1140" w:hanging="343"/>
        <w:spacing w:after="0"/>
        <w:tabs>
          <w:tab w:leader="none" w:pos="11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levying fines;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8" w:name="page19"/>
    <w:bookmarkEnd w:id="18"/>
    <w:p>
      <w:pPr>
        <w:ind w:left="1140" w:hanging="343"/>
        <w:spacing w:after="0"/>
        <w:tabs>
          <w:tab w:leader="none" w:pos="11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revoking our business license;</w:t>
      </w:r>
    </w:p>
    <w:p>
      <w:pPr>
        <w:spacing w:after="0" w:line="173" w:lineRule="exact"/>
        <w:rPr>
          <w:sz w:val="20"/>
          <w:szCs w:val="20"/>
          <w:color w:val="auto"/>
        </w:rPr>
      </w:pPr>
    </w:p>
    <w:p>
      <w:pPr>
        <w:ind w:left="1140" w:right="3239" w:hanging="343"/>
        <w:spacing w:after="0" w:line="261" w:lineRule="auto"/>
        <w:tabs>
          <w:tab w:leader="none" w:pos="11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us to restructure our corporate structure, operations or relationship with Guangzhou NetEase or Guangyitong Advertising; and</w:t>
      </w:r>
    </w:p>
    <w:p>
      <w:pPr>
        <w:spacing w:after="0" w:line="160" w:lineRule="exact"/>
        <w:rPr>
          <w:sz w:val="20"/>
          <w:szCs w:val="20"/>
          <w:color w:val="auto"/>
        </w:rPr>
      </w:pPr>
    </w:p>
    <w:p>
      <w:pPr>
        <w:ind w:left="1140" w:right="3319" w:hanging="343"/>
        <w:spacing w:after="0" w:line="235" w:lineRule="auto"/>
        <w:tabs>
          <w:tab w:leader="none" w:pos="11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us to discontinue any portion or all of our Internet business or our relationship with Guangzhou NetEase or Guangyitong Advertising.</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Any such action would have a material adverse effect on our business, financial condition and results of operations and on the holders of our ordinary shares and American Depositary Shares.</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may not be able to conduct our operations without the services provided by Guangzhou NetEase and Guangyitong Advertising.</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operations are currently dependent upon our commercial relationships with Guangzhou NetEase and Guangyitong Advertising, and we derive most of our revenues from these companies. A portion of our revenues under our contracts with these companies are based upon arbitrary amounts that have been agreed upon in advance. If these companies are unwilling or unable to perform the agreements which we have entered into with them, we may not be able to conduct our operations in the manner in which we currently plan. In addition, Guangzhou NetEase and Guangyitong Advertising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Guangzhou NetEase and Guangyitong Advertising are controlled by our controlling shareholder, who may cause these agreements to be amended in a manner that is adverse to us.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majority shareholder, William Lei Ding, is also the controlling shareholder of Guangzhou NetEase and Guangyitong Advertising. As a result, Mr. Ding may be able to cause these agreements to be amended in a manner that will be adverse to our company, or may be able to cause these agreements not to be renewed, even if their renewal would be beneficial for us. Prior to our initial public offering of American Depositary Shares, a number of these agreements were amended.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w:t>
      </w:r>
    </w:p>
    <w:p>
      <w:pPr>
        <w:spacing w:after="0" w:line="16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Unexpected network interruption caused by system failures may reduce visitor traffic and harm our reputation.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Both the continual accessibility of the NetEase Web sites and the performance and reliability of our technical infrastructure are critical to our reputation and the ability of the NetEase Web sites to attract and retain users and advertisers. Any system failure or performance inadequacy that causes interruptions in the availability of our services or increases the response time of our services could reduce user satisfaction and traffic, which would reduce the NetEase Web sites' appeal to users and advertisers. As the number of NetEase Web pages and traffic increase, we cannot assure you that we will be able to scale our systems proportionately. In addition, any system failures and electrical outages could materially and adversely impact our business.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9" w:name="page20"/>
    <w:bookmarkEnd w:id="19"/>
    <w:p>
      <w:pPr>
        <w:ind w:right="3239"/>
        <w:spacing w:after="0" w:line="234" w:lineRule="auto"/>
        <w:rPr>
          <w:sz w:val="20"/>
          <w:szCs w:val="20"/>
          <w:color w:val="auto"/>
        </w:rPr>
      </w:pPr>
      <w:r>
        <w:rPr>
          <w:rFonts w:ascii="Courier New" w:cs="Courier New" w:eastAsia="Courier New" w:hAnsi="Courier New"/>
          <w:sz w:val="15"/>
          <w:szCs w:val="15"/>
          <w:color w:val="auto"/>
        </w:rPr>
        <w:t>Computer viruses may cause delays or interruptions on our systems and may reduce visitor traffic and harm our reputation.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Computer viruses may cause delays or other service interruptions on our systems. In addition, the inadvertent transmission of computer viruses could expose us to a material risk of loss or litigation and possible liability. We may be required to expend significant capital and other resources to protect the NetEase Web sites against the threat of such computer viruses and to alleviate any problems. Moreover, if a computer virus affecting our system is highly publicized, our reputation could be materially damaged and our visitor traffic may decrease.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hacking could damage our systems and reputation.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Any compromise of security, such as computer hacking, could cause Internet usage to decline. "Hacking" involves efforts to gain unauthorized access to information or systems or to cause intentional malfunctions or loss or corruption of data, software, hardware or other computer equipment. Hackers, if successful, could misappropriate proprietary information or cause disruptions in our service. We may have to spend significant capital and human resources to rectify any damage to our system. In addition, we cannot assure you that any measures we take against computer hacking will be effective. A well publicized computer security breach could significantly damage our reputation and materially adversely affect our business.</w:t>
      </w:r>
    </w:p>
    <w:p>
      <w:pPr>
        <w:spacing w:after="0" w:line="179"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If our exclusive providers of bandwidth and server custody service fail to provide these services, our business could be materially curtailed.</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rely on affiliates of China Netcom and China Telecom to provide us with bandwidth and server custody service for Internet users to access the NetEase Web sites. If China Netcom, China Telecom or their affiliates fail to provide such services, we may not be able to find a reliable and cost-effective substitute provider on a timely basis or at all. If this happens, our business could be materially curtailed.</w:t>
      </w:r>
    </w:p>
    <w:p>
      <w:pPr>
        <w:spacing w:after="0" w:line="17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If our exclusive providers of bandwidth and server custody service increase their prices, our results of operations would suffer.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NetEase Beijing and Guangzhou NetEase contract with affiliates of China Netcom and China Telecom for bandwidth and server custody services. Pursuant to our contractual arrangements with Guangzhou NetEase, we pay for bandwidth and server custody service costs incurred by Guangzhou NetEase. We have no control over the costs of the bandwidth and server custody services provided by China Netcom, China Telecom or their affiliates. China Netcom or China Telecom or both may increase the prices we pay for these services. If this happens, our operating costs may be higher than we anticipate and our results of operations would suffer.</w:t>
      </w:r>
    </w:p>
    <w:p>
      <w:pPr>
        <w:spacing w:after="0" w:line="178"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If third party content providers fail to develop and maintain the content we need, the NetEase Web sites could lose viewers and advertisers.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rely on a number of third parties to create traffic and provide content in order to make the NetEase Web sites more attractive to advertisers and consumers. Third parties providing content to the NetEase Web sites include both commercial content providers with which we have contractual relationships and our registered community members who post articles and other content on the NetEase Web sites. If these third parties fail to develop and maintain high-quality content, the NetEase Web sites could lose viewers and advertisers. Most of our contractual arrangements with third party content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0" w:name="page21"/>
    <w:bookmarkEnd w:id="20"/>
    <w:p>
      <w:pPr>
        <w:ind w:right="3319"/>
        <w:spacing w:after="0" w:line="236" w:lineRule="auto"/>
        <w:rPr>
          <w:sz w:val="20"/>
          <w:szCs w:val="20"/>
          <w:color w:val="auto"/>
        </w:rPr>
      </w:pPr>
      <w:r>
        <w:rPr>
          <w:rFonts w:ascii="Courier New" w:cs="Courier New" w:eastAsia="Courier New" w:hAnsi="Courier New"/>
          <w:sz w:val="15"/>
          <w:szCs w:val="15"/>
          <w:color w:val="auto"/>
        </w:rPr>
        <w:t>providers are not exclusive and are short-term or may be terminated at the convenience of either party. There can be no assurance that our existing relationships with commercial content providers will result in sustained business partnerships, successful service offerings, traffic on the NetEase Web sites or revenues for us.</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may be held liable for information displayed on, retrieved from or linked to the NetEase Web sites.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may face liability for defamation, negligence, copyright, patent or trademark infringement and other claims based on the nature and content of the materials that are published on the NetEase Web sites. We are currently defending a number of defamation claims against NetEase Beijing and are involved in several intellectual property infringement claims or actions.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content that is accessible on the NetEase Web sites such as content and materials posted by users on message boards, online communities, voting systems, e-mail or chat rooms that are offered on the NetEase Web sites. By providing technology for hypertext links to third-party Web sites, we may be held liable for copyright or trademark violations by those third party sites. Third parties could assert claims against us for losses incurred in reliance on any erroneous information distributed by us. Moreover, users of the NetEase Web-based e-mail services could seek damages from us for:</w:t>
      </w:r>
    </w:p>
    <w:p>
      <w:pPr>
        <w:spacing w:after="0" w:line="169" w:lineRule="exact"/>
        <w:rPr>
          <w:sz w:val="20"/>
          <w:szCs w:val="20"/>
          <w:color w:val="auto"/>
        </w:rPr>
      </w:pPr>
    </w:p>
    <w:p>
      <w:pPr>
        <w:ind w:left="1140" w:hanging="343"/>
        <w:spacing w:after="0"/>
        <w:tabs>
          <w:tab w:leader="none" w:pos="11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unsolicited e-mails;</w:t>
      </w:r>
    </w:p>
    <w:p>
      <w:pPr>
        <w:spacing w:after="0" w:line="166" w:lineRule="exact"/>
        <w:rPr>
          <w:sz w:val="20"/>
          <w:szCs w:val="20"/>
          <w:color w:val="auto"/>
        </w:rPr>
      </w:pPr>
    </w:p>
    <w:p>
      <w:pPr>
        <w:ind w:left="1140" w:hanging="343"/>
        <w:spacing w:after="0"/>
        <w:tabs>
          <w:tab w:leader="none" w:pos="11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or misplaced messages;</w:t>
      </w:r>
    </w:p>
    <w:p>
      <w:pPr>
        <w:spacing w:after="0" w:line="166" w:lineRule="exact"/>
        <w:rPr>
          <w:sz w:val="20"/>
          <w:szCs w:val="20"/>
          <w:color w:val="auto"/>
        </w:rPr>
      </w:pPr>
    </w:p>
    <w:p>
      <w:pPr>
        <w:ind w:left="1140" w:hanging="343"/>
        <w:spacing w:after="0"/>
        <w:tabs>
          <w:tab w:leader="none" w:pos="11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illegal or fraudulent use of e-mail; or</w:t>
      </w:r>
    </w:p>
    <w:p>
      <w:pPr>
        <w:spacing w:after="0" w:line="166" w:lineRule="exact"/>
        <w:rPr>
          <w:sz w:val="20"/>
          <w:szCs w:val="20"/>
          <w:color w:val="auto"/>
        </w:rPr>
      </w:pPr>
    </w:p>
    <w:p>
      <w:pPr>
        <w:ind w:left="1140" w:hanging="343"/>
        <w:spacing w:after="0"/>
        <w:tabs>
          <w:tab w:leader="none" w:pos="11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interruptions or delays in e-mail service.</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We may incur significant costs in investigating and defending these claims, even if they do not result in liability.</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We may be subject to product liability claims because of our e-commerce services.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There is the potential for product liability, warranty, commodity fraud and similar claims against us by users who purchase goods and services through our e-commerce services. We do not carry insurance to cover these kinds of claims.</w:t>
      </w:r>
    </w:p>
    <w:p>
      <w:pPr>
        <w:spacing w:after="0" w:line="17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Information displayed on, retrieved from or linked to the NetEase Web sites may subject us to claims of violating Chinese laws.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Violations or perceived violations of Chinese laws arising from information displayed on, retrieved from or linked to the NetEase Web sites could result in significant penalties, including a temporary or complete cessation of our business. Chinese government agencies have announced restrictions on the transmission of "state secrets" through the Internet. The term "state secrets" has been broadly interpreted by Chinese governmental authorities in the past. We may be liable under these pronouncements for content and materials posted or transmitted by users on message boards, virtual communities, chat rooms or e-mails. The Ministry of National Security and the Ministry of Public</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1" w:name="page22"/>
    <w:bookmarkEnd w:id="21"/>
    <w:p>
      <w:pPr>
        <w:ind w:right="3399"/>
        <w:spacing w:after="0" w:line="236" w:lineRule="auto"/>
        <w:rPr>
          <w:sz w:val="20"/>
          <w:szCs w:val="20"/>
          <w:color w:val="auto"/>
        </w:rPr>
      </w:pPr>
      <w:r>
        <w:rPr>
          <w:rFonts w:ascii="Courier New" w:cs="Courier New" w:eastAsia="Courier New" w:hAnsi="Courier New"/>
          <w:sz w:val="15"/>
          <w:szCs w:val="15"/>
          <w:color w:val="auto"/>
        </w:rPr>
        <w:t>Security have authority to cause any local Internet service provider to block any Web site. These ministries have, in the past, stopped the online distribution of information that they believed to be socially destabilizing or politically improper. If the Chinese government takes any action to limit or eliminate the distribution of information through the NetEase Web sites, or to limit or regulate any current or future community functions available to users or otherwise block the NetEase Web sites, our business would be significantly harmed.</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Privacy concerns may prevent us from selling demographically targeted advertising in the future which could make the NetEase Web sites less attractive to advertisers.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collect demographic data, such as geographic location, income level and occupation, from our registered users in order to better understand users and their needs. We provide this data to online advertisers, on an anonymous aggregate basis, without disclosing personal details such as name and home address, to enable them to target specific demographic groups. If privacy concerns or regulatory restrictions prevent us from collecting this information or from selling demographically targeted advertising, the NetEase Web sites may be less attractive to advertisers.</w:t>
      </w:r>
    </w:p>
    <w:p>
      <w:pPr>
        <w:spacing w:after="0" w:line="177"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Security and confidentiality concerns may impede our e-commerce and other services and our growth.</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 significant barrier to e-commerce and our other fee-based services has been public concern over security and privacy of confidential information transmitted over the Internet. If this concern is not adequately addressed, it may inhibit the growth of the Internet as a means of conducting commercial transactions. In addition, China's regulation of encryption technology is still evolving, and it is possible that such regulations may limit the methods of encryption that we can employ. If a well-publicized breach of Internet security were to occur, general Internet usage could decline, which could reduce traffic to the NetEase Web sites and impede our growth.</w:t>
      </w:r>
    </w:p>
    <w:p>
      <w:pPr>
        <w:spacing w:after="0" w:line="16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may not be able to adequately protect our intellectual property, and we may be exposed to infringement claims by third parties.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rely on a combination of copyright, trademark and trade secrecy laws and contractual restrictions on disclosure to protect our intellectual property rights. Our efforts to protect our proprietary rights may not be effective to prevent unauthorized parties from copying or otherwise obtaining and using our technology. Monitoring unauthorized use of our products is difficult and costly, and we cannot be certain that the steps we take will effectively prevent misappropriation of our technology.</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license the infringed or similar technology or content on a timely basis, our business could suffer. Moreover, even if we are able to license the infringed or similar technology or content, license fees that we pay to licensors could be substantial or uneconomical.</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2" w:name="page23"/>
    <w:bookmarkEnd w:id="22"/>
    <w:p>
      <w:pPr>
        <w:ind w:right="3679"/>
        <w:spacing w:after="0" w:line="234" w:lineRule="auto"/>
        <w:rPr>
          <w:sz w:val="20"/>
          <w:szCs w:val="20"/>
          <w:color w:val="auto"/>
        </w:rPr>
      </w:pPr>
      <w:r>
        <w:rPr>
          <w:rFonts w:ascii="Courier New" w:cs="Courier New" w:eastAsia="Courier New" w:hAnsi="Courier New"/>
          <w:sz w:val="15"/>
          <w:szCs w:val="15"/>
          <w:color w:val="auto"/>
        </w:rPr>
        <w:t>If our subsidiaries are restricted from paying dividends to us, our primary internal source of funds would decrease.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are a holding company with no significant assets other than our equity interests in NetEase Information Technology (Beijing) Co., Ltd., or NetEase Beijing, our wholly owned subsidiary formed in 1999. As a result, our primary internal source of funds is dividend payments from NetEase Beijing. If NetEase Beijing incurs debt on its own behalf in the future, the instruments governing the debt may restrict NetEase Beijing's ability to pay dividends or make other distributions to us, which in turn would limit our ability to pay dividends on our shares and ADSs. Under current Chinese tax regulations, dividends paid to us are not subject to Chinese income tax. In addition, Chinese legal restrictions permit payment of dividends only out of net income as determined in accordance with Chinese accounting standards and regulations. Under Chinese law, NetEase Beijing is also required to set aside a portion of its net income each year to fund certain reserve funds. These reserves are not distributable as cash dividends.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Risks Related to Doing Business in China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slow-down in the Chinese economy may slow down our growth and profitability.</w:t>
      </w:r>
    </w:p>
    <w:p>
      <w:pPr>
        <w:spacing w:after="0" w:line="178"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The growth of the Chinese economy has been uneven across geographic regions and economic sectors. There can be no assurance that growth of the Chinese economy will be steady or that any slow down will not have a negative effect on our business. Several years ago, the Chinese economy experienced deflation, which may reoccur in the foreseeable future. The Chinese economy overall affects our profitability as expenditures for advertisements and e-commerce and other services may decrease due to slowing domestic demand.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 of the Internet may become more burdensome.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Government regulation of the Internet industry is burdensome and may become more burdensome. New regulations could increase our costs of doing business and prevent us from efficiently delivering our products and services over the Internet. These regulations may stop or slow down the expansion of our customer and user base and limit the access to the NetEase Web sites. In addition to new laws and regulations, existing laws not currently applicable to the Internet industry may be applied to the Internet.</w:t>
      </w:r>
    </w:p>
    <w:p>
      <w:pPr>
        <w:spacing w:after="0" w:line="16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uncertain legal environment in China could limit the legal protections available to you.</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20 years has significantly enhanced the protections afforded to foreign invested enterprises in China. However, these laws, regulations and legal requirements are relatively recent and are evolving rapidly, and their interpretation and enforcement involve uncertainties. These uncertainties could limit the legal protections available to foreign investors, including you.</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China's political and economic policies could harm our business.</w:t>
      </w:r>
    </w:p>
    <w:p>
      <w:pPr>
        <w:spacing w:after="0" w:line="173"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3" w:name="page24"/>
    <w:bookmarkEnd w:id="23"/>
    <w:p>
      <w:pPr>
        <w:ind w:right="3319"/>
        <w:spacing w:after="0" w:line="236" w:lineRule="auto"/>
        <w:rPr>
          <w:sz w:val="20"/>
          <w:szCs w:val="20"/>
          <w:color w:val="auto"/>
        </w:rPr>
      </w:pPr>
      <w:r>
        <w:rPr>
          <w:rFonts w:ascii="Courier New" w:cs="Courier New" w:eastAsia="Courier New" w:hAnsi="Courier New"/>
          <w:sz w:val="15"/>
          <w:szCs w:val="15"/>
          <w:color w:val="auto"/>
        </w:rPr>
        <w:t>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67" w:lineRule="exact"/>
        <w:rPr>
          <w:sz w:val="20"/>
          <w:szCs w:val="20"/>
          <w:color w:val="auto"/>
        </w:rPr>
      </w:pPr>
    </w:p>
    <w:p>
      <w:pPr>
        <w:ind w:left="1140" w:hanging="343"/>
        <w:spacing w:after="0"/>
        <w:tabs>
          <w:tab w:leader="none" w:pos="11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structure;</w:t>
      </w:r>
    </w:p>
    <w:p>
      <w:pPr>
        <w:spacing w:after="0" w:line="166" w:lineRule="exact"/>
        <w:rPr>
          <w:sz w:val="20"/>
          <w:szCs w:val="20"/>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of government involvement in the economy;</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of development;</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of capital reinvestment;</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of foreign exchange;</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 rates;</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of allocating resources; and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of payments position.</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As a result of these differences, our business may not develop in the same way or at the same rate as might be expected if the Chinese economy were similar to those of the OECD member countries.</w:t>
      </w:r>
    </w:p>
    <w:p>
      <w:pPr>
        <w:spacing w:after="0" w:line="174"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Fluctuation in the exchange rate between the U.S. dollar and the Renminbi could adversely affect the value of our ADSs and any cash dividend declared on them.</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Fluctuations in the currency exchange rate between the U.S. dollar and the Renminbi could adversely affect the U.S. dollar value of our ADSs. Because holders of our ADSs may elect to receive cash dividends, if any, in U.S. dollars, fluctuations in the exchange rate could also affect the value of any cash dividend declared in Renminbi and paid in U.S. dollars. In addition, because our revenues are primarily denominated in Renminbi, our valuation could be materially and adversely impacted by the devaluation of the Renminbi if U.S. investors analyze our value based on the U.S. dollar equivalent of our financial condition and results of operations.</w:t>
      </w:r>
    </w:p>
    <w:p>
      <w:pPr>
        <w:spacing w:after="0" w:line="17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Restrictions on currency exchange may limit our ability to receive and use our revenues effectively.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Because almost all of our future revenues may be in the form of Renminbi, any future restrictions on currency exchanges may limit our ability to use revenue generated in Renminbi to fund our business activities outside China or to make dividend payments in U.S. dollars. Although the Chinese government introduced regulations in 1996 to allow greater convertibility of the Renminbi for current account transactions, significant restrictions still remain. We cannot be certain that the Chinese regulatory authorities will not impose more stringent restrictions on the convertibility of the Renminbi, especially with respect to foreign exchange transactions.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4" w:name="page25"/>
    <w:bookmarkEnd w:id="24"/>
    <w:p>
      <w:pPr>
        <w:ind w:left="1500"/>
        <w:spacing w:after="0"/>
        <w:rPr>
          <w:sz w:val="20"/>
          <w:szCs w:val="20"/>
          <w:color w:val="auto"/>
        </w:rPr>
      </w:pPr>
      <w:r>
        <w:rPr>
          <w:rFonts w:ascii="Courier New" w:cs="Courier New" w:eastAsia="Courier New" w:hAnsi="Courier New"/>
          <w:sz w:val="15"/>
          <w:szCs w:val="15"/>
          <w:color w:val="auto"/>
        </w:rPr>
        <w:t>Risks Related to the Internet Industry in China</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Underdeveloped telecommunications infrastructure may limit the growth of the Internet market in China.</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telecommunications infrastructure in China is not well developed. Although private sector Internet service providers exist in China, almost all access to the Internet is maintained through ChinaNet, which is owned in part by each of China Telecom and China Netcom, under the administrative control and regulatory supervision of China's Ministry of Information Industry. In addition, the government's interconnecting national networks connect to the Internet through a government-owned international gateway. This international gateway is the only channel through which a domestic Chinese user can connect to the international Internet network. We rely on this infrastructure and China Netcom to provide data communications capacity primarily through local telecommunications lines. Although the government has announced plans to develop aggressively the national information infrastructure, we cannot assure you that this infrastructure will be developed. In addition, we will have no access to alternative networks and services, on a timely basis if at all, in the event of any infrastructure disruption or failure. The Internet infrastructure in China may not support the demands associated with continued growth in Internet usage.</w:t>
      </w:r>
    </w:p>
    <w:p>
      <w:pPr>
        <w:spacing w:after="0" w:line="16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limited use of personal computers in China limits our pool of potential customers and restricts the growth of our business.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Internet penetration rate in China is, and is expected to continue to be, lower than that in the United States and other developed countries. Alternate methods of obtaining access to the Internet, such as through mobile phones, cable television modems or set-top boxes for televisions, are not widely available in China at present. There can be no assurance that the number or penetration rate of personal computers in China will increase rapidly or at all or that alternate means of accessing the Internet will develop and become widely available in China. If significant numbers of Chinese consumers are unable to access the Internet, our ability to grow our business would be impeded.</w:t>
      </w:r>
    </w:p>
    <w:p>
      <w:pPr>
        <w:spacing w:after="0" w:line="16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There has been a steady decrease in the rate of the growth of Internet users in China which could limit the overall size of our market and adversely affect our revenues.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the number of Internet users in China has been growing since its introduction and continues to grow currently, we believe that the rate of this growth has slowed in recent years. We cannot predict whether this trend will continue at its current pace or at all, and the factors which will affect future growth in the Internet industry in China, as described elsewhere in these Risk Factors, are largely beyond our control. If this trend does continue, our potential market may not be as large as we had expected, and there will be even greater competition for Internet users in China. In that case, our ability to generate revenues from advertising, e-commerce and other services could be adversely affected.</w:t>
      </w:r>
    </w:p>
    <w:p>
      <w:pPr>
        <w:spacing w:after="0" w:line="179"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relatively high cost of accessing the Internet in China limits our potential customer base and restricts the growth of our business.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growth is limited by the relatively high cost to Chinese consumers of obtaining the hardware, software and communications links necessary to connect to the Internet in China. If the costs required to access the Internet do not significantly decrease, most of China's population will not be able to afford to use our services. The failure of a significant number of additional Chinese consumers to obtain affordable access to the Internet would make it difficult to grow our business.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5" w:name="page26"/>
    <w:bookmarkEnd w:id="25"/>
    <w:p>
      <w:pPr>
        <w:ind w:right="3499"/>
        <w:spacing w:after="0" w:line="234" w:lineRule="auto"/>
        <w:rPr>
          <w:sz w:val="20"/>
          <w:szCs w:val="20"/>
          <w:color w:val="auto"/>
        </w:rPr>
      </w:pPr>
      <w:r>
        <w:rPr>
          <w:rFonts w:ascii="Courier New" w:cs="Courier New" w:eastAsia="Courier New" w:hAnsi="Courier New"/>
          <w:sz w:val="15"/>
          <w:szCs w:val="15"/>
          <w:color w:val="auto"/>
        </w:rPr>
        <w:t>We may be unable to compete successfully against new entrants and established industry competitors.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Chinese market for Internet content and services is intensely competitive and rapidly changing. Barriers to entry are minimal, and current and new competitors can launch new Web sites at a relatively low cost. Many companies offer competitive products or services including Chinese language-based Web search, retrieval and navigation services, wireless value-added services, online games and extensive Chinese language content, informational and community features and e-mail. In addition, as a consequence of China joining the World Trade Organization, the Chinese government has partially lifted restrictions on foreign-invested enterprises so that foreign investors may hold in the aggregate up to 49% of the total equity ownership in any value-added telecommunications business, including an Internet business, in China. This percentage ceiling is to be increased to 50% by the second anniversary of China's entry into the WTO.</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Currently, our competition comes from Chinese language-based Internet portal companies as well as U.S.-based portal companies. Some of our current and potential competitors are much larger and better capitalized than we are, and currently offer, and could further develop or acquire, content and services that compete with the NetEase Web sites. We also face competition from online game developers and operators, Internet service providers, wireless value-added service providers, Web site operators and providers of Web browser software that incorporate search and retrieval features. Any of our present or future competitors may offer products and services that provide significant performance, price, creativity or other advantages over those offered by us and, therefore, achieve greater market acceptance than ours.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Any increased competition could reduce page views, make it difficult for us to attract and retain users, reduce or eliminate our market share, lower our profit margins and reduce our revenues.</w:t>
      </w:r>
    </w:p>
    <w:p>
      <w:pPr>
        <w:spacing w:after="0" w:line="1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Information on the Company</w:t>
      </w:r>
    </w:p>
    <w:p>
      <w:pPr>
        <w:spacing w:after="0" w:line="166" w:lineRule="exact"/>
        <w:rPr>
          <w:sz w:val="20"/>
          <w:szCs w:val="20"/>
          <w:color w:val="auto"/>
        </w:rPr>
      </w:pPr>
    </w:p>
    <w:p>
      <w:pPr>
        <w:ind w:left="1240" w:hanging="443"/>
        <w:spacing w:after="0"/>
        <w:tabs>
          <w:tab w:leader="none" w:pos="12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History and Development of the Company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 sites. In July 1999, we began to offer e-commerce platforms and to provide online shopping mall and other e-commerce services in China through Guangzhou NetEase, a related party. In 2001, we also began focusing on fee-based premium services and online entertainment services, including wireless value-added services, online games, premium e-mail services and other subscription-type products. Our focus on these services continued throughout 2002.</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connection with the restructuring of our operations which is</w:t>
      </w:r>
    </w:p>
    <w:p>
      <w:pPr>
        <w:spacing w:after="0" w:line="237" w:lineRule="auto"/>
        <w:rPr>
          <w:sz w:val="20"/>
          <w:szCs w:val="20"/>
          <w:color w:val="auto"/>
        </w:rPr>
      </w:pPr>
      <w:r>
        <w:rPr>
          <w:rFonts w:ascii="Courier New" w:cs="Courier New" w:eastAsia="Courier New" w:hAnsi="Courier New"/>
          <w:sz w:val="15"/>
          <w:szCs w:val="15"/>
          <w:color w:val="auto"/>
        </w:rPr>
        <w:t>discussed below in Item 7.B. "Major Shareholders and Related Party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Transactions--Related Party Transactions," NetEase.com, Inc. was incorporated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Cayman Islands on July 6, 1999 and it operates under the Cayman Islands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Law (2003 Revision). Our principal place of business was 15th Floor,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Tower, Beijing Kerry Centre, No. 1 Guang Hua Road, Chao Yang District,</w:t>
      </w:r>
    </w:p>
    <w:p>
      <w:pPr>
        <w:spacing w:after="0" w:line="237" w:lineRule="auto"/>
        <w:rPr>
          <w:sz w:val="20"/>
          <w:szCs w:val="20"/>
          <w:color w:val="auto"/>
        </w:rPr>
      </w:pPr>
      <w:r>
        <w:rPr>
          <w:rFonts w:ascii="Courier New" w:cs="Courier New" w:eastAsia="Courier New" w:hAnsi="Courier New"/>
          <w:sz w:val="15"/>
          <w:szCs w:val="15"/>
          <w:color w:val="auto"/>
        </w:rPr>
        <w:t>Beijing, People's Republic of China until January 13, 2003 when we moved to</w:t>
      </w:r>
    </w:p>
    <w:p>
      <w:pPr>
        <w:spacing w:after="0" w:line="238" w:lineRule="auto"/>
        <w:rPr>
          <w:sz w:val="20"/>
          <w:szCs w:val="20"/>
          <w:color w:val="auto"/>
        </w:rPr>
      </w:pPr>
      <w:r>
        <w:rPr>
          <w:rFonts w:ascii="Courier New" w:cs="Courier New" w:eastAsia="Courier New" w:hAnsi="Courier New"/>
          <w:sz w:val="15"/>
          <w:szCs w:val="15"/>
          <w:color w:val="auto"/>
        </w:rPr>
        <w:t>Suite 1901, Tower E3, The Towers, Oriental Plaza, Dong Cheng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6" w:name="page27"/>
    <w:bookmarkEnd w:id="26"/>
    <w:p>
      <w:pPr>
        <w:ind w:right="3399"/>
        <w:spacing w:after="0" w:line="235" w:lineRule="auto"/>
        <w:rPr>
          <w:sz w:val="20"/>
          <w:szCs w:val="20"/>
          <w:color w:val="auto"/>
        </w:rPr>
      </w:pPr>
      <w:r>
        <w:rPr>
          <w:rFonts w:ascii="Courier New" w:cs="Courier New" w:eastAsia="Courier New" w:hAnsi="Courier New"/>
          <w:sz w:val="15"/>
          <w:szCs w:val="15"/>
          <w:color w:val="auto"/>
        </w:rPr>
        <w:t>District, Beijing, People's Republic of China. Our telephone number is (86-10) 8518-0163. Our agent for service of process in the United States is CT Corporation System, 111 Eighth Avenue, New York, New York 10011.</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July 2000, we completed the initial public offering of our American Depositary Shares, representing our ordinary shares, and listed those securities on the Nasdaq National Market.</w:t>
      </w:r>
    </w:p>
    <w:p>
      <w:pPr>
        <w:spacing w:after="0" w:line="174"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Our principal capital expenditures for 2002 consisted of computer equipment as well as software for a total of approximately RMB12.6 million (US$1.5 million). Our principal capital expenditures for 2000 and 2001 also consisted of computer equipment as well as software for a total of RMB34.0 million (US$4.1 million) and RMB21.1 million (US$2.5 million), respectively.</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have spent approximately RMB4.3 million (US$0.5 million) from January 1, 2003 until March 31, 2003, principally for purchases of additional computer equipment in order to accommodate the expected increase in traffic on the NetEase Web sites and our online game servers. Our capital expenditure plans for the remainder of 2003 have not yet been fixed, but we expect to spend an additional approximately RMB16.4 million (US$2.0 million), primarily for further purchases of additional computer equipment in order to accommodate the expected increase in traffic on the NetEase Web sites and our online game servers. Capital expenditures in 2003 have been, and are expected to continue to be, funded through operating cash flows and through our existing capital resources.</w:t>
      </w:r>
    </w:p>
    <w:p>
      <w:pPr>
        <w:spacing w:after="0" w:line="159" w:lineRule="exact"/>
        <w:rPr>
          <w:sz w:val="20"/>
          <w:szCs w:val="20"/>
          <w:color w:val="auto"/>
        </w:rPr>
      </w:pPr>
    </w:p>
    <w:p>
      <w:pPr>
        <w:ind w:left="1140" w:hanging="343"/>
        <w:spacing w:after="0"/>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Overview</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are an Internet technology company supporting a leading interactive online and wireless community in China. Our innovative communities and personalized premium services, which allow users to interact with other community members, have established a large and stable user base for our Internet portal business, and more recently, for our wireless value-added services and online games businesses.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Internet portal business, which is conducted through the NetEase Web sites, provides Internet users with Chinese language online services centered around content, community and e-commerce. In particular, the NetEase content channels offer users an extensive range of local, regional and international Chinese language content, Web-based communication services and sophisticated search capabilities and provide a destination for Chinese Internet users to identify and access resources, services, content and information on the Internet. Registered community members can personalize their online experience by publishing their own content and interacting with other users that have similar interests. Under the NetEase and 163.com brands, we provide various free services, including Chinese language-based e-mail, online chat rooms and discussion forums.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the NetEase wireless value-added services offer users timely information (such as news and stock quotes), community interaction and games via wireless short-messaging, or SMS. Our online games provide community and entertainment via multi-player online role-playing games, in which users can simultaneously connect and interact on a massive scale.</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Guangzhou NetEase, which has received approval from the Telecommunications Office of Guangzhou City to engage in the Internet content provider business, operates and maintains the NetEase Web sites pursuant to contractual arrangements with us. Guangzhou NetEase also provides our wireless value-added services and online games.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believe that demand for our services is growing as the number of users of Internet portals, wireless value-added services and online games in China increases. Furthermore, the NetEase Web sites' market position as one of the leading destinations for such users offers our online advertisers, e-commerce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7" w:name="page28"/>
    <w:bookmarkEnd w:id="27"/>
    <w:p>
      <w:pPr>
        <w:ind w:right="3399"/>
        <w:spacing w:after="0" w:line="236" w:lineRule="auto"/>
        <w:rPr>
          <w:sz w:val="20"/>
          <w:szCs w:val="20"/>
          <w:color w:val="auto"/>
        </w:rPr>
      </w:pPr>
      <w:r>
        <w:rPr>
          <w:rFonts w:ascii="Courier New" w:cs="Courier New" w:eastAsia="Courier New" w:hAnsi="Courier New"/>
          <w:sz w:val="15"/>
          <w:szCs w:val="15"/>
          <w:color w:val="auto"/>
        </w:rPr>
        <w:t>vendors and other partners such as mobile phone operators, value-added service providers and online game operators a strong marketing platform and access to this large and growing market of Chinese online consumers. The monthly average daily page views of the NetEase Web sites for the month ended May 31, 2003 exceeded 280 million, and as of May 31, 2003, those sites had registered approximately 120 million registered accounts.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With our strong focus on the Chinese domestic market, we aim to have the NetEase Web sites become the leading online network in China. Key strategies for achieving our goal are to:</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Expand Our Fee-Based Value-Added Services. We believe that Chinese Internet users have started to understand the benefits of fee-based value-added services. Accordingly, we have introduced a wide variety of such services, including wireless value-added services, online games and premium e-mail, many of which are targeted at the large portion of our registered user base which is under the age of 25. We believe that our concerted effort to capture a portion of this market as it first emerges, combined with our strong background in developing Internet technologies, will enable us to offer services which are valued by our users and establish our company as a reliable, secure and innovative online value-added service provider in the minds of China's Internet users. Moreover, we intend to continuously refine and improve these services, while at the same time looking for additional market opportunities and developing new services to address them. We will also strive to quickly familiarize the large user base of the NetEase Web sites with each of these services as they are introduced through outdoor advertising, notices on the NetEase Web sites and other promotional activities and thereby attempt to achieve a critical mass of users which we hope will create significant economies of scale.</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Continue to Develop User-Friendly Internet Applications, Services and Technologies for the Chinese Market. We intend to continue our focus on developing user-friendly technologies for the Internet industry in China. We will adapt and modify existing technologies for Chinese language-based Internet applications as well as develop our own proprietary Chinese language Internet applications, such as our online games. We plan to continue to enhance our platforms with user-friendly interfaces and with easy to understand user instructions. While the market in China is not yet mature enough to allow the widespread adoption of broadband Internet services and next generation wireless technologies, we continue to explore ways in which we can utilize these technologies to increase the number of our users. We employed approximately 220 technology and product development professionals as of May 31, 2003.</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Enrich, Expand and Personalize NetEase Content. The NetEase Web sites contain content from approximately 100 local and international content providers, including Xinhua News Agency, Chinanews.com, Beijing Daily, Nanfang Weekend, Yangcheng Night Newspaper, Guangzhou Daily, China Daily, People's Daily, China Youth Daily, and Reuters. To expand our channel offerings, we are working with vertical portal developers and purchasing or licensing existing content from traditional media providers. We intend to continue to offer content that will be more tailored for and relevant to our users' daily lives. We believe this will:</w:t>
      </w:r>
    </w:p>
    <w:p>
      <w:pPr>
        <w:spacing w:after="0" w:line="178" w:lineRule="exact"/>
        <w:rPr>
          <w:sz w:val="20"/>
          <w:szCs w:val="20"/>
          <w:color w:val="auto"/>
        </w:rPr>
      </w:pPr>
    </w:p>
    <w:p>
      <w:pPr>
        <w:ind w:left="1140" w:right="3679" w:hanging="343"/>
        <w:spacing w:after="0" w:line="234" w:lineRule="auto"/>
        <w:tabs>
          <w:tab w:leader="none" w:pos="11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differentiate the NetEase Web sites from competing Web sites and enhance our competitive position;</w:t>
      </w:r>
    </w:p>
    <w:p>
      <w:pPr>
        <w:spacing w:after="0" w:line="173" w:lineRule="exact"/>
        <w:rPr>
          <w:sz w:val="20"/>
          <w:szCs w:val="20"/>
          <w:color w:val="auto"/>
        </w:rPr>
      </w:pPr>
    </w:p>
    <w:p>
      <w:pPr>
        <w:ind w:left="1140" w:right="3319" w:hanging="343"/>
        <w:spacing w:after="0" w:line="234" w:lineRule="auto"/>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users with a more customized, comprehensive and satisfying Internet experience; and</w:t>
      </w:r>
    </w:p>
    <w:p>
      <w:pPr>
        <w:spacing w:after="0" w:line="173" w:lineRule="exact"/>
        <w:rPr>
          <w:sz w:val="20"/>
          <w:szCs w:val="20"/>
          <w:color w:val="auto"/>
        </w:rPr>
      </w:pPr>
    </w:p>
    <w:p>
      <w:pPr>
        <w:ind w:left="1140" w:right="3679" w:hanging="343"/>
        <w:spacing w:after="0" w:line="234" w:lineRule="auto"/>
        <w:tabs>
          <w:tab w:leader="none" w:pos="11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visits to the NetEase Web sites and the length of time each user stays on those sites.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8" w:name="page29"/>
    <w:bookmarkEnd w:id="28"/>
    <w:p>
      <w:pPr>
        <w:ind w:right="3319" w:firstLine="787"/>
        <w:spacing w:after="0" w:line="236" w:lineRule="auto"/>
        <w:rPr>
          <w:sz w:val="20"/>
          <w:szCs w:val="20"/>
          <w:color w:val="auto"/>
        </w:rPr>
      </w:pPr>
      <w:r>
        <w:rPr>
          <w:rFonts w:ascii="Courier New" w:cs="Courier New" w:eastAsia="Courier New" w:hAnsi="Courier New"/>
          <w:sz w:val="15"/>
          <w:szCs w:val="15"/>
          <w:color w:val="auto"/>
        </w:rPr>
        <w:t>Expand the Number of Our Registered Users and Registered Community Members. We believe that a Web site must maintain a critical mass of users in order to generate online advertising, e-commerce and fee-based services revenues. Therefore, we strive to keep the NetEase Web sites in their position as one of the top three Web sites in China in order to achieve our goal of converting our registered users into paying customers. To expand the number of registered community members, we plan to enhance the quality of our community services and introduce new applications, services and technology for our online community that will make the Internet in China an increasingly important medium for exchanging ideas. We plan to leverage our technology and Web-based products to increase the NetEase community.</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Expand Our E-commerce Services. We believe that a growing number of consumers in China will look to the Internet as an alternative source of commerce in the future. We have established an online shopping mall with 13 merchants as of May 31, 2003. We will build upon this experience and our registered users and registered community members to actively develop and pursue e-commerce opportunities. We intend to continue partnering with e-commerce merchants by leveraging our user profile information, which allows them to market products to specific demographic groups, and using our registered user database to develop direct marketing opportunities.</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Expand the Base of Online Advertisers on Our Network. Online advertisers on the NetEase Web sites have traditionally consisted primarily of merchants from the information technology and telecommunications industries as well as an increasing number of advertisers from "traditional" industries such as consumer products and media. However, in recent quarters, advertisers in a broader range of industries have begun to advertise online, and we intend to encourage this trend by attracting premier online advertisers through promoting our brand name and providing attractive solutions to online advertisers. We will continue to promote the Internet as an alternative method for advertisers to reach end users through integrated marketing campaigns using banner advertising, direct e-mail, interactive media-rich Web sites, special events, games and contests and other formats and techniques. In addition, we intend to continue to use third party advertising networks to increase the NetEase online advertiser base and improve our ability to collect and correlate information regarding our users and their habits, interests and related items to the extent permitted by law.</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Products and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NetEase Web Sites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Internet portal business, which is conducted through the NetEase Web sites, offers Chinese Internet users a network of Chinese language-based online content channels, community products, e-commerce services and other Web-based applications and services to enhance their Internet experience. The NetEase Web sites offer content channels, a full text Chinese language search engine, a Web directory, e-mail, Web hosting, electronic greeting cards, dating services and community tools. We also provide e-commerce services that allow vendors to sell their products online through our online shopping mall. Our content, community and e-commerce services are all designed with user friendly interfaces and easy to understand instructions.</w:t>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Our Members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NetEase Web sites have registered and unregistered users. Any user may visit the NetEase Web sites without registering. Only registered users can use our personalized services such as our free e-mail system and instant messaging, our fee-based premium services such as our premium e-mail and dating services. The NetEase users provide us with valuable demographic and preference information that will allow us to target audiences with relevant online advertising.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Our Content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NetEase Web sites' homepage provides a destination for Chinese Internet users to identify and access resources, services, content and information on the Internet. The NetEase Web sites aggregate, organize and deliver information to meet the needs of Internet users in China. Our media channels provide users with an efficient and easy way to explore and utilize a wealth of information and content organized around a variety of topics. Our content distribution platform enables the NetEase Web sites to offer in-depth local content as well as a variety of locally relevant regional and international content. We do not produce our own content for the NetEase Web sites, but rather obtain content from our content partners.</w:t>
      </w:r>
    </w:p>
    <w:p>
      <w:pPr>
        <w:spacing w:after="0" w:line="179"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believe that our broad and relevant content offering increases the number of visits and the amount of time our users spend on the NetEase Web sites. We adopt a significant amount of user-generated content from the community forums on the NetEase Web sites. We believe that this user-generated content is highly effective in maintaining user interest and ensuring repeat visits to the NetEase Web sites.</w:t>
      </w:r>
    </w:p>
    <w:p>
      <w:pPr>
        <w:spacing w:after="0" w:line="175"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The NetEase Web sites currently include 18 media channels in the following categories: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News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Jobs and careers</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w w:val="95"/>
              </w:rPr>
              <w:t>Information technology</w:t>
            </w:r>
          </w:p>
        </w:tc>
      </w:tr>
      <w:tr>
        <w:trPr>
          <w:trHeight w:val="336"/>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Sports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Culture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Education</w:t>
            </w:r>
          </w:p>
        </w:tc>
      </w:tr>
      <w:tr>
        <w:trPr>
          <w:trHeight w:val="336"/>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Games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Female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Travel</w:t>
            </w:r>
          </w:p>
        </w:tc>
      </w:tr>
      <w:tr>
        <w:trPr>
          <w:trHeight w:val="336"/>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Finance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Entertainment</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Mobile phone</w:t>
            </w:r>
          </w:p>
        </w:tc>
      </w:tr>
      <w:tr>
        <w:trPr>
          <w:trHeight w:val="336"/>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Automobiles</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Guangdong Local</w:t>
            </w:r>
          </w:p>
        </w:tc>
      </w:tr>
      <w:tr>
        <w:trPr>
          <w:trHeight w:val="336"/>
        </w:trPr>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Health</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Lifestyle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180"/>
              <w:spacing w:after="0"/>
              <w:rPr>
                <w:sz w:val="20"/>
                <w:szCs w:val="20"/>
                <w:color w:val="auto"/>
              </w:rPr>
            </w:pPr>
            <w:r>
              <w:rPr>
                <w:rFonts w:ascii="Courier New" w:cs="Courier New" w:eastAsia="Courier New" w:hAnsi="Courier New"/>
                <w:sz w:val="15"/>
                <w:szCs w:val="15"/>
                <w:color w:val="auto"/>
              </w:rPr>
              <w:t>Shanghai Local</w:t>
            </w:r>
          </w:p>
        </w:tc>
      </w:tr>
    </w:tbl>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NetEase Web sites also include several specialty content channels such as Astrology, Jokes, Flash Cartoons and mini-sites for Movies and Concerts which provide even more variety of content to our users.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Our Community</w:t>
      </w:r>
    </w:p>
    <w:p>
      <w:pPr>
        <w:spacing w:after="0" w:line="173" w:lineRule="exact"/>
        <w:rPr>
          <w:sz w:val="20"/>
          <w:szCs w:val="20"/>
          <w:color w:val="auto"/>
        </w:rPr>
      </w:pPr>
    </w:p>
    <w:p>
      <w:pPr>
        <w:jc w:val="both"/>
        <w:ind w:right="3239" w:firstLine="787"/>
        <w:spacing w:after="0" w:line="254" w:lineRule="auto"/>
        <w:rPr>
          <w:sz w:val="20"/>
          <w:szCs w:val="20"/>
          <w:color w:val="auto"/>
        </w:rPr>
      </w:pPr>
      <w:r>
        <w:rPr>
          <w:rFonts w:ascii="Courier New" w:cs="Courier New" w:eastAsia="Courier New" w:hAnsi="Courier New"/>
          <w:sz w:val="14"/>
          <w:szCs w:val="14"/>
          <w:color w:val="auto"/>
        </w:rPr>
        <w:t>The NetEase Web sites have established a large online community member base as a result of our leading online community technology. We launched what we believe to be one of the first online communities in China in December 1998.</w:t>
      </w:r>
    </w:p>
    <w:p>
      <w:pPr>
        <w:spacing w:after="0" w:line="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Users can register with us online to interact with other registered community members. We believe that as users become more involved with our online community, they will return to the NetEase Web sites frequently.</w:t>
      </w:r>
    </w:p>
    <w:p>
      <w:pPr>
        <w:spacing w:after="0" w:line="174"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NetEase users can interact through a variety of community products and services. We offer many products and services free of charge. They include:</w:t>
      </w:r>
    </w:p>
    <w:p>
      <w:pPr>
        <w:spacing w:after="0" w:line="160" w:lineRule="exact"/>
        <w:rPr>
          <w:sz w:val="20"/>
          <w:szCs w:val="20"/>
          <w:color w:val="auto"/>
        </w:rPr>
      </w:pPr>
    </w:p>
    <w:p>
      <w:pPr>
        <w:ind w:left="1140" w:right="3239" w:hanging="343"/>
        <w:spacing w:after="0" w:line="256" w:lineRule="auto"/>
        <w:tabs>
          <w:tab w:leader="none" w:pos="11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E-mail. Our technology and services provide registered users with a free Web-based e-mail service which supports both the Chinese and English languages. Registered users can access and send e-mail through their Web browsers or through the POP3 and SMTP standards,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30" w:name="page31"/>
    <w:bookmarkEnd w:id="30"/>
    <w:p>
      <w:pPr>
        <w:ind w:left="443" w:right="3319"/>
        <w:spacing w:after="0" w:line="255" w:lineRule="auto"/>
        <w:rPr>
          <w:sz w:val="20"/>
          <w:szCs w:val="20"/>
          <w:color w:val="auto"/>
        </w:rPr>
      </w:pPr>
      <w:r>
        <w:rPr>
          <w:rFonts w:ascii="Courier New" w:cs="Courier New" w:eastAsia="Courier New" w:hAnsi="Courier New"/>
          <w:sz w:val="14"/>
          <w:szCs w:val="14"/>
          <w:color w:val="auto"/>
        </w:rPr>
        <w:t>which allow users to handle e-mails on their own e-mail applications without opening their browsers. The free Web-based e-mail service also includes the convenience of an address book to maintain user contact lists online, and by paying a fee, users can upgrade this service and receive anti-virus and anti-spam protections and extra memory storage. We also offer a separate fee-based premium e-mail service which is described below.</w:t>
      </w:r>
    </w:p>
    <w:p>
      <w:pPr>
        <w:spacing w:after="0" w:line="166" w:lineRule="exact"/>
        <w:rPr>
          <w:sz w:val="20"/>
          <w:szCs w:val="20"/>
          <w:color w:val="auto"/>
        </w:rPr>
      </w:pPr>
    </w:p>
    <w:p>
      <w:pPr>
        <w:ind w:left="443" w:right="3239" w:hanging="443"/>
        <w:spacing w:after="0" w:line="255" w:lineRule="auto"/>
        <w:tabs>
          <w:tab w:leader="none" w:pos="44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Online Community. We offer NetEase registered community members over 2,000 community forums where they can post messages and articles for viewing by other registered community members and other users. Due to regulatory issues, we no longer allow users to create their own forums in addition to the ones we offer. The NetEase online communities are hosted by volunteers, who are chosen by us based on their contributions to the communities. The NetEase community volunteers monitor our community forums and select appropriate articles for posting. In addition, they monitor the personal homepages hosted by the NetEase Web sites.</w:t>
      </w:r>
    </w:p>
    <w:p>
      <w:pPr>
        <w:spacing w:after="0" w:line="165" w:lineRule="exact"/>
        <w:rPr>
          <w:sz w:val="20"/>
          <w:szCs w:val="20"/>
          <w:color w:val="auto"/>
        </w:rPr>
      </w:pPr>
    </w:p>
    <w:p>
      <w:pPr>
        <w:ind w:left="443" w:right="3239" w:hanging="443"/>
        <w:spacing w:after="0" w:line="236" w:lineRule="auto"/>
        <w:tabs>
          <w:tab w:leader="none" w:pos="44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Instant Messaging. We offer NetEase registered users a communications platform to notify their online friends and other users with similar interests when they are online and to send and receive text messages seen by both parties nearly instantaneously, allowing NetEase registered users to participate in real-time dialogues.</w:t>
      </w:r>
    </w:p>
    <w:p>
      <w:pPr>
        <w:spacing w:after="0" w:line="175" w:lineRule="exact"/>
        <w:rPr>
          <w:sz w:val="20"/>
          <w:szCs w:val="20"/>
          <w:color w:val="auto"/>
        </w:rPr>
      </w:pPr>
    </w:p>
    <w:p>
      <w:pPr>
        <w:ind w:left="443" w:right="3239" w:hanging="443"/>
        <w:spacing w:after="0" w:line="236" w:lineRule="auto"/>
        <w:tabs>
          <w:tab w:leader="none" w:pos="44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Chat. Our chat services allow NetEase registered users to interact in real-time groups or one-on-one discussions. Unlike hyper text markup language, or HTML, our Java-based chat technology allows users to participate in chats without downloading chat software. The NetEase chat rooms are arranged around topics of interest including, among others, relationships and dating, campus life and technology. Registered users can also create their own personal chat rooms.</w:t>
      </w:r>
    </w:p>
    <w:p>
      <w:pPr>
        <w:spacing w:after="0" w:line="177" w:lineRule="exact"/>
        <w:rPr>
          <w:sz w:val="20"/>
          <w:szCs w:val="20"/>
          <w:color w:val="auto"/>
        </w:rPr>
      </w:pPr>
    </w:p>
    <w:p>
      <w:pPr>
        <w:ind w:left="443" w:right="3239" w:hanging="443"/>
        <w:spacing w:after="0" w:line="235" w:lineRule="auto"/>
        <w:tabs>
          <w:tab w:leader="none" w:pos="44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System. We conduct numerous polls on various social, cultural and other topics to provide our registered users with the opportunity to express their views and also to learn about the opinions of other Internet users.</w:t>
      </w:r>
    </w:p>
    <w:p>
      <w:pPr>
        <w:spacing w:after="0" w:line="169"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We also offer these additional fee-based services:</w:t>
      </w:r>
    </w:p>
    <w:p>
      <w:pPr>
        <w:spacing w:after="0" w:line="173" w:lineRule="exact"/>
        <w:rPr>
          <w:sz w:val="20"/>
          <w:szCs w:val="20"/>
          <w:color w:val="auto"/>
        </w:rPr>
      </w:pPr>
    </w:p>
    <w:p>
      <w:pPr>
        <w:ind w:left="443" w:right="3239" w:hanging="443"/>
        <w:spacing w:after="0" w:line="236" w:lineRule="auto"/>
        <w:tabs>
          <w:tab w:leader="none" w:pos="44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 E-mail Service. In November 2001, we began offering value-added e-mail services for both individuals, known as VIP, and corporations which provide subscribers with the latest anti-virus and anti-spam filtering capabilities. The VIP e-mail service also includes enhanced security features as well as several convenient online and offline payment methods and 24-hour customer support. As of May 31, 2003, we had more than 190,000 VIP e-mail subscribers. In response to limited market interest, we discontinued our premium corporate e-mail activities in October 2002.</w:t>
      </w:r>
    </w:p>
    <w:p>
      <w:pPr>
        <w:spacing w:after="0" w:line="179" w:lineRule="exact"/>
        <w:rPr>
          <w:sz w:val="20"/>
          <w:szCs w:val="20"/>
          <w:color w:val="auto"/>
        </w:rPr>
      </w:pPr>
    </w:p>
    <w:p>
      <w:pPr>
        <w:ind w:left="443" w:right="3239" w:hanging="443"/>
        <w:spacing w:after="0" w:line="255" w:lineRule="auto"/>
        <w:tabs>
          <w:tab w:leader="none" w:pos="44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Web Page Hosting. In March 2001, we introduced a fee-based premium Web page hosting service which allows subscribers to create and maintain personal homepages. This service was re-launched in March 2002 with enhanced features and, thereafter, renamed "Personal Space." The NetEase personal homepages create a Web-based community for Internet users to express themselves, to share ideas, interests and expertise, and to publish personal content accessible by other users with common interests. While we believe most of the NetEase personal homepages are of interest to a small circle of friends and families, there is a core group of users who create homepages with content having broader appeal. Traffic comes from both inside our network of Web sites and from non-registered users visiting from</w:t>
      </w:r>
    </w:p>
    <w:p>
      <w:pPr>
        <w:spacing w:after="0" w:line="326"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442"/>
          </w:cols>
          <w:pgMar w:left="1017" w:top="624" w:right="1440" w:bottom="1440" w:gutter="0" w:footer="0" w:header="0"/>
        </w:sectPr>
      </w:pPr>
    </w:p>
    <w:bookmarkStart w:id="31" w:name="page32"/>
    <w:bookmarkEnd w:id="31"/>
    <w:p>
      <w:pPr>
        <w:ind w:left="1240" w:right="3319"/>
        <w:spacing w:after="0" w:line="236" w:lineRule="auto"/>
        <w:rPr>
          <w:sz w:val="20"/>
          <w:szCs w:val="20"/>
          <w:color w:val="auto"/>
        </w:rPr>
      </w:pPr>
      <w:r>
        <w:rPr>
          <w:rFonts w:ascii="Courier New" w:cs="Courier New" w:eastAsia="Courier New" w:hAnsi="Courier New"/>
          <w:sz w:val="15"/>
          <w:szCs w:val="15"/>
          <w:color w:val="auto"/>
        </w:rPr>
        <w:t>outside. Non-registered users typically find registered users' personal homepages through search engines. With this fee-based premium service, individual users are able to choose from service packages available at different rates to improve the overall quality of their personal homepages.</w:t>
      </w:r>
    </w:p>
    <w:p>
      <w:pPr>
        <w:spacing w:after="0" w:line="174" w:lineRule="exact"/>
        <w:rPr>
          <w:sz w:val="20"/>
          <w:szCs w:val="20"/>
          <w:color w:val="auto"/>
        </w:rPr>
      </w:pPr>
    </w:p>
    <w:p>
      <w:pPr>
        <w:ind w:left="1240" w:right="3239"/>
        <w:spacing w:after="0" w:line="255" w:lineRule="auto"/>
        <w:rPr>
          <w:sz w:val="20"/>
          <w:szCs w:val="20"/>
          <w:color w:val="auto"/>
        </w:rPr>
      </w:pPr>
      <w:r>
        <w:rPr>
          <w:rFonts w:ascii="Courier New" w:cs="Courier New" w:eastAsia="Courier New" w:hAnsi="Courier New"/>
          <w:sz w:val="14"/>
          <w:szCs w:val="14"/>
          <w:color w:val="auto"/>
        </w:rPr>
        <w:t>Until December 2001, we also offered free computer storage space for personal homepages. We have allowed free personal homepages which were established before that date to remain in existence, though we actively encourage those users to transition their homepages to our premium service. Our premium Web page hosting service provides a more reliable platform as well as improved customer service in comparison to our prior free service. Users of our premium Web page hosting service also benefit from greater storage space, a more secure and faster server, and 24-hour customer support. As of May 31, 2003, we had approximately 27,000 personal homepages which were established under our non-fee based service and more than 74,000 personal homepages which were established under our premium service.</w:t>
      </w:r>
    </w:p>
    <w:p>
      <w:pPr>
        <w:spacing w:after="0" w:line="333" w:lineRule="exact"/>
        <w:rPr>
          <w:sz w:val="20"/>
          <w:szCs w:val="20"/>
          <w:color w:val="auto"/>
        </w:rPr>
      </w:pPr>
    </w:p>
    <w:p>
      <w:pPr>
        <w:ind w:left="1240" w:right="3239" w:hanging="443"/>
        <w:spacing w:after="0" w:line="236" w:lineRule="auto"/>
        <w:tabs>
          <w:tab w:leader="none" w:pos="12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Love. Love is an online friend-finder, and we believe it is one of the largest in China with more than 7 million registered members and more than 200,000 paid subscribers. With this service, registered users post their own profiles for periods of two years or more, including photos, background, interests and contact details, and interested parties contact them directly. Our "V member" service provides enhanced features such as complete member profile access and search capability, customizable personal homepage design, front-page photo postings and publishing of detailed friend-find requirements.</w:t>
      </w:r>
    </w:p>
    <w:p>
      <w:pPr>
        <w:spacing w:after="0" w:line="179" w:lineRule="exact"/>
        <w:rPr>
          <w:sz w:val="20"/>
          <w:szCs w:val="20"/>
          <w:color w:val="auto"/>
        </w:rPr>
      </w:pPr>
    </w:p>
    <w:p>
      <w:pPr>
        <w:ind w:left="1240" w:right="3239" w:hanging="443"/>
        <w:spacing w:after="0" w:line="255" w:lineRule="auto"/>
        <w:tabs>
          <w:tab w:leader="none" w:pos="1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Dating. A portion of the NetEase Web sites serves as a dedicated dating center where subscribers can make new friends and find someone to go out on dates or do other social activities, such as hiking, sports, games and movies. With this service, registered users post their dating announcements, along with their background and other information, and interested parties can either search online or contact our company through our SMS service to obtain more details about the user. We will then send an SMS message to the user to confirm that they want to have a date with the interested party. We charge a fee for each posting by a male user, but female users may post messages for free. During May 2003, the dating service attracted more than 200,000 new registered users.</w:t>
      </w:r>
    </w:p>
    <w:p>
      <w:pPr>
        <w:spacing w:after="0" w:line="164" w:lineRule="exact"/>
        <w:rPr>
          <w:sz w:val="20"/>
          <w:szCs w:val="20"/>
          <w:color w:val="auto"/>
        </w:rPr>
      </w:pPr>
    </w:p>
    <w:p>
      <w:pPr>
        <w:ind w:left="1240" w:right="3239" w:hanging="443"/>
        <w:spacing w:after="0" w:line="237" w:lineRule="auto"/>
        <w:tabs>
          <w:tab w:leader="none" w:pos="12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 Electronic Greeting Cards. We believe that we were the first Internet company to offer Chinese Internet users free online greeting cards in Chinese. Subsequently, we began offering premium fee-based electronic greeting cards with enhanced features and no advertisements in March 2002, and we ceased offering free electronic greeting cards. Our greeting cards have different designs for various occasions, including New Year's Day, Chinese New Year, Christmas, birthdays, Valentine's Day, and other celebrations. We make new designs available on a regular basis. Users pay a monthly membership fee for this service of RMB10 which entitles them to send an unlimited number of cards per month. As of May 31, 2003, we had over 125,000 electronic greeting card subscribers.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Our E-commerce Services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believe e-commerce will become a rapidly growing sub-sector of China's Internet market, despite the fact that there are a number of obstacles that need to be overcome. These obstacles include a low credit card penetration rate, perceived lack of secure online payment systems and the lack of reliable and efficient product distribution networks. However, we believe that these obstacles will be overcome in time, and that e-commerce will generate significant revenues in the future. For example, as discussed below in "Online Games," we introduced a prepaid debit point card in connection with the introduction of</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2" w:name="page33"/>
    <w:bookmarkEnd w:id="32"/>
    <w:p>
      <w:pPr>
        <w:ind w:right="880"/>
        <w:spacing w:after="0" w:line="261" w:lineRule="auto"/>
        <w:rPr>
          <w:sz w:val="20"/>
          <w:szCs w:val="20"/>
          <w:color w:val="auto"/>
        </w:rPr>
      </w:pPr>
      <w:r>
        <w:rPr>
          <w:rFonts w:ascii="Courier New" w:cs="Courier New" w:eastAsia="Courier New" w:hAnsi="Courier New"/>
          <w:sz w:val="14"/>
          <w:szCs w:val="14"/>
          <w:color w:val="auto"/>
        </w:rPr>
        <w:t>our first massively multi-player online game, which we expect will facilitate the usability and growth of all of our fee-based premium services.</w:t>
      </w:r>
    </w:p>
    <w:p>
      <w:pPr>
        <w:spacing w:after="0" w:line="160" w:lineRule="exact"/>
        <w:rPr>
          <w:sz w:val="20"/>
          <w:szCs w:val="20"/>
          <w:color w:val="auto"/>
        </w:rPr>
      </w:pPr>
    </w:p>
    <w:p>
      <w:pPr>
        <w:ind w:right="620" w:firstLine="437"/>
        <w:spacing w:after="0" w:line="256" w:lineRule="auto"/>
        <w:rPr>
          <w:sz w:val="20"/>
          <w:szCs w:val="20"/>
          <w:color w:val="auto"/>
        </w:rPr>
      </w:pPr>
      <w:r>
        <w:rPr>
          <w:rFonts w:ascii="Courier New" w:cs="Courier New" w:eastAsia="Courier New" w:hAnsi="Courier New"/>
          <w:sz w:val="14"/>
          <w:szCs w:val="14"/>
          <w:color w:val="auto"/>
        </w:rPr>
        <w:t>Our e-commerce services focus on partnering with quality vendors to provide the convenience of online shopping to users. Currently, those vendors support their own e-commerce platforms which appear on the NetEase online shopping mall Web site that we maintain. Previously, we also helped those vendors with their e-commerce platforms. As of May 31, 2003, the mall hosted 13 vendors.</w:t>
      </w:r>
    </w:p>
    <w:p>
      <w:pPr>
        <w:spacing w:after="0" w:line="163" w:lineRule="exact"/>
        <w:rPr>
          <w:sz w:val="20"/>
          <w:szCs w:val="20"/>
          <w:color w:val="auto"/>
        </w:rPr>
      </w:pPr>
    </w:p>
    <w:p>
      <w:pPr>
        <w:ind w:right="620" w:firstLine="437"/>
        <w:spacing w:after="0" w:line="235" w:lineRule="auto"/>
        <w:rPr>
          <w:sz w:val="20"/>
          <w:szCs w:val="20"/>
          <w:color w:val="auto"/>
        </w:rPr>
      </w:pPr>
      <w:r>
        <w:rPr>
          <w:rFonts w:ascii="Courier New" w:cs="Courier New" w:eastAsia="Courier New" w:hAnsi="Courier New"/>
          <w:sz w:val="15"/>
          <w:szCs w:val="15"/>
          <w:color w:val="auto"/>
        </w:rPr>
        <w:t>Our co-branded auction and trading Web site with EachNet terminated in July 2002. Subsequently, we offered free auction services on the NetEase Web sites but discontinued those services in June 2003.</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Web Directory, Web Search and Classified Ads</w:t>
      </w:r>
    </w:p>
    <w:p>
      <w:pPr>
        <w:spacing w:after="0" w:line="173" w:lineRule="exact"/>
        <w:rPr>
          <w:sz w:val="20"/>
          <w:szCs w:val="20"/>
          <w:color w:val="auto"/>
        </w:rPr>
      </w:pPr>
    </w:p>
    <w:p>
      <w:pPr>
        <w:ind w:right="700" w:firstLine="437"/>
        <w:spacing w:after="0" w:line="255" w:lineRule="auto"/>
        <w:rPr>
          <w:sz w:val="20"/>
          <w:szCs w:val="20"/>
          <w:color w:val="auto"/>
        </w:rPr>
      </w:pPr>
      <w:r>
        <w:rPr>
          <w:rFonts w:ascii="Courier New" w:cs="Courier New" w:eastAsia="Courier New" w:hAnsi="Courier New"/>
          <w:sz w:val="14"/>
          <w:szCs w:val="14"/>
          <w:color w:val="auto"/>
        </w:rPr>
        <w:t>The NetEase Web sites also provide a Web directory, Web search and classified ad services. Our Web directory is based on an open architecture system with over 3,000 volunteer editors working to build a categorized directory of Chinese Web sites. Our Web search is now powered by Baidu, a local Chinese search technology provider. We currently sell classified advertisements and key words exclusively through various local agents throughout China.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Wireless Value-added Services</w:t>
      </w:r>
    </w:p>
    <w:p>
      <w:pPr>
        <w:spacing w:after="0" w:line="173" w:lineRule="exact"/>
        <w:rPr>
          <w:sz w:val="20"/>
          <w:szCs w:val="20"/>
          <w:color w:val="auto"/>
        </w:rPr>
      </w:pPr>
    </w:p>
    <w:p>
      <w:pPr>
        <w:ind w:right="620" w:firstLine="437"/>
        <w:spacing w:after="0" w:line="255" w:lineRule="auto"/>
        <w:rPr>
          <w:sz w:val="20"/>
          <w:szCs w:val="20"/>
          <w:color w:val="auto"/>
        </w:rPr>
      </w:pPr>
      <w:r>
        <w:rPr>
          <w:rFonts w:ascii="Courier New" w:cs="Courier New" w:eastAsia="Courier New" w:hAnsi="Courier New"/>
          <w:sz w:val="14"/>
          <w:szCs w:val="14"/>
          <w:color w:val="auto"/>
        </w:rPr>
        <w:t>SMS. In conjunction with China Mobile, in January 2001, we began offering value-added services through short messaging services (SMS) to allow users to send and receive messages from the Internet. Subsequently, we entered into a similar arrangement with China Unicom. We charge a fee for these services which are added onto the user's China Mobile or China Unicom bill and subsequently collected from the user and paid to us by the applicable wireless operator. These new services have experienced strong growth since their launch. At December 31, 2002, we had more than 17 million registered accounts and sent more than 1.6 billion short messages for the year. We expect that the usage of this service will continue to increase in the near term as the popularity of SMS increases but that there will be a transition to next generation technologies such as multi-media messaging services as they become more widely available, as discussed in next subsection below.</w:t>
      </w:r>
    </w:p>
    <w:p>
      <w:pPr>
        <w:spacing w:after="0" w:line="333" w:lineRule="exact"/>
        <w:rPr>
          <w:sz w:val="20"/>
          <w:szCs w:val="20"/>
          <w:color w:val="auto"/>
        </w:rPr>
      </w:pPr>
    </w:p>
    <w:p>
      <w:pPr>
        <w:ind w:right="620" w:firstLine="437"/>
        <w:spacing w:after="0" w:line="255" w:lineRule="auto"/>
        <w:rPr>
          <w:sz w:val="20"/>
          <w:szCs w:val="20"/>
          <w:color w:val="auto"/>
        </w:rPr>
      </w:pPr>
      <w:r>
        <w:rPr>
          <w:rFonts w:ascii="Courier New" w:cs="Courier New" w:eastAsia="Courier New" w:hAnsi="Courier New"/>
          <w:sz w:val="14"/>
          <w:szCs w:val="14"/>
          <w:color w:val="auto"/>
        </w:rPr>
        <w:t>We offer over 200 different SMS products and subscription packages, which allow users, for example, to receive news and information such as stock quotes and e-mails, download ring tones and logos for their mobile phones and participate in matchmaking communities and interactive games. We utilize content from our Internet portal (both user-generated and from our content partners) with our applications developed in-house to offer this wide variety of products and services. Our products and services can be generally classified into four main categories, namely, news and information subscription, community, Internet-related products and services and multi-media downloading: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News and Information</w:t>
      </w:r>
    </w:p>
    <w:p>
      <w:pPr>
        <w:ind w:left="360"/>
        <w:spacing w:after="0"/>
        <w:tabs>
          <w:tab w:leader="none" w:pos="3220" w:val="left"/>
          <w:tab w:leader="none" w:pos="5760" w:val="left"/>
        </w:tabs>
        <w:rPr>
          <w:sz w:val="20"/>
          <w:szCs w:val="20"/>
          <w:color w:val="auto"/>
        </w:rPr>
      </w:pPr>
      <w:r>
        <w:rPr>
          <w:rFonts w:ascii="Courier New" w:cs="Courier New" w:eastAsia="Courier New" w:hAnsi="Courier New"/>
          <w:sz w:val="15"/>
          <w:szCs w:val="15"/>
          <w:color w:val="auto"/>
        </w:rPr>
        <w:t>Subscription</w:t>
      </w:r>
      <w:r>
        <w:rPr>
          <w:sz w:val="20"/>
          <w:szCs w:val="20"/>
          <w:color w:val="auto"/>
        </w:rPr>
        <w:tab/>
      </w:r>
      <w:r>
        <w:rPr>
          <w:rFonts w:ascii="Courier New" w:cs="Courier New" w:eastAsia="Courier New" w:hAnsi="Courier New"/>
          <w:sz w:val="15"/>
          <w:szCs w:val="15"/>
          <w:color w:val="auto"/>
        </w:rPr>
        <w:t>Community</w:t>
      </w:r>
      <w:r>
        <w:rPr>
          <w:sz w:val="20"/>
          <w:szCs w:val="20"/>
          <w:color w:val="auto"/>
        </w:rPr>
        <w:tab/>
      </w:r>
      <w:r>
        <w:rPr>
          <w:rFonts w:ascii="Courier New" w:cs="Courier New" w:eastAsia="Courier New" w:hAnsi="Courier New"/>
          <w:sz w:val="14"/>
          <w:szCs w:val="14"/>
          <w:color w:val="auto"/>
        </w:rPr>
        <w:t>Internet-related</w:t>
      </w:r>
    </w:p>
    <w:p>
      <w:pPr>
        <w:ind w:left="360"/>
        <w:spacing w:after="0"/>
        <w:tabs>
          <w:tab w:leader="none" w:pos="3220" w:val="left"/>
          <w:tab w:leader="none" w:pos="5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520" w:val="left"/>
          <w:tab w:leader="none" w:pos="2880" w:val="left"/>
          <w:tab w:leader="none" w:pos="3320" w:val="left"/>
          <w:tab w:leader="none" w:pos="5500" w:val="left"/>
          <w:tab w:leader="none" w:pos="5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Current news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Matchmaking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E-mail notification</w:t>
      </w:r>
    </w:p>
    <w:p>
      <w:pPr>
        <w:spacing w:after="0" w:line="166" w:lineRule="exact"/>
        <w:rPr>
          <w:sz w:val="20"/>
          <w:szCs w:val="20"/>
          <w:color w:val="auto"/>
        </w:rPr>
      </w:pPr>
    </w:p>
    <w:p>
      <w:pPr>
        <w:spacing w:after="0"/>
        <w:tabs>
          <w:tab w:leader="none" w:pos="520" w:val="left"/>
          <w:tab w:leader="none" w:pos="2880" w:val="left"/>
          <w:tab w:leader="none" w:pos="3320" w:val="left"/>
          <w:tab w:leader="none" w:pos="5500" w:val="left"/>
          <w:tab w:leader="none" w:pos="5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Financial news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SMS girlfriend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E-card notification</w:t>
      </w:r>
    </w:p>
    <w:p>
      <w:pPr>
        <w:spacing w:after="0" w:line="166" w:lineRule="exact"/>
        <w:rPr>
          <w:sz w:val="20"/>
          <w:szCs w:val="20"/>
          <w:color w:val="auto"/>
        </w:rPr>
      </w:pPr>
    </w:p>
    <w:p>
      <w:pPr>
        <w:spacing w:after="0"/>
        <w:tabs>
          <w:tab w:leader="none" w:pos="520" w:val="left"/>
          <w:tab w:leader="none" w:pos="2880" w:val="left"/>
          <w:tab w:leader="none" w:pos="3320" w:val="left"/>
          <w:tab w:leader="none" w:pos="5500" w:val="left"/>
          <w:tab w:leader="none" w:pos="5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Sports news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SMS pet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Instant messaging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Multi-Media</w:t>
      </w:r>
    </w:p>
    <w:p>
      <w:pPr>
        <w:ind w:left="169"/>
        <w:spacing w:after="0" w:line="237" w:lineRule="auto"/>
        <w:rPr>
          <w:sz w:val="20"/>
          <w:szCs w:val="20"/>
          <w:color w:val="auto"/>
        </w:rPr>
      </w:pPr>
      <w:r>
        <w:rPr>
          <w:rFonts w:ascii="Courier New" w:cs="Courier New" w:eastAsia="Courier New" w:hAnsi="Courier New"/>
          <w:sz w:val="15"/>
          <w:szCs w:val="15"/>
          <w:color w:val="auto"/>
        </w:rPr>
        <w:t>Downloading</w:t>
      </w:r>
    </w:p>
    <w:p>
      <w:pPr>
        <w:ind w:left="169"/>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29" w:hanging="429"/>
        <w:spacing w:after="0"/>
        <w:tabs>
          <w:tab w:leader="none" w:pos="42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Ring tones</w:t>
      </w:r>
    </w:p>
    <w:p>
      <w:pPr>
        <w:spacing w:after="0" w:line="166" w:lineRule="exact"/>
        <w:rPr>
          <w:rFonts w:ascii="Courier New" w:cs="Courier New" w:eastAsia="Courier New" w:hAnsi="Courier New"/>
          <w:sz w:val="15"/>
          <w:szCs w:val="15"/>
          <w:color w:val="auto"/>
        </w:rPr>
      </w:pPr>
    </w:p>
    <w:p>
      <w:pPr>
        <w:ind w:left="429" w:hanging="429"/>
        <w:spacing w:after="0"/>
        <w:tabs>
          <w:tab w:leader="none" w:pos="42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Logos</w:t>
      </w:r>
    </w:p>
    <w:p>
      <w:pPr>
        <w:spacing w:after="0" w:line="172" w:lineRule="exact"/>
        <w:rPr>
          <w:rFonts w:ascii="Courier New" w:cs="Courier New" w:eastAsia="Courier New" w:hAnsi="Courier New"/>
          <w:sz w:val="15"/>
          <w:szCs w:val="15"/>
          <w:color w:val="auto"/>
        </w:rPr>
      </w:pPr>
    </w:p>
    <w:p>
      <w:pPr>
        <w:ind w:left="429" w:hanging="429"/>
        <w:spacing w:after="0"/>
        <w:tabs>
          <w:tab w:leader="none" w:pos="42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Screensavers</w:t>
      </w:r>
    </w:p>
    <w:p>
      <w:pPr>
        <w:sectPr>
          <w:pgSz w:w="11900" w:h="16838" w:orient="portrait"/>
          <w:cols w:equalWidth="0" w:num="2">
            <w:col w:w="7620" w:space="611"/>
            <w:col w:w="2008"/>
          </w:cols>
          <w:pgMar w:left="220" w:top="62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TV guide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Educational products</w:t>
      </w:r>
    </w:p>
    <w:p>
      <w:pPr>
        <w:spacing w:after="0" w:line="170" w:lineRule="exact"/>
        <w:rPr>
          <w:sz w:val="20"/>
          <w:szCs w:val="20"/>
          <w:color w:val="auto"/>
        </w:rPr>
      </w:pPr>
    </w:p>
    <w:p>
      <w:pPr>
        <w:sectPr>
          <w:pgSz w:w="11900" w:h="16838" w:orient="portrait"/>
          <w:cols w:equalWidth="0" w:num="4">
            <w:col w:w="180" w:space="360"/>
            <w:col w:w="1200" w:space="720"/>
            <w:col w:w="80" w:space="360"/>
            <w:col w:w="7339"/>
          </w:cols>
          <w:pgMar w:left="220" w:top="617"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Weather forecast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Games &amp; quizzes</w:t>
      </w:r>
    </w:p>
    <w:p>
      <w:pPr>
        <w:spacing w:after="0" w:line="204" w:lineRule="exact"/>
        <w:rPr>
          <w:sz w:val="20"/>
          <w:szCs w:val="20"/>
          <w:color w:val="auto"/>
        </w:rPr>
      </w:pPr>
    </w:p>
    <w:p>
      <w:pPr>
        <w:sectPr>
          <w:pgSz w:w="11900" w:h="16838" w:orient="portrait"/>
          <w:cols w:equalWidth="0" w:num="4">
            <w:col w:w="180" w:space="360"/>
            <w:col w:w="1400" w:space="520"/>
            <w:col w:w="80" w:space="360"/>
            <w:col w:w="7339"/>
          </w:cols>
          <w:pgMar w:left="220" w:top="617" w:right="1440" w:bottom="1440" w:gutter="0" w:footer="0" w:header="0"/>
          <w:type w:val="continuous"/>
        </w:sectPr>
      </w:pPr>
    </w:p>
    <w:p>
      <w:pPr>
        <w:spacing w:after="0" w:line="1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WAP and Other Emerging Mobile Phone Technologies. We are also focusing on developing products and services that can be utilized in emerging mobile phone technologies. For example, beginning in late 2002, Guangzhou NetEase derived wireless value-added services revenue under separate cooperative arrangements with China Mobile and China Unicom by providing wireless application protocol (known as WAP) services to mobile users with phones using the GPRS (General Packet Radio Service) and CDMA1X technology standards. More recently, in April 2003, we started to derive revenue from activities related to multi-media messaging services (known as MMS) under a cooperative agreement with China Mobile. We expect that our revenue derived from new services we develop that are compatible with these and other new mobile phone technologies will represent a larger portion of our wireless value-added services revenue in the future as these new technologies becomes more widely available.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 Games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Massively Multi-player Online Role-Playing Games. In 2001, we began offering massively multi-player online role-playing games. As part of this initiative, we acquired technology assets from Guangzhou Tianxia Technology Co. Ltd., a China-based game software developer which we believe was the first company to introduce a domestically developed massively multi-player online role-playing game to the China market. We launched our first massively multi-player online role-playing game, "Westward Journey Online," in December 2001. In connection with the introduction of this game, we introduced a prepaid debit point card which has facilitated the usability and growth of our online game services and, to a lesser extent, of our other fee-based value-added services. To address the difficulty of making online payments in China, users can buy this card at local stores and other locations in China. The points contained in the card can then be used to pay for our online services, such as playing time for online games. Subsequently, we launched "Westward Journey Online Version 2.0" and a massively multi-player online role-playing game licensed from a Korean company, "PristonTale," in August 2002. For the month of March 31, 2003, our online games had an average of 85,000 concurrent users and a total of 890,000 unique users.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Partnerships and Strategic Alliances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We have entered into partnerships and strategic alliances with companies that complement our products and services in a number of areas.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Content Partnerships and Alliances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With our content partnerships, our users have access to a broad offering of Chinese language content through the NetEase Web sites and our wireless value-added services. Our content partners display their content on one or more of the NetEase Web sites and media channels free of charge or in exchange for a share of revenue, a licensing fee, online advertising, access to original content produced by the NetEase community or a combination of these arrangements. We distribute this content through our content distribution system to Guangzhou NetEase, which determines the appropriate content to publish on the NetEase Web sites and to distribute to users of our wireless value-added services. Our content alliances are generally non-exclusive.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Payment Solutions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have partnered with several domestic companies to facilitate e-commerce transactions, including China Merchants Bank, Capinfo (formerly China Information Highway Corporation), iPayment and ChinaPay. Through these partnerships, we can provide secure and reliable online payment solutions.</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News Corporation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the issuance of our Series B preference shares,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entered into an agreement with News Digital Ventures, an affiliate of The News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Limited, which provided for cooperation between us and The News</w:t>
      </w:r>
    </w:p>
    <w:p>
      <w:pPr>
        <w:spacing w:after="0" w:line="237" w:lineRule="auto"/>
        <w:rPr>
          <w:sz w:val="20"/>
          <w:szCs w:val="20"/>
          <w:color w:val="auto"/>
        </w:rPr>
      </w:pPr>
      <w:r>
        <w:rPr>
          <w:rFonts w:ascii="Courier New" w:cs="Courier New" w:eastAsia="Courier New" w:hAnsi="Courier New"/>
          <w:sz w:val="15"/>
          <w:szCs w:val="15"/>
          <w:color w:val="auto"/>
        </w:rPr>
        <w:t>Corporation. As part of the consideration for the issuance of our Series B</w:t>
      </w:r>
    </w:p>
    <w:p>
      <w:pPr>
        <w:spacing w:after="0" w:line="238" w:lineRule="auto"/>
        <w:rPr>
          <w:sz w:val="20"/>
          <w:szCs w:val="20"/>
          <w:color w:val="auto"/>
        </w:rPr>
      </w:pPr>
      <w:r>
        <w:rPr>
          <w:rFonts w:ascii="Courier New" w:cs="Courier New" w:eastAsia="Courier New" w:hAnsi="Courier New"/>
          <w:sz w:val="15"/>
          <w:szCs w:val="15"/>
          <w:color w:val="auto"/>
        </w:rPr>
        <w:t>preference shares, The News Corporation and its affiliates have agreed to</w:t>
      </w:r>
    </w:p>
    <w:p>
      <w:pPr>
        <w:spacing w:after="0" w:line="237" w:lineRule="auto"/>
        <w:rPr>
          <w:sz w:val="20"/>
          <w:szCs w:val="20"/>
          <w:color w:val="auto"/>
        </w:rPr>
      </w:pPr>
      <w:r>
        <w:rPr>
          <w:rFonts w:ascii="Courier New" w:cs="Courier New" w:eastAsia="Courier New" w:hAnsi="Courier New"/>
          <w:sz w:val="15"/>
          <w:szCs w:val="15"/>
          <w:color w:val="auto"/>
        </w:rPr>
        <w:t>provide us with on-air advertising and promotional inventory with a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US$5 million on The News Corporation's media properties, including Channel [V],</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ESPN Star Sports, Phoenix TV and STAR TV. As of May 31, 2003, we had used US$3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the inventory and agreed to use the remaining inventory by March 28,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 In addition, The News Corporation and its affiliates have agreed to spend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US$5 million on online advertising on the NetEase Web sites. As of May 31,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News Corporation had used approximately US$1 million of this advertising</w:t>
      </w:r>
    </w:p>
    <w:p>
      <w:pPr>
        <w:spacing w:after="0" w:line="237" w:lineRule="auto"/>
        <w:rPr>
          <w:sz w:val="20"/>
          <w:szCs w:val="20"/>
          <w:color w:val="auto"/>
        </w:rPr>
      </w:pPr>
      <w:r>
        <w:rPr>
          <w:rFonts w:ascii="Courier New" w:cs="Courier New" w:eastAsia="Courier New" w:hAnsi="Courier New"/>
          <w:sz w:val="15"/>
          <w:szCs w:val="15"/>
          <w:color w:val="auto"/>
        </w:rPr>
        <w:t>inventory and agreed to use the remaining amount by March 28, 2004. All other</w:t>
      </w:r>
    </w:p>
    <w:p>
      <w:pPr>
        <w:spacing w:after="0" w:line="238" w:lineRule="auto"/>
        <w:rPr>
          <w:sz w:val="20"/>
          <w:szCs w:val="20"/>
          <w:color w:val="auto"/>
        </w:rPr>
      </w:pPr>
      <w:r>
        <w:rPr>
          <w:rFonts w:ascii="Courier New" w:cs="Courier New" w:eastAsia="Courier New" w:hAnsi="Courier New"/>
          <w:sz w:val="15"/>
          <w:szCs w:val="15"/>
          <w:color w:val="auto"/>
        </w:rPr>
        <w:t>aspects of our strategic cooperation agreement with The News Corporation</w:t>
      </w:r>
    </w:p>
    <w:p>
      <w:pPr>
        <w:spacing w:after="0" w:line="237" w:lineRule="auto"/>
        <w:rPr>
          <w:sz w:val="20"/>
          <w:szCs w:val="20"/>
          <w:color w:val="auto"/>
        </w:rPr>
      </w:pPr>
      <w:r>
        <w:rPr>
          <w:rFonts w:ascii="Courier New" w:cs="Courier New" w:eastAsia="Courier New" w:hAnsi="Courier New"/>
          <w:sz w:val="15"/>
          <w:szCs w:val="15"/>
          <w:color w:val="auto"/>
        </w:rPr>
        <w:t>terminated in March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Sales Organization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believe the growing number of Internet users in China represents an attractive demographic target for advertisers because it represents an affluent, educated and technically sophisticated market. To capitalize on this advertising opportunity, we established an advertising sales force in May 1999.</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Guangyitong Advertising sells banner advertisements on the NetEase Web sites, including animated and interactive banner advertisements, button advertisements, sponsorships, text links as well as advertising on our electronic newsletters. In addition, we have been appointed by Guangzhou NetEase to solicit advertising customers outside of China for the NetEase Web sites. Together with Guangyitong Advertising, we had 49 advertising sales professionals located in Beijing, Shanghai and Guangzhou as of May 31, 2003. In addition, online advertising on the NetEase Web sites is also sold through online advertising sales networks and advertising agencies. We believe that our focus on widely-used services that are designed to appeal to a broad base of Internet users attracts a variety of blue chip advertisers, ranging from technology products to consumer brands (including increasingly Chinese companies).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 sites that feature movies or television series, athletic events, music awards, charity concerts and industry exhibitions.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Furthermore, we perform analyses of our registered users' habits and preferences on a frequent basis and have used that information to tailor our advertising services. For example, we can deliver advertisements via electronic greeting cards to users who fit within certain criteria based on their user profile. By developing user profiles and user behavior analyses, we intend to increase our ability to target specific user groups and thereby identify users who are attractive to online advertisers.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Marketing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employ a variety of traditional and online marketing programs and promotional activities to build our brand as part of our overall marketing strategy. In an effort to control our costs, we reduced the financial and other resources devoted to our marketing and branding efforts in 2001. However, we continue to build brand awareness through proactive public relations and traditional and online advertising, and during 2002, we conducted an increasing number of traditional marketing events promoting specific products and services, such as wireless value-added services, online games and other fee-based premium services. We plan to continue investing in various forms of marketing to further build awareness of our brand.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an integral part of our future success will depend on our ability to develop and enhance our products and services. Our product development efforts and strategies consist of incorporating new technologies from third parties as well as continuing to develop our own proprietary technology in order to produce user-friendly Internet applications, services and technologies for the Chinese market.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utilized and will continue to utilize the products and services of third parties to enhance our platform of technologies and services to provide competitive and diverse Internet services to our users. We also have utilized and will continue to utilize third-party advertisement serving technologies in conjunction with our own proprietary software. In addition, we plan to continue to expand our technologies, products and services and registered user base through diverse online products and services developed internally. We will seek to continually improve and enhance our existing products and services to respond to rapidly evolving competitive and technological conditions. Two areas of particular focus are the development of our proprietary online games and our wireless value-added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Infrastructure and Technology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infrastructure and technology have been designed for reliability, scalability and flexibility and are administered by our technical staff. The NetEase Web sites are made available primarily through network servers co-located in the facilities of China Netcom's Beijing affiliate (this was an affiliate of China Telecom until its reorganization) and China Telecom's Changzhou affiliate. As of May 31, 2003, there were 1,056 such co-located servers, operating with Web server software from Apache and Netscape. We lease dedicated lines with 900 megabits per second capacity from China Netcom's Beijing affiliate as well as shared lines from China Telecom's Changzhou affiliate.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license and optimize StoryServer from Vignette Corporation to provide efficient and responsive management of the content on www.163.com, the main homepage of the NetEase Web sites. We also license NetGravity's advertisement serving technology to provide internal advertising inventory management, and we have developed our own advertisement tracking system.</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Web directory is based on an open architecture system with over 3,000 volunteer editors. We use Oracle's database systems to manage our registered user database. NetEase has established a comprehensive user profile system, and we analyze user information on a weekly basis. We also deploy a single sign-on system that allows users to access all services within the NetEase Web sites. We intend to continue to use a combination of internally developed software products as well as third party products to enhance our Internet media services in the future.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Historically, advertising and e-commerce revenues followed the same general seasonal trend throughout each year with the first quarter of the year being the weakest quarter due to the Chinese New Year holiday and the traditional close of advertisers' annual budgets and the fourth quarter as the strongest. Although we have only limited historical data, usage of our wireless value-added services and online games has typically increased around the Chinese New Year holiday and other Chinese holidays, in particular winter and summer school holidays. Our holiday-related electronic greeting cards have been especially popular during those periods.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 number of companies offer competitive products or services in China, our main operating market. These include Sina, Sohu, Tom.com, 263.net, Chinadotcom and 21cn.com.</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also face competition from U.S.-based portals such as Yahoo! and Yahoo! Chinese which have translated some of their content from the English language to the Chinese language. We expect that China's entry into the World Trade Organization, and the resulting gradual opening of its telecommunications sector, may facilitate more foreign participation in the Chinese Internet market.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Finally, we face competition from Web sites that operate outside our market and offer content in the English language, which may be attractive to a portion of Chinese Internet users.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Further, we face competition from other Web sites that offer online community products and from other e-commerce service providers servicing our market including Sina, Sohu, Tom.com and Tencent.com. Moreover, Sina, Sohu and Tom.com are major providers of wireless value-added services in the China market, and like our company, they also have partnership arrangements with both China Mobile and China Unicom, the two current mobile phone operators in China. Although the number of competitors for SMS services did not grow materially in 2002, there has been a recent consolidation in the industry, resulting in an overall strengthening of competition in 2003.</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also encountering competition from companies offering massively multi-player online role-playing games that target the China market, such as Shanda Networking, Softworld, Joypark and Waei International (with whom we had a strategic partnership until March 2002). Additionally, the producers of traditional video game consoles, such as Sony's Play Station 2 and Microsoft's Xbox, offer massively multi-player games to their users, although the consoles and games have not yet been released in China. Some of our existing and potential competitors in these areas have significantly greater financial and marketing resources than we do.</w:t>
      </w:r>
    </w:p>
    <w:p>
      <w:pPr>
        <w:spacing w:after="0" w:line="1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future, we expect to face increased competition from new Internet media companies that choose to target general, special interest and/or demographic markets (such as vertical portals). We may encounter indirect competition from providers of Web-based software and other Internet related products. We also compete with traditional forms of media for advertising-related revenue. Further, we compete with domestic and multi-national Internet solutions providers. There can be no assurance that we will be able to compete successfully against our current or future competitors or that competition will not have a material adverse effect on our business, results of operations and financial condition.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the principal competitive factors in the Internet market in</w:t>
      </w:r>
    </w:p>
    <w:p>
      <w:pPr>
        <w:spacing w:after="0" w:line="237" w:lineRule="auto"/>
        <w:rPr>
          <w:sz w:val="20"/>
          <w:szCs w:val="20"/>
          <w:color w:val="auto"/>
        </w:rPr>
      </w:pPr>
      <w:r>
        <w:rPr>
          <w:rFonts w:ascii="Courier New" w:cs="Courier New" w:eastAsia="Courier New" w:hAnsi="Courier New"/>
          <w:sz w:val="15"/>
          <w:szCs w:val="15"/>
          <w:color w:val="auto"/>
        </w:rPr>
        <w:t>China are: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7" w:name="page38"/>
    <w:bookmarkEnd w:id="37"/>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brand recognition;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user-friendliness;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Internet users in China;</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technology tailored for the Chinese Internet industry;</w:t>
      </w:r>
    </w:p>
    <w:p>
      <w:pPr>
        <w:spacing w:after="0" w:line="178" w:lineRule="exact"/>
        <w:rPr>
          <w:sz w:val="20"/>
          <w:szCs w:val="20"/>
          <w:color w:val="auto"/>
        </w:rPr>
      </w:pPr>
    </w:p>
    <w:p>
      <w:pPr>
        <w:ind w:left="880" w:right="4019" w:hanging="433"/>
        <w:spacing w:after="0" w:line="234" w:lineRule="auto"/>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comprehensiveness, quality and responsiveness of products and services;</w:t>
      </w:r>
    </w:p>
    <w:p>
      <w:pPr>
        <w:spacing w:after="0" w:line="167" w:lineRule="exact"/>
        <w:rPr>
          <w:sz w:val="20"/>
          <w:szCs w:val="20"/>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targeted content; and</w:t>
      </w:r>
    </w:p>
    <w:p>
      <w:pPr>
        <w:spacing w:after="0" w:line="173" w:lineRule="exact"/>
        <w:rPr>
          <w:sz w:val="20"/>
          <w:szCs w:val="20"/>
          <w:color w:val="auto"/>
        </w:rPr>
      </w:pPr>
    </w:p>
    <w:p>
      <w:pPr>
        <w:ind w:left="880" w:right="3499" w:hanging="433"/>
        <w:spacing w:after="0" w:line="234"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personalized experience and online community applications, services and technologies.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Regulations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telecommunications industry, including computer information and Internet access services, is highly regulated by the Chinese government. Regulations issued or implemented by the State Council, the Ministry of Information Industry, or the MII, and other relevant government authorities cover virtually every aspect of telecommunications network operation, including entry into the telecommunications industry, the scope of permissible business activities, interconnection and transmission line arrangements, tariff policy and foreign investment.</w:t>
      </w:r>
    </w:p>
    <w:p>
      <w:pPr>
        <w:spacing w:after="0" w:line="177"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March 1998, the National People's Congress approved a government restructuring plan that directed the MII to assume, among other things, the regulatory, administrative and other responsibilities of, and rights previously exercised by, the former Ministry of Posts and Telecommunications.</w:t>
      </w:r>
    </w:p>
    <w:p>
      <w:pPr>
        <w:spacing w:after="0" w:line="16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MII, under the leadership of the State Council, is responsible for, among other things:</w:t>
      </w:r>
    </w:p>
    <w:p>
      <w:pPr>
        <w:spacing w:after="0" w:line="173" w:lineRule="exact"/>
        <w:rPr>
          <w:sz w:val="20"/>
          <w:szCs w:val="20"/>
          <w:color w:val="auto"/>
        </w:rPr>
      </w:pPr>
    </w:p>
    <w:p>
      <w:pPr>
        <w:ind w:left="880" w:right="4019" w:hanging="433"/>
        <w:spacing w:after="0" w:line="234" w:lineRule="auto"/>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formulating and enforcing telecommunications industry policy, standards and regulations;</w:t>
      </w:r>
    </w:p>
    <w:p>
      <w:pPr>
        <w:spacing w:after="0" w:line="173" w:lineRule="exact"/>
        <w:rPr>
          <w:sz w:val="20"/>
          <w:szCs w:val="20"/>
          <w:color w:val="auto"/>
        </w:rPr>
      </w:pPr>
    </w:p>
    <w:p>
      <w:pPr>
        <w:ind w:left="880" w:right="3499" w:hanging="433"/>
        <w:spacing w:after="0" w:line="234" w:lineRule="auto"/>
        <w:tabs>
          <w:tab w:leader="none" w:pos="8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granting licenses to provide telecommunications and Internet access services;</w:t>
      </w:r>
    </w:p>
    <w:p>
      <w:pPr>
        <w:spacing w:after="0" w:line="173" w:lineRule="exact"/>
        <w:rPr>
          <w:sz w:val="20"/>
          <w:szCs w:val="20"/>
          <w:color w:val="auto"/>
        </w:rPr>
      </w:pPr>
    </w:p>
    <w:p>
      <w:pPr>
        <w:ind w:left="880" w:right="3319" w:hanging="433"/>
        <w:spacing w:after="0" w:line="234" w:lineRule="auto"/>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formulating tariff and service charge policies for telecommunications and Internet access services;</w:t>
      </w:r>
    </w:p>
    <w:p>
      <w:pPr>
        <w:spacing w:after="0" w:line="173" w:lineRule="exact"/>
        <w:rPr>
          <w:sz w:val="20"/>
          <w:szCs w:val="20"/>
          <w:color w:val="auto"/>
        </w:rPr>
      </w:pPr>
    </w:p>
    <w:p>
      <w:pPr>
        <w:ind w:left="880" w:right="3759" w:hanging="433"/>
        <w:spacing w:after="0" w:line="234" w:lineRule="auto"/>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supervising operations of telecommunications and Internet access service providers;</w:t>
      </w:r>
    </w:p>
    <w:p>
      <w:pPr>
        <w:spacing w:after="0" w:line="173" w:lineRule="exact"/>
        <w:rPr>
          <w:sz w:val="20"/>
          <w:szCs w:val="20"/>
          <w:color w:val="auto"/>
        </w:rPr>
      </w:pPr>
    </w:p>
    <w:p>
      <w:pPr>
        <w:ind w:left="880" w:hanging="433"/>
        <w:spacing w:after="0"/>
        <w:tabs>
          <w:tab w:leader="none" w:pos="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fair and orderly market competition among operators; and</w:t>
      </w:r>
    </w:p>
    <w:p>
      <w:pPr>
        <w:spacing w:after="0" w:line="178" w:lineRule="exact"/>
        <w:rPr>
          <w:sz w:val="20"/>
          <w:szCs w:val="20"/>
          <w:color w:val="auto"/>
        </w:rPr>
      </w:pPr>
    </w:p>
    <w:p>
      <w:pPr>
        <w:ind w:left="880" w:right="4639" w:hanging="433"/>
        <w:spacing w:after="0" w:line="234" w:lineRule="auto"/>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the day-to-day administration of the national telecommunications sector.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September 2000, China's State Council promulgated the Telecommunications Regulations, or the Telecom Regulations. The Telecom Regulations categorize all telecommunications businesses in China as either infrastructure telecommunications businesses or value-added telecommunications businesses, with Internet content provider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8" w:name="page39"/>
    <w:bookmarkEnd w:id="38"/>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2001, in order to comply with China's commitments with respect to its entry into the WTO, the State Council promulgated the Administrative Rules for Foreign Investments in Telecommunications Enterprises, or the Telecom FIE Rules. The Telecom FIE Rules set forth detailed requirements with respect to capitalization, investor qualifications and application procedures in connection with the establishment of a foreign invested telecom enterprise. Pursuant to the Telecom FIE Rules, foreign investors may now hold an aggregate of no more than 49% of the total equity in any value-added telecommunications business in China, subject to certain geographic limitations. This percentage ceiling is to be increased to 50% by the second anniversary of China's entry into the WTO.</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the regulations promulgated by the central Chinese government, some local governments have also promulgated local rules applicable to Internet companies operating within their respective jurisdictions. In Beijing, where our head office is located, the Beijing Municipal Administrative Bureau of Industry and Commerce, or the Beijing AIC, has promulgated a number of Internet-related rules. In September 2000, the Beijing AIC invalidated a previously issued circular and adopted a new set of rules requiring owners of the domain names of commercial Web sites located within Beijing to conduct both a Web site name registration and a commercial Web site registration with the Beijing AIC. In March 2001, the Beijing AIC also promulgated the Online Advertising Tentative Administrative Measures requiring all ICPs within Beijing which provide online advertising services to obtain an advertising operating license. In addition, the Beijing AIC issued a circular requiring bulletin board services (BBS) providers to obtain approval from the Beijing AIC. Since these local rules or circulars promulgated by the Beijing AIC do not explicitly require a non-Beijing registered Internet company or a non-ICP company to comply with these rules or circulars and it is not clear under the rules that the NetEase Web sites are "located within Beijing," we believe that these local rules do not apply to Guangzhou NetEase and NetEase Beijing.</w:t>
      </w:r>
    </w:p>
    <w:p>
      <w:pPr>
        <w:spacing w:after="0" w:line="33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Regulation of Internet Content Services; Publications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Subsequent to the State Council's promulgation of the Telecom Regulations in September 2000, MII formulated and implemented a number of Internet-related regulations, including but not limited to the Internet Information Service Administrative Measures, or the ICP Measures, the Internet Electronic Bulletin Board Service Administrative Measures, or the BBS Measures, and the Tentative Administrative Measures Concerning Internet Portals Carrying on the News Displaying Business, or the Internet News Measures. The ICP Measures require that commercial ICP operators must obtain an ICP license from the appropriate telecommunications authorities in order to carry on any commercial ICP operations within China. In addition, the ICP Measures also provide that ICP operators which operate in sensitive and strategic sectors, including news, publishing, education, health care, medicine and medical devices, must obtain additional approvals from the relevant authorities in charge of those sectors as well. The BBS Measures provide that any ICP operator engaged in providing online bulletin board services is subject to a special approval and filing process with the relevant government telecommunications authorities. The Internet News Measures require that any ICP operator engaging in any news displaying services must obtain approval for those services from the appropriate government news department.</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Ministry of Health and the State Drug Administration have also adopted regulations regarding the online dissemination of online health- or drug-related information. These regulations require that, among other things, medical, health and drug information must be scientific and accurate and the sources of the information must be identified. Web sites which have received approval to disseminate such information must also publish or reprint health policies, information on epidemics and major health-related incidents and other information in this area in accordance with law. Medical and drug-related advertisements published by such Web sites are also prohibited from exaggerating the efficacy or promoting the medical uses of the advertised products.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9" w:name="page40"/>
    <w:bookmarkEnd w:id="39"/>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the State News and Publication Bureau, or SNPB, is the government agency responsible for regulating publishing activities in China. On June 27, 2002, MII and SNPB jointly promulgated the Internet Publishing Tentative Administrative Measures, or the Internet Publishing Measures, which took effect on August 1, 2002. The Internet Publishing Measures require Internet publishers to secure approval from SNPB.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etc. that have already been formally published or works that have been made public in other media) and subsequently post the same on the Internet or transmit the same to users via the Internet for browsing, use or downloading by the public.</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Currently, the NetEase Web sites are operated by our affiliated company, Guangzhou NetEase Computer System Co., Ltd., or Guangzhou NetEase. To operate the NetEase Web sites in compliance with all the relevant ICP-related Chinese regulations, Guangzhou NetEase has successfully obtained an ICP license issued by the Guangdong Provincial Telecommunications Bureau dated as of December 14, 2000. On February 15, 2001, the News Office of the Beijing Municipal People's Government approved Guangzhou NetEase's application in respect of its news displaying services on the NetEase Web sites. Our current ICP license also authorizes Guangzhou NetEase to provide bulletin board services. As for special approvals for other online services, Guangzhou NetEase has submitted applications for online dissemination of health- and drug-related information and Internet publishing.</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Under the relevant regulations, ICP operators and Internet publishers are prohibited from posting or displaying any content that:</w:t>
      </w:r>
    </w:p>
    <w:p>
      <w:pPr>
        <w:spacing w:after="0" w:line="173" w:lineRule="exact"/>
        <w:rPr>
          <w:sz w:val="20"/>
          <w:szCs w:val="20"/>
          <w:color w:val="auto"/>
        </w:rPr>
      </w:pPr>
    </w:p>
    <w:p>
      <w:pPr>
        <w:ind w:left="880" w:hanging="433"/>
        <w:spacing w:after="0"/>
        <w:tabs>
          <w:tab w:leader="none" w:pos="8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opposes the fundamental principles determined in China's Constitution;</w:t>
      </w:r>
    </w:p>
    <w:p>
      <w:pPr>
        <w:spacing w:after="0" w:line="178" w:lineRule="exact"/>
        <w:rPr>
          <w:sz w:val="20"/>
          <w:szCs w:val="20"/>
          <w:color w:val="auto"/>
        </w:rPr>
      </w:pPr>
    </w:p>
    <w:p>
      <w:pPr>
        <w:ind w:left="880" w:right="3579" w:hanging="433"/>
        <w:spacing w:after="0" w:line="234"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compromises state security, divulges state secrets, subverts state power or damages national unity;</w:t>
      </w:r>
    </w:p>
    <w:p>
      <w:pPr>
        <w:spacing w:after="0" w:line="167" w:lineRule="exact"/>
        <w:rPr>
          <w:sz w:val="20"/>
          <w:szCs w:val="20"/>
          <w:color w:val="auto"/>
        </w:rPr>
      </w:pPr>
    </w:p>
    <w:p>
      <w:pPr>
        <w:ind w:left="880" w:hanging="433"/>
        <w:spacing w:after="0"/>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harms the dignity or interests of the state;</w:t>
      </w:r>
    </w:p>
    <w:p>
      <w:pPr>
        <w:spacing w:after="0" w:line="173" w:lineRule="exact"/>
        <w:rPr>
          <w:sz w:val="20"/>
          <w:szCs w:val="20"/>
          <w:color w:val="auto"/>
        </w:rPr>
      </w:pPr>
    </w:p>
    <w:p>
      <w:pPr>
        <w:ind w:left="880" w:right="3239" w:hanging="433"/>
        <w:spacing w:after="0" w:line="234" w:lineRule="auto"/>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incites ethnic hatred or racial discrimination or damages inter-ethnic unity;</w:t>
      </w:r>
    </w:p>
    <w:p>
      <w:pPr>
        <w:spacing w:after="0" w:line="173" w:lineRule="exact"/>
        <w:rPr>
          <w:sz w:val="20"/>
          <w:szCs w:val="20"/>
          <w:color w:val="auto"/>
        </w:rPr>
      </w:pPr>
    </w:p>
    <w:p>
      <w:pPr>
        <w:ind w:left="880" w:right="3399" w:hanging="433"/>
        <w:spacing w:after="0" w:line="234" w:lineRule="auto"/>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sabotages China's religious policy or propagates heretical teachings or feudal superstitions;</w:t>
      </w:r>
    </w:p>
    <w:p>
      <w:pPr>
        <w:spacing w:after="0" w:line="173" w:lineRule="exact"/>
        <w:rPr>
          <w:sz w:val="20"/>
          <w:szCs w:val="20"/>
          <w:color w:val="auto"/>
        </w:rPr>
      </w:pPr>
    </w:p>
    <w:p>
      <w:pPr>
        <w:ind w:left="880" w:right="4019" w:hanging="433"/>
        <w:spacing w:after="0" w:line="234" w:lineRule="auto"/>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disseminates rumors, disturbs social order or disrupts social stability;</w:t>
      </w:r>
    </w:p>
    <w:p>
      <w:pPr>
        <w:spacing w:after="0" w:line="173" w:lineRule="exact"/>
        <w:rPr>
          <w:sz w:val="20"/>
          <w:szCs w:val="20"/>
          <w:color w:val="auto"/>
        </w:rPr>
      </w:pPr>
    </w:p>
    <w:p>
      <w:pPr>
        <w:ind w:left="880" w:right="3319" w:hanging="433"/>
        <w:spacing w:after="0" w:line="234"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propagates obscenity, pornography, gambling, violence, murder or fear or incites the commission of crimes;</w:t>
      </w:r>
    </w:p>
    <w:p>
      <w:pPr>
        <w:spacing w:after="0" w:line="173" w:lineRule="exact"/>
        <w:rPr>
          <w:sz w:val="20"/>
          <w:szCs w:val="20"/>
          <w:color w:val="auto"/>
        </w:rPr>
      </w:pPr>
    </w:p>
    <w:p>
      <w:pPr>
        <w:ind w:left="880" w:right="3319" w:hanging="433"/>
        <w:spacing w:after="0" w:line="234"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insults or slanders a third party or infringes upon the lawful rights and interests of a third party; or</w:t>
      </w:r>
    </w:p>
    <w:p>
      <w:pPr>
        <w:spacing w:after="0" w:line="173" w:lineRule="exact"/>
        <w:rPr>
          <w:sz w:val="20"/>
          <w:szCs w:val="20"/>
          <w:color w:val="auto"/>
        </w:rPr>
      </w:pPr>
    </w:p>
    <w:p>
      <w:pPr>
        <w:ind w:left="880" w:right="4199" w:hanging="433"/>
        <w:spacing w:after="0" w:line="234"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other content prohibited by laws or administrative regulations.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Failure to comply with this content censorship requirement may result in the revocation of ICP licenses and the closing down of the concerned Web sites. To ensure compliance with this regulatory requirement, Guangzhou NetEase has taken all reasonable steps to avoid displaying any of the prohibited content on the NetEase Web sites.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Regulation of Advertisements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State Administration of Industry and Commerce, or the SAIC, is the government agency responsible for regulating advertising activities in China. While there are no nation-wide uniform laws or regulations in China specifically governing online advertising businesses, certain local government authorities, such as the Beijing AIC, have issued a number of regulations governing online advertising businesses. The SAIC has not expressly asserted or issued any regulatory documents stating that the Internet is considered an advertising medium under its rules, nor has the SAIC extended its jurisdiction to online advertisements. However, we cannot predict what stance the SAIC or any other Chinese governmental agencies may adopt in the future.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Guangyitong Advertising holds an advertising operating license and operates our online advertising business on an exclusive basis. If the SAIC were to treat our current technological service to Guangyitong Advertising as being an online "Advertisement Publisher", we would need to apply to the local SAIC to amend our business license to authorize us to conduct an online advertising business in accordance with the Administrative Regulations on Advertising and the Detailed Implementing Rules thereof. We cannot assure you that such application would be approved by the SAIC. Failure to obtain such approval may result in penalties including:</w:t>
      </w:r>
    </w:p>
    <w:p>
      <w:pPr>
        <w:spacing w:after="0" w:line="172" w:lineRule="exact"/>
        <w:rPr>
          <w:sz w:val="20"/>
          <w:szCs w:val="20"/>
          <w:color w:val="auto"/>
        </w:rPr>
      </w:pPr>
    </w:p>
    <w:p>
      <w:pPr>
        <w:ind w:left="880" w:hanging="433"/>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banned from engaging in online advertising activities,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confiscation of illegal earnings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fines.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On the other hand, if an application were approved by the SAIC and we were deemed to be an online "Advertisement Publisher," we would be held responsible for examining relevant documents and verifying the content of advertisements we post online.</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Regulation of E-Commerce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present, there are no specific Chinese laws at the national level governing e-commerce or defining e-commerce activities, and no Chinese government authority has been designated to regulate e-commerce. There are existing regulations governing retail and auction businesses which require companies to obtain licenses in order to engage in these businesses. However, it is unclear whether these existing regulations will be applied to e-commerce. There is no assurance that the Chinese government will not, in the future, promulgate specific regulations governing e-commerce, designate a government agency to regulate e-commerce activities or apply existing retail and auction regulations to e-commerce activities, any of which events could restrict our business activities.</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at least one provincial government has adopted regulations in this area, and other provincial or local governmental agencies may do so in the future. Specifically, in December 2002, Guangdong Province promulgated the Electronic Transactions Regulations which require electronic transaction service providers to obtain governmental approval and regulate electronic signatures, records and contracts. It is not entirely clear whether these regulations apply to Guangzhou NetEase, and, accordingly, we have not sought any approvals under these regulations. However, our ability to operate our business may be adversely affected if the Guangdong provincial authorities determine that the regulations are applicable to Guangzhou NetEase. Further, the adoption of multiple e-commerce regulations by different provincial or local agencies could have a material adverse effect on our business, particularly if such regulations are inconsistent with each other.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Regulation of Wireless Value-Added Services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Similar to e-commerce activities, there are no specific Chinese laws at the national level governing wireless value-added services, such as our services related to SMS, and no Chinese government authority has been designated to regulate these services. At the moment, most, if not all, providers of SMS-related services have obtained ICP licenses such as the ICP license which our affiliate, Guangzhou NetEase, possesses. However, we cannot be certain that an ICP license will be deemed sufficient by the relevant governmental authorities for the provision of this category of service, and it is possible that new national legislation might be adopted to regulate such services.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Moreover, one province has adopted regulations on a trial basis that require SMS providers to obtain licenses from or register with the local MII branch office before conducting SMS operations in that province. Due to the uncertainty surrounding the applicability of these regulations, we have not applied for such provincial license. If these regulations are determined to be applicable to our business and/or additional provincial or local regulations arise in this area, our business could be adversely affected, particularly if such regulations are inconsistent with each other or we cannot obtain the requisite approvals.</w:t>
      </w:r>
    </w:p>
    <w:p>
      <w:pPr>
        <w:spacing w:after="0" w:line="17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Regulation of Online Games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May 10, 2003, the Ministry of Culture promulgated the Internet Culture Administration Tentative Measures, or Internet Culture Measures, which will come into effect on July 1, 2003. The Internet Culture Measures require Internet content providers which engage in "Internet Culture Activities" to submit an application for approval by the Ministry of Culture by September 1, 2003. The term "Internet Culture Activities" includes, among other things, acts of online dissemination of "Internet Cultural Products," such as audio-visual products, gaming products, performances of plays or programs, works of art and cartoons, and the production, reproduction, importation, sale (wholesale or retail), leasing and broadcasting of Internet Cultural Products. In addition, these regulations require a separate review of the content of any online games which are imported into China.</w:t>
      </w:r>
    </w:p>
    <w:p>
      <w:pPr>
        <w:spacing w:after="0" w:line="173"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We believe that our provision of online games will necessitate obtaining approval from the Ministry of Culture under the Internet Culture Measures and that any games which we import, such as PristonTale, will have to be reviewed.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Because the Internet Culture Measures are so new and have yet to be implemented, we cannot be certain whether we can obtain such approvals or how long the application process will take. In addition, it has been reported that the SNPB will be adopting regulations affecting online games, and we cannot be certain when these regulations will become effective, what form they will take or how they will affect our business.</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Foreign Exchange Controls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Our Chinese subsidiaries are subject to various foreign exchange controls which are discussed in Item 10 in this Form 20-F.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Proprietary Rights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rely primarily on a combination of copyright laws and contractual restrictions to establish and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42" w:name="page43"/>
    <w:bookmarkEnd w:id="42"/>
    <w:p>
      <w:pPr>
        <w:ind w:right="3239"/>
        <w:spacing w:after="0" w:line="235" w:lineRule="auto"/>
        <w:rPr>
          <w:sz w:val="20"/>
          <w:szCs w:val="20"/>
          <w:color w:val="auto"/>
        </w:rPr>
      </w:pPr>
      <w:r>
        <w:rPr>
          <w:rFonts w:ascii="Courier New" w:cs="Courier New" w:eastAsia="Courier New" w:hAnsi="Courier New"/>
          <w:sz w:val="15"/>
          <w:szCs w:val="15"/>
          <w:color w:val="auto"/>
        </w:rPr>
        <w:t>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 sites and the technology that enables on-line community, personalization and e-commerce services on those sites. We license content from various freelance providers and other content providers.</w:t>
      </w:r>
    </w:p>
    <w:p>
      <w:pPr>
        <w:spacing w:after="0" w:line="177"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have full legal rights over and have registered the following domain names with Network Solutions, Inc.:</w:t>
      </w:r>
    </w:p>
    <w:p>
      <w:pPr>
        <w:spacing w:after="0" w:line="167" w:lineRule="exact"/>
        <w:rPr>
          <w:sz w:val="20"/>
          <w:szCs w:val="20"/>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www.netease.com;</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www.163.com;</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www.yeah.net;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www.126.com;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www.nease.net.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China's trademark law adopts a "first-to-file" system for obtaining trademark rights. As a result, the first applicant to file an application for registration of a mark will preempt all other applicants. Prior use of an unregistered mark is generally irrelevant except for "well known" marks. Guangzhou NetEase and NetEase Beijing have successfully registered numerous trademarks with China's Trademark Office, including marks incorporating the words "NetEase" and "Yeah" in English and for marks for "NetEase" as written in Chinese in traditional and simplified Chinese characters. In addition, they have registered trademarks involving Chinese characters and phrases that have meanings relating to our Web pages, products and services, including our travel Web page, dating and friends matching services, chat services, online gaming and our search engine. Guangzhou NetEase has transferred all but two of those marks to us, and we will cause the remaining two marks to be transferred to us shortly. Guangzhou NetEase and NetEase Beijing also have applications pending for several other trademarks, and we will cause Guangzhou NetEase to transfer to us any of its newly registered trademarks. We may not be able to successfully defend or claim any legal rights in those trademarks that Guangzhou NetEase has registered but not yet transferred to us, and those trademarks for which applications have been made but for which the Trademark Office has not issued a registration certificate.</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have also registered a number of trademarks in Hong Kong incorporating the words "NetEase" in English and the marks for "NetEase" as written in Chinese in traditional and simplified Chinese characters. In addition, we have also filed similar trademark applications in the United States.</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Many parties are actively developing and seeking patent protection for community, e-commerce and related Web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and online direct marketing. Disputes over rights to these technologies are likely to</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3" w:name="page44"/>
    <w:bookmarkEnd w:id="43"/>
    <w:p>
      <w:pPr>
        <w:ind w:right="3239"/>
        <w:spacing w:after="0" w:line="235" w:lineRule="auto"/>
        <w:rPr>
          <w:sz w:val="20"/>
          <w:szCs w:val="20"/>
          <w:color w:val="auto"/>
        </w:rPr>
      </w:pPr>
      <w:r>
        <w:rPr>
          <w:rFonts w:ascii="Courier New" w:cs="Courier New" w:eastAsia="Courier New" w:hAnsi="Courier New"/>
          <w:sz w:val="15"/>
          <w:szCs w:val="15"/>
          <w:color w:val="auto"/>
        </w:rPr>
        <w:t>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Beginning in October 2001, four substantially identical purported class action complaints alleging violations of the federal securities laws were filed in the United States District Court for the Southern District of New York naming our company, certain of our current and former officers and directors, and the underwriters of our initial public offering as defendants. In general, the complaints alleged, among other things, that (i) our initial public offering violated the U.S. securities laws because the financial statements accompanying the offering's registration statement misstated our revenue; and (ii) we committed securities fraud by materially misstating our revenue in our 2000 financial statements.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parties to this litigation entered into a definitive settlement agreement to settle all claims, which was approved and declared final by the District Court on May 16, 2003. The aggregate settlement amount, which was paid to those persons who purchased our American Depositary Shares during the period from July 3, 2000 to August 31, 2001, was US$4.35 million. This settlement has been reflect in our third quarter and full-year financial statements for 2002 as a one-time charge.</w:t>
      </w:r>
    </w:p>
    <w:p>
      <w:pPr>
        <w:spacing w:after="0" w:line="169" w:lineRule="exact"/>
        <w:rPr>
          <w:sz w:val="20"/>
          <w:szCs w:val="20"/>
          <w:color w:val="auto"/>
        </w:rPr>
      </w:pPr>
    </w:p>
    <w:p>
      <w:pPr>
        <w:ind w:left="980" w:hanging="533"/>
        <w:spacing w:after="0"/>
        <w:tabs>
          <w:tab w:leader="none" w:pos="9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Structure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out the details of our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780" w:type="dxa"/>
            <w:vAlign w:val="bottom"/>
          </w:tcPr>
          <w:p>
            <w:pPr>
              <w:ind w:left="560"/>
              <w:spacing w:after="0"/>
              <w:rPr>
                <w:sz w:val="20"/>
                <w:szCs w:val="20"/>
                <w:color w:val="auto"/>
              </w:rPr>
            </w:pPr>
            <w:r>
              <w:rPr>
                <w:rFonts w:ascii="Courier New" w:cs="Courier New" w:eastAsia="Courier New" w:hAnsi="Courier New"/>
                <w:sz w:val="15"/>
                <w:szCs w:val="15"/>
                <w:color w:val="auto"/>
              </w:rPr>
              <w:t>Country of</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w w:val="96"/>
              </w:rPr>
              <w:t>Ownership</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7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Incorporation</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NetEase Information Technology (Beijing) Co., Ltd.</w:t>
            </w:r>
          </w:p>
        </w:tc>
        <w:tc>
          <w:tcPr>
            <w:tcW w:w="17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China</w:t>
            </w:r>
          </w:p>
        </w:tc>
        <w:tc>
          <w:tcPr>
            <w:tcW w:w="10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100%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NetEase Information Technology (Shanghai) Co., Ltd.</w:t>
            </w:r>
          </w:p>
        </w:tc>
        <w:tc>
          <w:tcPr>
            <w:tcW w:w="17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China</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100%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NetEase (U.S.) Inc.</w:t>
            </w: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U.S.</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100%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NetEase Interactive Entertainment Ltd.</w:t>
            </w: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British Virgin</w:t>
            </w:r>
          </w:p>
        </w:tc>
        <w:tc>
          <w:tcPr>
            <w:tcW w:w="10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100%</w:t>
            </w:r>
          </w:p>
        </w:tc>
      </w:tr>
      <w:tr>
        <w:trPr>
          <w:trHeight w:val="168"/>
        </w:trPr>
        <w:tc>
          <w:tcPr>
            <w:tcW w:w="4780" w:type="dxa"/>
            <w:vAlign w:val="bottom"/>
          </w:tcPr>
          <w:p>
            <w:pPr>
              <w:spacing w:after="0"/>
              <w:rPr>
                <w:sz w:val="14"/>
                <w:szCs w:val="14"/>
                <w:color w:val="auto"/>
              </w:rPr>
            </w:pPr>
          </w:p>
        </w:tc>
        <w:tc>
          <w:tcPr>
            <w:tcW w:w="17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Islands</w:t>
            </w:r>
          </w:p>
        </w:tc>
        <w:tc>
          <w:tcPr>
            <w:tcW w:w="1060" w:type="dxa"/>
            <w:vAlign w:val="bottom"/>
          </w:tcPr>
          <w:p>
            <w:pPr>
              <w:spacing w:after="0"/>
              <w:rPr>
                <w:sz w:val="14"/>
                <w:szCs w:val="14"/>
                <w:color w:val="auto"/>
              </w:rPr>
            </w:pPr>
          </w:p>
        </w:tc>
      </w:tr>
    </w:tbl>
    <w:p>
      <w:pPr>
        <w:spacing w:after="0" w:line="341" w:lineRule="exact"/>
        <w:rPr>
          <w:sz w:val="20"/>
          <w:szCs w:val="20"/>
          <w:color w:val="auto"/>
        </w:rPr>
      </w:pPr>
    </w:p>
    <w:p>
      <w:pPr>
        <w:ind w:right="4099" w:firstLine="437"/>
        <w:spacing w:after="0" w:line="261" w:lineRule="auto"/>
        <w:rPr>
          <w:sz w:val="20"/>
          <w:szCs w:val="20"/>
          <w:color w:val="auto"/>
        </w:rPr>
      </w:pPr>
      <w:r>
        <w:rPr>
          <w:rFonts w:ascii="Courier New" w:cs="Courier New" w:eastAsia="Courier New" w:hAnsi="Courier New"/>
          <w:sz w:val="14"/>
          <w:szCs w:val="14"/>
          <w:color w:val="auto"/>
        </w:rPr>
        <w:t>NetEase Interactive Entertainment Limited also has a wholly owned subsidiary, Guangzhou NetEase Interactive Entertainment Limited.</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Beijing NetEase Interactive Network Technology Co., Ltd., an 80% owned subsidiary, remained dormant since its establishment and was dissolved on October 11, 2002. In addition, NetEase (U.S.) Inc. was dormant in 2002, and we expect that it will remain so in the near-term.</w:t>
      </w:r>
    </w:p>
    <w:p>
      <w:pPr>
        <w:spacing w:after="0" w:line="169" w:lineRule="exact"/>
        <w:rPr>
          <w:sz w:val="20"/>
          <w:szCs w:val="20"/>
          <w:color w:val="auto"/>
        </w:rPr>
      </w:pPr>
    </w:p>
    <w:p>
      <w:pPr>
        <w:ind w:left="980" w:hanging="533"/>
        <w:spacing w:after="0"/>
        <w:tabs>
          <w:tab w:leader="none" w:pos="9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principal executive offices are currently located at Suite 1901, Tower E3, The Towers, Oriental Plaza, Dong Cheng District, Beijing, People's Republic of China 100738. We lease our principal executive offices at an effective annual rent of approximately US$0.4 million (RMB2.9 million), including management fees, for 1,592 square meters under a lease that expires in May 2006. We also occupy 756 square meters under a lease in Shanghai that expires in December 2004. Guangzhou NetEase occupies a total of 2,200 square meters under leases that expire in February 2005 and February 2006, respectively. We also have a lease for an office in the United States located in Newark, California. This lease expires in October 2005, but we are negotiating with the landlord for an early termination of it. We believe that we will be able to obtain adequate facilities, principally through the leasing of appropriate properties, to accommodate our future expansion plans.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4" w:name="page45"/>
    <w:bookmarkEnd w:id="44"/>
    <w:p>
      <w:pPr>
        <w:ind w:right="3319" w:firstLine="437"/>
        <w:spacing w:after="0" w:line="236" w:lineRule="auto"/>
        <w:rPr>
          <w:sz w:val="20"/>
          <w:szCs w:val="20"/>
          <w:color w:val="auto"/>
        </w:rPr>
      </w:pPr>
      <w:r>
        <w:rPr>
          <w:rFonts w:ascii="Courier New" w:cs="Courier New" w:eastAsia="Courier New" w:hAnsi="Courier New"/>
          <w:sz w:val="15"/>
          <w:szCs w:val="15"/>
          <w:color w:val="auto"/>
        </w:rPr>
        <w:t>We lease dedicated lines with a total capacity of approximately 900 megabits per second from China Netcom's Beijing affiliate under a contract expiring in September 2003. In addition, we lease shared lines from China Telecom's Changzhou affiliate under contracts expiring in June 2003, January 2004 and March 2004. Our bandwidth fees were approximately US$1.9 million for the year ended December 31, 2002 and approximately US$0.5 million for the first quarter of 2003.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5" w:name="page46"/>
    <w:bookmarkEnd w:id="45"/>
    <w:p>
      <w:pPr>
        <w:spacing w:after="0"/>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is based upon and should be read in conjunction with our consolidated financial statements and their related notes included in this annual report on Form 20-F. This report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Actual results could differ materially from those projected in the forward-looking statements. In evaluating our business, you should carefully consider the information provided under the caption "Risk Factors" in this annual report on Form 20-F. We caution you that our businesses and financial performance are subject to substantial risks and uncertainties.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NetEase is a leading Internet technology company in China. Our innovative online communities and personalized premium services, which allow registered users to interact with other community members, have established a large and stable user base for the NetEase Web sites which are operated by our affiliate. As of May 31, 2003, we had registered approximately 120 million accounts, and our average daily page views exceeded 280 million for the month ended May 31, 2003.</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2002, we continued to develop our various fee-based premium services and online entertainment services, including wireless value-added services, online games, premium e-mail services for individual users and other subscription-type products. Our fee-based revenue accounted for approximately 85% of our total revenue for the year ended December 31, 2002. We believe that we will continue to rely on advertising revenue as one of our significant revenue sources for the foreseeable future, but we anticipate that the revenue generated by these fee-based premium services and online entertainment services will continue to constitute the major portion of our future revenue.</w:t>
      </w:r>
    </w:p>
    <w:p>
      <w:pPr>
        <w:spacing w:after="0" w:line="16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We achieved a net profit of RMB16.3 million (US$2.0 million) for the year ended December 31, 2002 and generated positive operating cash flows of RMB26.8 million (US$3.2 million) during the year. Our accumulated deficit was reduced from RMB454.1 million (US$54.9 million) as of December 31, 2001 to RMB437.8 million (US$52.9 million) as of December 31, 2002. These accumulated losses have been funded principally with proceeds from the issuance of our American Depositary Shares at our initial public offering, which was completed in July 2000, and our previous private share offerings.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Corporate Structure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NetEase.com, Inc. was incorporated in the Cayman Islands on July 6, 1999 as an Internet technology company in China. As of December 31, 2002, we had four directly wholly owned subsidiaries, NetEase Information Technology (Beijing) Co., Ltd., or NetEase Beijing, NetEase Information Technology (Shanghai) Co., Ltd., or NetEase Shanghai, NetEase (U.S.) Inc., or NetEase US, and NetEase Interactive Entertainment Limited, or NetEase Interactive, which has a direct wholly owned subsidiary, Guangzhou NetEase Interactive Entertainment Limited, or Guangzhou Interactive.</w:t>
      </w:r>
    </w:p>
    <w:p>
      <w:pPr>
        <w:spacing w:after="0" w:line="177"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NetEase Beijing and NetEase Shanghai were established in China on August 30, 1999 and May 14, 2000, respectively. NetEase US was established in the United States of America on September 10, 1999. NetEase Interactive was established in the British Virgin Islands on April 12, 2002, and Guangzhou Interactive was established in China on October 15, 2002.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6" w:name="page47"/>
    <w:bookmarkEnd w:id="46"/>
    <w:p>
      <w:pPr>
        <w:ind w:right="3399" w:firstLine="787"/>
        <w:spacing w:after="0" w:line="255" w:lineRule="auto"/>
        <w:rPr>
          <w:sz w:val="20"/>
          <w:szCs w:val="20"/>
          <w:color w:val="auto"/>
        </w:rPr>
      </w:pPr>
      <w:r>
        <w:rPr>
          <w:rFonts w:ascii="Courier New" w:cs="Courier New" w:eastAsia="Courier New" w:hAnsi="Courier New"/>
          <w:sz w:val="14"/>
          <w:szCs w:val="14"/>
          <w:color w:val="auto"/>
        </w:rPr>
        <w:t>Apart from the above-mentioned wholly owned subsidiaries, we also established a joint venture company in China, Beijing NetEase Interactive Network Technology Co., Ltd., or NetEase INT. NetEase INT was established on November 28, 2000 by our company and NetEase Beijing, which owned 80% and 20%, respectively, of the equity interest in NetEase INT. NetEase INT remained dormant since its establishment and was dissolved on October 11, 2002.</w:t>
      </w:r>
    </w:p>
    <w:p>
      <w:pPr>
        <w:spacing w:after="0" w:line="16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As the exclusive Internet technology provider to Guangzhou NetEase Computer System Co. Ltd., or Guangzhou NetEase, we provide a variety of Internet applications, technologies and services to support Guangzhou NetEase's operation of the NetEase Web sites and our e-commerce related services.</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Guangzhou NetEase is a limited liability company organized under the laws of China and is controlled and owned by our principal shareholder. Guangzhou NetEase has been approved by the Chinese authorities to operate as an Internet content provider and operates the NetEase Web sites. Guangzhou NetEase's 80% owned subsidiary, Beijing Guangyitong Advertising Co., Ltd., or Guangyitong Advertising, is licensed by the Chinese authorities to operate an advertising business and engages in Internet-related advertising design, production and dissemination.</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entered into a series of contractual arrangements with Guangzhou NetEase and Guangyitong Advertising with respect to the operation of the NetEase Web sites and the provision of advertising services. Our services to Guangyitong Advertising constitute the majority of our advertising-related operations.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NetEase US remained inactive during the year ended December 31, 2002.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total revenue increased from RMB28.3 million in 2001 to RMB232.6 million (US$28.1 million) in 2002. We generate our revenue from advertising services, ecommerce and other services, and software licensing and related integration projects. In mid-1998, we changed our business model from a software developer to an Internet technology company. In July 1999, we began to offer e-commerce platforms and to provide online auction services in China through Guangzhou NetEase, a related party. Thereafter, we operated a co-branded auction Web site with EachNet which was ultimately terminated in July 2002, at which time we restarted our own online auction platform providing free auction services to our registered users until June 2003. In 2001, we also began focusing on fee-based premium services and online entertainment services, including wireless value-added services, online games, premium e-mail services and other subscription-type products. Our focus on these services continued throughout 2002.</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Other than revenue from our related parties, Guangzhou NetEase and Guangyitong Advertising, no customer individually accounted for greater than 10% of our total revenue for 2000, 2001 and 2002.</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Services Revenue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derive all our advertising services revenue from fees we earn from Guangyitong Advertising, a related party, for services that we provide in connection with advertisements placed on the NetEase Web sites and advertising-related technical consulting services. We have entered into an agreement with Guangyitong Advertising under which we are the exclusive provider of advertising-related technical consulting services to Guangyitong Advertising and under which we receive a service fee. The service fee that we charge includes substantially all of the advertising revenue of Guangyitong Advertising less all of the accrued expenses incurred by Guangyitong Advertising, and net of a 5% business tax, a 3% cultural development fee and certain surcharges that apply to these revenues.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7" w:name="page48"/>
    <w:bookmarkEnd w:id="47"/>
    <w:p>
      <w:pPr>
        <w:ind w:left="440"/>
        <w:spacing w:after="0"/>
        <w:rPr>
          <w:sz w:val="20"/>
          <w:szCs w:val="20"/>
          <w:color w:val="auto"/>
        </w:rPr>
      </w:pPr>
      <w:r>
        <w:rPr>
          <w:rFonts w:ascii="Courier New" w:cs="Courier New" w:eastAsia="Courier New" w:hAnsi="Courier New"/>
          <w:sz w:val="15"/>
          <w:szCs w:val="15"/>
          <w:color w:val="auto"/>
        </w:rPr>
        <w:t>E-commerce and Other Services Revenue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currently derive all our e-commerce and other services revenue from fees earned pursuant to a series of agreements with Guangzhou NetEase, a related party, under which we provide Internet portal and e-commerce technologies and advertising services to Guangzhou NetEase in exchange for a service fee. The service fee that we charge includes substantially all of the e-commerce and other services revenue recognized by Guangzhou NetEase, net of a 5.5% business tax and certain surcharges that apply to these revenues. Prior to 2001, we derived our e-commerce related services revenues from third parties as well as from Guangzhou NetEase.</w:t>
      </w:r>
    </w:p>
    <w:p>
      <w:pPr>
        <w:spacing w:after="0" w:line="178"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Guangzhou NetEase earns its e-commerce related services revenue from wireless value-added services, online games and other fee-based premium services.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Wireless Value-Added Services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Guangzhou NetEase receives wireless value-added services revenue which are currently predominantly derived from activities related to short messaging services (known as SMS). Guangzhou NetEase derives wireless value-added services revenue principally from providing value-added services through SMS to users such as friends matching, news and information services, ring-tone and logo downloads and various other related products that mobile phone users can access under co-operative arrangements between Guangzhou NetEase and two Chinese mobile phone operators, China Mobile and China Unicom. Recently, there has been a consolidation in the market for products and services for users of SMS, resulting in an overall strengthening of competition in 2003. To maintain and grow our position in this market, we intend to continue improving our existing products and services and developing new ones, but these efforts may not be successful.</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are also focusing on developing products and services that can be utilized in emerging wireless technologies. For example, beginning in July 2002, Guangzhou NetEase also derived wireless value-added services revenue under a separate cooperative arrangement with one of the Chinese mobile phone operators by providing wireless application protocol (known as WAP) services to mobile phone users with phones using the General Packet Radio Service (known as GPRS) or CDMA1X wireless standards. More recently, in April 2003, we started to offer products and services for users of multi-media messaging services (known as MMS) under an additional co-operative agreement with one of the Chinese mobile phone operators. We expect that our revenue derived from new services we develop that are compatible with these and other new wireless technologies will represent a larger portion of our wireless value-added services revenue in the future as these new technologies becomes more widely available. However, we cannot be certain that these new technologies or the products and services we develop for them will be successful, and we expect to see increasing competition in this area.</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Online Games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Guangzhou NetEase receives all its online games revenue from its customers through the sale of prepaid point cards. Customers can purchase prepaid point cards in different locations in China, including Internet cafes, convenience stores, supermarkets and bookstores, etc. Customers can register their point cards in our system and use the points in the cards to play our online games and use our other fee-based services. We develop our own proprietary online games, as well as license games from third party developers. We expect that we will face continued competition as online game providers, mainly from South Korea and to a lesser extent from the U.S., expand their presence in this market or enter it for the first time.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48" w:name="page49"/>
    <w:bookmarkEnd w:id="48"/>
    <w:p>
      <w:pPr>
        <w:ind w:left="440"/>
        <w:spacing w:after="0"/>
        <w:rPr>
          <w:sz w:val="20"/>
          <w:szCs w:val="20"/>
          <w:color w:val="auto"/>
        </w:rPr>
      </w:pPr>
      <w:r>
        <w:rPr>
          <w:rFonts w:ascii="Courier New" w:cs="Courier New" w:eastAsia="Courier New" w:hAnsi="Courier New"/>
          <w:sz w:val="15"/>
          <w:szCs w:val="15"/>
          <w:color w:val="auto"/>
        </w:rPr>
        <w:t>Other Fee-Based Premium Services</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Other fee-based premium services include premium e-mail, friends matching and dating services, personal homepage hosting and online shopping mall.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Software Licensing and Related Integration Projects Revenue</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Prior to 2000, software licensing and related integration projects revenue consisted of fees received from licensing, integration services and post-contract customer support. We ceased providing licensing and integration services in 1999. In 2002, this category of revenue also included certain corporate solution services to a customer in connection with the purchase of servers and computer equipment, development of software and custody and maintenance of servers.</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Although we continue to perform occasional corporate solutions services for customers upon request, we expect this category of revenue to remain immaterial to our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E-commerce and Other Services Costs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Advertising, e-commerce and other services costs represent those direct costs for operating the NetEase Web sites, which consist primarily of server custody and bandwidth fees, content fees, staff costs, share compensation cost, depreciation and amortization of computers and software and other direct costs.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NetEase Beijing, NetEase Shanghai and Guangzhou NetEase lease bandwidth from China Telecom and China Netcom affiliates. NetEase Beijing and Guangzhou NetEase have network servers co-located in facilities owned by China Telecom's and China Netcom's affiliates, for which they pay custody fees to China Telecom and China Netcom. In addition, as a result of our arrangements with Guangzhou NetEase, we also pay for Guangzhou NetEase's bandwidth lease payments and server custody fees on a monthly basis. These costs are recognized in full as incurred.</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Staff costs consist primarily of compensation expenses for our e-commerce and editorial professionals and also for our staff in our online games business department, in particular, a group of employees known as the "Game Masters" who are responsible for the daily co-ordination and regulation of the activities inside our games' virtual worlds.</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We depreciate our computer equipment, software and other assets (other than leasehold improvement) on a straight-line basis over their estimated useful lives, which range from one to five years.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Software Licensing and Related Integration Projects Costs</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We did not incur any direct costs relating to software licensing and related integration projects in 2000, 2001 and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Operating expenses include selling, general and administrative expenses and research and development expenses.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49" w:name="page50"/>
    <w:bookmarkEnd w:id="49"/>
    <w:p>
      <w:pPr>
        <w:ind w:left="440"/>
        <w:spacing w:after="0"/>
        <w:rPr>
          <w:sz w:val="20"/>
          <w:szCs w:val="20"/>
          <w:color w:val="auto"/>
        </w:rPr>
      </w:pPr>
      <w:r>
        <w:rPr>
          <w:rFonts w:ascii="Courier New" w:cs="Courier New" w:eastAsia="Courier New" w:hAnsi="Courier New"/>
          <w:sz w:val="15"/>
          <w:szCs w:val="15"/>
          <w:color w:val="auto"/>
        </w:rPr>
        <w:t>Selling; General and Administrative Expenses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Selling, general and administrative expenses consist primarily of marketing and advertising; salary and welfare expenses and share compensation costs; office rental; recruiting expenses; travel expenses and depreciation charges. We depreciate leasehold improvements, which are included in our operating expenses, on a straight-line basis over the lesser of the relevant lease term or their estimated useful lives.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Research and development expenses consist principally of compensation for our research and development professionals.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Compensation Cost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December 1999, we adopted a stock incentive plan, called the 1999 Stock Option Plan, for our employees, senior management and advisory board. In 2000, we replaced the 1999 Stock Option Plan with a new stock option plan, called the 2000 Stock Option Plan. The 2000 Stock Option Plan was subsequently amended and restated in May 2001. During 2000, 2001 and 2002, we granted options to our employees, directors, consultants, a member of our advisory board and certain members of our senior management under the 2000 Stock Option Plan. The vesting periods for these options generally range from two years to four years. In addition, certain of the options granted were cancelled as a result of the resignation of these personnel.</w:t>
      </w:r>
    </w:p>
    <w:p>
      <w:pPr>
        <w:spacing w:after="0" w:line="179"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For 2002, we recorded share compensation cost of approximately RMB3.8 million (US$0.5 million). This cost has been allocated to (i) cost of revenue (advertising and e-commerce and other services costs), (ii) selling, general and administrative expenses and (iii) research and development expenses, depending on the functions for which these personnel and employees are responsible.</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As of December 31, 2002, deferred compensation cost relating to share option grants in 2002 or prior years amounted to RMB0.5 million (US$57,336), which is to be amortized and charged to expense in subsequent periods. We may also incur additional share compensation cost in 2003 as a result of the possible recruitment of additional management personnel and the granting of new share options to these personnel and other members of our staff.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Under the current laws of the Cayman Islands, we are not subject to tax on income or capital gain. However, our revenues are primarily derived from our Chinese subsidiaries. Chinese companies are generally subject to a 30% national enterprise income tax, or EIT, and a 3% local income tax. Our subsidiary, NetEase Beijing, received the relevant approval to be recognized as a "New and High Technology Enterprise". According to the approval granted by the Haidian State Tax Bureau in November 2000, NetEase Beijing is entitled to a reduced EIT rate of 15% commencing from the year 2000. In addition, the approval also granted NetEase Beijing with a full exemption from EIT from 2000 to 2002, a 50% reduction in EIT from 2003 to 2005, and a full exemption from the local tax from 2000 onwards. However, these preferential tax treatments may be subject to review by higher authorities. If these preferential tax treatments were not available to NetEase Beijing, then it would be subject to the normal tax rate of 30% EIT and a 3% local tax.</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NetEase Shanghai and Guangzhou Interactive are subject to EIT at the rate of 30% plus a local tax of 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50" w:name="page51"/>
    <w:bookmarkEnd w:id="50"/>
    <w:p>
      <w:pPr>
        <w:ind w:right="3239" w:firstLine="787"/>
        <w:spacing w:after="0" w:line="236" w:lineRule="auto"/>
        <w:rPr>
          <w:sz w:val="20"/>
          <w:szCs w:val="20"/>
          <w:color w:val="auto"/>
        </w:rPr>
      </w:pPr>
      <w:r>
        <w:rPr>
          <w:rFonts w:ascii="Courier New" w:cs="Courier New" w:eastAsia="Courier New" w:hAnsi="Courier New"/>
          <w:sz w:val="15"/>
          <w:szCs w:val="15"/>
          <w:color w:val="auto"/>
        </w:rPr>
        <w:t>Guangzhou NetEase and Guangyitong Advertising are Chinese domestic enterprises and are generally subject to a 33% EIT. However, Guangzhou NetEase was categorized as a small-sized tax payer by the local tax bureau of Guangzhou, China. According to the relevant tax circulars issued by the local tax bureau of Guangzhou, Guangzhou NetEase is subject to different EIT rates depending on the nature of its taxable revenues.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the activities of NetEase.com, Inc. constitute a permanent establishment in China, the income it earns in China would also be subject to a 30% EIT and 3% local income tax. Income of our company that is not connected to a permanent establishment in China would be subject to a 10% withholding tax on gross receipt from profit, interest, rentals, royalties and other income earned in China. Dividends from NetEase Beijing to our company are exempt from Chinese withholding tax.</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are subject to a business tax on our revenues derived from services which is generally 5%. In addition, we are subject to a value-added tax ranging from 6% to 17% for revenues we earn from the sale of computer hardware purchased on behalf of our customers. During the year ended December 31, 2002, our effective value-added tax rate was 6%. In addition, Guangyitong Advertising is subject to a cultural development fee at 3% on its Internet advertising fees, which effectively reduces the revenues we derive from Guangyitong Advertising.</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Subject to the approval of the relevant tax authorities, NetEase Beijing and NetEase Shanghai had total tax loss carryforwards of approximately RMB64.8 million (US$7.8 million) as of December 31, 2002 for EIT purposes. Approximately RMB23.2 million (US$2.8 million), RMB29.5 million (US$3.6 million) and RMB12.1 million (US$1.5 million) of such losses will expire in 2005, 2006 and 2007, respectively.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above tax loss carryforwards give rise to potential deferred tax assets totaling RMB19.1 million (US$2.3 million). As noted below under "Critical Accounting Policies and Estimates", a valuation allowance has been provided to partly offset potential deferred tax assets due to the uncertainty surrounding the realizability of such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Management bases its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80"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We believe that the following are some of the more critical judgment areas in the application of our accounting policies that affect our financial condition and results of operation.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1" w:name="page52"/>
    <w:bookmarkEnd w:id="51"/>
    <w:p>
      <w:pPr>
        <w:ind w:left="440"/>
        <w:spacing w:after="0"/>
        <w:rPr>
          <w:sz w:val="20"/>
          <w:szCs w:val="20"/>
          <w:color w:val="auto"/>
        </w:rPr>
      </w:pPr>
      <w:r>
        <w:rPr>
          <w:rFonts w:ascii="Courier New" w:cs="Courier New" w:eastAsia="Courier New" w:hAnsi="Courier New"/>
          <w:sz w:val="15"/>
          <w:szCs w:val="15"/>
          <w:color w:val="auto"/>
        </w:rPr>
        <w:t>Critical Accounting Policies and Estimates Regarding Revenue Recognition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Advertising Services Revenue</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Since December 1999, we have recognized advertising services revenue that we earn through our arrangement with Guangyitong Advertising as services are rendered and the service revenues are earned under the advertising agreements, which is the same time Guangyitong Advertising recognizes such revenue.</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Guangyitong Advertising derives its advertising fees principally from short-term advertising contracts, though recently we have seen an increasing number of advertisers who are willing to enter into long-term contracts. Revenues from advertising contracts are generally recognized ratably over the period in which the advertisement is displayed and collection of the resulting receivables is probable. Guangyitong Advertising's obligations to the advertisers have traditionally also included guarantees of a minimum number of impressions or times that an advertisement appears in pages viewed by users. These types of advertising contracts are known as CPM contracts. As a result, to the extent that minimum guaranteed impressions were not met within the contractual time period, Guangyitong Advertising deferred recognition of the corresponding revenues until the remaining guaranteed impression levels were achieved. In 2002, we began focusing on entering into advertising contracts which fees are based on the actual time period that the advertisements appear on the NetEase Web sites rather than based on guaranteed minimum impressions. This transition is largely complete, and Guangyitong Advertising currently has only a few CPM contracts in effect. However, it has entered into several "cost per action" advertising contracts (known as CPA contracts) whereby revenue is received by Guangyitong Advertising when an online user performs a specific action such as purchasing a product from or registering with the advertiser. Revenue for CPA contracts is recognized when the specific action is completed. In 2002, CPA contracts represented only a small portion of our advertising revenue, and we expect that this will continue in the near-term.</w:t>
      </w:r>
    </w:p>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E-commerce and Other Services Revenue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Since December 1999, we have recognized e-commerce and other services revenue that we earn through our arrangements with Guangzhou NetEase as the services are rendered and the services revenues are earned under the e-commerce and other services agreements, which is the same time Guangzhou NetEase recognizes such revenue.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SMS and Other Wireless Value-Added Services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Wireless value-added services revenue, which represents Guangzhou NetEase's share of the revenues under its cooperative arrangements with China's two mobile phone operators, is recognized by us primarily based on monthly statements received from those operators. The revenue is recognized net of the mobile phone operators' share of revenue and uncollectible amounts because we consider those operators to be the primary obligors in the information transmission and delivery process which is a critical and integral part of our wireless value-added services. In addition, this revenue recognition approach is supported by the fact that the mobile phone operators must approve all products and services pricing and they have significant influence over other terms under our co-operative arrangements with them. Uncollectible amounts mainly represent the mobile phone operators' transmission and billing problems resulting from technical issues with their systems. We are unable to estimate or separately confirm the amount of uncollectibles which is reflected in any particular monthly statement and are totally reliant on the information provided by the mobile phone operators in their monthly statements for purposes of our record keeping.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52" w:name="page53"/>
    <w:bookmarkEnd w:id="52"/>
    <w:p>
      <w:pPr>
        <w:ind w:left="800"/>
        <w:spacing w:after="0"/>
        <w:rPr>
          <w:sz w:val="20"/>
          <w:szCs w:val="20"/>
          <w:color w:val="auto"/>
        </w:rPr>
      </w:pPr>
      <w:r>
        <w:rPr>
          <w:rFonts w:ascii="Courier New" w:cs="Courier New" w:eastAsia="Courier New" w:hAnsi="Courier New"/>
          <w:sz w:val="15"/>
          <w:szCs w:val="15"/>
          <w:color w:val="auto"/>
        </w:rPr>
        <w:t>Online Games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We recognize revenue at the time when the points on our prepaid point cards are consumed and services are provided.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Fee-Based Premium Services</w:t>
      </w:r>
    </w:p>
    <w:p>
      <w:pPr>
        <w:spacing w:after="0" w:line="173"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We recognize revenue for these services ratably over the period when the services are provided, except in the case of the following services:</w:t>
      </w:r>
    </w:p>
    <w:p>
      <w:pPr>
        <w:spacing w:after="0" w:line="160" w:lineRule="exact"/>
        <w:rPr>
          <w:sz w:val="20"/>
          <w:szCs w:val="20"/>
          <w:color w:val="auto"/>
        </w:rPr>
      </w:pPr>
    </w:p>
    <w:p>
      <w:pPr>
        <w:ind w:left="1240" w:right="3239"/>
        <w:spacing w:after="0" w:line="255" w:lineRule="auto"/>
        <w:rPr>
          <w:sz w:val="20"/>
          <w:szCs w:val="20"/>
          <w:color w:val="auto"/>
        </w:rPr>
      </w:pPr>
      <w:r>
        <w:rPr>
          <w:rFonts w:ascii="Courier New" w:cs="Courier New" w:eastAsia="Courier New" w:hAnsi="Courier New"/>
          <w:sz w:val="14"/>
          <w:szCs w:val="14"/>
          <w:color w:val="auto"/>
        </w:rPr>
        <w:t>Online Shopping Mall - Guangzhou NetEase launched our online shopping mall platform in July 2000. As of May 31, 2003, this online shopping mall had 13 "online stores" operated by merchant tenants. From the fourth quarter of 2001, most online stores pay Guangzhou NetEase fixed service fees, which Guangzhou NetEase recognizes ratably over the period of the leases of the e-commerce platforms. Additionally, a small portion of the online stores pay Guangzhou NetEase commissions based on that merchant's revenues which are recognized on a monthly basis. Prior to 2002, we also received referral fees from online shopping mall partners of the NetEase Web sites which Guangzhou NetEase recognized when services were rendered. As of May 31, 2003, there were no active referral arrangements for which we were recognizing revenue, but we are currently seeking to enter into new referral arrangements.</w:t>
      </w:r>
    </w:p>
    <w:p>
      <w:pPr>
        <w:spacing w:after="0" w:line="164" w:lineRule="exact"/>
        <w:rPr>
          <w:sz w:val="20"/>
          <w:szCs w:val="20"/>
          <w:color w:val="auto"/>
        </w:rPr>
      </w:pPr>
    </w:p>
    <w:p>
      <w:pPr>
        <w:ind w:left="1240" w:right="3239"/>
        <w:spacing w:after="0" w:line="255" w:lineRule="auto"/>
        <w:rPr>
          <w:sz w:val="20"/>
          <w:szCs w:val="20"/>
          <w:color w:val="auto"/>
        </w:rPr>
      </w:pPr>
      <w:r>
        <w:rPr>
          <w:rFonts w:ascii="Courier New" w:cs="Courier New" w:eastAsia="Courier New" w:hAnsi="Courier New"/>
          <w:sz w:val="14"/>
          <w:szCs w:val="14"/>
          <w:color w:val="auto"/>
        </w:rPr>
        <w:t>Online Auction - Prior to October 2000, Guangzhou NetEase earned revenues from services to online auction sellers, whether businesses or consumers, which Guangzhou NetEase recognized ratably over the relevant period. In October 2000, we established a co-branded online trading and auction channel in partnership with EachNet. On June 25, 2002, we entered into an agreement with EachNet to terminate our strategic co-operation agreement and the co-branded Web site. We earned both fixed upfront fees and referral fees from EachNet during the period of co-operation. In July 2002, we re-started our own online auction platform providing free services to our registered users after the termination of the co-branded Web site with EachNet, but we discontinued such services in June 2003.</w:t>
      </w:r>
    </w:p>
    <w:p>
      <w:pPr>
        <w:spacing w:after="0" w:line="32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Software Licensing and Related Integration Projects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Our revenue from software licensing and related integration projects in 2000 and 2001 consisted only of the recognition of deferred revenue which was brought forward for post-contract customer support. We generally provide our customers with post-contract support, for one year or less, on our software products. Such support is generally hotline support and may involve unspecified upgrades or enhancements. These unspecified upgrades or enhancements offered during postcontract customer support arrangements historically have been and are expected to continue to be minimal and infrequent. The estimated costs of providing such support are insignificant. Sufficient vendor-specific evidence does not exist to allocate the revenue from software and related integration projects to the separate elements of such projects. For post-contract support services that are for a period of one year or less, we recognize revenue when the following criteria are met:</w:t>
      </w:r>
    </w:p>
    <w:p>
      <w:pPr>
        <w:spacing w:after="0" w:line="167" w:lineRule="exact"/>
        <w:rPr>
          <w:sz w:val="20"/>
          <w:szCs w:val="20"/>
          <w:color w:val="auto"/>
        </w:rPr>
      </w:pPr>
    </w:p>
    <w:p>
      <w:pPr>
        <w:ind w:left="1240" w:hanging="443"/>
        <w:spacing w:after="0"/>
        <w:tabs>
          <w:tab w:leader="none" w:pos="12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persuasive evidence of an arrangement;</w:t>
      </w:r>
    </w:p>
    <w:p>
      <w:pPr>
        <w:ind w:left="1240" w:hanging="443"/>
        <w:spacing w:after="0" w:line="237"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has occurred and services have been performed;</w:t>
      </w:r>
    </w:p>
    <w:p>
      <w:pPr>
        <w:ind w:left="1240" w:hanging="443"/>
        <w:spacing w:after="0" w:line="237"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sales amount is fixed or determinable; and</w:t>
      </w:r>
    </w:p>
    <w:p>
      <w:pPr>
        <w:ind w:left="1240" w:hanging="443"/>
        <w:spacing w:after="0" w:line="237" w:lineRule="auto"/>
        <w:tabs>
          <w:tab w:leader="none" w:pos="12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collectibility is probable.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53" w:name="page54"/>
    <w:bookmarkEnd w:id="53"/>
    <w:p>
      <w:pPr>
        <w:ind w:right="3679" w:firstLine="787"/>
        <w:spacing w:after="0" w:line="235" w:lineRule="auto"/>
        <w:rPr>
          <w:sz w:val="20"/>
          <w:szCs w:val="20"/>
          <w:color w:val="auto"/>
        </w:rPr>
      </w:pPr>
      <w:r>
        <w:rPr>
          <w:rFonts w:ascii="Courier New" w:cs="Courier New" w:eastAsia="Courier New" w:hAnsi="Courier New"/>
          <w:sz w:val="15"/>
          <w:szCs w:val="15"/>
          <w:color w:val="auto"/>
        </w:rPr>
        <w:t>We occasionally provide post-contract support services that extend beyond one year. In such event, we would recognize revenue for applicable contracts ratably over the terms of those contracts.</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For the corporate solution services we provided in 2002, the revenue was recognized at the completion of the respective services.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Barter Transactions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Revenue from barter transactions primarily relate to advertising and decreased in 2000, 2001 and 2002 as a result of the development of our business. As our business grew and our cash resources improved, we were able to enter into more cash transactions and became less reliant on barter transactions in providing or receiving services. Prior to January 20, 2000, barter transactions were recorded at the estimated fair market value of the services received or estimated fair market value of the services provided, whichever was more readily determinable. Effective from January 20, 2000, we adopted the consensus reached in Emerging Issue Task Force, or EITF, Issue No. 99-17, to account for barter transactions. According to EITF Issue No. 99-17, revenue and expense should be recognized at fair value from an advertising barter transaction only if the fair value of the advertising surrendered in the transaction is determinable based on the entity's own historical practice of receiving cash, marketable securities, or other consideration that is readily convertible to a known amount of cash for similar advertising from buyers unrelated to the counterparty in the barter transaction. In 2000 and 2001, the recognized revenues and expenses derived from barter transactions were RMB0.7 million (US$0.1 million) for each of those years. There was no revenue and expense derived from barter transactions in 2002. We also engaged in some advertising barter transactions in 2000, 2001 and 2002 for which the fair value is not determinable within the limits of EITF Issue No. 99-17, and therefore no revenues or expenses derived from these barter transactions were recognized. These transactions primarily involved exchanges of advertising services rendered by us for advertising, promotional benefits and information content provided by the counterparties.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Critical Accounting Policies and Estimates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Deferred Tax Valuation Allowance</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Management judgment is required in determining our provision for income taxes, deferred tax assets and liabilities and the extent to which deferred tax assets can be recognized. We make a valuation allowance to reduce deferred tax assets to the amount which is more likely than not to be realized. There can be no assurance that NetEase Beijing and NetEase Shanghai will be able to utilize all the net operating loss carryforwards before their expiration.</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Allowances for Doubtful Accounts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maintain allowances for doubtful accounts receivable based on various information, including aging analysis of accounts receivable balances, historical bad debt rates, repayment patterns and credit worthiness of customers and industry trend analysis. We also make specific provisions for bad debts if there is strong evidence showing that the debts are likely to be irrecoverable.</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Litigation Reserve</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No material litigation reserve existed as of December 31, 2002 because management believed, and continues to believe, that the ultimate resolution of the claims described below under the heading "Outstanding Litigation and Contingent Liabilities" will not result in any material financial impact on our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Commitments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of December 31, 2002, we had lease commitments for office rentals of RMB4.7 million (US$0.6 million), RMB3.7 million (US$0.4 million) and RMB2.4 million (US$0.3 million) payable in 2003, 2004 and 2005, respectively. In addition, we had lease commitments for server custody fees and other capital expenditure commitments of RMB10.3 million (US$1.2 million) and RMB0.5 million (US$0.1 million), respectively, payable in 2003.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Litigation and Contingent Liabilities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January 2003, Guangzhou NetEase was named in a copyright infringement lawsuit in China, and the plaintiffs have claimed damages of US$1.0 million. We intend to vigorously defend our position and believe the ultimate resolution of the matter will not have a material financial impact on our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Consolidated Results of Operations</w:t>
      </w:r>
    </w:p>
    <w:p>
      <w:pPr>
        <w:spacing w:after="0" w:line="173" w:lineRule="exact"/>
        <w:rPr>
          <w:sz w:val="20"/>
          <w:szCs w:val="20"/>
          <w:color w:val="auto"/>
        </w:rPr>
      </w:pPr>
    </w:p>
    <w:p>
      <w:pPr>
        <w:ind w:right="3600" w:firstLine="787"/>
        <w:spacing w:after="0" w:line="235" w:lineRule="auto"/>
        <w:rPr>
          <w:sz w:val="20"/>
          <w:szCs w:val="20"/>
          <w:color w:val="auto"/>
        </w:rPr>
      </w:pPr>
      <w:r>
        <w:rPr>
          <w:rFonts w:ascii="Courier New" w:cs="Courier New" w:eastAsia="Courier New" w:hAnsi="Courier New"/>
          <w:sz w:val="15"/>
          <w:szCs w:val="15"/>
          <w:color w:val="auto"/>
        </w:rPr>
        <w:t>The following table sets forth a summary of our audited consolidated statements of operations for the periods indicated both in Renminbi and as a percentage of total revenues: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20" w:type="dxa"/>
            <w:vAlign w:val="bottom"/>
            <w:gridSpan w:val="4"/>
          </w:tcPr>
          <w:p>
            <w:pPr>
              <w:jc w:val="right"/>
              <w:ind w:right="1067"/>
              <w:spacing w:after="0"/>
              <w:rPr>
                <w:sz w:val="20"/>
                <w:szCs w:val="20"/>
                <w:color w:val="auto"/>
              </w:rPr>
            </w:pPr>
            <w:r>
              <w:rPr>
                <w:rFonts w:ascii="Courier New" w:cs="Courier New" w:eastAsia="Courier New" w:hAnsi="Courier New"/>
                <w:sz w:val="15"/>
                <w:szCs w:val="15"/>
                <w:color w:val="auto"/>
              </w:rPr>
              <w:t>For the year ended December 31,</w:t>
            </w:r>
          </w:p>
        </w:tc>
        <w:tc>
          <w:tcPr>
            <w:tcW w:w="6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rPr>
                <w:sz w:val="14"/>
                <w:szCs w:val="14"/>
                <w:color w:val="auto"/>
              </w:rPr>
            </w:pP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74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rPr>
                <w:sz w:val="14"/>
                <w:szCs w:val="14"/>
                <w:color w:val="auto"/>
              </w:rPr>
            </w:pP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RMB</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RMB</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RMB</w:t>
            </w: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Advertising services from related  parties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30,067,477</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14,163,952</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34,209,376</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E-commerce and other services (including</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revenues of RMB1,094,859,</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RMB14,103,151 and RMB197,357,067</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(US$23,835,395) from a related party</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2000, 2001 and 2002, respectively)</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2,455,834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14,103,151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197,357,067</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Software licensing and related integration</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projects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450,350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33,218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1,002,025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32,973,661</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28,300,321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232,568,468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value-added taxes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(2,476,444)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(2,274,784)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(11,627,216)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30,497,217</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26,025,537</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220,941,252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95.0</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Advertising, e-commerce and other</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services (including cost</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reimbursements to a related party of</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RMB2,098,127, RMB796,454 and</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RMB22,737,436 (US$2,746,067) in</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 2001 and 2002, respectively)</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(38,738,335)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(60,058,488)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(69,769,449)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compensation cost*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(1,171,084)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(1,908,125)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 of revenues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(39,909,419)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(60,058,488)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(71,677,574)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 on revenues)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(9,412,202)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(34,032,951)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149,263,678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expenses(including cost</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reimbursements to a related party of</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RMB3,124,247, RMB1,884,823 and</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RMB5,542,383 (US$669,370) in 2000,</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 and 2002, respectively)</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(162,922,561)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(181,560,624)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(641.5)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(92,785,244)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Assets impairment loss</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(2,766,543)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(746,857)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33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 expenses</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(including cost reimbursements to a</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related party of RMBnil, RMBnil and</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RMB1,346,824 (US$162,660) in 2000,</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 and 2002, respectively)</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(9,525,436)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(11,169,454)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(13,808,360)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33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Share compensation cost*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(12,668,476)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(2,357,758)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(1,898,733)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33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Class action settlement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(36,005,385)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(185,116,473)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(561.4)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(197,854,379)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(699.1)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(145,244,579)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w:t>
            </w:r>
          </w:p>
        </w:tc>
      </w:tr>
      <w:tr>
        <w:trPr>
          <w:trHeight w:val="168"/>
        </w:trPr>
        <w:tc>
          <w:tcPr>
            <w:tcW w:w="3980" w:type="dxa"/>
            <w:vAlign w:val="bottom"/>
          </w:tcPr>
          <w:p>
            <w:pPr>
              <w:spacing w:after="0"/>
              <w:rPr>
                <w:sz w:val="14"/>
                <w:szCs w:val="14"/>
                <w:color w:val="auto"/>
              </w:rPr>
            </w:pPr>
          </w:p>
        </w:tc>
        <w:tc>
          <w:tcPr>
            <w:tcW w:w="636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(194,528,675)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(231,887,330)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4,019,099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impairment loss</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(8,924,381)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27,858,710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17,571,187</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7,562,322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(2,589,735)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(9,882,874)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(1,401,041)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net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(9,099)</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(40,516)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3,725,370</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505"/>
        </w:trPr>
        <w:tc>
          <w:tcPr>
            <w:tcW w:w="3980" w:type="dxa"/>
            <w:vAlign w:val="bottom"/>
          </w:tcPr>
          <w:p>
            <w:pPr>
              <w:ind w:left="3420"/>
              <w:spacing w:after="0"/>
              <w:rPr>
                <w:sz w:val="20"/>
                <w:szCs w:val="20"/>
                <w:color w:val="auto"/>
              </w:rPr>
            </w:pPr>
            <w:r>
              <w:rPr>
                <w:rFonts w:ascii="Courier New" w:cs="Courier New" w:eastAsia="Courier New" w:hAnsi="Courier New"/>
                <w:sz w:val="15"/>
                <w:szCs w:val="15"/>
                <w:color w:val="auto"/>
              </w:rPr>
              <w:t>52</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340"/>
          </w:cols>
          <w:pgMar w:left="220" w:top="617" w:right="1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2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8"/>
              </w:rPr>
              <w:t>For the year ended December 31,</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6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56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6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7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RMB</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RMB</w:t>
            </w:r>
          </w:p>
        </w:tc>
        <w:tc>
          <w:tcPr>
            <w:tcW w:w="9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RMB</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6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Profit (loss) before tax</w:t>
            </w:r>
          </w:p>
        </w:tc>
        <w:tc>
          <w:tcPr>
            <w:tcW w:w="1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(169,268,799)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(513.3)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(233,163,914)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(823.9)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13,905,750</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2,395,888</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640" w:type="dxa"/>
            <w:vAlign w:val="bottom"/>
          </w:tcPr>
          <w:p>
            <w:pPr>
              <w:spacing w:after="0"/>
              <w:rPr>
                <w:sz w:val="14"/>
                <w:szCs w:val="14"/>
                <w:color w:val="auto"/>
              </w:rPr>
            </w:pPr>
          </w:p>
        </w:tc>
        <w:tc>
          <w:tcPr>
            <w:tcW w:w="6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profit (loss)</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(169,268,799)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(233,163,914)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(823.9)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16,301,638</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Share compensation cost</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Advertising, e-commerce and other</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services cost of revenues</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(1,171,084)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(1,908,125)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expenses</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(7,437,230)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(204,423)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(1,522,369)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(5,231,246)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(2,153,335)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(376,364)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640" w:type="dxa"/>
            <w:vAlign w:val="bottom"/>
          </w:tcPr>
          <w:p>
            <w:pPr>
              <w:spacing w:after="0"/>
              <w:rPr>
                <w:sz w:val="14"/>
                <w:szCs w:val="14"/>
                <w:color w:val="auto"/>
              </w:rPr>
            </w:pPr>
          </w:p>
        </w:tc>
        <w:tc>
          <w:tcPr>
            <w:tcW w:w="6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(13,839,560)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(2,357,758)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(3,806,858)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40" w:type="dxa"/>
            <w:vAlign w:val="bottom"/>
          </w:tcPr>
          <w:p>
            <w:pPr>
              <w:spacing w:after="0"/>
              <w:rPr>
                <w:sz w:val="14"/>
                <w:szCs w:val="14"/>
                <w:color w:val="auto"/>
              </w:rPr>
            </w:pPr>
          </w:p>
        </w:tc>
        <w:tc>
          <w:tcPr>
            <w:tcW w:w="6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2002 Compared to Year Ended December 31, 2001</w:t>
      </w:r>
    </w:p>
    <w:p>
      <w:pPr>
        <w:spacing w:after="0" w:line="173"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In 2002, revenue from advertising services, e-commerce and other services and software licensing and related integration projects constituted 14.7%, 84.9% and 0.4%, respectively, of our total revenue. This compares with</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50.0%, 49.9% and 0.1%, respectively, of our total revenue in 2001. Our revenue from e-commerce and other services increased significantly during 2002 mainly as a result of the substantial increase in revenue generated from our wireless value-added services and to a lesser extent from our online games. Our advertising services revenue also increased during 2002 due to the expansion of our sales team and a general increase in demand for online advertising in China during 2002. Our software licensing and related integration projects revenue remained low in 2002, as we had previously ceased providing licensing and integration services in 1999 but continued to earn fees for post-contract customer support and also earned a small amount of fees for certain corporate solution services in 2002.</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rise in e-commerce and other services revenue as a percentage of our total revenue to 84.9% in 2002 resulted from the fact that the growth in such revenue significantly exceeded the growth in our advertising services revenue during that period. We expect that our revenue from e-commerce and other services will continue to constitute the major portion of our total revenue but that advertising services revenue will also continue to be one of the significant sources of our future revenue.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Total revenues increased by 721.8% to RMB232.6 million (US$28.1 million) in 2002 from RMB28.3 million in 2001. Advertising services revenues increased by 141.5% to RMB34.2 million (US$4.1 million) in 2002 from RMB14.2 million in 2001, primarily as a result of the expansion of our sales team from 27 employees to 41 employees and a general increase in demand for online advertising in China during 2002. In particular, we gained several new China-based advertising clients, including leading mobile phone and car manufacturers, and were able to increase the number of advertising contracts which are long-term (one year or more) in 2002. Average revenue per advertiser increased from approximately RMB36,000 (US$4,300) in the first quarter to RMB69,000 (US$8,300) in the fourth quarter of 2002. The number of contracted advertisers using the NetEase Web sites increased from 174 in 2001 to 280 in 2002, with revenues from our top ten advertisers comprising 23.2% of our total advertising services revenues in 2002 as compared to 40.3% in 2001. We expect that the online advertising market in China will continue to grow as Internet usage in China increases and as more companies, in particular China-based companies in a variety of industries, accept the Internet as an effective advertising medium.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785" w:right="1440" w:bottom="1440" w:gutter="0" w:footer="0" w:header="0"/>
        </w:sectPr>
      </w:pPr>
    </w:p>
    <w:bookmarkStart w:id="57" w:name="page58"/>
    <w:bookmarkEnd w:id="57"/>
    <w:p>
      <w:pPr>
        <w:ind w:right="3319"/>
        <w:spacing w:after="0" w:line="235" w:lineRule="auto"/>
        <w:rPr>
          <w:sz w:val="20"/>
          <w:szCs w:val="20"/>
          <w:color w:val="auto"/>
        </w:rPr>
      </w:pPr>
      <w:r>
        <w:rPr>
          <w:rFonts w:ascii="Courier New" w:cs="Courier New" w:eastAsia="Courier New" w:hAnsi="Courier New"/>
          <w:sz w:val="15"/>
          <w:szCs w:val="15"/>
          <w:color w:val="auto"/>
        </w:rPr>
        <w:t>Based on our recent experience, we also expect that as advertisers generally become more familiar with online advertising, they will be increasingly willing to enter into longer term contracts of up to six months or more.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Revenues from e-commerce and other services increased by 1299.4% to RMB197.4 million (US$23.8 million) in 2002 from RMB14.1 million in 2001, mainly as a result of the substantial increase in revenue generated from our wireless value-added services and to a lesser extent from our online games. In addition, revenues from our other fee-based services, including dating and friends matching, e-mail services and other premium services, also increased during 2002.</w:t>
      </w:r>
    </w:p>
    <w:p>
      <w:pPr>
        <w:spacing w:after="0" w:line="176"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Wireless Value-Added Services and Other Fee-Based Premium Services - The substantial increase in revenue generated from our wireless value-added services was primarily due the increase in the overall popularity of SMS in China and in the range and popularity of our proprietary products and services among the expanding population of mobile phone users in China. We started the development of our wireless business in 1999 and launched our SMS.163.com Web page and first fee-based services in February 2001. At that time, the number and variety of products and services offered were very limited and included ring-tone and logo downloading and a few other services. As of May 31, 2003, we offered more than 200 different products and services, which can be classified into four main categories, namely, news and information subscription, multi-media downloading, community and communication and Internet-related products and services.</w:t>
      </w:r>
    </w:p>
    <w:p>
      <w:pPr>
        <w:spacing w:after="0" w:line="164"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The increase in revenue in 2002 from our other fee-based premium services (excluding online games), including premium e-mail, dating and friends matching and personal homepage hosting, was primarily due to the commercialization of our dating and friends matching services at the beginning of the year (these services were provided to our users free of charge in 2001 and prior periods), and to a lesser extent, due to the increase in the number of paying subscribers of our other fee-based services in 2002.</w:t>
      </w:r>
    </w:p>
    <w:p>
      <w:pPr>
        <w:spacing w:after="0" w:line="177"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Our wireless value-added services and other fee-based premium services together represented approximately 81.2% (2001: 100%) of our total e-commerce and other services revenue in 2002. The major portion of this amount was derived from our wireless value-added services in both 2002 and 2001.</w:t>
      </w:r>
    </w:p>
    <w:p>
      <w:pPr>
        <w:spacing w:after="0" w:line="174"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Online Games - Our online games accounted for approximately 18.8% (2001: nil) of our total e-commerce and other services revenue in 2002. In 2001, we acquired all the assets of a China-based online game software development company and started the development of massively multi-player online role-playing games, or "MMORPGs", at the beginning of 2001. We launched our first MMORPG, "Westward Journey Online", for beta testing in December 2001, and started charging our users for their playing time in January 2002. Subsequently, we launched "Westward Journey Online Version 2.0" and a MMORPG licensed from a Korean company, "PristonTale", in August 2002.</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2000, software licensing and related integration projects revenues consisted of fees received from licensing, integration services and post-contract customer support. We ceased providing licensing and integration services in 1999. Our revenues in 2001 consisted only of the recognition of deferred revenue which was brought forward for post-contract customer support. In 2002, this category of revenue also included certain corporate solution services to a customer in connection with the purchase of servers and computer equipment, development of software and custody and maintenance of servers. We cannot predict whether we will continue to earn revenues from similar transactions in the foreseeable future, but we expect that we will provide these or other similar services to customers upon request. Such revenue totaled RMB1.0 million (US$121,000) in 2002, compared to RMB33,000 in 2001.</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58" w:name="page59"/>
    <w:bookmarkEnd w:id="58"/>
    <w:p>
      <w:pPr>
        <w:ind w:left="440"/>
        <w:spacing w:after="0"/>
        <w:rPr>
          <w:sz w:val="20"/>
          <w:szCs w:val="20"/>
          <w:color w:val="auto"/>
        </w:rPr>
      </w:pPr>
      <w:r>
        <w:rPr>
          <w:rFonts w:ascii="Courier New" w:cs="Courier New" w:eastAsia="Courier New" w:hAnsi="Courier New"/>
          <w:sz w:val="15"/>
          <w:szCs w:val="15"/>
          <w:color w:val="auto"/>
        </w:rPr>
        <w:t>Cost of Revenues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cost of revenues increased by 19.3% to RMB71.7 million (US$8.7 million) in 2002 from RMB60.1 million in 2001, primarily due to the expansion of our online games business in 2002. A substantial portion of this increase was due to franchise and revenue share fees related to the "PristonTale" and "Westward Journey Online" games and, to a lesser extent, increased staff costs of our online games team.</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a result of the strong revenue growth in 2002, we achieved a gross profit of RMB149.3 million (US$18.0 million) in 2002 as compared to a loss on revenues of RMB34.0 million in 2001. Our gross margins increased from 30.8% in the first quarter to 72.7% in the fourth quarter in 2002. The significant improvement in gross margins was driven by economies of scales as revenue continued to increase with a relatively stable cost of revenues. The gross margin for the year ended December 31, 2002 was 64.2%.</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Staff costs consisted primarily of compensation expenses for our online game and other e-commerce and editorial professionals and comprised 27.8% of our total cost of revenues in 2002, compared with 15.2% in 2001. The increase was mainly due to the increase in the number of employees during 2002, in particular for the online games business department, which increased from 62 employees to 95 employees. We expect that staff costs as a percentage of our total cost of revenues will remain stable in the near-term.</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Depreciation and amortization of computers and software comprised 24.9% of our total cost of revenues in 2002, compared with 22.6% in 2001. The increase was mainly due to the increase in the number of servers from 486 servers to 663 servers and to a lesser extent the increase in personal computer equipment during 2002. As we have spent or plan to spend approximately RMB21.0 million (US$2.5 million) towards the purchase of additional servers and switches in 2003, we expect our depreciation expenses to increase in 2003.</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Expenses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Total operating expenses decreased by 26.6% to RMB145.2 million (US$17.5 million) in 2002 from RMB197.9 million in 2001. Operating expenses as a percentage of total revenues decreased from 699.1% in 2001 to 62.5% in 2002. The decrease in 2002 was mainly due to the fact that the substantial fees charged by third parties in 2001 as discussed in the next paragraph did not recur in 2002.</w:t>
      </w:r>
    </w:p>
    <w:p>
      <w:pPr>
        <w:spacing w:after="0" w:line="16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Selling, general and administrative expenses decreased by 48.1% to RMB94.3 million (US$11.4 million) in 2002 from RMB181.8 million in 2001, primarily due to certain expenses of more than RMB50.0 million (US$6.0 million) for legal and professional fees and consultancy fees in 2001 which substantially decreased in 2002, and to a lesser extent due to our cost control measures in 2002.</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2002, we also paid RMB36.0 million (US$4.35 million) into an escrow account for the settlement of all claims brought in connection with the class action lawsuit in the United States which is described under "Outstanding Litigation and Contingent Liabilities" above. This amount was released from escrow and paid to the plaintiffs at the time the court declared the settlement final.</w:t>
      </w:r>
    </w:p>
    <w:p>
      <w:pPr>
        <w:spacing w:after="0" w:line="175"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asset impairment loss in 2002 represented the unamortised portion of the costs incurred in the acquisition of an electronic payment gateway system which we ceased using.</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Research and development expenses increased by 6.5% to RMB14.2 million (US$1.7 million)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59" w:name="page60"/>
    <w:bookmarkEnd w:id="59"/>
    <w:p>
      <w:pPr>
        <w:ind w:right="3239"/>
        <w:spacing w:after="0" w:line="235" w:lineRule="auto"/>
        <w:rPr>
          <w:sz w:val="20"/>
          <w:szCs w:val="20"/>
          <w:color w:val="auto"/>
        </w:rPr>
      </w:pPr>
      <w:r>
        <w:rPr>
          <w:rFonts w:ascii="Courier New" w:cs="Courier New" w:eastAsia="Courier New" w:hAnsi="Courier New"/>
          <w:sz w:val="15"/>
          <w:szCs w:val="15"/>
          <w:color w:val="auto"/>
        </w:rPr>
        <w:t>2002 from RMB13.3 million in 2001, primarily due to an increase in the number of programmers and technicians recruited in 2002 to assist our online games business.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(Expenses)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income and expenses in 2002 mainly consisted of interest income and expenses. We repaid RMB84 million (US$10.1 million) in short-term bank borrowings during 2002, and as a result, both our interest income and interest expenses dropped significantly in 2002 as compared to 2001. The decrease in the net interest income in 2002 as compared with 2001 was also due to the reduction of interest rates during 2002. Other net income of RMB3.7 million (US$0.4 million) in 2002 represented the write-back of certain provisions for expenses and claims payable for certain arbitration.</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2001 Compared to Year Ended December 31, 2000</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2001, revenues from advertising services, e-commerce and other services and software licensing and related integration projects constituted 50.0%, 49.9% and 0.1%, respectively, of our total revenues. This compares with 91.2%, 7.4% and 1.4%, respectively, of our total revenues in 2000. Our advertising services revenues decreased significantly during 2001 primarily due to the softening of the Internet advertising market in China which led to a decrease in the demand for advertising on the NetEase Web sites, and the intense market competition which affected the general pricing in the Internet advertising market in China. Conversely, revenues from our e-commerce and other services increased significantly during 2001 mainly as a result of the fixed upfront fees and referral fees that we earned from EachNet in connection with the operation of our co-branded trading and auction Web site (which has since been terminated) and the other revenues generated from fee-based services including wireless value-added services, e-mail services and other premium services. Finally, in 2001 our software licensing and related integration projects revenue further decreased as we continued to earn fees for post-contract customer support.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Total revenues decreased by 14.2% to RMB28.3 million (US$3.4 million) in 2001 from RMB33.0 million in 2000. Advertising services revenues decreased by 52.9% to RMB14.2 million (US$1.7 million) in 2001 from RMB30.1 million in 2000, primarily as a result of the softening of the Internet advertising market in China which led to a decrease in demand for advertising on the NetEase Web sites, and the intense market competition which affected the general pricing in the Internet advertising market in China. Average revenue per advertiser decreased from approximately RMB96,000 (US$11,600) in the first quarter to RMB46,000 (US$5,500) in the fourth quarter of 2001. The number of contracted advertisers using the NetEase Web sites decreased from 231 in 2000 to 174 in 2001, with revenues from our top ten advertisers comprising 40.3% of our total advertising services revenues in 2001 as compared to 34.4% in 2000.</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from e-commerce and other services increased by 474.3% to RMB14.1 million (US$1.7 million) in 2001 from RMB2.5 million in 2000, mainly as a result of the amortization of the upfront service fee recognized in 2001 of RMB1.0 million (US$0.1 million) and quarterly referral fees of approximately RMB3.3 million (US$0.4 million) that we earned from EachNet. As mentioned previously, our relationship with EachNet has terminated. In addition, the increase in total revenues from fee-based services in 2001, predominantly from wireless value-added services and to a lesser extent from premium e-mail and other services, totaled RMB6.7 million (US$0.8 million).</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ceased providing software licensing and integration services in 1999. Our revenues in 2000 and 2001 in this revenue category consisted only of the recognition of deferred revenue which was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60" w:name="page61"/>
    <w:bookmarkEnd w:id="60"/>
    <w:p>
      <w:pPr>
        <w:ind w:right="3939"/>
        <w:spacing w:after="0" w:line="234" w:lineRule="auto"/>
        <w:rPr>
          <w:sz w:val="20"/>
          <w:szCs w:val="20"/>
          <w:color w:val="auto"/>
        </w:rPr>
      </w:pPr>
      <w:r>
        <w:rPr>
          <w:rFonts w:ascii="Courier New" w:cs="Courier New" w:eastAsia="Courier New" w:hAnsi="Courier New"/>
          <w:sz w:val="15"/>
          <w:szCs w:val="15"/>
          <w:color w:val="auto"/>
        </w:rPr>
        <w:t>brought forward for post-contract customer support and totaled RMB33,000 (US$4,000) in 2001, compared to RMB450,000 in 2000.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Revenues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cost of revenues increased by 50.5% to RMB60.1 million (US$7.3 million) in 2001 from RMB39.9 million in 2000, primarily due to the overall expansion of our business, including in particular the increase in Internet connection costs, such as server related and bandwidth costs to support the large increase in traffic on the NetEase Web sites, offset in part by a decrease in staff costs. The average daily page views on the NetEase Web sites in December 2001 was approximately 174 million as compared to approximately 70 million in December 2000. As a result, our loss on revenues increased to RMB34.0 million (US$4.1 million) in 2001 from RMB9.4 million in 2000.</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Staff costs consisted primarily of compensation expenses for our e-commerce and editorial professionals and comprised 15.2% of our total cost of revenues in 2001, compared with 20.8% in 2000. The decrease was mainly due to the reduction in the number of employees during 2001.</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Depreciation and amortization of computers and software comprised 22.6% of our total cost of revenues in 2001, compared with 17.2% in 2000. The increase was mainly due to the increase in the number of servers during 2001.</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Expenses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Total operating expenses increased by 6.9% to RMB197.9 million (US$23.9 million) in 2001 from RMB185.1 million in 2000. Operating expenses as a percentage of total revenues increased from 561.4% in 2000 to 699.1% in 2001. The increase in 2001 was mainly due to the substantial fees charged by third parties as discussed in the next paragraph.</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Selling, general and administrative expenses increased by 6.7% to RMB181.8 million (US$22.0 million) in 2001 from RMB170.4 million in 2000, primarily due to certain expenses of more than RMB50 million (US$6.0 million) for legal and professional fees and consultancy fees in 2001.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asset impairment loss for 2001 represents a provision for impairment loss on the software costs and other assets directly relating to the development of an online game of RMB2.8 million (US$0.3 million). The impairment loss relating to the online game assets was estimated on the basis of the difference between the carrying value of the assets as of December 31, 2001 and the present value of the future cash flows which are likely to be generated from the operation of the online game.</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Research and development expenses decreased by 9.7% to RMB13.3 million (US$1.6 million) in 2001 from RMB14.8 million in 2000, primarily due to a decrease in share compensation costs as a result of the resignation of certain management staff in our technical department during 2001.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(Expenses)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income and expenses in 2001 mainly consisted of the one time non-recurring provisions for the impairment of our investments in a convertible note issued by Ladynow.com Corporation Limited, a corporation in which we invested, and convertible preference shares issued by EachNet of RMB2.1 million (US$0.3 million) and RMB6.9 million (US$0.8 million), respectively, and net interest income of RMB7.7 million (US$0.9 million). The provision for the Ladynow convertible note was necessitated by Ladynow's cessation of operations in 2001. In turn, the EachNet shares were sold back to EachNet in 2002, and the impairment charge for our investment in EachNet in 2001 represents the difference between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61" w:name="page62"/>
    <w:bookmarkEnd w:id="61"/>
    <w:p>
      <w:pPr>
        <w:ind w:right="3239"/>
        <w:spacing w:after="0" w:line="235" w:lineRule="auto"/>
        <w:rPr>
          <w:sz w:val="20"/>
          <w:szCs w:val="20"/>
          <w:color w:val="auto"/>
        </w:rPr>
      </w:pPr>
      <w:r>
        <w:rPr>
          <w:rFonts w:ascii="Courier New" w:cs="Courier New" w:eastAsia="Courier New" w:hAnsi="Courier New"/>
          <w:sz w:val="15"/>
          <w:szCs w:val="15"/>
          <w:color w:val="auto"/>
        </w:rPr>
        <w:t>our original cost of investment and the consideration received for the resale. The decrease in the net interest income in 2001 as compared with 2000 was due to the decrease in our cash balance and the reduction of interest rates during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selected unaudited quarterly consolidated statements of operations data for each of the four fiscal quarters for the year ended December 31, 2002 in Renminbi. Our management believes this data has been prepared substantially on the same basis as the consolidated audited financial statements, including all necessary adjustments, consisting only of normal recurring adjustments, necessary for a fair presentation of such data. Operating results for any quarter are not necessarily indicative of results for any future quarter. You should read the quarterly data for the four quarters set forth below for the year ended December 31, 2002 in conjunction with our consolidated financial statements and the related notes included elsewhere in this annual report.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8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Quarter Ended</w:t>
            </w:r>
          </w:p>
        </w:tc>
        <w:tc>
          <w:tcPr>
            <w:tcW w:w="14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0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March 31,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June 30,</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420" w:type="dxa"/>
            <w:vAlign w:val="bottom"/>
          </w:tcPr>
          <w:p>
            <w:pPr>
              <w:spacing w:after="0"/>
              <w:rPr>
                <w:sz w:val="14"/>
                <w:szCs w:val="14"/>
                <w:color w:val="auto"/>
              </w:rPr>
            </w:pP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c>
          <w:tcPr>
            <w:tcW w:w="14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2002</w:t>
            </w:r>
          </w:p>
        </w:tc>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2002</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0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(Unaudited)</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(Unaudited)</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420" w:type="dxa"/>
            <w:vAlign w:val="bottom"/>
          </w:tcPr>
          <w:p>
            <w:pPr>
              <w:spacing w:after="0"/>
              <w:rPr>
                <w:sz w:val="14"/>
                <w:szCs w:val="14"/>
                <w:color w:val="auto"/>
              </w:rPr>
            </w:pPr>
          </w:p>
        </w:tc>
        <w:tc>
          <w:tcPr>
            <w:tcW w:w="20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RMB</w:t>
            </w:r>
          </w:p>
        </w:tc>
        <w:tc>
          <w:tcPr>
            <w:tcW w:w="14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RMB</w:t>
            </w:r>
          </w:p>
        </w:tc>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RMB</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RMB</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Advertising services</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3,946,530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8,029,230</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9,779,126</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12,454,490</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E-commerce and other services</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19,968,083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30,337,297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63,999,662</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83,052,025</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Software licensing and related</w:t>
            </w:r>
          </w:p>
        </w:tc>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integration projects</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39,385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118,154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618,138</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226,348</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revenues</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23,953,998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38,484,681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74,396,926</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95,732,863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value-added taxes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(1,197,700)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(1,924,880)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(3,694,693)</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(4,809,943)</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22,756,298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36,559,801</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70,702,233</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90,922,920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Advertising, e-commerce and other</w:t>
            </w:r>
          </w:p>
        </w:tc>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services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(14,894,747)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(14,107,720)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(19,940,627)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(20,826,355)</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compensation cost</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(477,032)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(477,032)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(477,032)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(477,029)</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cost of revenues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(15,371,779)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(14,584,752)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(20,417,659)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(21,303,384)</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7,384,519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21,975,049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50,284,574</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69,619,536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Selling, general and administrative</w:t>
            </w:r>
          </w:p>
        </w:tc>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expenses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(22,202,753)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(21,962,075)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(21,903,299)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(26,717,117)</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Asset impairment loss</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(746,857)</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(3,565,372)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(3,884,600)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(2,714,442)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(3,643,946)</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 compensation cost</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(645,657)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(597,764)</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(358,700)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(296,612)</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action settlement</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(36,005,385)</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(26,413,782)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(27,191,296)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(60,981,826)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(30,657,675)</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(19,029,263)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(5,216,247)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(10,697,252)</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38,961,861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2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1,949,086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2,281,729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1,719,807</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1,611,700</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(996,735)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(212,382)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(191,924)</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283,199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3,185,235</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145,506</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111,430</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(loss) before tax</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(17,793,713)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38,335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(9,023,863)</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40,684,991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2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2,395,888</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profit (loss)</w:t>
            </w:r>
          </w:p>
        </w:tc>
        <w:tc>
          <w:tcPr>
            <w:tcW w:w="2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(17,793,713)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38,335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(9,023,863)</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43,080,879</w:t>
            </w:r>
          </w:p>
        </w:tc>
      </w:tr>
      <w:tr>
        <w:trPr>
          <w:trHeight w:val="168"/>
        </w:trPr>
        <w:tc>
          <w:tcPr>
            <w:tcW w:w="3420" w:type="dxa"/>
            <w:vAlign w:val="bottom"/>
          </w:tcPr>
          <w:p>
            <w:pPr>
              <w:spacing w:after="0"/>
              <w:rPr>
                <w:sz w:val="14"/>
                <w:szCs w:val="14"/>
                <w:color w:val="auto"/>
              </w:rPr>
            </w:pPr>
          </w:p>
        </w:tc>
        <w:tc>
          <w:tcPr>
            <w:tcW w:w="6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2020" w:type="dxa"/>
            <w:vAlign w:val="bottom"/>
          </w:tcPr>
          <w:p>
            <w:pPr>
              <w:jc w:val="right"/>
              <w:ind w:right="1767"/>
              <w:spacing w:after="0"/>
              <w:rPr>
                <w:sz w:val="20"/>
                <w:szCs w:val="20"/>
                <w:color w:val="auto"/>
              </w:rPr>
            </w:pPr>
            <w:r>
              <w:rPr>
                <w:rFonts w:ascii="Courier New" w:cs="Courier New" w:eastAsia="Courier New" w:hAnsi="Courier New"/>
                <w:sz w:val="15"/>
                <w:szCs w:val="15"/>
                <w:color w:val="auto"/>
                <w:w w:val="88"/>
              </w:rPr>
              <w:t>58</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62" w:name="page63"/>
    <w:bookmarkEnd w:id="62"/>
    <w:p>
      <w:pPr>
        <w:ind w:right="3239" w:firstLine="437"/>
        <w:spacing w:after="0" w:line="235" w:lineRule="auto"/>
        <w:rPr>
          <w:sz w:val="20"/>
          <w:szCs w:val="20"/>
          <w:color w:val="auto"/>
        </w:rPr>
      </w:pPr>
      <w:r>
        <w:rPr>
          <w:rFonts w:ascii="Courier New" w:cs="Courier New" w:eastAsia="Courier New" w:hAnsi="Courier New"/>
          <w:sz w:val="15"/>
          <w:szCs w:val="15"/>
          <w:color w:val="auto"/>
        </w:rPr>
        <w:t>Our revenues and results of operations have varied significantly in the past and may fluctuate in the future due to a combination of factors, including, among others:</w:t>
      </w:r>
    </w:p>
    <w:p>
      <w:pPr>
        <w:spacing w:after="0" w:line="167" w:lineRule="exact"/>
        <w:rPr>
          <w:sz w:val="20"/>
          <w:szCs w:val="20"/>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NetEase Web sites to attract and retain users;</w:t>
      </w:r>
    </w:p>
    <w:p>
      <w:pPr>
        <w:ind w:left="880" w:hanging="433"/>
        <w:spacing w:after="0" w:line="237"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implement our e-commerce strategies;</w:t>
      </w:r>
    </w:p>
    <w:p>
      <w:pPr>
        <w:ind w:left="880" w:hanging="433"/>
        <w:spacing w:after="0" w:line="237"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develop new fee-based premium services;</w:t>
      </w:r>
    </w:p>
    <w:p>
      <w:pPr>
        <w:ind w:left="880" w:hanging="433"/>
        <w:spacing w:after="0" w:line="237"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receptiveness by users to such fee-based premium services;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advertising on the Internet in general and on the NetEase Web sites in particular;</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update and develop our Internet portal systems and infrastructure;</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difficulties that users may experience on the NetEase Web sites;</w:t>
      </w:r>
    </w:p>
    <w:p>
      <w:pPr>
        <w:spacing w:after="0" w:line="5" w:lineRule="exact"/>
        <w:rPr>
          <w:rFonts w:ascii="Courier New" w:cs="Courier New" w:eastAsia="Courier New" w:hAnsi="Courier New"/>
          <w:sz w:val="15"/>
          <w:szCs w:val="15"/>
          <w:color w:val="auto"/>
        </w:rPr>
      </w:pPr>
    </w:p>
    <w:p>
      <w:pPr>
        <w:ind w:left="880" w:right="4199" w:hanging="433"/>
        <w:spacing w:after="0" w:line="234"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in Internet markets, including our competitors' performance in each of the above aspects;</w:t>
      </w:r>
    </w:p>
    <w:p>
      <w:pPr>
        <w:ind w:left="880" w:hanging="433"/>
        <w:spacing w:after="0" w:line="237"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and acceptance of the Internet in China;</w:t>
      </w:r>
    </w:p>
    <w:p>
      <w:pPr>
        <w:ind w:left="880" w:hanging="433"/>
        <w:spacing w:after="0" w:line="237"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Chinese governmental regulations; and</w:t>
      </w:r>
    </w:p>
    <w:p>
      <w:pPr>
        <w:ind w:left="880" w:hanging="433"/>
        <w:spacing w:after="0" w:line="237"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in China.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capital requirements relate primarily to financing:</w:t>
      </w:r>
    </w:p>
    <w:p>
      <w:pPr>
        <w:spacing w:after="0" w:line="173" w:lineRule="exact"/>
        <w:rPr>
          <w:sz w:val="20"/>
          <w:szCs w:val="20"/>
          <w:color w:val="auto"/>
        </w:rPr>
      </w:pPr>
    </w:p>
    <w:p>
      <w:pPr>
        <w:ind w:left="880" w:hanging="433"/>
        <w:spacing w:after="0"/>
        <w:tabs>
          <w:tab w:leader="none" w:pos="8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working capital requirements, such as bandwidth and server custody</w:t>
      </w:r>
    </w:p>
    <w:p>
      <w:pPr>
        <w:spacing w:after="0" w:line="10" w:lineRule="exact"/>
        <w:rPr>
          <w:sz w:val="20"/>
          <w:szCs w:val="20"/>
          <w:color w:val="auto"/>
        </w:rPr>
      </w:pPr>
    </w:p>
    <w:p>
      <w:pPr>
        <w:ind w:left="880" w:right="3759"/>
        <w:spacing w:after="0" w:line="234" w:lineRule="auto"/>
        <w:rPr>
          <w:sz w:val="20"/>
          <w:szCs w:val="20"/>
          <w:color w:val="auto"/>
        </w:rPr>
      </w:pPr>
      <w:r>
        <w:rPr>
          <w:rFonts w:ascii="Courier New" w:cs="Courier New" w:eastAsia="Courier New" w:hAnsi="Courier New"/>
          <w:sz w:val="15"/>
          <w:szCs w:val="15"/>
          <w:color w:val="auto"/>
        </w:rPr>
        <w:t>fees, staff costs, sales and marketing expenses and research and development, and</w:t>
      </w:r>
    </w:p>
    <w:p>
      <w:pPr>
        <w:spacing w:after="0" w:line="5" w:lineRule="exact"/>
        <w:rPr>
          <w:sz w:val="20"/>
          <w:szCs w:val="20"/>
          <w:color w:val="auto"/>
        </w:rPr>
      </w:pPr>
    </w:p>
    <w:p>
      <w:pPr>
        <w:ind w:left="880" w:right="3759" w:hanging="433"/>
        <w:spacing w:after="0" w:line="234" w:lineRule="auto"/>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associated with the expansion of our business, such as the purchase of servers.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Cash provided by operating activities was RMB26.8 million (US$3.2 million) in 2002 and cash used in operating activities was RMB185.7 million and RMB124.7 million in 2001 and 2000, respectively. In 2002, cash provided by operating activities consisted primarily of our operating profit adjusted for an increase in salary and welfare payable, taxes payable, and offset in part by an increase in amount due from related parties, deferred tax assets and a decrease in accounts payable. In 2001, cash used in operating activities consisted primarily of our operating loss adjusted for a decrease in accrued liabilities and amount due to related parties and an increase in due from related parties, offset in part by an increase in accounts payable, salary and welfare payable and a decrease in prepayments and other current assets. In 2000, cash used in operating activities consisted primarily of our operating loss adjusted for an increase in prepayments and other current assets and amount due from related parties, offset in part by increases in accounts payable, salary and welfare payable and other accrued liabilities.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Cash provided by investing activities was RMB42.7 million (US$5.2 million) in 2002, and cash used in investing activities was RMB67.3 million in 2001 and RMB53.0 million in 2000. In 2002, cash provided by investing activities mainly consisted of the decrease in temporary cash investments and the proceeds from the disposal of our investment in convertible preference shares of EachNet, a private Internet-based auction company, which was offset in part by the cash used in the purchase of fixed assets. The decrease in temporary cash investments resulted from our repayment of bank loans as discussed below under "Financing Activities." In 2001, cash used in investing activities mainly consisted of the placing of term deposits which had a maturity of more than three months and the purchase of fixed assets, which accounted for 67.7% and 31.4%, respectively, of total cash used in investing activities. In 2000, cash used in investing activities consisted primarily of the purchase of fixed assets and investment in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63" w:name="page64"/>
    <w:bookmarkEnd w:id="63"/>
    <w:p>
      <w:pPr>
        <w:ind w:right="3399"/>
        <w:spacing w:after="0" w:line="236" w:lineRule="auto"/>
        <w:rPr>
          <w:sz w:val="20"/>
          <w:szCs w:val="20"/>
          <w:color w:val="auto"/>
        </w:rPr>
      </w:pPr>
      <w:r>
        <w:rPr>
          <w:rFonts w:ascii="Courier New" w:cs="Courier New" w:eastAsia="Courier New" w:hAnsi="Courier New"/>
          <w:sz w:val="15"/>
          <w:szCs w:val="15"/>
          <w:color w:val="auto"/>
        </w:rPr>
        <w:t>convertible preference shares, which accounted for 64.1% and 31.2%, respectively, of total cash used in investing activities. Our investment in convertible preference shares coincided with our entering into an agreement to operate our co-branded trading and auction Web site with EachNet which, as previously noted, has been terminated. These shares were subsequently sold in 2002 back to EachNet for an aggregate net loss of approximately RMB6.9 million (US$0.8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used in financing activities was RMB78.1 million (US$9.4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Cash used in financing activities was RMB22.3 million in 2001 and cash</w:t>
      </w:r>
    </w:p>
    <w:p>
      <w:pPr>
        <w:spacing w:after="0" w:line="237" w:lineRule="auto"/>
        <w:rPr>
          <w:sz w:val="20"/>
          <w:szCs w:val="20"/>
          <w:color w:val="auto"/>
        </w:rPr>
      </w:pPr>
      <w:r>
        <w:rPr>
          <w:rFonts w:ascii="Courier New" w:cs="Courier New" w:eastAsia="Courier New" w:hAnsi="Courier New"/>
          <w:sz w:val="15"/>
          <w:szCs w:val="15"/>
          <w:color w:val="auto"/>
        </w:rPr>
        <w:t>provided by financing activities was RMB904.9 million in 2000. A substantial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portion of our cash is kept in US dollars. In 2002, the cash used in financing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mainly consisted of the repayment of bank loans of RMB84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(US$10.1 million), which was offset in part by the proceeds from the issuance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upon the exercise of share options and the partial collection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subscription receivable for the Series B preference shares issued in 2000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RMB3.9 million (US$0.5 million) and RMB2.0 million (US$0.2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In 2001, the cash used in financing activities mainly consisted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repayment of bank loans of RMB152.4 million (US$18.4 million) which was</w:t>
      </w:r>
    </w:p>
    <w:p>
      <w:pPr>
        <w:spacing w:after="0" w:line="237" w:lineRule="auto"/>
        <w:rPr>
          <w:sz w:val="20"/>
          <w:szCs w:val="20"/>
          <w:color w:val="auto"/>
        </w:rPr>
      </w:pPr>
      <w:r>
        <w:rPr>
          <w:rFonts w:ascii="Courier New" w:cs="Courier New" w:eastAsia="Courier New" w:hAnsi="Courier New"/>
          <w:sz w:val="15"/>
          <w:szCs w:val="15"/>
          <w:color w:val="auto"/>
        </w:rPr>
        <w:t>offset in part by proceeds from other bank loans totaling RMB123.8 million</w:t>
      </w:r>
    </w:p>
    <w:p>
      <w:pPr>
        <w:spacing w:after="0" w:line="238" w:lineRule="auto"/>
        <w:rPr>
          <w:sz w:val="20"/>
          <w:szCs w:val="20"/>
          <w:color w:val="auto"/>
        </w:rPr>
      </w:pPr>
      <w:r>
        <w:rPr>
          <w:rFonts w:ascii="Courier New" w:cs="Courier New" w:eastAsia="Courier New" w:hAnsi="Courier New"/>
          <w:sz w:val="15"/>
          <w:szCs w:val="15"/>
          <w:color w:val="auto"/>
        </w:rPr>
        <w:t>(US$15.0 million) and the receipt in 2001 of additional net proceeds from our</w:t>
      </w:r>
    </w:p>
    <w:p>
      <w:pPr>
        <w:spacing w:after="0" w:line="237" w:lineRule="auto"/>
        <w:rPr>
          <w:sz w:val="20"/>
          <w:szCs w:val="20"/>
          <w:color w:val="auto"/>
        </w:rPr>
      </w:pPr>
      <w:r>
        <w:rPr>
          <w:rFonts w:ascii="Courier New" w:cs="Courier New" w:eastAsia="Courier New" w:hAnsi="Courier New"/>
          <w:sz w:val="15"/>
          <w:szCs w:val="15"/>
          <w:color w:val="auto"/>
        </w:rPr>
        <w:t>issuance of Series B preference shares in 2000 of RMB6.3 million (US$0.8</w:t>
      </w:r>
    </w:p>
    <w:p>
      <w:pPr>
        <w:spacing w:after="0" w:line="238" w:lineRule="auto"/>
        <w:rPr>
          <w:sz w:val="20"/>
          <w:szCs w:val="20"/>
          <w:color w:val="auto"/>
        </w:rPr>
      </w:pPr>
      <w:r>
        <w:rPr>
          <w:rFonts w:ascii="Courier New" w:cs="Courier New" w:eastAsia="Courier New" w:hAnsi="Courier New"/>
          <w:sz w:val="15"/>
          <w:szCs w:val="15"/>
          <w:color w:val="auto"/>
        </w:rPr>
        <w:t>million). In 2000, the increase in cash provided by financing activities was</w:t>
      </w:r>
    </w:p>
    <w:p>
      <w:pPr>
        <w:spacing w:after="0" w:line="237" w:lineRule="auto"/>
        <w:rPr>
          <w:sz w:val="20"/>
          <w:szCs w:val="20"/>
          <w:color w:val="auto"/>
        </w:rPr>
      </w:pPr>
      <w:r>
        <w:rPr>
          <w:rFonts w:ascii="Courier New" w:cs="Courier New" w:eastAsia="Courier New" w:hAnsi="Courier New"/>
          <w:sz w:val="15"/>
          <w:szCs w:val="15"/>
          <w:color w:val="auto"/>
        </w:rPr>
        <w:t>primarily due to the net proceeds from our issuance of Series B preference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in 2000 of RMB283.5 million and our initial public offering in July 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RMB508.7 million and proceeds from bank loans totaling RMB112.6 million.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 Renminbi for our working capital purposes.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had no material commitments for capital expenditures as of December 31, 2002. Up to March 31, 2003, we spent approximately RMB4.1 million (US$0.5 million) for servers and computer equipment, and as our business grows, we plan to spend an additional approximately RMB16.9 million (US$2.0 million) in 2003 towards purchases of additional servers and switches in order to accommodate the expected increase in traffic on the NetEase Web sites.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net losses have been funded by our cash resources (in particular the proceeds from our initial public offering in July 2000) and to a lesser extent from cash generated from revenue growth. Although we have been striving to enhance our revenues and stabilize or decrease our operating expenses, we cannot be certain these efforts will be successful in future periods which could accelerate the depletion of our cash resources. In particular, as noted previously, our selling, general and administrative expenses have remained relatively high due primarily to staff costs and, in certain prior periods, to legal, professional and consultancy fees, while our revenues from advertising services have been uneven in the last several years. Further, although our revenues from e-commerce and other services have grown significantly recently, we have only a limited track record offering these services and cannot be certain that we will be able to maintain or grow such revenue. Nonetheless, given our positive cash flows in recent quarters, we believe that such cash and revenues will be sufficient for us to meet our obligations for the foreseeable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believe that an integral part of our future success will depend on our ability to develop and enhance our products and services. Our product development efforts and strategies consist of incorporating new technologies from third parties as well as continuing to develop our own proprietary technology.</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We have utilized and will continue to utilize the products and services of third parties to enhance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4" w:name="page65"/>
    <w:bookmarkEnd w:id="64"/>
    <w:p>
      <w:pPr>
        <w:ind w:right="3319"/>
        <w:spacing w:after="0" w:line="236" w:lineRule="auto"/>
        <w:rPr>
          <w:sz w:val="20"/>
          <w:szCs w:val="20"/>
          <w:color w:val="auto"/>
        </w:rPr>
      </w:pPr>
      <w:r>
        <w:rPr>
          <w:rFonts w:ascii="Courier New" w:cs="Courier New" w:eastAsia="Courier New" w:hAnsi="Courier New"/>
          <w:sz w:val="15"/>
          <w:szCs w:val="15"/>
          <w:color w:val="auto"/>
        </w:rPr>
        <w:t>our platform of technologies and services to provide competitive and diverse Internet services to our users. We also have utilized and will continue to utilize third-party advertisement serving technologies. In addition, we plan to continue to expand our technologies, products and services and registered user base through diverse online community products and services developed internally. We will seek to continually improve and enhance our existing products and services to respond to rapidly evolving competitive and technological conditions. For the years 2000, 2001 and 2002, we spent RMB14.8 million, RMB13.3 million and RMB14.2 million (US$1.7 million), respectively, on research and development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exposure to market rate risk for changes in interest rates relates primarily to the interest income generated by excess cash invested in short term money market accounts and certificates of deposit. We have not used derivative financial instruments in our investment portfolio. Interest earning instruments carry a degree of interest rate risk. We have not been exposed nor do we anticipate being exposed to material risks due to changes in interest rates. However, our future interest income may fall short of expectations due to changes in interest rates.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 Risk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Substantially all our revenues and expenses are denominated in Renminbi, but as noted above, a substantial portion of our cash is kept in U.S. dollars. Although we believe that, in general, our exposure to foreign exchange risks should be limited, the value of our American Depositary Shares, or ADSs, will be affected by the foreign exchange rate between U.S. dollars and Renminbi. For example, to the extent that we need to convert U.S. dollars into Renminbi for our operational needs and the Renminbi appreciates against the U.S. dollar at that time, our financial position and the price of our ADSs may be adversely affected. Conversely, if we decide to convert our Renminbi (which amount has grown as a result of our improved cash flows in recent quarters) into U.S. dollars for the purpose of declaring dividends on our ADSs or otherwise and the U.S. dollar appreciates against the Renminbi, the U.S. dollar equivalent of our earnings from our subsidiaries and controlled entities in China would be reduced.</w:t>
      </w:r>
    </w:p>
    <w:p>
      <w:pPr>
        <w:spacing w:after="0" w:line="174"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We have not had any material foreign exchange gains or losses to date. However, we have not engaged in any hedging activities, and we may experience economic loss as a result of any foreign currency exchange rate fluctuations.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2002, EITF reached a consensus on Issue No. 00-21, "Revenue Arrangements with Multiple Deliverables." EITF Issue No. 00-21 provides guidance on how to account for arrangements that involve the delivery or performance of multiple products, services and/or rights to use assets. The provisions of EITF Issue No. 00-21 will apply to revenue arrangements entered into in fiscal periods beginning after June 15, 2003. We believe that the adoption of this standard will have no material impact on our financial statements.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2002, the Financial Accounting Standards Board, or FASB, issued Statements of Financial Accounting Standards, or SFAS No. 148, "Accounting for Stock-Based Compensation, Transition and Disclosure." SFAS No. 148 provides alternative methods of transition for a voluntary change to the fair value based method of accounting for stock-based employee compensation. SFAS No. 148 also requires that disclosures of the pro forma effect of using the fair value method of accounting for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65" w:name="page66"/>
    <w:bookmarkEnd w:id="65"/>
    <w:p>
      <w:pPr>
        <w:ind w:right="3239"/>
        <w:spacing w:after="0" w:line="236" w:lineRule="auto"/>
        <w:rPr>
          <w:sz w:val="20"/>
          <w:szCs w:val="20"/>
          <w:color w:val="auto"/>
        </w:rPr>
      </w:pPr>
      <w:r>
        <w:rPr>
          <w:rFonts w:ascii="Courier New" w:cs="Courier New" w:eastAsia="Courier New" w:hAnsi="Courier New"/>
          <w:sz w:val="15"/>
          <w:szCs w:val="15"/>
          <w:color w:val="auto"/>
        </w:rPr>
        <w:t>stock-based employee compensation be displayed more prominently and in a tabular format. Additionally, SFAS No. 148 requires disclosure of the pro forma effect in interim financial statements. The transition and annual disclosure requirements of SFAS No. 148 are effective for fiscal years ending after December 15, 2002. The interim disclosure requirements are effective for interim periods beginning after December 15, 2002. We have adopted the disclosure provisions of SFAS No.148 as of December 31, 2002.</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2002, the FASB issued FASB Interpretation No. 45, "Guarantor's Accounting and Disclosure Requirements for Guarantees, including Indirect Guarantees of Indebtedness of Others" ("FIN 45"). FIN 45 elaborates on the disclosures to be made by a guarantor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under FIN 45 are applicable prospectively to guarantees issued or modified after December 31, 2002. The disclosure requirements are effective for interim or annual periods ending after December 15, 2002 and have been included in the consolidated financial statements. We believe that the adoption of the related accounting measurement and recognition provisions will not have a material impact on our financial statements.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January 2003, the FASB issued FASB Interpretation No. 46, "Consolidation of Variable Interest Entities, an Interpretation of APB No. 50" ("FIN 46"). FIN 46 provides guidance on the identification of and financial reporting for entities over which control is achieved through means other than voting rights. This Interpretation requires existing unconsolidated variable interest entities to be consolidated by their primary beneficiaries if the entities do not effectively disperse risks among parties involved. The Interpretation applies immediately to variable interest entities created after January 31, 2003, and to variable interest entities in which an enterprise obtains an interest after that date. It applies in the first fiscal year or interim period beginning after June 15, 2003 to variable interest entities in which an enterprise holds a variable interest that it acquired before February 1, 2003. We have not yet completed our assessment of the accounting effects from FIN 46 upon adoption. Based upon our initial analysis, it is possible that Guangyitong Advertising and/or Guangzhou NetEase may be subject to the requirements of FIN 46 and that we may be required to consolidate or disclose information about these entities. Disclosures regarding the nature, purpose, size, and activities of these identified entities, along with the nature of our involvement and when that involvement began, have already been included throughout the footnotes to our consolidated financial statements, particularly in Notes 1 and 6. We do not believe that consolidation of these entities will have a material impact on our net profit, but we are not able to estimate the maximum exposure to loss as a result of our involvement with these entities at the present time. Historically, we have not incurred any net losses as a result of our involvement in these entities.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 Information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Other than as disclosed elsewhere in this annual report, we are not aware of any trends, uncertainties, demands, commitments or events from the period of inception to December 31, 2002 that are reasonably likely to have a material effect on our net revenues, income, profitability, liquidity or capital resources, or that caused the disclosed financial information to be not necessarily indicative of future operating results or financial conditions.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66" w:name="page67"/>
    <w:bookmarkEnd w:id="66"/>
    <w:p>
      <w:pPr>
        <w:spacing w:after="0"/>
        <w:tabs>
          <w:tab w:leader="none" w:pos="12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Directors, Senior Management and Employees</w:t>
      </w:r>
    </w:p>
    <w:p>
      <w:pPr>
        <w:spacing w:after="0" w:line="166" w:lineRule="exact"/>
        <w:rPr>
          <w:sz w:val="20"/>
          <w:szCs w:val="20"/>
          <w:color w:val="auto"/>
        </w:rPr>
      </w:pPr>
    </w:p>
    <w:p>
      <w:pPr>
        <w:ind w:left="1240" w:hanging="443"/>
        <w:spacing w:after="0"/>
        <w:tabs>
          <w:tab w:leader="none" w:pos="12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and Senior Management</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The names of our current directors and executive officers, their ages as of May 31, 2003 and the principal positions with NetEase held by them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Age</w:t>
            </w:r>
          </w:p>
        </w:tc>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Ding</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31</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 and Chief Architect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Ted Sun</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35</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Director and Acting Chief Executive Officer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Denny Lee</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35</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 and Chief Financial Officer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Tong</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32</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Executive 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Donghua Ding (1)</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65</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Lee</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39</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Leung (1)</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49</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Tong (1)</w:t>
            </w:r>
          </w:p>
        </w:tc>
        <w:tc>
          <w:tcPr>
            <w:tcW w:w="10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40</w:t>
            </w:r>
          </w:p>
        </w:tc>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173" w:lineRule="exact"/>
        <w:rPr>
          <w:sz w:val="20"/>
          <w:szCs w:val="20"/>
          <w:color w:val="auto"/>
        </w:rPr>
      </w:pPr>
    </w:p>
    <w:p>
      <w:pPr>
        <w:ind w:right="3239" w:firstLine="10"/>
        <w:spacing w:after="0" w:line="254" w:lineRule="auto"/>
        <w:tabs>
          <w:tab w:leader="none" w:pos="3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audit committee. Mary Nee was a member of our audit committee until May 15, 2002 when she stepped down from that committee, and our board appointed John Lau to fill the vacancy. Ms. Nee later resigned from our board in July 2002. In addition, on June 5, 2002, Kathy Xu resigned from our board and the audit committee, and Ronald Lee was appointed on that day to fill both vacancies. Michael Leung replaced Mr. Lee on the audit committee on July 11, 2002 when he was appointed to our board. On March 14, 2003, Mr. Lau resigned from our board and the audit committee, and on March 25, 2003, Joseph Tong was appointed to fill both vacancies. Finally, on June 25, 2003, Michael Tong became</w:t>
      </w:r>
    </w:p>
    <w:p>
      <w:pPr>
        <w:spacing w:after="0" w:line="3" w:lineRule="exact"/>
        <w:rPr>
          <w:rFonts w:ascii="Courier New" w:cs="Courier New" w:eastAsia="Courier New" w:hAnsi="Courier New"/>
          <w:sz w:val="14"/>
          <w:szCs w:val="14"/>
          <w:color w:val="auto"/>
        </w:rPr>
      </w:pPr>
    </w:p>
    <w:p>
      <w:pPr>
        <w:ind w:right="3239" w:firstLine="437"/>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 executive director of our company at which time he stepped down from the audit committee but remained a member of our board. On that same day, Donghua Ding was appointed to our board and the audit committee. Our audit committee is currently comprised of Joseph Tong, Michael Leung and Donghua Ding. In 2002, our audit committee held six formal meetings.</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foregoing directors will hold office until the next annual general meeting of shareholders and until such director's successor is elected and duly qualified, or until such director's earlier death, bankruptcy, insanity, resignation or removal. There are no family relationships among any of the directors or executive officers of our company.</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News Corporation Limited had the right to nominate one director to our board, and, upon nomination, certain of our shareholders holding a majority of our outstanding shares were obligated to vote their shares in favor of such nominated director. Two of our prior directors, Lawrence J. Smith and John Lau, were nominated and elected to our board in this manner. However, this right terminated in March 2003 when The News Corporation Limited sold a portion of its shares in our company. See Item 7.B. "Related Party Transactions" in this annual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Biographical Information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William Ding, our founder, has served as a director since July 1999 and as our Chief Architect since March 2001. From June 2001 until September 2001, Mr. Ding served as our acting Chief Executive Officer and acting Chief Operating Officer. Mr. Ding also stepped down as Chairman of the Board of Directors in September 2001 (the company currently has no permanently appointed Chairman). From July 1999 until March 2001, Mr. Ding served as Co-Chief Technology Officer, and from July 1999 until April 2000, he also served as our interim Chief Executive Officer. Mr. Ding established Guangzhou Netease, our affiliate, in May 1997. Prior to establishing Guangzhou Netease, Mr. Ding spent one year at Guangzhou Feijie Co. as a systems analyst, from June 1996 to April 1997, one year at Sybase (China) as a project manager, from May 1995 to May 1996, and two years at China Telecom Ningbo Branch as a technical engineer, from June 1993 to May 1995. Mr. Ding holds a Bachelor of Science degree in Communication Technology from the University of Electronic Science and Technology of China.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17" w:right="1440" w:bottom="1440" w:gutter="0" w:footer="0" w:header="0"/>
        </w:sectPr>
      </w:pPr>
    </w:p>
    <w:bookmarkStart w:id="67" w:name="page68"/>
    <w:bookmarkEnd w:id="67"/>
    <w:p>
      <w:pPr>
        <w:ind w:right="3239" w:firstLine="787"/>
        <w:spacing w:after="0" w:line="236" w:lineRule="auto"/>
        <w:rPr>
          <w:sz w:val="20"/>
          <w:szCs w:val="20"/>
          <w:color w:val="auto"/>
        </w:rPr>
      </w:pPr>
      <w:r>
        <w:rPr>
          <w:rFonts w:ascii="Courier New" w:cs="Courier New" w:eastAsia="Courier New" w:hAnsi="Courier New"/>
          <w:sz w:val="15"/>
          <w:szCs w:val="15"/>
          <w:color w:val="auto"/>
        </w:rPr>
        <w:t>Ted Sun has served as a director since December 1999 and as our acting Chief Executive Officer from September 2001 following William Ding's resignation from that position. Mr. Sun also worked as our consultant from July 2001 until September 2001. From July 2000 until September 2001, he served as Chief Financial Officer of Infoserve Technology. Prior to that, Mr. Sun held various positions with Bear Stearns Asia Limited from November 1996 to May 2000, culminating in the position of Managing Director. Prior to November 1996, Mr. Sun was an assistant director with Peregrine Capital Limited. Mr. Sun received a Bachelor of Science degree in Economics from the Wharton School of Business, University of Pennsylvania in 1988.</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Denny Lee has served as a director and as our Chief Financial Officer since April 2002. Previously, he was our Financial Controller from November 2001 until that time. Prior to joining our company, Mr. Lee worked in the Hong Kong office of KPMG for more than ten years, culminating in the position of Senior Manager in one of the audit departments where he specialized in auditing international clients. During his employment with KPMG, he also worked with a number of Chinese companies with respect to accounting and other aspects of their initial public offerings on the Hong Kong Stock Exchange, due diligence work in relation to potential investments in Chinese companies and financial and operational reviews of Chinese companies in connection with proposed investments in such companies by foreign investors. Mr. Lee graduated from the Hong Kong Polytechnic University majoring in accounting and is a member of The Hong Kong Society of Accountants and The Chartered Association of Certified Accountants.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Michael Tong became an executive director of our company on June 25, 2003 where he is involved with the overall management of our company with a particular focus on our online games business. He has also served as one of our directors since December 1999. Previously, he was an Executive Director with techpacific.com Venture Capital Limited. In that capacity, he was primarily responsible for portfolio management of the funds managed by techpacific.com and its subsidiaries. Prior to joining techpacific.com in December 2000, Mr. Tong worked at Softbank China Venture Investments Limited in Hong Kong, where he was responsible for the evaluation, financial modeling, due diligence review and structuring of Softbank's investments. He also worked at Nomura China Venture Investments Limited, Jardine Fleming Securities Limited and Ernst &amp; Young, all in Hong Kong. Mr. Tong graduated with a Bachelor of Business Administration from the University of Wisconsin, Madison with a major in Accounting and an extra concentration in Computer Science in 1993. He is a member of the American Institute of Certified Public Accountants and is a Chartered Financial Analyst.</w:t>
      </w:r>
    </w:p>
    <w:p>
      <w:pPr>
        <w:spacing w:after="0" w:line="16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Donghua Ding joined our board on June 25, 2003. He currently serves as an advisor to China Mobile (Shenzhen) Limited, a subsidiary of China Mobile (Hong Kong) Limited, the leading mobile operator in China and a listed company on the Stock Exchange of Hong Kong and the New York Stock Exchange. From 1997 until 2002, he served as a director and chief financial officer of China Mobile (Hong Kong) Limited where he was in charge of that company's financial management. Mr.Ding was also a director of China Mobile Hong Kong (BVI) Limited. Prior to joining China Mobile (Hong Kong) Limited, Mr. Ding was the Chief Economist, Chief Accountant, Deputy Chief Economist and Department Director of the Guangdong Posts and Telecommunications Administration. He graduated from the Beijing University of Posts and Telecommunications in 1961 and has 40 years of management experience in the telecommunications industry, as well as in economics and finance.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Ronald Lee was appointed to our board on June 5, 2002. He is the managing director and co-founder of BEENET, an Internet consulting and solutions services provider established in November 1999. Prior to that, he was a corporate finance senior manager at Cable &amp; Wireless HKT, where he worked from 1995 to 1999. Mr. Lee also worked for Royal Trust in Toronto and Hong Kong and Peregrine Capital Limited and Peregrine Direct Investment Limited in Hong Kong. Mr. Lee received his Master of Business Administration degree with specialization in accounting and finance from the University of Western Ontario in 1992 and his Bachelor of Science degree in Accounting and Finance from Georgetown University in 1987.</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Michael Leung has been one of our directors since July 11, 2002. Since April 2002, he has been a consultant with Koffman Securities, a brokerage firm in Hong Kong. From February 1999 to September 2001, he was a director at Emerging Markets Partnership (Hong Kong) Limited, which is the principal adviser to the AIG Asian Infrastructure Fund L.P. Prior to that, from November 1997 to October 1998, he was a Director of Warburg Dillon Read where he was involved in corporate finance activities in China. From January 1994 to August 1997, he was a Director of Crosby Securities heading the Corporate Finance Division covering the Hong Kong and China markets. He was also a Director of Peregrine Capital Limited from January 1992 to December 1993 where he was responsible for marketing Peregrine's corporate finance services in Hong Kong and China. Mr. Leung received a Bachelor's Degree in Social Sciences from the University of Hong Kong with a major in accounting, management and statistics.</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Joseph Tong is a director and co-founder of TLM Apparel Co., Ltd., a garment trading company operating in Hong Kong and China which was established in December 2002. At TLM Apparel, Mr. Tong is engaged in establishing offices and operations in Hong Kong and China, setting up accounting and internal control policies and overseeing the company's overall operations. Prior to that, from September 2000 to September 2002, he was the e-Commerce Director of the Asia Region for Universal Music Limited where he was responsible for forming e-business development strategies and overseeing new promotional opportunities. He was also an Associate Director of Softbank China Venture Investments Limited from August 1999 to September 2000 and of Nomura China Investments Limited from October 1996 to July 1999. In those positions, he was primarily involved in identifying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0" w:gutter="0" w:footer="0" w:header="0"/>
        </w:sectPr>
      </w:pPr>
    </w:p>
    <w:bookmarkStart w:id="68" w:name="page69"/>
    <w:bookmarkEnd w:id="68"/>
    <w:p>
      <w:pPr>
        <w:ind w:right="3239"/>
        <w:spacing w:after="0" w:line="255" w:lineRule="auto"/>
        <w:rPr>
          <w:sz w:val="20"/>
          <w:szCs w:val="20"/>
          <w:color w:val="auto"/>
        </w:rPr>
      </w:pPr>
      <w:r>
        <w:rPr>
          <w:rFonts w:ascii="Courier New" w:cs="Courier New" w:eastAsia="Courier New" w:hAnsi="Courier New"/>
          <w:sz w:val="14"/>
          <w:szCs w:val="14"/>
          <w:color w:val="auto"/>
        </w:rPr>
        <w:t>evaluating potential venture capital investments, negotiating investment terms and structure and overseeing the businesses of portfolio companies. Mr. Tong has also worked at Prosberg Limited, a management consulting company, Wharf Cable Limited and Ernst &amp; Young. Mr. Tong has a Bachelor of Science degree and Second Honour Degree in Accounting and Statistics from the University of Southampton, England. He is a member of the American Institute of Certified Public Accountants and has served as a director since March 25, 2003.</w:t>
      </w:r>
    </w:p>
    <w:p>
      <w:pPr>
        <w:spacing w:after="0" w:line="160" w:lineRule="exact"/>
        <w:rPr>
          <w:sz w:val="20"/>
          <w:szCs w:val="20"/>
          <w:color w:val="auto"/>
        </w:rPr>
      </w:pPr>
    </w:p>
    <w:p>
      <w:pPr>
        <w:ind w:left="1240" w:hanging="443"/>
        <w:spacing w:after="0"/>
        <w:tabs>
          <w:tab w:leader="none" w:pos="12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2002, we paid each of Michael Tong, Michael Leung and Ronald Lee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US$1,000 per month for their services as non-executive directors for a total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US$12,000, US$5,652 and US$6,000, respectively. Other than Messrs. Tong, Leung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Lee, we did not pay any other compensation in any form to our non-executive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in 2002. In 2002, we also granted stock options under our 2000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Plan to our two executive directors, Ted Sun and Denny Lee, as set</w:t>
      </w:r>
    </w:p>
    <w:p>
      <w:pPr>
        <w:spacing w:after="0" w:line="237" w:lineRule="auto"/>
        <w:rPr>
          <w:sz w:val="20"/>
          <w:szCs w:val="20"/>
          <w:color w:val="auto"/>
        </w:rPr>
      </w:pPr>
      <w:r>
        <w:rPr>
          <w:rFonts w:ascii="Courier New" w:cs="Courier New" w:eastAsia="Courier New" w:hAnsi="Courier New"/>
          <w:sz w:val="15"/>
          <w:szCs w:val="15"/>
          <w:color w:val="auto"/>
        </w:rPr>
        <w:t>forth in the table entitled "Option Grants in Last Fiscal Year" below.</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All of our current directors have entered into indemnification agreements in which we agree to indemnify, to the fullest extent allowed by Cayman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 Liability Insurance</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maintained directors' and officers' liability insurance on behalf of our directors and officers until June 15, 2003 when that policy expired. We do not plan to purchase a new policy at this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w:t>
      </w:r>
    </w:p>
    <w:p>
      <w:pPr>
        <w:spacing w:after="0" w:line="173" w:lineRule="exact"/>
        <w:rPr>
          <w:sz w:val="20"/>
          <w:szCs w:val="20"/>
          <w:color w:val="auto"/>
        </w:rPr>
      </w:pPr>
    </w:p>
    <w:p>
      <w:pPr>
        <w:ind w:right="4019" w:firstLine="787"/>
        <w:spacing w:after="0" w:line="261" w:lineRule="auto"/>
        <w:rPr>
          <w:sz w:val="20"/>
          <w:szCs w:val="20"/>
          <w:color w:val="auto"/>
        </w:rPr>
      </w:pPr>
      <w:r>
        <w:rPr>
          <w:rFonts w:ascii="Courier New" w:cs="Courier New" w:eastAsia="Courier New" w:hAnsi="Courier New"/>
          <w:sz w:val="14"/>
          <w:szCs w:val="14"/>
          <w:color w:val="auto"/>
        </w:rPr>
        <w:t>The following table sets forth certain information concerning compensation paid during 2000, 2001 and 2002 to our executive officers: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4"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Long-Term</w:t>
            </w:r>
          </w:p>
        </w:tc>
        <w:tc>
          <w:tcPr>
            <w:tcW w:w="10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100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70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Fiscal</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Salary</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Bonus</w:t>
            </w:r>
          </w:p>
        </w:tc>
        <w:tc>
          <w:tcPr>
            <w:tcW w:w="320" w:type="dxa"/>
            <w:vAlign w:val="bottom"/>
          </w:tcPr>
          <w:p>
            <w:pPr>
              <w:spacing w:after="0"/>
              <w:rPr>
                <w:sz w:val="14"/>
                <w:szCs w:val="14"/>
                <w:color w:val="auto"/>
              </w:rPr>
            </w:pP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Awards</w:t>
            </w:r>
          </w:p>
        </w:tc>
        <w:tc>
          <w:tcPr>
            <w:tcW w:w="70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Underlying</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Position</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Year</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(US$)</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(US$)(1)</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(US$)</w:t>
            </w:r>
          </w:p>
        </w:tc>
        <w:tc>
          <w:tcPr>
            <w:tcW w:w="70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Options (#)</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Ted Sun (2)</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226,000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346,625</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Acting Chief</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73,000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165,000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73,035</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Executive Officer and a</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1,200,000</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Director</w:t>
            </w:r>
          </w:p>
        </w:tc>
        <w:tc>
          <w:tcPr>
            <w:tcW w:w="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Denny Lee (7)</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158,000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Chief Financial</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12,273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3,800</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 and a Director</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Jack Xu (10)</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116,000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Chief Technology</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211,750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35,050,000</w:t>
            </w: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119,736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30,000</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33,605,500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w:t>
      </w:r>
    </w:p>
    <w:p>
      <w:pPr>
        <w:spacing w:after="0" w:line="173" w:lineRule="exact"/>
        <w:rPr>
          <w:sz w:val="20"/>
          <w:szCs w:val="20"/>
          <w:color w:val="auto"/>
        </w:rPr>
      </w:pPr>
    </w:p>
    <w:p>
      <w:pPr>
        <w:ind w:left="440" w:right="1840" w:hanging="430"/>
        <w:spacing w:after="0" w:line="234"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bonus amounts in the year earned, rather than in the year in which such bonus amount was paid or is to be paid.</w:t>
      </w:r>
    </w:p>
    <w:p>
      <w:pPr>
        <w:spacing w:after="0" w:line="5" w:lineRule="exact"/>
        <w:rPr>
          <w:rFonts w:ascii="Courier New" w:cs="Courier New" w:eastAsia="Courier New" w:hAnsi="Courier New"/>
          <w:sz w:val="15"/>
          <w:szCs w:val="15"/>
          <w:color w:val="auto"/>
        </w:rPr>
      </w:pPr>
    </w:p>
    <w:p>
      <w:pPr>
        <w:ind w:left="440" w:right="1840" w:hanging="430"/>
        <w:spacing w:after="0" w:line="254" w:lineRule="auto"/>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Sun, one of our directors, became our acting Chief Executive Officer on September 11, 2001 following Mr. Ding's resignation from that position.</w:t>
      </w:r>
    </w:p>
    <w:p>
      <w:pPr>
        <w:ind w:left="440" w:right="1840" w:hanging="430"/>
        <w:spacing w:after="0" w:line="254" w:lineRule="auto"/>
        <w:tabs>
          <w:tab w:leader="none" w:pos="4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his employment agreement, Mr. Sun received cash payments sufficient for him to purchase an aggregate of 25,000,000 of our ordinary shares from us at a price of US$0.006492 per share (equivalent to US$0.6492 per American Depositary Share) over an 18-month period. Our board of directors set the per share purchase price at the fair market value of the shares, which was deemed to be the last closing price on Nasdaq prior to the grant of these subscription rights. In each of 2001 and 2002, we paid Mr. Sun US$73,035 to purchase 11,250,000 of such shares in accordance with his subscription schedule. The dollar amounts listed in this column were calculated by multiplying the amount of shares purchased in each year by the closing price of our American Depositary Shares (divided by 100 to determine the per ordinary share price) on the date of each such purchase or the last closing price in the case of shares purchased while trading in our American Depositary Shares was suspended on Nasdaq in 2001.</w:t>
      </w:r>
    </w:p>
    <w:p>
      <w:pPr>
        <w:spacing w:after="0" w:line="4" w:lineRule="exact"/>
        <w:rPr>
          <w:rFonts w:ascii="Courier New" w:cs="Courier New" w:eastAsia="Courier New" w:hAnsi="Courier New"/>
          <w:sz w:val="14"/>
          <w:szCs w:val="14"/>
          <w:color w:val="auto"/>
        </w:rPr>
      </w:pPr>
    </w:p>
    <w:p>
      <w:pPr>
        <w:ind w:left="440" w:right="1840" w:hanging="430"/>
        <w:spacing w:after="0" w:line="235"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housing allowance of US$35,100 paid by our company on behalf of Mr. Sun and US$297,972 for Chinese individual income taxes which accrued in the year 2002 with respect to Mr. Sun's compensation in that year and which our company will pay in 2003 on his behalf.</w:t>
      </w:r>
    </w:p>
    <w:p>
      <w:pPr>
        <w:spacing w:after="0" w:line="7" w:lineRule="exact"/>
        <w:rPr>
          <w:rFonts w:ascii="Courier New" w:cs="Courier New" w:eastAsia="Courier New" w:hAnsi="Courier New"/>
          <w:sz w:val="15"/>
          <w:szCs w:val="15"/>
          <w:color w:val="auto"/>
        </w:rPr>
      </w:pPr>
    </w:p>
    <w:p>
      <w:pPr>
        <w:ind w:left="440" w:right="1840" w:hanging="430"/>
        <w:spacing w:after="0" w:line="235"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constituted a sign-on bonus which was paid in two installments: one of US$75,000 upon Mr. Sun's commencement of employment and the second of US$60,000 on January 2, 2002. It also included a year-end performance bonus of US$30,000.</w:t>
      </w:r>
    </w:p>
    <w:p>
      <w:pPr>
        <w:spacing w:after="0" w:line="2" w:lineRule="exact"/>
        <w:rPr>
          <w:rFonts w:ascii="Courier New" w:cs="Courier New" w:eastAsia="Courier New" w:hAnsi="Courier New"/>
          <w:sz w:val="15"/>
          <w:szCs w:val="15"/>
          <w:color w:val="auto"/>
        </w:rPr>
      </w:pPr>
    </w:p>
    <w:p>
      <w:pPr>
        <w:ind w:left="440" w:hanging="430"/>
        <w:spacing w:after="0" w:line="237"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housing allowance paid by our company on behalf of Mr. Sun.</w:t>
      </w:r>
    </w:p>
    <w:p>
      <w:pPr>
        <w:spacing w:after="0" w:line="5" w:lineRule="exact"/>
        <w:rPr>
          <w:rFonts w:ascii="Courier New" w:cs="Courier New" w:eastAsia="Courier New" w:hAnsi="Courier New"/>
          <w:sz w:val="15"/>
          <w:szCs w:val="15"/>
          <w:color w:val="auto"/>
        </w:rPr>
      </w:pPr>
    </w:p>
    <w:p>
      <w:pPr>
        <w:ind w:left="440" w:right="2180" w:hanging="430"/>
        <w:spacing w:after="0" w:line="234"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Lee joined our company as Financial Controller in November 2001 and became our Chief Financial Officer in April 2002.</w:t>
      </w:r>
    </w:p>
    <w:p>
      <w:pPr>
        <w:spacing w:after="0" w:line="5" w:lineRule="exact"/>
        <w:rPr>
          <w:rFonts w:ascii="Courier New" w:cs="Courier New" w:eastAsia="Courier New" w:hAnsi="Courier New"/>
          <w:sz w:val="15"/>
          <w:szCs w:val="15"/>
          <w:color w:val="auto"/>
        </w:rPr>
      </w:pPr>
    </w:p>
    <w:p>
      <w:pPr>
        <w:jc w:val="both"/>
        <w:ind w:left="440" w:right="2000" w:hanging="430"/>
        <w:spacing w:after="0" w:line="235"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housing allowance of US$23,349 paid by our company on behalf of Mr. Lee and a cash living allowance of US$19,800 paid to Mr. Lee. This amount also includes US$94,358 for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 Other</w:t>
      </w:r>
    </w:p>
    <w:p>
      <w:pPr>
        <w:spacing w:after="0" w:line="237" w:lineRule="auto"/>
        <w:rPr>
          <w:sz w:val="20"/>
          <w:szCs w:val="20"/>
          <w:color w:val="auto"/>
        </w:rPr>
      </w:pPr>
      <w:r>
        <w:rPr>
          <w:rFonts w:ascii="Courier New" w:cs="Courier New" w:eastAsia="Courier New" w:hAnsi="Courier New"/>
          <w:sz w:val="15"/>
          <w:szCs w:val="15"/>
          <w:color w:val="auto"/>
        </w:rPr>
        <w:t>Compensation</w:t>
      </w:r>
    </w:p>
    <w:p>
      <w:pPr>
        <w:ind w:left="360"/>
        <w:spacing w:after="0" w:line="238" w:lineRule="auto"/>
        <w:rPr>
          <w:sz w:val="20"/>
          <w:szCs w:val="20"/>
          <w:color w:val="auto"/>
        </w:rPr>
      </w:pPr>
      <w:r>
        <w:rPr>
          <w:rFonts w:ascii="Courier New" w:cs="Courier New" w:eastAsia="Courier New" w:hAnsi="Courier New"/>
          <w:sz w:val="15"/>
          <w:szCs w:val="15"/>
          <w:color w:val="auto"/>
        </w:rPr>
        <w:t>(US$)</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333,072</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12,400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505"/>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137,507</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3,138</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36"/>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154,978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(11)</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94,545</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(12)</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12,300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(13)</w:t>
            </w:r>
          </w:p>
        </w:tc>
      </w:tr>
    </w:tbl>
    <w:p>
      <w:pPr>
        <w:sectPr>
          <w:pgSz w:w="11900" w:h="16838" w:orient="portrait"/>
          <w:cols w:equalWidth="0" w:num="2">
            <w:col w:w="8840" w:space="440"/>
            <w:col w:w="1140"/>
          </w:cols>
          <w:pgMar w:left="220" w:top="1122" w:right="1259" w:bottom="1440" w:gutter="0" w:footer="0" w:header="0"/>
        </w:sectPr>
      </w:pPr>
    </w:p>
    <w:bookmarkStart w:id="70" w:name="page71"/>
    <w:bookmarkEnd w:id="70"/>
    <w:p>
      <w:pPr>
        <w:ind w:left="440" w:right="3239"/>
        <w:spacing w:after="0" w:line="235" w:lineRule="auto"/>
        <w:rPr>
          <w:sz w:val="20"/>
          <w:szCs w:val="20"/>
          <w:color w:val="auto"/>
        </w:rPr>
      </w:pPr>
      <w:r>
        <w:rPr>
          <w:rFonts w:ascii="Courier New" w:cs="Courier New" w:eastAsia="Courier New" w:hAnsi="Courier New"/>
          <w:sz w:val="15"/>
          <w:szCs w:val="15"/>
          <w:color w:val="auto"/>
        </w:rPr>
        <w:t>Chinese individual income taxes which accrued in the year 2002 with respect to Mr. Lee's compensation in that year and which our company will pay in 2003 on his behalf.</w:t>
      </w:r>
    </w:p>
    <w:p>
      <w:pPr>
        <w:spacing w:after="0" w:line="5" w:lineRule="exact"/>
        <w:rPr>
          <w:sz w:val="20"/>
          <w:szCs w:val="20"/>
          <w:color w:val="auto"/>
        </w:rPr>
      </w:pPr>
    </w:p>
    <w:p>
      <w:pPr>
        <w:ind w:left="440" w:right="3239" w:hanging="430"/>
        <w:spacing w:after="0" w:line="234"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housing allowance of US$1,166 paid by our company on behalf of Mr. Lee and a cash living allowance of US$1,972 paid to Mr. Lee.</w:t>
      </w:r>
    </w:p>
    <w:p>
      <w:pPr>
        <w:spacing w:after="0" w:line="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Xu joined our company as Co-Chief Technology Officer in May 2000 and became our Chief Technology Officer in March 2001. Mr. Xu resigned from our company in June 2002.</w:t>
      </w:r>
    </w:p>
    <w:p>
      <w:pPr>
        <w:spacing w:after="0" w:line="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miscellaneous payments totaling US$141,778 to Mr. Xu upon his resignation from our company in June 2002 and a housing allowance of US$13,200 paid by our company on behalf of Mr. Xu prior to his resignation.</w:t>
      </w:r>
    </w:p>
    <w:p>
      <w:pPr>
        <w:spacing w:after="0" w:line="1" w:lineRule="exact"/>
        <w:rPr>
          <w:rFonts w:ascii="Courier New" w:cs="Courier New" w:eastAsia="Courier New" w:hAnsi="Courier New"/>
          <w:sz w:val="14"/>
          <w:szCs w:val="14"/>
          <w:color w:val="auto"/>
        </w:rPr>
      </w:pPr>
    </w:p>
    <w:p>
      <w:pPr>
        <w:ind w:left="440" w:right="3319" w:hanging="430"/>
        <w:spacing w:after="0" w:line="234"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US$24,665 for a housing allowance paid by our company on behalf of Mr. Xu and a US$69,880 payment towards Mr. Xu's taxes.</w:t>
      </w:r>
    </w:p>
    <w:p>
      <w:pPr>
        <w:ind w:left="440" w:hanging="430"/>
        <w:spacing w:after="0" w:line="237"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housing allowance paid by our company on behalf of Mr. Xu.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entered into an employment agreement and a non-competition agreement with Ted Sun, as described below. We have also entered into a new employment agreement with Denny Lee who was named our Chief Financial Officer in April 2002 after having served as our Financial Controller since November 2001 and an employment agreement with Michael Tong who became an executive director on June 25, 2003.</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Ted Sun. In September 2001, we entered into an employment agreement with Ted Sun which originally provided for an annual salary of US$240,000. His annual salary was subsequently lowered to US$216,000 in June 2002. In addition, Mr. Sun received a sign-on bonus of US$135,000 which was paid in two installments in September 2001 and January 2002 and year-end performance bonuses of US$30,000 and US$200,000 in 2001 and 2002, respectively. Further, he received cash payments sufficient for him to purchase from us an aggregate of 25,000,000 of our ordinary shares at a price of US$0.006492 per share over an 18-month period ending in March 2003. Mr. Sun is also entitled to receive a housing allowance.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we also entered into a non-competition agreement with Mr. Sun which obligates Mr. Sun to keep all proprietary information regarding our company confidential, except in limited circumstances. This agreement also prohibits Mr. Sun from obtaining an ownership interest in (unless the total investment represents less than 5% of the total equity of the competitor and the competitor is a listed company), or employment with, any of our competitors during his employment with us and for one year thereafter. During that same period, he may not solicit or encourage any of our officers or employees to terminate their employment with us, except when done in the course of his job with NetEase.</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Denny Lee. In April 2002, we entered into a new employment agreement with Denny Lee in connection with his promotion to the position of Chief Financial Officer. This agreement provides for an annual salary of US$158,000, plus a discretionary bonus to be determined by our company. Mr. Lee's discretionary bonus in 2002 was US$80,000. He is also entitled to receive a housing allowance and tax equalization benefits. If Mr. Lee's employment is terminated for any reason other than his death, disability or pursuant to one of the statutory bases for terminating employees without notice under Hong Kong law, he shall be entitled to severance pay in the amount of six months of his then current base salary.</w:t>
      </w:r>
    </w:p>
    <w:p>
      <w:pPr>
        <w:spacing w:after="0" w:line="17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This agreement also prohibits Mr. Lee, during his employment with us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and for six months thereafter, from obtaining an ownership interest in (unless the total investment represents less than 5% of any single class of shares of the competitor and the competitor is a listed company), or employment with, any company which carries on a business in Hong Kong or China which competes with our company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4" w:right="1440" w:bottom="1440" w:gutter="0" w:footer="0" w:header="0"/>
        </w:sectPr>
      </w:pPr>
    </w:p>
    <w:bookmarkStart w:id="71" w:name="page72"/>
    <w:bookmarkEnd w:id="71"/>
    <w:p>
      <w:pPr>
        <w:ind w:right="4020"/>
        <w:spacing w:after="0" w:line="236" w:lineRule="auto"/>
        <w:rPr>
          <w:sz w:val="20"/>
          <w:szCs w:val="20"/>
          <w:color w:val="auto"/>
        </w:rPr>
      </w:pPr>
      <w:r>
        <w:rPr>
          <w:rFonts w:ascii="Courier New" w:cs="Courier New" w:eastAsia="Courier New" w:hAnsi="Courier New"/>
          <w:sz w:val="15"/>
          <w:szCs w:val="15"/>
          <w:color w:val="auto"/>
        </w:rPr>
        <w:t>in which Mr. Lee was involved at any time during the last two years of his employment or in relation to which he acquired any confidential information during the course of his employment. Also, he may not solicit, entice or hire any of our employees or customers for a period of one year after his termination. Mr. Lee has also entered into a proprietary information agreement which obligates him to keep all proprietary information regarding our company confidential, except in limited circumstances.</w:t>
      </w:r>
    </w:p>
    <w:p>
      <w:pPr>
        <w:spacing w:after="0" w:line="176" w:lineRule="exact"/>
        <w:rPr>
          <w:sz w:val="20"/>
          <w:szCs w:val="20"/>
          <w:color w:val="auto"/>
        </w:rPr>
      </w:pPr>
    </w:p>
    <w:p>
      <w:pPr>
        <w:ind w:right="3860" w:firstLine="437"/>
        <w:spacing w:after="0" w:line="236" w:lineRule="auto"/>
        <w:rPr>
          <w:sz w:val="20"/>
          <w:szCs w:val="20"/>
          <w:color w:val="auto"/>
        </w:rPr>
      </w:pPr>
      <w:r>
        <w:rPr>
          <w:rFonts w:ascii="Courier New" w:cs="Courier New" w:eastAsia="Courier New" w:hAnsi="Courier New"/>
          <w:sz w:val="15"/>
          <w:szCs w:val="15"/>
          <w:color w:val="auto"/>
        </w:rPr>
        <w:t>Michael Tong. Michael Tong's employment agreement provides for an annual salary of US$168,000, plus a discretionary bonus to be determined by our company. He is also entitled to receive a housing allowance, tax equalization benefits and a stock option to purchase 10,000,000 of our ordinary shares. If Mr. Tong's employment is terminated by us for any reason other than his death, disability or pursuant to one of the statutory bases for terminating employees without notice under Hong Kong law, he shall be entitled to severance pay in the amount of three months of his then current base salary. Mr. Tong is also subject to the same non-competition and confidentiality provisions as Mr. Lee which are described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3" w:lineRule="exact"/>
        <w:rPr>
          <w:sz w:val="20"/>
          <w:szCs w:val="20"/>
          <w:color w:val="auto"/>
        </w:rPr>
      </w:pPr>
    </w:p>
    <w:p>
      <w:pPr>
        <w:ind w:right="4020" w:firstLine="350"/>
        <w:spacing w:after="0" w:line="235" w:lineRule="auto"/>
        <w:rPr>
          <w:sz w:val="20"/>
          <w:szCs w:val="20"/>
          <w:color w:val="auto"/>
        </w:rPr>
      </w:pPr>
      <w:r>
        <w:rPr>
          <w:rFonts w:ascii="Courier New" w:cs="Courier New" w:eastAsia="Courier New" w:hAnsi="Courier New"/>
          <w:sz w:val="15"/>
          <w:szCs w:val="15"/>
          <w:color w:val="auto"/>
        </w:rPr>
        <w:t>The following table sets forth information regarding stock options granted to our current Acting Chief Executive Officer and Chief Financial Officer and our former Chief Technology Officer during 2002.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Individual Grants</w:t>
            </w:r>
          </w:p>
        </w:tc>
        <w:tc>
          <w:tcPr>
            <w:tcW w:w="1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of Total</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Number of</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Options</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Potential Realizable</w:t>
            </w:r>
          </w:p>
        </w:tc>
      </w:tr>
      <w:tr>
        <w:trPr>
          <w:trHeight w:val="168"/>
        </w:trPr>
        <w:tc>
          <w:tcPr>
            <w:tcW w:w="154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Securities</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Granted to</w:t>
            </w: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Value at Assumed Annual Rate</w:t>
            </w:r>
          </w:p>
        </w:tc>
      </w:tr>
      <w:tr>
        <w:trPr>
          <w:trHeight w:val="168"/>
        </w:trPr>
        <w:tc>
          <w:tcPr>
            <w:tcW w:w="154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Underlying</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Exercise</w:t>
            </w:r>
          </w:p>
        </w:tc>
        <w:tc>
          <w:tcPr>
            <w:tcW w:w="1840" w:type="dxa"/>
            <w:vAlign w:val="bottom"/>
          </w:tcPr>
          <w:p>
            <w:pPr>
              <w:spacing w:after="0"/>
              <w:rPr>
                <w:sz w:val="14"/>
                <w:szCs w:val="14"/>
                <w:color w:val="auto"/>
              </w:rPr>
            </w:pPr>
          </w:p>
        </w:tc>
        <w:tc>
          <w:tcPr>
            <w:tcW w:w="31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of Stock Price Appreciation for</w:t>
            </w:r>
          </w:p>
        </w:tc>
      </w:tr>
      <w:tr>
        <w:trPr>
          <w:trHeight w:val="168"/>
        </w:trPr>
        <w:tc>
          <w:tcPr>
            <w:tcW w:w="1540" w:type="dxa"/>
            <w:vAlign w:val="bottom"/>
          </w:tcPr>
          <w:p>
            <w:pPr>
              <w:spacing w:after="0"/>
              <w:rPr>
                <w:sz w:val="14"/>
                <w:szCs w:val="14"/>
                <w:color w:val="auto"/>
              </w:rPr>
            </w:pPr>
          </w:p>
        </w:tc>
        <w:tc>
          <w:tcPr>
            <w:tcW w:w="1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Options</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Fiscal</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Price per</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4"/>
              </w:rPr>
              <w:t>Option Term (3)</w:t>
            </w:r>
          </w:p>
        </w:tc>
        <w:tc>
          <w:tcPr>
            <w:tcW w:w="8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spacing w:after="0"/>
              <w:rPr>
                <w:sz w:val="14"/>
                <w:szCs w:val="14"/>
                <w:color w:val="auto"/>
              </w:rPr>
            </w:pPr>
          </w:p>
        </w:tc>
      </w:tr>
      <w:tr>
        <w:trPr>
          <w:trHeight w:val="168"/>
        </w:trPr>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Name</w:t>
            </w:r>
          </w:p>
        </w:tc>
        <w:tc>
          <w:tcPr>
            <w:tcW w:w="1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Year (1)</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 (2)</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Date</w:t>
            </w:r>
          </w:p>
        </w:tc>
        <w:tc>
          <w:tcPr>
            <w:tcW w:w="23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2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Ted Sun</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15,000,000</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US$0.007</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July 6, 2005</w:t>
            </w:r>
          </w:p>
        </w:tc>
        <w:tc>
          <w:tcPr>
            <w:tcW w:w="2360" w:type="dxa"/>
            <w:vAlign w:val="bottom"/>
          </w:tcPr>
          <w:p>
            <w:pPr>
              <w:ind w:left="620"/>
              <w:spacing w:after="0"/>
              <w:rPr>
                <w:sz w:val="20"/>
                <w:szCs w:val="20"/>
                <w:color w:val="auto"/>
              </w:rPr>
            </w:pPr>
            <w:r>
              <w:rPr>
                <w:rFonts w:ascii="Courier New" w:cs="Courier New" w:eastAsia="Courier New" w:hAnsi="Courier New"/>
                <w:sz w:val="15"/>
                <w:szCs w:val="15"/>
                <w:color w:val="auto"/>
              </w:rPr>
              <w:t>US$16,551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US$34,755</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Denny Lee</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10,000,000</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US$0.007</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April 4, 2007</w:t>
            </w:r>
          </w:p>
        </w:tc>
        <w:tc>
          <w:tcPr>
            <w:tcW w:w="2360" w:type="dxa"/>
            <w:vAlign w:val="bottom"/>
          </w:tcPr>
          <w:p>
            <w:pPr>
              <w:ind w:left="620"/>
              <w:spacing w:after="0"/>
              <w:rPr>
                <w:sz w:val="20"/>
                <w:szCs w:val="20"/>
                <w:color w:val="auto"/>
              </w:rPr>
            </w:pPr>
            <w:r>
              <w:rPr>
                <w:rFonts w:ascii="Courier New" w:cs="Courier New" w:eastAsia="Courier New" w:hAnsi="Courier New"/>
                <w:sz w:val="15"/>
                <w:szCs w:val="15"/>
                <w:color w:val="auto"/>
              </w:rPr>
              <w:t>US$19,340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US$42,736</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Jack Xu</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5" w:lineRule="exact"/>
        <w:rPr>
          <w:sz w:val="20"/>
          <w:szCs w:val="20"/>
          <w:color w:val="auto"/>
        </w:rPr>
      </w:pPr>
    </w:p>
    <w:p>
      <w:pPr>
        <w:ind w:left="800" w:right="3860" w:hanging="790"/>
        <w:spacing w:after="0" w:line="258" w:lineRule="auto"/>
        <w:tabs>
          <w:tab w:leader="none" w:pos="8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total of 104,811,000 options granted to employees of NetEase in 2002, including options granted to these officers but excluding all options which were granted and terminated in that same year.</w:t>
      </w:r>
    </w:p>
    <w:p>
      <w:pPr>
        <w:spacing w:after="0" w:line="161" w:lineRule="exact"/>
        <w:rPr>
          <w:rFonts w:ascii="Courier New" w:cs="Courier New" w:eastAsia="Courier New" w:hAnsi="Courier New"/>
          <w:sz w:val="14"/>
          <w:szCs w:val="14"/>
          <w:color w:val="auto"/>
        </w:rPr>
      </w:pPr>
    </w:p>
    <w:p>
      <w:pPr>
        <w:jc w:val="both"/>
        <w:ind w:left="800" w:right="4120" w:hanging="790"/>
        <w:spacing w:after="0" w:line="235"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options granted represented the fair market value of the underlying shares of ordinary shares on the date the options were granted.</w:t>
      </w:r>
    </w:p>
    <w:p>
      <w:pPr>
        <w:spacing w:after="0" w:line="173" w:lineRule="exact"/>
        <w:rPr>
          <w:rFonts w:ascii="Courier New" w:cs="Courier New" w:eastAsia="Courier New" w:hAnsi="Courier New"/>
          <w:sz w:val="15"/>
          <w:szCs w:val="15"/>
          <w:color w:val="auto"/>
        </w:rPr>
      </w:pPr>
    </w:p>
    <w:p>
      <w:pPr>
        <w:ind w:left="800" w:right="3860" w:hanging="790"/>
        <w:spacing w:after="0" w:line="236"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is calculated based upon the term of the option at its time of grant. It is calculated assuming that the stock price on the date of grant appreciates at the indicated annual rate, compounded annually for the entire term of the option, and that the option is exercised and sold on the last day of its term for the appreciated stock price.</w:t>
      </w:r>
    </w:p>
    <w:p>
      <w:pPr>
        <w:spacing w:after="0" w:line="175" w:lineRule="exact"/>
        <w:rPr>
          <w:sz w:val="20"/>
          <w:szCs w:val="20"/>
          <w:color w:val="auto"/>
        </w:rPr>
      </w:pPr>
    </w:p>
    <w:p>
      <w:pPr>
        <w:ind w:right="4380"/>
        <w:spacing w:after="0" w:line="234" w:lineRule="auto"/>
        <w:rPr>
          <w:sz w:val="20"/>
          <w:szCs w:val="20"/>
          <w:color w:val="auto"/>
        </w:rPr>
      </w:pPr>
      <w:r>
        <w:rPr>
          <w:rFonts w:ascii="Courier New" w:cs="Courier New" w:eastAsia="Courier New" w:hAnsi="Courier New"/>
          <w:sz w:val="15"/>
          <w:szCs w:val="15"/>
          <w:color w:val="auto"/>
        </w:rPr>
        <w:t>Aggregated Option Exercises in Last Fiscal Year and Fiscal Year-End Option Values</w:t>
      </w:r>
    </w:p>
    <w:p>
      <w:pPr>
        <w:spacing w:after="0" w:line="173" w:lineRule="exact"/>
        <w:rPr>
          <w:sz w:val="20"/>
          <w:szCs w:val="20"/>
          <w:color w:val="auto"/>
        </w:rPr>
      </w:pPr>
    </w:p>
    <w:p>
      <w:pPr>
        <w:ind w:right="3940" w:firstLine="787"/>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with respect to stock options exercised by our current Acting Chief Executive Officer and Chief Financial Officer and our former Chief Technology Officer during 2002. In addition, the table sets forth the number of shares covered by stock options as of December 31, 2002, and the value of "in-the-money" stock options, which represents the difference between the exercise price of a stock option and the market price of the shares subject to such option on December 31, 2002.</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860"/>
          </w:cols>
          <w:pgMar w:left="220" w:top="624" w:right="8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Number of Securities</w:t>
            </w:r>
          </w:p>
        </w:tc>
      </w:tr>
      <w:tr>
        <w:trPr>
          <w:trHeight w:val="168"/>
        </w:trPr>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Underlying Unexercised</w:t>
            </w:r>
          </w:p>
        </w:tc>
      </w:tr>
      <w:tr>
        <w:trPr>
          <w:trHeight w:val="168"/>
        </w:trPr>
        <w:tc>
          <w:tcPr>
            <w:tcW w:w="154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Value</w:t>
            </w:r>
          </w:p>
        </w:tc>
        <w:tc>
          <w:tcPr>
            <w:tcW w:w="27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Options at</w:t>
            </w:r>
          </w:p>
        </w:tc>
      </w:tr>
      <w:tr>
        <w:trPr>
          <w:trHeight w:val="168"/>
        </w:trPr>
        <w:tc>
          <w:tcPr>
            <w:tcW w:w="154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Acquired on</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Realized</w:t>
            </w:r>
          </w:p>
        </w:tc>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31, 2002 (#)</w:t>
            </w:r>
          </w:p>
        </w:tc>
      </w:tr>
      <w:tr>
        <w:trPr>
          <w:trHeight w:val="168"/>
        </w:trPr>
        <w:tc>
          <w:tcPr>
            <w:tcW w:w="1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7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Name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(US$)(1)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4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5"/>
              </w:rPr>
              <w:t>Ted Sun</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10,200,000</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6,000,000</w:t>
            </w:r>
          </w:p>
        </w:tc>
      </w:tr>
      <w:tr>
        <w:trPr>
          <w:trHeight w:val="168"/>
        </w:trPr>
        <w:tc>
          <w:tcPr>
            <w:tcW w:w="15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6"/>
              </w:rPr>
              <w:t>Denny Lee</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15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5"/>
              </w:rPr>
              <w:t>Jack Xu</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32,136,900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752,616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5" w:lineRule="exact"/>
        <w:rPr>
          <w:sz w:val="20"/>
          <w:szCs w:val="20"/>
          <w:color w:val="auto"/>
        </w:rPr>
      </w:pPr>
    </w:p>
    <w:p>
      <w:pPr>
        <w:ind w:left="440" w:right="800" w:hanging="430"/>
        <w:spacing w:after="0" w:line="258" w:lineRule="auto"/>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realized upon the exercise of stock options represents the positive spread between the exercise price of stock options and the fair market of the shares subject to such options on the exercise date.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Restated 2000 Stock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540" w:firstLine="437"/>
        <w:spacing w:after="0" w:line="236" w:lineRule="auto"/>
        <w:rPr>
          <w:sz w:val="20"/>
          <w:szCs w:val="20"/>
          <w:color w:val="auto"/>
        </w:rPr>
      </w:pPr>
      <w:r>
        <w:rPr>
          <w:rFonts w:ascii="Courier New" w:cs="Courier New" w:eastAsia="Courier New" w:hAnsi="Courier New"/>
          <w:sz w:val="15"/>
          <w:szCs w:val="15"/>
          <w:color w:val="auto"/>
        </w:rPr>
        <w:t>Our shareholders approved the NetEase.com, Inc. Amended and Restated 2000 Stock Incentive Plan, or the Amended Plan, at our annual general meeting held on May 25, 2001. The Amended Plan replaced the 2000 Stock Incentive Plan, or the Prior Plan, in its entirety. Under the Prior Plan, a total of 223,715,000 of our ordinary shares were reserved for issuance. The Amended Plan increased the number of ordinary shares reserved for issuance to 323,715,000, which amount was automatically further increased to 504,756,924 ordinary shares in accordance with the provisions of that plan. On March 25, 2002, our board suspended any further automatic increases in the number of authorized shares reserved for issuance under the Amended Plan.</w:t>
      </w:r>
    </w:p>
    <w:p>
      <w:pPr>
        <w:spacing w:after="0" w:line="179" w:lineRule="exact"/>
        <w:rPr>
          <w:sz w:val="20"/>
          <w:szCs w:val="20"/>
          <w:color w:val="auto"/>
        </w:rPr>
      </w:pPr>
    </w:p>
    <w:p>
      <w:pPr>
        <w:ind w:right="540" w:firstLine="437"/>
        <w:spacing w:after="0" w:line="236" w:lineRule="auto"/>
        <w:rPr>
          <w:sz w:val="20"/>
          <w:szCs w:val="20"/>
          <w:color w:val="auto"/>
        </w:rPr>
      </w:pPr>
      <w:r>
        <w:rPr>
          <w:rFonts w:ascii="Courier New" w:cs="Courier New" w:eastAsia="Courier New" w:hAnsi="Courier New"/>
          <w:sz w:val="15"/>
          <w:szCs w:val="15"/>
          <w:color w:val="auto"/>
        </w:rPr>
        <w:t>The purpose of the Amended Plan is to attract and retain the best available personnel, to provide additional incentive to employees, directors and consultants and to promote the success of our business. Our board of directors believes that our company's long term success is dependent upon our ability to attract and retain superior individuals who, by virtue of their ability and qualifications, make important contributions to our business. The Amended Plan provides for the granting of incentive awards of our ordinary shares, options to purchase our ordinary shares and any other securities the value of which is derived from the value of our ordinary shares.</w:t>
      </w:r>
    </w:p>
    <w:p>
      <w:pPr>
        <w:spacing w:after="0" w:line="178" w:lineRule="exact"/>
        <w:rPr>
          <w:sz w:val="20"/>
          <w:szCs w:val="20"/>
          <w:color w:val="auto"/>
        </w:rPr>
      </w:pPr>
    </w:p>
    <w:p>
      <w:pPr>
        <w:ind w:right="620" w:firstLine="437"/>
        <w:spacing w:after="0" w:line="235" w:lineRule="auto"/>
        <w:rPr>
          <w:sz w:val="20"/>
          <w:szCs w:val="20"/>
          <w:color w:val="auto"/>
        </w:rPr>
      </w:pPr>
      <w:r>
        <w:rPr>
          <w:rFonts w:ascii="Courier New" w:cs="Courier New" w:eastAsia="Courier New" w:hAnsi="Courier New"/>
          <w:sz w:val="15"/>
          <w:szCs w:val="15"/>
          <w:color w:val="auto"/>
        </w:rPr>
        <w:t>Grantees under the Amended Plan will not receive any account status reports. The Amended Plan is not subject to the U.S. Employee Retirement Income Security Act of 1974, as amended, nor is the Amended Plan a "qualified plan" within the meaning of Section 401(a) of the Code.</w:t>
      </w:r>
    </w:p>
    <w:p>
      <w:pPr>
        <w:spacing w:after="0" w:line="175" w:lineRule="exact"/>
        <w:rPr>
          <w:sz w:val="20"/>
          <w:szCs w:val="20"/>
          <w:color w:val="auto"/>
        </w:rPr>
      </w:pPr>
    </w:p>
    <w:p>
      <w:pPr>
        <w:ind w:right="980" w:firstLine="437"/>
        <w:spacing w:after="0" w:line="235" w:lineRule="auto"/>
        <w:rPr>
          <w:sz w:val="20"/>
          <w:szCs w:val="20"/>
          <w:color w:val="auto"/>
        </w:rPr>
      </w:pPr>
      <w:r>
        <w:rPr>
          <w:rFonts w:ascii="Courier New" w:cs="Courier New" w:eastAsia="Courier New" w:hAnsi="Courier New"/>
          <w:sz w:val="15"/>
          <w:szCs w:val="15"/>
          <w:color w:val="auto"/>
        </w:rPr>
        <w:t>The Amended Plan continues to be administered by our board, and it has delegated the power to award options under those plans for non-executive officers to NetEase's acting chief executive officer.</w:t>
      </w:r>
    </w:p>
    <w:p>
      <w:pPr>
        <w:spacing w:after="0" w:line="174" w:lineRule="exact"/>
        <w:rPr>
          <w:sz w:val="20"/>
          <w:szCs w:val="20"/>
          <w:color w:val="auto"/>
        </w:rPr>
      </w:pPr>
    </w:p>
    <w:p>
      <w:pPr>
        <w:ind w:right="540" w:firstLine="437"/>
        <w:spacing w:after="0" w:line="255" w:lineRule="auto"/>
        <w:rPr>
          <w:sz w:val="20"/>
          <w:szCs w:val="20"/>
          <w:color w:val="auto"/>
        </w:rPr>
      </w:pPr>
      <w:r>
        <w:rPr>
          <w:rFonts w:ascii="Courier New" w:cs="Courier New" w:eastAsia="Courier New" w:hAnsi="Courier New"/>
          <w:sz w:val="14"/>
          <w:szCs w:val="14"/>
          <w:color w:val="auto"/>
        </w:rPr>
        <w:t>The Amended Plan provides that in the event of certain corporate transactions, including specified types of reorganizations and acquisition transactions, each outstanding award granted under the Amended Plan shall automatically become fully vested and exercisable and be released from any restrictions in transfer (other than transfer restrictions applicable to the award) and repurchase or forfeiture rights, immediately prior to the specified effective date of such corporate transaction, unless the award is assumed by the successor company or its parent company in connection with the corporate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jc w:val="both"/>
        <w:ind w:left="260" w:right="260"/>
        <w:spacing w:after="0" w:line="254" w:lineRule="auto"/>
        <w:rPr>
          <w:sz w:val="20"/>
          <w:szCs w:val="20"/>
          <w:color w:val="auto"/>
        </w:rPr>
      </w:pPr>
      <w:r>
        <w:rPr>
          <w:rFonts w:ascii="Courier New" w:cs="Courier New" w:eastAsia="Courier New" w:hAnsi="Courier New"/>
          <w:sz w:val="14"/>
          <w:szCs w:val="14"/>
          <w:color w:val="auto"/>
        </w:rPr>
        <w:t>In-the-Money Options at December 31, 2002 (US$)</w:t>
      </w:r>
    </w:p>
    <w:p>
      <w:pPr>
        <w:ind w:left="26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1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260"/>
        <w:spacing w:after="0"/>
        <w:tabs>
          <w:tab w:leader="none" w:pos="1740" w:val="left"/>
        </w:tabs>
        <w:rPr>
          <w:sz w:val="20"/>
          <w:szCs w:val="20"/>
          <w:color w:val="auto"/>
        </w:rPr>
      </w:pPr>
      <w:r>
        <w:rPr>
          <w:rFonts w:ascii="Courier New" w:cs="Courier New" w:eastAsia="Courier New" w:hAnsi="Courier New"/>
          <w:sz w:val="15"/>
          <w:szCs w:val="15"/>
          <w:color w:val="auto"/>
        </w:rPr>
        <w:t>984,900</w:t>
      </w:r>
      <w:r>
        <w:rPr>
          <w:sz w:val="20"/>
          <w:szCs w:val="20"/>
          <w:color w:val="auto"/>
        </w:rPr>
        <w:tab/>
      </w:r>
      <w:r>
        <w:rPr>
          <w:rFonts w:ascii="Courier New" w:cs="Courier New" w:eastAsia="Courier New" w:hAnsi="Courier New"/>
          <w:sz w:val="15"/>
          <w:szCs w:val="15"/>
          <w:color w:val="auto"/>
        </w:rPr>
        <w:t>645,000</w:t>
      </w:r>
    </w:p>
    <w:p>
      <w:pPr>
        <w:ind w:left="1580" w:hanging="1054"/>
        <w:spacing w:after="0" w:line="237" w:lineRule="auto"/>
        <w:tabs>
          <w:tab w:leader="none" w:pos="15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1,075,000</w:t>
      </w:r>
    </w:p>
    <w:p>
      <w:pPr>
        <w:ind w:left="2020" w:hanging="1494"/>
        <w:spacing w:after="0" w:line="237" w:lineRule="auto"/>
        <w:tabs>
          <w:tab w:leader="none" w:pos="20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540" w:space="340"/>
            <w:col w:w="2540"/>
          </w:cols>
          <w:pgMar w:left="220" w:top="954" w:right="1259" w:bottom="1440" w:gutter="0" w:footer="0" w:header="0"/>
        </w:sectPr>
      </w:pPr>
    </w:p>
    <w:bookmarkStart w:id="73" w:name="page74"/>
    <w:bookmarkEnd w:id="73"/>
    <w:p>
      <w:pPr>
        <w:ind w:right="3319"/>
        <w:spacing w:after="0" w:line="254" w:lineRule="auto"/>
        <w:rPr>
          <w:sz w:val="20"/>
          <w:szCs w:val="20"/>
          <w:color w:val="auto"/>
        </w:rPr>
      </w:pPr>
      <w:r>
        <w:rPr>
          <w:rFonts w:ascii="Courier New" w:cs="Courier New" w:eastAsia="Courier New" w:hAnsi="Courier New"/>
          <w:sz w:val="14"/>
          <w:szCs w:val="14"/>
          <w:color w:val="auto"/>
        </w:rPr>
        <w:t>transaction. Upon consummation of such corporate transactions, each outstanding award shall be terminated unless the award is assumed by the successor company or its parent company in connection with the applicable corporate transaction.</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board of directors will determine whether an award was assumed in the manner contemplated by the Amended Plan.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Under the Amended Plan, awards can be issued to employees, directors or consultants of the company or our subsidiaries, although incentive stock options, referred to as ISOs, may only be issued to our employees or the employees of our subsidiaries.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Awards under the Amended Plan are evidenced by an award agreement which contains, among other things, provisions concerning exercisability and forfeiture upon termination of employment or consulting arrangement (by reason of death, disability, retirement or otherwise) as have been determined by our board. In addition, the award agreement also specifies whether the option constitutes an ISO or a non-incentive stock option, referred to as NQSOs, and may, but need not, include a provision whereby a grantee may at any time during his or her employment with us exercise any part or all of the award prior to full vesting of the award.</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An option may be exercised by delivering written notice of such exercise to us. The option price to exercise the option for our ordinary shares must be paid at the time of exercise in full in cash or in check, by promissory note with such terms as the board deems appropriate or in whole ordinary shares with a fair market value at least equal to the option price (or in another appropriate manner approved by us, such as in a combination of cash and whole ordinary shares or by cashless exercise of options through a broker-dealer).</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Amended Plan, the exercise price for the options is specified in the award agreement for those options. In any event, the exercise price of ISOs cannot be less than the fair market value of our ordinary shares on the date of grant. However, in the case of an ISO granted to a grantee, who, at the time the ISO was granted, owned stock possessing more than 10% of the combined voting power of all classes of our share capital, the option price may not be less than 110% of the fair market value of our ordinary shares on the date of grant of such ISO. To the extent that the aggregate fair market value of shares subject to options granted as ISOs under the Amended Plan which become exercisable for the first time by a recipient during any calendar year exceeds US$100,000, then options represented by ordinary shares in excess of the US$100,000 limitation shall be treated as NQSOs.</w:t>
      </w:r>
    </w:p>
    <w:p>
      <w:pPr>
        <w:spacing w:after="0" w:line="16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NQSOs granted pursuant to the Amended Plan can have an exercise price of no less than 85% of the fair market value of our ordinary shares on the date of grant.</w:t>
      </w:r>
    </w:p>
    <w:p>
      <w:pPr>
        <w:spacing w:after="0" w:line="17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In the event of any extraordinary dividend, share dividend, recapitalization, share split, rights issuance, or combination or exchange of such shares, or other similar transactions, our board may equitably adjust the option price of our outstanding options so as to reflect such event.</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term of all ISOs and NQSOs will be stated in the applicable award agreement. The term of an ISO granted to a person, who, at the time the ISO was granted, owned stock possessing more than 10% of the combined voting power of all classes of our share capital, may not be more than five (5) years from the date of the grant of the award.</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Under the Amended Plan, if the employment, director or consultant relationship of a grantee with us terminates for cause, the grantee's right to exercise the option will expire upon the termination of such relationship. If the employment, director or consultant relationship of a grantee with us terminates without cause, all options then exercisable may be exercised within six months of the date of such termination or such shorter period as may be specified in the award agreement. Any ISO granted under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74" w:name="page75"/>
    <w:bookmarkEnd w:id="74"/>
    <w:p>
      <w:pPr>
        <w:ind w:right="3239"/>
        <w:spacing w:after="0" w:line="236" w:lineRule="auto"/>
        <w:rPr>
          <w:sz w:val="20"/>
          <w:szCs w:val="20"/>
          <w:color w:val="auto"/>
        </w:rPr>
      </w:pPr>
      <w:r>
        <w:rPr>
          <w:rFonts w:ascii="Courier New" w:cs="Courier New" w:eastAsia="Courier New" w:hAnsi="Courier New"/>
          <w:sz w:val="15"/>
          <w:szCs w:val="15"/>
          <w:color w:val="auto"/>
        </w:rPr>
        <w:t>the Amended Plan, if not exercised within the time period provided by law for the exercise of ISOs following the termination of a grantee's employment with us, shall automatically convert to a NQSO thereafter. If the termination of a grantee's employment, director or consultant relationship with us is (i) by reason of death or (ii) by reason of disability, all options then exercisable may be exercised by such grantee, such grantee's estate or by a person who acquired the right of exercise of such options by bequest or inheritance or otherwise by reason of death or disability of such grantee, at any time within a period not less than 12 months (but in no event later than the expiration date of the options) after the date of such termination.</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Amended Plan, our board may at any time terminate, suspend, or amend the Amended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Amended Plan will expire in February 2010.</w:t>
      </w:r>
    </w:p>
    <w:p>
      <w:pPr>
        <w:spacing w:after="0" w:line="160" w:lineRule="exact"/>
        <w:rPr>
          <w:sz w:val="20"/>
          <w:szCs w:val="20"/>
          <w:color w:val="auto"/>
        </w:rPr>
      </w:pPr>
    </w:p>
    <w:p>
      <w:pPr>
        <w:ind w:left="1240" w:hanging="443"/>
        <w:spacing w:after="0"/>
        <w:tabs>
          <w:tab w:leader="none" w:pos="12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Practices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During the year 2002, our board met in person or passed resolutions by unanimous written consent 17 times. No director attended fewer than 75% of all the meetings of our board and its committees on which he or she served after becoming a member of our board.</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Our board has one active committee, the audit committee. Our board has also maintained a compensation committee, but as discussed below, that committee currently does not have the requisite number of members as required by its charter and has, therefore, been inactive. Our board does not have a nominating committee or a committee performing the functions of a nominating committee.</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At the beginning of 2002, our audit committee consisted of Mary Nee, Kathy Xu and Michael Tong. Ms. Nee and Ms. Xu stepped down from that committee on May 15 and June 5, 2002, respectively (Ms. Nee later resigned from our board in July 2002 and Ms. Xu resigned from our board at the same time she resigned from the audit committee). John Lau filled the vacancy on the audit committee created by Ms. Nee's resignation, and Ronald Lee initially replaced Ms. Xu on the audit committee until Michael Leung was appointed to our board and audit committee on July 11, 2002. Mr. Lau subsequently resigned from our board and audit committee on March 14, 2003, and Joseph Tong was appointed to fill both vacancies. Finally, on June 25, 2003, Michael Tong became an executive director of our company at which time he stepped down from the audit committee but remained a member of our board. On that same day, Donghua Ding was appointed to our board and the audit committee. Our audit committee is currently comprised of Joseph Tong, Michael Leung and Donghua Ding. In 2002, our audit committee held six formal meetings.</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member of our audit committee satisfies the "independence" requirements of the National Association of Securities Dealers' listing standards. The audit committee reports to our board regarding the appointment of our independent public accountants, the scope and results of our annual audits, compliance with our accounting and financial policies and management's procedures and policies relative to the adequacy of our internal accounting controls.</w:t>
      </w:r>
    </w:p>
    <w:p>
      <w:pPr>
        <w:spacing w:after="0" w:line="176"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We have not entered into any service contracts or other arrangements providing for benefits upon termination with our non-executive directors.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jc w:val="both"/>
        <w:ind w:right="3759" w:firstLine="437"/>
        <w:spacing w:after="0" w:line="256" w:lineRule="auto"/>
        <w:rPr>
          <w:sz w:val="20"/>
          <w:szCs w:val="20"/>
          <w:color w:val="auto"/>
        </w:rPr>
      </w:pPr>
      <w:r>
        <w:rPr>
          <w:rFonts w:ascii="Courier New" w:cs="Courier New" w:eastAsia="Courier New" w:hAnsi="Courier New"/>
          <w:sz w:val="14"/>
          <w:szCs w:val="14"/>
          <w:color w:val="auto"/>
        </w:rPr>
        <w:t>At the beginning of 2002, our compensation committee was comprised of Michael Tong, Mary Nee and Kathy Xu. Ms. Nee and Ms. Xu resigned from this committee on May 15, 2002 and June 5, 2002, respectively, and to date, the vacancies have not been filled. The charter for the compensation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75" w:name="page76"/>
    <w:bookmarkEnd w:id="75"/>
    <w:p>
      <w:pPr>
        <w:ind w:right="3759"/>
        <w:spacing w:after="0" w:line="261" w:lineRule="auto"/>
        <w:rPr>
          <w:sz w:val="20"/>
          <w:szCs w:val="20"/>
          <w:color w:val="auto"/>
        </w:rPr>
      </w:pPr>
      <w:r>
        <w:rPr>
          <w:rFonts w:ascii="Courier New" w:cs="Courier New" w:eastAsia="Courier New" w:hAnsi="Courier New"/>
          <w:sz w:val="14"/>
          <w:szCs w:val="14"/>
          <w:color w:val="auto"/>
        </w:rPr>
        <w:t>committee requires that it have at least two members, and accordingly, the compensation committee has been inactive and held no meetings in 2002.</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it becoming inactive, the compensation committee's functions were to review and make recommendations to our board regarding our compensation policies and all forms of compensation to be provided to our executive officers and directors. In addition, the compensation committee reviewed bonus and stock compensation arrangements for all of our other employees. These duties have been performed by our full board of directors since the compensation committee became inactive.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interlocking relationships have existed between our board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or compensation committee and the board of directors or compensation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of any other company.</w:t>
      </w:r>
    </w:p>
    <w:p>
      <w:pPr>
        <w:spacing w:after="0" w:line="166" w:lineRule="exact"/>
        <w:rPr>
          <w:sz w:val="20"/>
          <w:szCs w:val="20"/>
          <w:color w:val="auto"/>
        </w:rPr>
      </w:pPr>
    </w:p>
    <w:p>
      <w:pPr>
        <w:ind w:left="880" w:hanging="433"/>
        <w:spacing w:after="0"/>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2000, 2001 and 2002, we had 283, 327 and 398 employees, respectively. As of May 31, 2003, we had 471 employees, including 95 in the content department, 46 in technology, 49 in sales, 5 in marketing, 3 in business development, 1 in e-commerce, 39 in customer service, 21 in accounting, 1 in investor relations, 11 in administration, 4 in human resources, 20 in product development, 1 in the corporate solution and service department, 74 in wireless services and 101 in game development. None of our employees are represented by a labor union.</w:t>
      </w:r>
    </w:p>
    <w:p>
      <w:pPr>
        <w:spacing w:after="0" w:line="171" w:lineRule="exact"/>
        <w:rPr>
          <w:sz w:val="20"/>
          <w:szCs w:val="20"/>
          <w:color w:val="auto"/>
        </w:rPr>
      </w:pPr>
    </w:p>
    <w:p>
      <w:pPr>
        <w:ind w:left="880" w:hanging="433"/>
        <w:spacing w:after="0"/>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known to us with respect to the beneficial ownership as of May 31, 2003 by:</w:t>
      </w:r>
    </w:p>
    <w:p>
      <w:pPr>
        <w:spacing w:after="0" w:line="173" w:lineRule="exact"/>
        <w:rPr>
          <w:sz w:val="20"/>
          <w:szCs w:val="20"/>
          <w:color w:val="auto"/>
        </w:rPr>
      </w:pPr>
    </w:p>
    <w:p>
      <w:pPr>
        <w:ind w:left="800" w:right="3499" w:hanging="353"/>
        <w:spacing w:after="0" w:line="234" w:lineRule="auto"/>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persons who are beneficial owners of five percent or more of our ordinary shares,</w:t>
      </w:r>
    </w:p>
    <w:p>
      <w:pPr>
        <w:ind w:left="800" w:hanging="353"/>
        <w:spacing w:after="0" w:line="237" w:lineRule="auto"/>
        <w:tabs>
          <w:tab w:leader="none" w:pos="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5" w:lineRule="exact"/>
        <w:rPr>
          <w:sz w:val="20"/>
          <w:szCs w:val="20"/>
          <w:color w:val="auto"/>
        </w:rPr>
      </w:pPr>
    </w:p>
    <w:p>
      <w:pPr>
        <w:ind w:left="800" w:right="3839" w:hanging="353"/>
        <w:spacing w:after="0" w:line="254" w:lineRule="auto"/>
        <w:tabs>
          <w:tab w:leader="none" w:pos="8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Acting Chief Executive Officer, our Chief Financial Officer, our Executive Director and our former Chief Technology Officer (referred to below as the Named Executive Officers), and</w:t>
      </w:r>
    </w:p>
    <w:p>
      <w:pPr>
        <w:ind w:left="800" w:hanging="353"/>
        <w:spacing w:after="0" w:line="232" w:lineRule="auto"/>
        <w:tabs>
          <w:tab w:leader="none" w:pos="8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May 31, 2003, 3,139,337,789 shares of our ordinary shares were outstanding. The amounts and percentages of ordinary shares beneficially owned are reported on the basis of regulations of the Securities and Exchange Commission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64"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As of May 31, 2003, none of our ordinary shares were held by U.S. holders of record. On that date, a total of 14,186,267 ADSs were outstanding, of which 14,185,867 ADSs were held by 13 U.S. holders of record.</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29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7220" w:type="dxa"/>
            <w:vAlign w:val="bottom"/>
          </w:tcPr>
          <w:p>
            <w:pPr>
              <w:spacing w:after="0"/>
              <w:rPr>
                <w:sz w:val="14"/>
                <w:szCs w:val="14"/>
                <w:color w:val="auto"/>
              </w:rPr>
            </w:pPr>
          </w:p>
        </w:tc>
        <w:tc>
          <w:tcPr>
            <w:tcW w:w="2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Beneficially Owned</w:t>
            </w:r>
          </w:p>
        </w:tc>
      </w:tr>
      <w:tr>
        <w:trPr>
          <w:trHeight w:val="168"/>
        </w:trPr>
        <w:tc>
          <w:tcPr>
            <w:tcW w:w="7220" w:type="dxa"/>
            <w:vAlign w:val="bottom"/>
          </w:tcPr>
          <w:p>
            <w:pPr>
              <w:spacing w:after="0"/>
              <w:rPr>
                <w:sz w:val="14"/>
                <w:szCs w:val="14"/>
                <w:color w:val="auto"/>
              </w:rPr>
            </w:pPr>
          </w:p>
        </w:tc>
        <w:tc>
          <w:tcPr>
            <w:tcW w:w="29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20" w:type="dxa"/>
            <w:vAlign w:val="bottom"/>
          </w:tcPr>
          <w:p>
            <w:pPr>
              <w:ind w:left="3240"/>
              <w:spacing w:after="0" w:line="168" w:lineRule="exact"/>
              <w:rPr>
                <w:sz w:val="20"/>
                <w:szCs w:val="20"/>
                <w:color w:val="auto"/>
              </w:rPr>
            </w:pPr>
            <w:r>
              <w:rPr>
                <w:rFonts w:ascii="Courier New" w:cs="Courier New" w:eastAsia="Courier New" w:hAnsi="Courier New"/>
                <w:sz w:val="15"/>
                <w:szCs w:val="15"/>
                <w:color w:val="auto"/>
              </w:rPr>
              <w:t>Name</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Percentage</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5% Shareholders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Shining Globe International Limited/William Ding (1)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1,683,611,900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53.6%</w:t>
            </w:r>
          </w:p>
        </w:tc>
      </w:tr>
      <w:tr>
        <w:trPr>
          <w:trHeight w:val="168"/>
        </w:trPr>
        <w:tc>
          <w:tcPr>
            <w:tcW w:w="7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Suite 1901, Tower E3, The Towers, Oriental Plaza, Dong Cheng</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7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District, Beijing, People's Republic of China</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w w:val="99"/>
              </w:rPr>
              <w:t>Yongping Duan and Xin Liu ......................................................</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205,000,000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r>
      <w:tr>
        <w:trPr>
          <w:trHeight w:val="168"/>
        </w:trPr>
        <w:tc>
          <w:tcPr>
            <w:tcW w:w="7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1706 Rada Road</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72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City of Industry, CA 91745</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Named Executive Officers and Directors (2)</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Jack Xu (3)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32,136,900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Denny Lee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Ted Sun (4)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33,700,000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Michael Tong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Donghua Ding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Ronald Lee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Michael Leung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Joseph Tong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All current directors and executive officers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7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as a group (8 persons) (5) ....................................................</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1,717,311,900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54.7%</w:t>
            </w:r>
          </w:p>
        </w:tc>
      </w:tr>
      <w:tr>
        <w:trPr>
          <w:trHeight w:val="168"/>
        </w:trPr>
        <w:tc>
          <w:tcPr>
            <w:tcW w:w="72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ind w:left="1400" w:hanging="778"/>
        <w:spacing w:after="0" w:line="237" w:lineRule="auto"/>
        <w:tabs>
          <w:tab w:leader="none" w:pos="14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73"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Shining Globe International Limited is 100% owned by William Ding, our founder, Chief Architect and a director.</w:t>
      </w:r>
    </w:p>
    <w:p>
      <w:pPr>
        <w:spacing w:after="0" w:line="5"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our current Named Executive Officers and directors is c/o NetEase.com, Inc., Suite 1901, Tower E3, The Towers, Oriental Plaza, Dong Cheng District, Beijing, People's Republic of China 100738.</w:t>
      </w:r>
    </w:p>
    <w:p>
      <w:pPr>
        <w:spacing w:after="0" w:line="5" w:lineRule="exact"/>
        <w:rPr>
          <w:rFonts w:ascii="Courier New" w:cs="Courier New" w:eastAsia="Courier New" w:hAnsi="Courier New"/>
          <w:sz w:val="15"/>
          <w:szCs w:val="15"/>
          <w:color w:val="auto"/>
        </w:rPr>
      </w:pPr>
    </w:p>
    <w:p>
      <w:pPr>
        <w:ind w:left="440" w:right="3319" w:hanging="430"/>
        <w:spacing w:after="0" w:line="254" w:lineRule="auto"/>
        <w:tabs>
          <w:tab w:leader="none" w:pos="44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Xu resigned from our company in June 2002. The shares listed represent all shares that were issued to Mr. Xu pursuant to his exercise of certain stock options following his resignation. Based on a review of public filings with the SEC, we cannot determine whether Mr. Xu still holds such shares or has acquired any additional shares in our company.</w:t>
      </w:r>
    </w:p>
    <w:p>
      <w:pPr>
        <w:spacing w:after="0" w:line="1" w:lineRule="exact"/>
        <w:rPr>
          <w:rFonts w:ascii="Courier New" w:cs="Courier New" w:eastAsia="Courier New" w:hAnsi="Courier New"/>
          <w:sz w:val="14"/>
          <w:szCs w:val="14"/>
          <w:color w:val="auto"/>
        </w:rPr>
      </w:pPr>
    </w:p>
    <w:p>
      <w:pPr>
        <w:ind w:left="440" w:right="3499" w:hanging="430"/>
        <w:spacing w:after="0" w:line="236" w:lineRule="auto"/>
        <w:tabs>
          <w:tab w:leader="none" w:pos="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6,600,000 shares subject to stock options exercisable within 60 days of May 31, 2003. These options have the following features: (i) 6,000,000 of the options have an exercise price of US$0.007 per ordinary share and an expiration date of July 6, 2005 and (ii) 600,000 of the options have an exercise price of US$0.10 per ordinary share and an expiration date of February 1, 2005.</w:t>
      </w:r>
    </w:p>
    <w:p>
      <w:pPr>
        <w:spacing w:after="0" w:line="6"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owned by all of our current directors and executive officers as a group includes shares beneficially owned by William Ding. This amount also includes 6,600,000 shares subject to stock options currently exercisable or exercisable within 60 days of May 31, 2003.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953" w:right="1440" w:bottom="1440" w:gutter="0" w:footer="0" w:header="0"/>
        </w:sectPr>
      </w:pPr>
    </w:p>
    <w:bookmarkStart w:id="77" w:name="page78"/>
    <w:bookmarkEnd w:id="77"/>
    <w:p>
      <w:pPr>
        <w:spacing w:after="0"/>
        <w:tabs>
          <w:tab w:leader="none" w:pos="122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Major Shareholders and Related Party Transactions</w:t>
      </w:r>
    </w:p>
    <w:p>
      <w:pPr>
        <w:spacing w:after="0" w:line="166" w:lineRule="exact"/>
        <w:rPr>
          <w:sz w:val="20"/>
          <w:szCs w:val="20"/>
          <w:color w:val="auto"/>
        </w:rPr>
      </w:pPr>
    </w:p>
    <w:p>
      <w:pPr>
        <w:ind w:left="1240" w:hanging="531"/>
        <w:spacing w:after="0"/>
        <w:tabs>
          <w:tab w:leader="none" w:pos="12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Shareholders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Please refer to Item 6. "Directors, Senior Management and</w:t>
      </w:r>
    </w:p>
    <w:p>
      <w:pPr>
        <w:ind w:left="700"/>
        <w:spacing w:after="0" w:line="237" w:lineRule="auto"/>
        <w:rPr>
          <w:sz w:val="20"/>
          <w:szCs w:val="20"/>
          <w:color w:val="auto"/>
        </w:rPr>
      </w:pPr>
      <w:r>
        <w:rPr>
          <w:rFonts w:ascii="Courier New" w:cs="Courier New" w:eastAsia="Courier New" w:hAnsi="Courier New"/>
          <w:sz w:val="15"/>
          <w:szCs w:val="15"/>
          <w:color w:val="auto"/>
        </w:rPr>
        <w:t>Employees--Share Ownership."</w:t>
      </w:r>
    </w:p>
    <w:p>
      <w:pPr>
        <w:spacing w:after="0" w:line="167" w:lineRule="exact"/>
        <w:rPr>
          <w:sz w:val="20"/>
          <w:szCs w:val="20"/>
          <w:color w:val="auto"/>
        </w:rPr>
      </w:pPr>
    </w:p>
    <w:p>
      <w:pPr>
        <w:ind w:left="1240" w:hanging="531"/>
        <w:spacing w:after="0"/>
        <w:tabs>
          <w:tab w:leader="none" w:pos="12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Our business was founded in June 1997. In July 1999, we established a new holding company, NetEase.com, Inc., in the Cayman Islands. In September 1999, we restructured our operations in order to comply with increasing regulation of the Internet industry in China. As part of this restructuring, substantially all of Guangzhou Netease Computer System Co., Ltd.'s, or Guangzhou Netease, fixed and intangible assets and existing Internet applications, services and technologies were acquired by Netease Information Technology (Beijing) Co., Ltd., or Netease Beijing, a wholly owned subsidiary of NetEase formed in August 1999. Guangzhou Netease, which is 80% owned by our founder, Chief Architect, majority shareholder and a director, William Ding, has received approval from the Guangzhou telecommunications administrative authorities to provide Internet content services, and its 80% owned subsidiary, Beijing Guangyitong Advertising Co., Ltd., or Guangyitong Advertising, holds a license to operate an advertising business.</w:t>
      </w:r>
    </w:p>
    <w:p>
      <w:pPr>
        <w:spacing w:after="0" w:line="174"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NetEase and Netease Beijing entered into a series of agreements with Guangzhou Netease, Guangyitong Advertising and the shareholders of Guangzhou Netease and Guangyitong Advertising under which we provide our Internet and e-commerce applications, services and technologies and advertising services to Guangzhou Netease and Guangyitong Advertising, and Guangzhou Netease and Guangyitong Advertising operate the NetEase Web sites and our online advertising business. We do not believe NetEase and Netease Beijing could have obtained these agreements, taken as a whole, from unrelated third parties. We believe that the terms of each agreement are no less favorable than the terms that we could obtain from disinterested third parties. Guangzhou Netease is one of a limited number of companies in China to have secured approval from the Guangzhou telecommunications administrative authorities to engage in the Internet content provider business. Through our agreements, we have the exclusive right to benefit from this approval. In addition, we have secured significant rights over Guangyitong Advertising and the ultimate shareholders of Guangyitong Advertising and have obtained the commitment of the ultimate shareholders of Guangyitong Advertising to allow it to direct the policies and management of the ongoing activities of Guangyitong Advertising. We believe that the shareholders of Guangzhou Netease and Guangyitong Advertising will not receive material benefits from these agreements except as shareholders of NetEase. Because of the uncertain and changing legal and regulatory environment in China, most of these agreements have terms of one year, except for the Domain Names License Agreement between NetEase and Guangzhou Netease which has a term of five years, and the Operating Agreement among Netease Beijing, Guangyitong Advertising and the ultimate shareholders of Guangyitong Advertising which has a term of twenty years. In addition, the Voting Rights Trust Agreement among Netease Beijing and William Ding and Bo Ding (William Ding's brother), as ultimate shareholders of Guangyitong Advertising has a term of ten years. These agreements are described below.</w:t>
      </w:r>
    </w:p>
    <w:p>
      <w:pPr>
        <w:spacing w:after="0" w:line="346" w:lineRule="exact"/>
        <w:rPr>
          <w:sz w:val="20"/>
          <w:szCs w:val="20"/>
          <w:color w:val="auto"/>
        </w:rPr>
      </w:pPr>
    </w:p>
    <w:p>
      <w:pPr>
        <w:ind w:left="1140" w:right="3239" w:hanging="431"/>
        <w:spacing w:after="0" w:line="236" w:lineRule="auto"/>
        <w:tabs>
          <w:tab w:leader="none" w:pos="11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Domain Name License Agreement between NetEase and Guangzhou Netease. NetEase granted Guangzhou Netease the right to use the domain names "netease.com," "163.com," "126.com," "yeah.net" and "nease.net" on the NetEase Web sites in China for license fees of RMB10,000 per year. NetEase may waive this fee in the future. By a Supplemental Agreement entered into between the parties in May 2000, the term of this agreement has been extended from one year to five years.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17" w:right="1440" w:bottom="1440" w:gutter="0" w:footer="0" w:header="0"/>
        </w:sectPr>
      </w:pPr>
    </w:p>
    <w:bookmarkStart w:id="78" w:name="page79"/>
    <w:bookmarkEnd w:id="78"/>
    <w:p>
      <w:pPr>
        <w:ind w:left="431" w:right="3239" w:hanging="431"/>
        <w:spacing w:after="0" w:line="236" w:lineRule="auto"/>
        <w:tabs>
          <w:tab w:leader="none" w:pos="43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Copyright License Agreement between Netease Beijing and Guangzhou Netease. Netease Beijing granted Guangzhou Netease the right to use Netease Beijing's Web page layout in China for a royalty of RMB10,000 per year. Netease Beijing may waive this fee in the future.</w:t>
      </w:r>
    </w:p>
    <w:p>
      <w:pPr>
        <w:spacing w:after="0" w:line="174" w:lineRule="exact"/>
        <w:rPr>
          <w:sz w:val="20"/>
          <w:szCs w:val="20"/>
          <w:color w:val="auto"/>
        </w:rPr>
      </w:pPr>
    </w:p>
    <w:p>
      <w:pPr>
        <w:ind w:left="431" w:right="3239" w:hanging="431"/>
        <w:spacing w:after="0" w:line="236" w:lineRule="auto"/>
        <w:tabs>
          <w:tab w:leader="none" w:pos="43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License Agreement between Netease Beijing and Guangzhou Netease. Netease Beijing granted Guangzhou Netease a license to use Netease Beijing's registered trademarks on the NetEase Web sites in China for license fees of RMB10,000 per year. Netease Beijing may waive this fee in the future.</w:t>
      </w:r>
    </w:p>
    <w:p>
      <w:pPr>
        <w:spacing w:after="0" w:line="174" w:lineRule="exact"/>
        <w:rPr>
          <w:sz w:val="20"/>
          <w:szCs w:val="20"/>
          <w:color w:val="auto"/>
        </w:rPr>
      </w:pPr>
    </w:p>
    <w:p>
      <w:pPr>
        <w:ind w:left="431" w:right="3399" w:hanging="431"/>
        <w:spacing w:after="0" w:line="235" w:lineRule="auto"/>
        <w:tabs>
          <w:tab w:leader="none" w:pos="43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Technical Services Master Agreement between Netease Beijing and Guangzhou Netease. Netease Beijing provides Guangzhou Netease with technical services for the operation of the NetEase Web sites, including:</w:t>
      </w:r>
    </w:p>
    <w:p>
      <w:pPr>
        <w:spacing w:after="0" w:line="168" w:lineRule="exact"/>
        <w:rPr>
          <w:rFonts w:ascii="Courier New" w:cs="Courier New" w:eastAsia="Courier New" w:hAnsi="Courier New"/>
          <w:sz w:val="15"/>
          <w:szCs w:val="15"/>
          <w:color w:val="auto"/>
        </w:rPr>
      </w:pPr>
    </w:p>
    <w:p>
      <w:pPr>
        <w:ind w:left="611" w:hanging="173"/>
        <w:spacing w:after="0"/>
        <w:tabs>
          <w:tab w:leader="none" w:pos="61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server maintenance;</w:t>
      </w:r>
    </w:p>
    <w:p>
      <w:pPr>
        <w:spacing w:after="0" w:line="166" w:lineRule="exact"/>
        <w:rPr>
          <w:rFonts w:ascii="Courier New" w:cs="Courier New" w:eastAsia="Courier New" w:hAnsi="Courier New"/>
          <w:sz w:val="15"/>
          <w:szCs w:val="15"/>
          <w:color w:val="auto"/>
        </w:rPr>
      </w:pPr>
    </w:p>
    <w:p>
      <w:pPr>
        <w:ind w:left="611" w:hanging="173"/>
        <w:spacing w:after="0"/>
        <w:tabs>
          <w:tab w:leader="none" w:pos="61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server application software development;</w:t>
      </w:r>
    </w:p>
    <w:p>
      <w:pPr>
        <w:spacing w:after="0" w:line="166" w:lineRule="exact"/>
        <w:rPr>
          <w:rFonts w:ascii="Courier New" w:cs="Courier New" w:eastAsia="Courier New" w:hAnsi="Courier New"/>
          <w:sz w:val="15"/>
          <w:szCs w:val="15"/>
          <w:color w:val="auto"/>
        </w:rPr>
      </w:pPr>
    </w:p>
    <w:p>
      <w:pPr>
        <w:ind w:left="611" w:hanging="173"/>
        <w:spacing w:after="0"/>
        <w:tabs>
          <w:tab w:leader="none" w:pos="61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application software development;</w:t>
      </w:r>
    </w:p>
    <w:p>
      <w:pPr>
        <w:spacing w:after="0" w:line="166" w:lineRule="exact"/>
        <w:rPr>
          <w:rFonts w:ascii="Courier New" w:cs="Courier New" w:eastAsia="Courier New" w:hAnsi="Courier New"/>
          <w:sz w:val="15"/>
          <w:szCs w:val="15"/>
          <w:color w:val="auto"/>
        </w:rPr>
      </w:pPr>
    </w:p>
    <w:p>
      <w:pPr>
        <w:ind w:left="611" w:hanging="173"/>
        <w:spacing w:after="0"/>
        <w:tabs>
          <w:tab w:leader="none" w:pos="61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training; and</w:t>
      </w:r>
    </w:p>
    <w:p>
      <w:pPr>
        <w:spacing w:after="0" w:line="166" w:lineRule="exact"/>
        <w:rPr>
          <w:rFonts w:ascii="Courier New" w:cs="Courier New" w:eastAsia="Courier New" w:hAnsi="Courier New"/>
          <w:sz w:val="15"/>
          <w:szCs w:val="15"/>
          <w:color w:val="auto"/>
        </w:rPr>
      </w:pPr>
    </w:p>
    <w:p>
      <w:pPr>
        <w:ind w:left="611" w:hanging="173"/>
        <w:spacing w:after="0"/>
        <w:tabs>
          <w:tab w:leader="none" w:pos="61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e-commerce related services.</w:t>
      </w:r>
    </w:p>
    <w:p>
      <w:pPr>
        <w:spacing w:after="0" w:line="173" w:lineRule="exact"/>
        <w:rPr>
          <w:sz w:val="20"/>
          <w:szCs w:val="20"/>
          <w:color w:val="auto"/>
        </w:rPr>
      </w:pPr>
    </w:p>
    <w:p>
      <w:pPr>
        <w:ind w:left="431" w:right="3239"/>
        <w:spacing w:after="0" w:line="256" w:lineRule="auto"/>
        <w:rPr>
          <w:sz w:val="20"/>
          <w:szCs w:val="20"/>
          <w:color w:val="auto"/>
        </w:rPr>
      </w:pPr>
      <w:r>
        <w:rPr>
          <w:rFonts w:ascii="Courier New" w:cs="Courier New" w:eastAsia="Courier New" w:hAnsi="Courier New"/>
          <w:sz w:val="14"/>
          <w:szCs w:val="14"/>
          <w:color w:val="auto"/>
        </w:rPr>
        <w:t>Guangzhou Netease pays monthly service fees to Netease Beijing based on the actual operating circumstances of the parties. Netease Beijing may unilaterally adjust such fees. Netease Beijing is Guangzhou Netease's exclusive provider of these services.</w:t>
      </w:r>
    </w:p>
    <w:p>
      <w:pPr>
        <w:spacing w:after="0" w:line="164" w:lineRule="exact"/>
        <w:rPr>
          <w:sz w:val="20"/>
          <w:szCs w:val="20"/>
          <w:color w:val="auto"/>
        </w:rPr>
      </w:pPr>
    </w:p>
    <w:p>
      <w:pPr>
        <w:ind w:left="431" w:right="3239"/>
        <w:spacing w:after="0" w:line="235" w:lineRule="auto"/>
        <w:rPr>
          <w:sz w:val="20"/>
          <w:szCs w:val="20"/>
          <w:color w:val="auto"/>
        </w:rPr>
      </w:pPr>
      <w:r>
        <w:rPr>
          <w:rFonts w:ascii="Courier New" w:cs="Courier New" w:eastAsia="Courier New" w:hAnsi="Courier New"/>
          <w:sz w:val="15"/>
          <w:szCs w:val="15"/>
          <w:color w:val="auto"/>
        </w:rPr>
        <w:t>Netease Beijing has the right to transfer and sell its interests in this Exclusive Technical Services Master Agreement or any other agreements between it and Guangzhou Netease.</w:t>
      </w:r>
    </w:p>
    <w:p>
      <w:pPr>
        <w:spacing w:after="0" w:line="174" w:lineRule="exact"/>
        <w:rPr>
          <w:sz w:val="20"/>
          <w:szCs w:val="20"/>
          <w:color w:val="auto"/>
        </w:rPr>
      </w:pPr>
    </w:p>
    <w:p>
      <w:pPr>
        <w:ind w:left="431" w:right="3239" w:hanging="431"/>
        <w:spacing w:after="0" w:line="255" w:lineRule="auto"/>
        <w:tabs>
          <w:tab w:leader="none" w:pos="43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Consulting and Services Agreement between Netease Beijing and Guangyitong Advertising. Netease Beijing provides Guangyitong Advertising with technical consulting and related services for all advertisements published on the NetEase Web sites. Guangyitong Advertising submits designs of advertisements to be published on the NetEase Web sites, and Netease Beijing completes the related technical work and delivers the completed advertisements to Guangyitong Advertising. Guangyitong Advertising pays fees to Netease Beijing based on the actual operating circumstances of the parties, which consist of substantially all of Guangyitong Advertising's advertising revenue, net of the related business tax and cultural development fee. Netease Beijing may unilaterally adjust such fees. Netease Beijing will be Guangyitong Advertising's exclusive provider of these services. The initial term of this agreement is 10 years from February 3, 2000.</w:t>
      </w:r>
    </w:p>
    <w:p>
      <w:pPr>
        <w:spacing w:after="0" w:line="163" w:lineRule="exact"/>
        <w:rPr>
          <w:sz w:val="20"/>
          <w:szCs w:val="20"/>
          <w:color w:val="auto"/>
        </w:rPr>
      </w:pPr>
    </w:p>
    <w:p>
      <w:pPr>
        <w:ind w:left="431" w:right="3399" w:hanging="431"/>
        <w:spacing w:after="0" w:line="236" w:lineRule="auto"/>
        <w:tabs>
          <w:tab w:leader="none" w:pos="43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Advertising Agency Agreement between NetEase and Guangzhou Netease. Guangzhou Netease appointed NetEase as its advertising agent to solicit advertising customers on behalf of Guangzhou Netease in markets outside of China. NetEase pays Guangzhou Netease 10% of the total advertising revenue under this agreement per month.</w:t>
      </w:r>
    </w:p>
    <w:p>
      <w:pPr>
        <w:spacing w:after="0" w:line="175" w:lineRule="exact"/>
        <w:rPr>
          <w:sz w:val="20"/>
          <w:szCs w:val="20"/>
          <w:color w:val="auto"/>
        </w:rPr>
      </w:pPr>
    </w:p>
    <w:p>
      <w:pPr>
        <w:ind w:left="431" w:right="3239" w:hanging="431"/>
        <w:spacing w:after="0" w:line="236" w:lineRule="auto"/>
        <w:tabs>
          <w:tab w:leader="none" w:pos="43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Online Advertising Agreement between Guangzhou Netease and Guangyitong Advertising, as amended by a Supplemental Agreement entered into in May 2000. Guangzhou Netease sells all of the banner space on the NetEase Web sites to Guangyitong Advertising and publishes the advertisements provided by Guangyitong Advertising on the banner space purchased by</w:t>
      </w:r>
    </w:p>
    <w:p>
      <w:pPr>
        <w:spacing w:after="0" w:line="168"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9530"/>
          </w:cols>
          <w:pgMar w:left="929" w:top="624" w:right="1440" w:bottom="1440" w:gutter="0" w:footer="0" w:header="0"/>
        </w:sectPr>
      </w:pPr>
    </w:p>
    <w:bookmarkStart w:id="79" w:name="page80"/>
    <w:bookmarkEnd w:id="79"/>
    <w:p>
      <w:pPr>
        <w:ind w:left="431" w:right="3319"/>
        <w:spacing w:after="0" w:line="235" w:lineRule="auto"/>
        <w:rPr>
          <w:sz w:val="20"/>
          <w:szCs w:val="20"/>
          <w:color w:val="auto"/>
        </w:rPr>
      </w:pPr>
      <w:r>
        <w:rPr>
          <w:rFonts w:ascii="Courier New" w:cs="Courier New" w:eastAsia="Courier New" w:hAnsi="Courier New"/>
          <w:sz w:val="15"/>
          <w:szCs w:val="15"/>
          <w:color w:val="auto"/>
        </w:rPr>
        <w:t>Guangyitong Advertising. Guangyitong Advertising pays Guangzhou Netease RMB 10,000 per year. Guangzhou Netease may waive this fee in the future. The initial term of this agreement is 10 years from February 3, 2000.</w:t>
      </w:r>
    </w:p>
    <w:p>
      <w:pPr>
        <w:spacing w:after="0" w:line="175" w:lineRule="exact"/>
        <w:rPr>
          <w:sz w:val="20"/>
          <w:szCs w:val="20"/>
          <w:color w:val="auto"/>
        </w:rPr>
      </w:pPr>
    </w:p>
    <w:p>
      <w:pPr>
        <w:ind w:left="431" w:right="3319" w:hanging="431"/>
        <w:spacing w:after="0" w:line="235" w:lineRule="auto"/>
        <w:tabs>
          <w:tab w:leader="none" w:pos="43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Transfer Agreement between Guangzhou Netease and Netease Beijing. Guangzhou Netease has agreed to transfer its registered trademarks to Netease Beijing.</w:t>
      </w:r>
    </w:p>
    <w:p>
      <w:pPr>
        <w:spacing w:after="0" w:line="174" w:lineRule="exact"/>
        <w:rPr>
          <w:sz w:val="20"/>
          <w:szCs w:val="20"/>
          <w:color w:val="auto"/>
        </w:rPr>
      </w:pPr>
    </w:p>
    <w:p>
      <w:pPr>
        <w:ind w:left="431" w:right="3399" w:hanging="431"/>
        <w:spacing w:after="0" w:line="236" w:lineRule="auto"/>
        <w:tabs>
          <w:tab w:leader="none" w:pos="43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Agreement between Netease Beijing and Guangzhou Netease. Netease Beijing may not grant the license to use its domain name, copyright and trademark to any third party without Guangzhou Netease's consent and may not provide technical service to any third party.</w:t>
      </w:r>
    </w:p>
    <w:p>
      <w:pPr>
        <w:spacing w:after="0" w:line="174" w:lineRule="exact"/>
        <w:rPr>
          <w:sz w:val="20"/>
          <w:szCs w:val="20"/>
          <w:color w:val="auto"/>
        </w:rPr>
      </w:pPr>
    </w:p>
    <w:p>
      <w:pPr>
        <w:ind w:left="431" w:right="3239" w:hanging="431"/>
        <w:spacing w:after="0" w:line="236" w:lineRule="auto"/>
        <w:tabs>
          <w:tab w:leader="none" w:pos="43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Agreement among Netease Beijing, Guangyitong and the ultimate shareholders of Guangyitong Advertising. To ensure the successful performance of the various agreements between the parties, Guangyitong Advertising and its ultimate shareholders have agreed that they will not enter into any transaction, or fail to take any action, that would substantially affect the assets, liabilities, equity or operations of Guangyitong Advertising without the prior written consent of Netease Beijing.</w:t>
      </w:r>
    </w:p>
    <w:p>
      <w:pPr>
        <w:spacing w:after="0" w:line="177" w:lineRule="exact"/>
        <w:rPr>
          <w:rFonts w:ascii="Courier New" w:cs="Courier New" w:eastAsia="Courier New" w:hAnsi="Courier New"/>
          <w:sz w:val="15"/>
          <w:szCs w:val="15"/>
          <w:color w:val="auto"/>
        </w:rPr>
      </w:pPr>
    </w:p>
    <w:p>
      <w:pPr>
        <w:ind w:left="431"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parties have agreed that upon Netease Beijing's determination and at any time when Netease Beijing is able to obtain approval to invest in and operate all or any part of Guangyitong Advertising, Netease Beijing will acquire all of the assets or equity interests of Guangyitong Advertising, to the extent permitted by Chinese law. The consideration for such acquisitions will be based on the book value of Guangyitong Advertising at the time of acquisition.</w:t>
      </w:r>
    </w:p>
    <w:p>
      <w:pPr>
        <w:spacing w:after="0" w:line="166" w:lineRule="exact"/>
        <w:rPr>
          <w:rFonts w:ascii="Courier New" w:cs="Courier New" w:eastAsia="Courier New" w:hAnsi="Courier New"/>
          <w:sz w:val="15"/>
          <w:szCs w:val="15"/>
          <w:color w:val="auto"/>
        </w:rPr>
      </w:pPr>
    </w:p>
    <w:p>
      <w:pPr>
        <w:ind w:left="431"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Netease Beijing has agreed that it will provide performance guarantees and guarantee loans for working capital purposes to the extent required by Guangyitong Advertising for its operations.</w:t>
      </w:r>
    </w:p>
    <w:p>
      <w:pPr>
        <w:spacing w:after="0" w:line="161" w:lineRule="exact"/>
        <w:rPr>
          <w:rFonts w:ascii="Courier New" w:cs="Courier New" w:eastAsia="Courier New" w:hAnsi="Courier New"/>
          <w:sz w:val="15"/>
          <w:szCs w:val="15"/>
          <w:color w:val="auto"/>
        </w:rPr>
      </w:pPr>
    </w:p>
    <w:p>
      <w:pPr>
        <w:ind w:left="431"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ultimate shareholders of Guangyitong Advertising have agreed that upon instruction from Netease Beijing, they will appoint or terminate Guangyitong Advertising's board members, General Manager, Chief Financial Officer and other senior officers.</w:t>
      </w:r>
    </w:p>
    <w:p>
      <w:pPr>
        <w:spacing w:after="0" w:line="175" w:lineRule="exact"/>
        <w:rPr>
          <w:rFonts w:ascii="Courier New" w:cs="Courier New" w:eastAsia="Courier New" w:hAnsi="Courier New"/>
          <w:sz w:val="15"/>
          <w:szCs w:val="15"/>
          <w:color w:val="auto"/>
        </w:rPr>
      </w:pPr>
    </w:p>
    <w:p>
      <w:pPr>
        <w:ind w:left="431"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Netease Beijing has the right to transfer and sell its interests in the Operating Agreement or any other agreements between it and Guangyitong Advertising. The term of this agreement is 20 years from February 3, 2000.</w:t>
      </w:r>
    </w:p>
    <w:p>
      <w:pPr>
        <w:spacing w:after="0" w:line="175" w:lineRule="exact"/>
        <w:rPr>
          <w:sz w:val="20"/>
          <w:szCs w:val="20"/>
          <w:color w:val="auto"/>
        </w:rPr>
      </w:pPr>
    </w:p>
    <w:p>
      <w:pPr>
        <w:ind w:left="431" w:right="3239" w:hanging="431"/>
        <w:spacing w:after="0" w:line="236" w:lineRule="auto"/>
        <w:tabs>
          <w:tab w:leader="none" w:pos="43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Voting Rights Trust Agreement among William Ding, Bo Ding and Netease Beijing. Bo Ding irrevocably appoints Netease Beijing to represent him to exercise all the voting rights to which he is entitled as a shareholder of Guangyitong Advertising and William Ding and Bo Ding agree to cause Guangzhou Netease to irrevocably appoint Netease Beijing to represent Guangzhou Netease to exercise all the voting rights to which Guangzhou Netease is entitled as a shareholder of Guangyitong Advertising. The term of this agreement is ten years from May 12, 2000.</w:t>
      </w:r>
    </w:p>
    <w:p>
      <w:pPr>
        <w:spacing w:after="0" w:line="178" w:lineRule="exact"/>
        <w:rPr>
          <w:sz w:val="20"/>
          <w:szCs w:val="20"/>
          <w:color w:val="auto"/>
        </w:rPr>
      </w:pPr>
    </w:p>
    <w:p>
      <w:pPr>
        <w:ind w:left="431" w:right="3239" w:hanging="431"/>
        <w:spacing w:after="0" w:line="255"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Agreements between Netease Beijing and Guangzhou Netease. Netease Beijing and Guangzhou Netease terminated previously existing contracts related to Netease Beijing's rights with respect to the operation of Guangzhou Netease, the lease of equipment from Netease Beijing to Guangzhou Netease and the sublease of leased lines from Netease Beijing to Guangzhou Netease. Under the Termination Agreements, Netease Beijing agrees to</w:t>
      </w:r>
    </w:p>
    <w:p>
      <w:pPr>
        <w:spacing w:after="0" w:line="160" w:lineRule="exact"/>
        <w:rPr>
          <w:sz w:val="20"/>
          <w:szCs w:val="20"/>
          <w:color w:val="auto"/>
        </w:rPr>
      </w:pPr>
    </w:p>
    <w:p>
      <w:pPr>
        <w:ind w:left="2711"/>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530"/>
          </w:cols>
          <w:pgMar w:left="929" w:top="624" w:right="1440" w:bottom="1440" w:gutter="0" w:footer="0" w:header="0"/>
        </w:sectPr>
      </w:pPr>
    </w:p>
    <w:bookmarkStart w:id="80" w:name="page81"/>
    <w:bookmarkEnd w:id="80"/>
    <w:p>
      <w:pPr>
        <w:ind w:left="1140" w:right="3499"/>
        <w:spacing w:after="0" w:line="234" w:lineRule="auto"/>
        <w:rPr>
          <w:sz w:val="20"/>
          <w:szCs w:val="20"/>
          <w:color w:val="auto"/>
        </w:rPr>
      </w:pPr>
      <w:r>
        <w:rPr>
          <w:rFonts w:ascii="Courier New" w:cs="Courier New" w:eastAsia="Courier New" w:hAnsi="Courier New"/>
          <w:sz w:val="15"/>
          <w:szCs w:val="15"/>
          <w:color w:val="auto"/>
        </w:rPr>
        <w:t>provide without charge to Guangzhou Netease equipment related to the operation of Internet information services.</w:t>
      </w:r>
    </w:p>
    <w:p>
      <w:pPr>
        <w:spacing w:after="0" w:line="173" w:lineRule="exact"/>
        <w:rPr>
          <w:sz w:val="20"/>
          <w:szCs w:val="20"/>
          <w:color w:val="auto"/>
        </w:rPr>
      </w:pPr>
    </w:p>
    <w:p>
      <w:pPr>
        <w:ind w:left="1140" w:right="3499" w:hanging="431"/>
        <w:spacing w:after="0" w:line="261" w:lineRule="auto"/>
        <w:tabs>
          <w:tab w:leader="none" w:pos="11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between Netease Beijing and Guangzhou Netease. Netease Beijing agrees to pay the operating costs of Guangzhou Netease.</w:t>
      </w:r>
    </w:p>
    <w:p>
      <w:pPr>
        <w:spacing w:after="0" w:line="160" w:lineRule="exact"/>
        <w:rPr>
          <w:sz w:val="20"/>
          <w:szCs w:val="20"/>
          <w:color w:val="auto"/>
        </w:rPr>
      </w:pPr>
    </w:p>
    <w:p>
      <w:pPr>
        <w:ind w:left="1140" w:right="3319" w:hanging="431"/>
        <w:spacing w:after="0" w:line="255" w:lineRule="auto"/>
        <w:tabs>
          <w:tab w:leader="none" w:pos="11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Agreement. Each of William Ding and Bo Ding have agreed that any amendments to be made to the Exclusive Consulting and Services Agreement, the Shareholder Voting Rights Trust Agreement, and the Operating Agreement described above, as well as all other agreements to which Guangzhou Netease, Guangyitong Advertising and/or William Ding and Bo Ding are parties, shall be subject to the approval by the vote of a majority of our board, excluding the vote of William Ding. Messrs. Ding have also agreed that, if any amendments to the above mentioned agreements require a vote of the shareholders of NetEase, Guangzhou Netease or Guangyitong Advertising, as applicable, both of them will vote in their capacity as direct or indirect shareholders of these companies to act based upon the instructions of our board.</w:t>
      </w:r>
    </w:p>
    <w:p>
      <w:pPr>
        <w:spacing w:after="0" w:line="16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Voting Arrangement. The News Corporation Limited had the right to nominate one director to our board of directors, and certain of our shareholders holding a majority of our outstanding shares, including our largest shareholder, Shining Globe, were obligated to vote their shares in favor of the appointment of its nominated director. However, The News Corporation's right to nominate one director and certain of our shareholders', including Shining Globe's, agreement to vote their shares in favor of the director nominated by The News Corporation irrevocably terminated in March 2003 when its share ownership fell below 4.25% of our total issued and outstanding share capital.</w:t>
      </w:r>
    </w:p>
    <w:p>
      <w:pPr>
        <w:spacing w:after="0" w:line="165"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Co-Sale Rights. Under the terms of the investors' rights agreement among The News Corporation, Shining Globe and certain other shareholders, The News Corporation had the right, at its option, to sell its shares if Shining Globe proposed to sell any of its shares, on the same terms and conditions as Shining Globe. This right also irrevocably terminated in March 2003 because its share ownership fell below 4.25% of our total issued and outstanding share capital.</w:t>
      </w:r>
    </w:p>
    <w:p>
      <w:pPr>
        <w:spacing w:after="0" w:line="166" w:lineRule="exact"/>
        <w:rPr>
          <w:sz w:val="20"/>
          <w:szCs w:val="20"/>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Strategic Alliance with The News Corporation. In March 2000, we issued 2,560,556 of our Series B preference shares to Best Alliance Profits Limited, a company controlled by The News Corporation Limited, in exchange for US$35 million in cash together with on-air advertising and promotional services. In connection with this issuance, we entered into an agreement with News Digital Ventures, an affiliate of The News Corporation Limited, which provides for cooperation between us and The News Corporation. As part of the consideration for the issuance of our Series B preference shares, The News Corporation and its affiliates agreed to provide us with on-air advertising and promotional inventory with a value of US$5 million on The News Corporation's media properties, including Channel [V], ESPN Star Sports, Phoenix TV and STAR TV. We agreed to use at least US$1 million of the inventory within one year, and at least US$2 million in each of the next two years. As of March 31, 2003, we had used US$3 million of the inventory and, pursuant to a supplemental agreement with The News Corporation, we are now entitled to use the remaining US$2 million of the inventory by March 28, 2004. In addition, The News Corporation and its affiliates agreed to spend US$5 million on on-line advertising on the NetEase Web sites of which US$1 million had been spent as of March 31, 2003. In accordance with our supplemental agreement, they are obligated to spend the remaining amount by March 28, 2004.</w:t>
      </w:r>
    </w:p>
    <w:p>
      <w:pPr>
        <w:spacing w:after="0" w:line="343"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All other aspects of our strategic cooperation agreement with The News Corporation terminated in March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3" w:right="1440" w:bottom="1440" w:gutter="0" w:footer="0" w:header="0"/>
        </w:sectPr>
      </w:pPr>
    </w:p>
    <w:bookmarkStart w:id="81" w:name="page82"/>
    <w:bookmarkEnd w:id="81"/>
    <w:p>
      <w:pPr>
        <w:ind w:right="3319" w:firstLine="437"/>
        <w:spacing w:after="0" w:line="237" w:lineRule="auto"/>
        <w:rPr>
          <w:sz w:val="20"/>
          <w:szCs w:val="20"/>
          <w:color w:val="auto"/>
        </w:rPr>
      </w:pPr>
      <w:r>
        <w:rPr>
          <w:rFonts w:ascii="Courier New" w:cs="Courier New" w:eastAsia="Courier New" w:hAnsi="Courier New"/>
          <w:sz w:val="15"/>
          <w:szCs w:val="15"/>
          <w:color w:val="auto"/>
        </w:rPr>
        <w:t>Share Transfers to Certain Senior Management Personnel and Key Employees. In 1999, Shining Globe International Limited, which is 100% owned by William Ding, our founder, Chief Architect, majority shareholder and a director, agreed to transfer an aggregate of 109,694,200 ordinary shares to certain senior management personnel and key employees. These share transfers were effected in January 2000. The share transfer commitments were made to provide incentives to senior management personnel and key employees to join our company. The fair market value of these shares as of the date of such agreement (RMB45.4 million or US$5.5 million) was charged to our earnings in 1999 as share compensation costs in accordance with U.S. GAAP, with a corresponding increase in additional paid-in capital. Furthermore, in March 2000, January 2001, January 2002 and January 2003, William Ding transferred 1,945,200, 8,757,100, 4,609,000 and 4,609,000 shares, respectively, to certain employees. The total estimated fair value of these shares, valued at US$0.05 per share at the date of grant, is recognized as deferred compensation, which are amortized over the related vesting periods.</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Except for the voting arrangements described above, our major shareholders do not have different voting rights than any of our other shareholders.</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Loans and Advances. We have entered into loan agreements with four related parties, the proceeds of which were used to purchase our ADSs, in the aggregate principal amount of approximately US$777,000. The loans bear an interest rate of five percent and became due one year from the date of disbursement of the loan proceeds. As of March 31, 2003, US$667,000 of the outstanding principal amount had been repaid. Although we have attempted to recover the remaining unpaid balance of these loans, we can provide no assurance that we will be able to recover such amount. In addition, we loaned US$250,000 to a former employee of our company pursuant to an oral arrangement, which was repaid in full in January 2003. We previously made full provision for these loans in our audited financial statements for the year 2001, which impacted our statement of operations in that period. The amounts repaid in 2003 discussed above were reflected in our statement of operations for the first quarter of 2003.</w:t>
      </w:r>
    </w:p>
    <w:p>
      <w:pPr>
        <w:spacing w:after="0" w:line="16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We also loaned US$235,000 to William Ding, our founder, Chief Architect, majority shareholder and a director. This loan was repaid in full in March 2003.</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Transactions with BEENET. Mr. Ronald Lee, who was appointed to our board of directors on June 5, 2002, is the managing director and co-founder of BEENET, an Internet consulting and solutions services provider. In 2000, 2001 and 2002, BEENET entered into a series of transactions with our company whereby BEENET provided Internet consulting services for our main Web site and our corporate Web site and assisted in the design and production of a television commercial for us, in exchange for an aggregate amount of approximately US$550,000. BEENET also placed advertisements on the NetEase Web sites in 2001.</w:t>
      </w:r>
    </w:p>
    <w:p>
      <w:pPr>
        <w:spacing w:after="0" w:line="166" w:lineRule="exact"/>
        <w:rPr>
          <w:sz w:val="20"/>
          <w:szCs w:val="20"/>
          <w:color w:val="auto"/>
        </w:rPr>
      </w:pPr>
    </w:p>
    <w:p>
      <w:pPr>
        <w:ind w:left="880" w:right="6559" w:hanging="433"/>
        <w:spacing w:after="0" w:line="465" w:lineRule="auto"/>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of Experts and Counsel Not applicable.</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ind w:left="880" w:hanging="433"/>
        <w:spacing w:after="0"/>
        <w:tabs>
          <w:tab w:leader="none" w:pos="8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and Other Financial Information</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See Item 18. "Financial Statements" for our audited consolidated financial statements filed as part of this annual report.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24"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Beginning in October 2001, four substantially identical purported class action complaints alleging violations of the federal securities laws were filed in the United States District Court for the Southern District of New York naming the Company, certain of its current and former officers and directors, and the underwriters of the Company's initial public offering (Merrill Lynch, Pierce, Fenner &amp; Smith, Inc., Deutsche Bank Securities, Inc., Chase Securities, Inc., Salomon Smith Barney, Inc. and UBS Warburg LLC) as defendants. These complaints were subsequently consolidated into a single action. In general, the complaints allege, among other things, that (i) the Company's initial public offering violated the securities laws because the financial statements accompanying the offering's registration statement misstated the Company's revenue; and (ii) the Company committed securities fraud by materially misstating the Company's revenue in its 2000 financial statements.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29, 2002, the parties to the above-referenced litigation entered into a Memorandum of Understanding for the settlement of this litigation. Subsequently, the plaintiffs in this litigation conducted confirmatory discovery to determine if the settlement is fair, reasonable and adequate. The discovery has been completed, and on January 31, 2003, the parties entered into a Stipulation and Agreement of Settlement. The court preliminarily approved this settlement on February 25, 2003, and all persons who purchased the Company's American Depositary Shares during the period from July 3, 2000 to August 31, 2001 were certified as a single class. Subsequently, notice was sent to the class, and the court held a hearing where it gave its final approval to the settlement. The aggregate settlement amount for all claims in this litigation is US$4.35 million. Potential members of the class no longer have the right to opt out of this settlement and pursue their own claims.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never declared or paid any cash dividends on our ordinary shares, but it is possible that we may declare dividends in the future. We have historically retained earnings to finance operations and the expansion of our business. Any future determination to pay cash dividends will be at the discretion of the board of directors and will be dependent upon our financial condition, operating results, capital requirements and such other factors as the board of directors deems relevant.</w:t>
      </w:r>
    </w:p>
    <w:p>
      <w:pPr>
        <w:spacing w:after="0" w:line="169" w:lineRule="exact"/>
        <w:rPr>
          <w:sz w:val="20"/>
          <w:szCs w:val="20"/>
          <w:color w:val="auto"/>
        </w:rPr>
      </w:pPr>
    </w:p>
    <w:p>
      <w:pPr>
        <w:ind w:left="880" w:hanging="433"/>
        <w:spacing w:after="0"/>
        <w:tabs>
          <w:tab w:leader="none" w:pos="8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We have not experienced any significant changes since the date of our audited consolidated financial statements included in this annual report.</w:t>
      </w:r>
    </w:p>
    <w:p>
      <w:pPr>
        <w:spacing w:after="0" w:line="15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The Offer and Listing</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 except for Item 9.A.4. and Item 9.C.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American Depositary Shares, or ADSs, each representing 100 of our ordinary shares, have been listed on the Nasdaq National Market since June 30, 2000. Our ADSs trade under the symbol "NTES." Trading in our ADSs was suspended by the Nasdaq National Market from September 4, 2001 until January 2, 2002 during Nasdaq's investigation into the circumstances which necessitated the restatement of our 2000 financial statements.</w:t>
      </w:r>
    </w:p>
    <w:p>
      <w:pPr>
        <w:spacing w:after="0" w:line="175"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For the year ended December 31, 2000 (June 30, 2000 through December 31, 2000), the high and low price of our ADSs on Nasdaq has ranged from $17.25 to $2.75. For the year ended December 31, 2001 (January 1, 2001 through September 4, 2001), the high and low price of our ADSs on Nasdaq has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17" w:right="1440" w:bottom="1440" w:gutter="0" w:footer="0" w:header="0"/>
        </w:sectPr>
      </w:pPr>
    </w:p>
    <w:bookmarkStart w:id="83" w:name="page84"/>
    <w:bookmarkEnd w:id="83"/>
    <w:p>
      <w:pPr>
        <w:ind w:right="3499"/>
        <w:spacing w:after="0" w:line="234" w:lineRule="auto"/>
        <w:rPr>
          <w:sz w:val="20"/>
          <w:szCs w:val="20"/>
          <w:color w:val="auto"/>
        </w:rPr>
      </w:pPr>
      <w:r>
        <w:rPr>
          <w:rFonts w:ascii="Courier New" w:cs="Courier New" w:eastAsia="Courier New" w:hAnsi="Courier New"/>
          <w:sz w:val="15"/>
          <w:szCs w:val="15"/>
          <w:color w:val="auto"/>
        </w:rPr>
        <w:t>ranged from $3.28125 to $0.51. For the year ended December 31, 2002, the high and low price of our ADSs on Nasdaq has ranged from $13.74 to $0.65.</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following table provides the high and low prices for our ADSs on the Nasdaq National Market for (1) each quarter in the two most recent financial years and the most recent quarter and (2) each of the most recent six months.</w:t>
      </w:r>
    </w:p>
    <w:p>
      <w:pPr>
        <w:spacing w:after="0" w:line="200" w:lineRule="exact"/>
        <w:rPr>
          <w:sz w:val="20"/>
          <w:szCs w:val="20"/>
          <w:color w:val="auto"/>
        </w:rPr>
      </w:pPr>
    </w:p>
    <w:p>
      <w:pPr>
        <w:spacing w:after="0" w:line="29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Sales Price</w:t>
            </w:r>
          </w:p>
        </w:tc>
      </w:tr>
      <w:tr>
        <w:trPr>
          <w:trHeight w:val="168"/>
        </w:trPr>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High</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Quarterly highs and lows</w:t>
            </w:r>
          </w:p>
        </w:tc>
        <w:tc>
          <w:tcPr>
            <w:tcW w:w="1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First Quarter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$ 3.28125</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$ 1.00</w:t>
            </w:r>
          </w:p>
        </w:tc>
      </w:tr>
      <w:tr>
        <w:trPr>
          <w:trHeight w:val="168"/>
        </w:trPr>
        <w:tc>
          <w:tcPr>
            <w:tcW w:w="2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Second Quarter 2001</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$ 2.45</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$ 1.12</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Third Quarter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(until</w:t>
            </w: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$ 1.55</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$ 0.51</w:t>
            </w:r>
          </w:p>
        </w:tc>
      </w:tr>
      <w:tr>
        <w:trPr>
          <w:trHeight w:val="168"/>
        </w:trPr>
        <w:tc>
          <w:tcPr>
            <w:tcW w:w="2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September 4, 2001)</w:t>
            </w: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36"/>
        </w:trPr>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Fourth Quarter 2001</w:t>
            </w:r>
          </w:p>
        </w:tc>
        <w:tc>
          <w:tcPr>
            <w:tcW w:w="1180" w:type="dxa"/>
            <w:vAlign w:val="bottom"/>
          </w:tcPr>
          <w:p>
            <w:pPr>
              <w:spacing w:after="0"/>
              <w:rPr>
                <w:sz w:val="24"/>
                <w:szCs w:val="24"/>
                <w:color w:val="auto"/>
              </w:rPr>
            </w:pPr>
          </w:p>
        </w:tc>
        <w:tc>
          <w:tcPr>
            <w:tcW w:w="4060" w:type="dxa"/>
            <w:vAlign w:val="bottom"/>
            <w:gridSpan w:val="2"/>
          </w:tcPr>
          <w:p>
            <w:pPr>
              <w:jc w:val="right"/>
              <w:ind w:right="1047"/>
              <w:spacing w:after="0"/>
              <w:rPr>
                <w:sz w:val="20"/>
                <w:szCs w:val="20"/>
                <w:color w:val="auto"/>
              </w:rPr>
            </w:pPr>
            <w:r>
              <w:rPr>
                <w:rFonts w:ascii="Courier New" w:cs="Courier New" w:eastAsia="Courier New" w:hAnsi="Courier New"/>
                <w:sz w:val="15"/>
                <w:szCs w:val="15"/>
                <w:color w:val="auto"/>
              </w:rPr>
              <w:t>Trading Suspended</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First Quarter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$ 1.47</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$ 0.65</w:t>
            </w:r>
          </w:p>
        </w:tc>
      </w:tr>
      <w:tr>
        <w:trPr>
          <w:trHeight w:val="168"/>
        </w:trPr>
        <w:tc>
          <w:tcPr>
            <w:tcW w:w="2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Second Quarter 2002</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$ 1.57</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$ 0.67</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Third Quarter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$ 3.65</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$ 1.40</w:t>
            </w:r>
          </w:p>
        </w:tc>
      </w:tr>
      <w:tr>
        <w:trPr>
          <w:trHeight w:val="168"/>
        </w:trPr>
        <w:tc>
          <w:tcPr>
            <w:tcW w:w="20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Fourth Quarter 2002</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$13.74</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$ 1.80</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First Quarter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2003</w:t>
            </w: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$17.90</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$10.11</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Monthly highs and</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lows</w:t>
            </w: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December 2002</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$13.74</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$ 7.65</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January 2003</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$17.90</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$11.40</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February 2003</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$15.83</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$11.41</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March 2003</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$17.72</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$10.11</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April 2003</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$23.40</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$14.34</w:t>
            </w:r>
          </w:p>
        </w:tc>
      </w:tr>
      <w:tr>
        <w:trPr>
          <w:trHeight w:val="168"/>
        </w:trPr>
        <w:tc>
          <w:tcPr>
            <w:tcW w:w="1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May 2003</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$33.80</w:t>
            </w:r>
          </w:p>
        </w:tc>
        <w:tc>
          <w:tcPr>
            <w:tcW w:w="2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$21.00</w:t>
            </w:r>
          </w:p>
        </w:tc>
      </w:tr>
    </w:tbl>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ind w:left="880" w:right="8039" w:hanging="433"/>
        <w:spacing w:after="0" w:line="509" w:lineRule="auto"/>
        <w:tabs>
          <w:tab w:leader="none" w:pos="8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Capital Not applicable.</w:t>
      </w:r>
    </w:p>
    <w:p>
      <w:pPr>
        <w:ind w:left="880" w:hanging="433"/>
        <w:spacing w:after="0"/>
        <w:tabs>
          <w:tab w:leader="none" w:pos="8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Memorandum and Articles of Association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presents a description of the terms and provisions of our restated memorandum and articles of association. Our articles of association were amended pursuant to a special resolution passed by more than two-thirds of our shareholders on June 5, 2003 to remove the provisions related to the composition, duties and operations of the audit committee of our board of directors (articles numbered 114 to 117 (inclusive)). Our audit committee is now governed by a board-approved charter which is not part of our articles of association. Our restated memorandum and articles of association are incorporated by reference as noted in Item 19 and the above-referenced amendment is attached to this annual report as Exhibit 1.3.</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4" w:right="1440" w:bottom="1440" w:gutter="0" w:footer="0" w:header="0"/>
        </w:sectPr>
      </w:pPr>
    </w:p>
    <w:bookmarkStart w:id="84" w:name="page85"/>
    <w:bookmarkEnd w:id="84"/>
    <w:p>
      <w:pPr>
        <w:ind w:left="44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were incorporated in the Cayman Islands on July 6, 1999 and operate under the Cayman Islands Companies Law (2003 Revision), or the Companies Law. Our corporate objectives and purpose are unrestricted.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There are no membership qualifications for directors. Further, there are no share ownership qualifications for directors unless so fixed by us in a general meeting.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Rights, Preferences and Restrictions of Ordinary Shares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General. All of our outstanding ordinary shares are fully paid and nonassessable. Certificates representing the ordinary shares are issued in registered form. Our shareholders who are nonresidents of the Cayman Islands may freely hold and vote their shares.</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Dividends. The holders of ordinary shares are entitled to such dividends as may be declared by our board of directors.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Voting Rights. Each ordinary share is entitled to one vote on all matters upon which the ordinary shares are entitled to vote, including the election of directors. Voting at any meeting of shareholders is by show of hands unless a poll is demanded. A poll may be demanded by the Chairman or any other shareholder present in person or by proxy. A quorum required for a meeting of shareholders consists of at least two shareholders present or by proxy.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ordinary resolution to be made by the shareholders requires the affirmative vote of a simple majority of the votes attaching to the ordinary shares cast in a general meeting, while a special resolution requires the affirmative vote of no less than two-thirds of the votes cast attaching to the ordinary shares. A special resolution is required for matters such as a change of name. Holders of the ordinary shares may by ordinary resolution, among other things, elect directors, appoint auditors, and make changes in the amount of our authorized share capital.</w:t>
      </w:r>
    </w:p>
    <w:p>
      <w:pPr>
        <w:spacing w:after="0" w:line="17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Liquidation. On a return of capital on winding up or otherwise (other than on conversion, redemption or purchase of shares) assets available for distribution among the holders of ordinary shares shall be distributed among the holders of the ordinary shares pro rata. If the assets available for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17" w:right="1440" w:bottom="1440" w:gutter="0" w:footer="0" w:header="0"/>
        </w:sectPr>
      </w:pPr>
    </w:p>
    <w:bookmarkStart w:id="85" w:name="page86"/>
    <w:bookmarkEnd w:id="85"/>
    <w:p>
      <w:pPr>
        <w:ind w:right="3499"/>
        <w:spacing w:after="0" w:line="235" w:lineRule="auto"/>
        <w:rPr>
          <w:sz w:val="20"/>
          <w:szCs w:val="20"/>
          <w:color w:val="auto"/>
        </w:rPr>
      </w:pPr>
      <w:r>
        <w:rPr>
          <w:rFonts w:ascii="Courier New" w:cs="Courier New" w:eastAsia="Courier New" w:hAnsi="Courier New"/>
          <w:sz w:val="15"/>
          <w:szCs w:val="15"/>
          <w:color w:val="auto"/>
        </w:rPr>
        <w:t>distribution are insufficient to repay all of the paid-up capital, the assets will be distributed so that the losses are borne by our shareholders proportionately.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Redemption of Shares. We may issue shares on the terms that they are, or at our option or at the option of the holders are, subject to redemption on such terms and in such manner as we may determine by special resolution.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Variations of Rights of Shares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or any of the special rights attached to any class of shares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Meetings of Shareholders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directors may whenever they think fit, and they shall on the requisition of our shareholders holding at the date of the deposit of the requisition not less than one-tenth of our paid-up capital as at the date of the deposit carries the right of voting at general meetings of the Company, proceed to convene a general meeting of the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Limitations on the Right to Own Shares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There are no limitations on the right to own our shares.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Limitations on Transfer of Shares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Disclosure of Shareholder Ownership</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There are no provisions our restated memorandum or articles of association governing the ownership threshold above which shareholder ownership must be disclosed.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Changes in Capital</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We may from time to time by ordinary resolution increase the share capital by such sum, to be divided into shares of such amount, as the resolution shall prescribe. The new shares shall be subject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24" w:right="1440" w:bottom="1440" w:gutter="0" w:footer="0" w:header="0"/>
        </w:sectPr>
      </w:pPr>
    </w:p>
    <w:bookmarkStart w:id="86" w:name="page87"/>
    <w:bookmarkEnd w:id="86"/>
    <w:p>
      <w:pPr>
        <w:jc w:val="both"/>
        <w:ind w:right="3679"/>
        <w:spacing w:after="0" w:line="235" w:lineRule="auto"/>
        <w:rPr>
          <w:sz w:val="20"/>
          <w:szCs w:val="20"/>
          <w:color w:val="auto"/>
        </w:rPr>
      </w:pPr>
      <w:r>
        <w:rPr>
          <w:rFonts w:ascii="Courier New" w:cs="Courier New" w:eastAsia="Courier New" w:hAnsi="Courier New"/>
          <w:sz w:val="15"/>
          <w:szCs w:val="15"/>
          <w:color w:val="auto"/>
        </w:rPr>
        <w:t>the same provisions with reference to the payment of calls, lien, transfer, transmission, forfeiture and otherwise as the shares in the original share capital. We may by ordinary resolution:</w:t>
      </w:r>
    </w:p>
    <w:p>
      <w:pPr>
        <w:spacing w:after="0" w:line="174" w:lineRule="exact"/>
        <w:rPr>
          <w:sz w:val="20"/>
          <w:szCs w:val="20"/>
          <w:color w:val="auto"/>
        </w:rPr>
      </w:pPr>
    </w:p>
    <w:p>
      <w:pPr>
        <w:ind w:left="880" w:right="3319" w:hanging="433"/>
        <w:spacing w:after="0" w:line="234" w:lineRule="auto"/>
        <w:tabs>
          <w:tab w:leader="none" w:pos="8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 and divide all or any of our share capital into shares of larger amount than our existing shares;</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sub-divide our existing shares, or any of them into shares of smaller amount than is fixed by our restated memorandum of association, subject nevertheless to the provisions of Section 12 of the Companies Law;</w:t>
      </w:r>
    </w:p>
    <w:p>
      <w:pPr>
        <w:spacing w:after="0" w:line="175"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 any shares which, at the date of the passing of the resolution, have not been taken or agreed to be taken by any person.</w:t>
      </w:r>
    </w:p>
    <w:p>
      <w:pPr>
        <w:spacing w:after="0" w:line="160"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We may by special resolution reduce our share capital and any capital redemption reserve fund in any manner authorized by law.</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Differences in Corporate Law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Companies Law is modeled after that of the United Kingdom but does not follow recent United Kingdom statutory enactments and differs from laws applicable to United States corporations and their shareholders. Set forth below is a summary of the significant differences between the provisions of the Companies Law applicable to NetEase.com and the laws applicable to companies incorporated in the United States and their shareholders.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Mergers and Similar Arrangements. Cayman Islands law does not provide for mergers as that expression is understood under United States corporate law. However,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64" w:lineRule="exact"/>
        <w:rPr>
          <w:sz w:val="20"/>
          <w:szCs w:val="20"/>
          <w:color w:val="auto"/>
        </w:rPr>
      </w:pPr>
    </w:p>
    <w:p>
      <w:pPr>
        <w:ind w:left="880" w:hanging="433"/>
        <w:spacing w:after="0"/>
        <w:tabs>
          <w:tab w:leader="none" w:pos="8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statutory provisions as to majority vote have been complied with;</w:t>
      </w:r>
    </w:p>
    <w:p>
      <w:pPr>
        <w:spacing w:after="0" w:line="178" w:lineRule="exact"/>
        <w:rPr>
          <w:sz w:val="20"/>
          <w:szCs w:val="20"/>
          <w:color w:val="auto"/>
        </w:rPr>
      </w:pPr>
    </w:p>
    <w:p>
      <w:pPr>
        <w:ind w:left="880" w:right="3839" w:hanging="433"/>
        <w:spacing w:after="0" w:line="234" w:lineRule="auto"/>
        <w:tabs>
          <w:tab w:leader="none" w:pos="8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have been fairly represented at the meeting in question;</w:t>
      </w:r>
    </w:p>
    <w:p>
      <w:pPr>
        <w:spacing w:after="0" w:line="173" w:lineRule="exact"/>
        <w:rPr>
          <w:sz w:val="20"/>
          <w:szCs w:val="20"/>
          <w:color w:val="auto"/>
        </w:rPr>
      </w:pPr>
    </w:p>
    <w:p>
      <w:pPr>
        <w:ind w:left="880" w:hanging="433"/>
        <w:spacing w:after="0"/>
        <w:tabs>
          <w:tab w:leader="none" w:pos="8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arrangement is such as a businessman would reasonably approve; and</w:t>
      </w:r>
    </w:p>
    <w:p>
      <w:pPr>
        <w:spacing w:after="0" w:line="178" w:lineRule="exact"/>
        <w:rPr>
          <w:sz w:val="20"/>
          <w:szCs w:val="20"/>
          <w:color w:val="auto"/>
        </w:rPr>
      </w:pPr>
    </w:p>
    <w:p>
      <w:pPr>
        <w:ind w:left="880" w:right="3679" w:hanging="433"/>
        <w:spacing w:after="0" w:line="234" w:lineRule="auto"/>
        <w:tabs>
          <w:tab w:leader="none" w:pos="8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arrangement is not one that would more properly be sanctioned under some other provision of the Companies Law.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a take-over offer is made and accepted by holders of 90% of the shares within four months, the offeror may, within a two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23" w:right="1440" w:bottom="1440" w:gutter="0" w:footer="0" w:header="0"/>
        </w:sectPr>
      </w:pPr>
    </w:p>
    <w:bookmarkStart w:id="87" w:name="page88"/>
    <w:bookmarkEnd w:id="87"/>
    <w:p>
      <w:pPr>
        <w:ind w:right="3319" w:firstLine="787"/>
        <w:spacing w:after="0" w:line="236" w:lineRule="auto"/>
        <w:rPr>
          <w:sz w:val="20"/>
          <w:szCs w:val="20"/>
          <w:color w:val="auto"/>
        </w:rPr>
      </w:pPr>
      <w:r>
        <w:rPr>
          <w:rFonts w:ascii="Courier New" w:cs="Courier New" w:eastAsia="Courier New" w:hAnsi="Courier New"/>
          <w:sz w:val="15"/>
          <w:szCs w:val="15"/>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Shareholders' Suits. Our Cayman Islands counsel is not aware of any reported class action or derivative action having been brought in a Cayman Islands court. In principle, we will normally be the proper plaintiff and a derivative action may not be brought by a minority shareholder. However, based on English authorities, which would in all likelihood be of persuasive authority in the Cayman Islands, exceptions to the foregoing principle apply in circumstances in which:</w:t>
      </w:r>
    </w:p>
    <w:p>
      <w:pPr>
        <w:spacing w:after="0" w:line="176" w:lineRule="exact"/>
        <w:rPr>
          <w:sz w:val="20"/>
          <w:szCs w:val="20"/>
          <w:color w:val="auto"/>
        </w:rPr>
      </w:pPr>
    </w:p>
    <w:p>
      <w:pPr>
        <w:ind w:left="1240" w:hanging="443"/>
        <w:spacing w:after="0"/>
        <w:tabs>
          <w:tab w:leader="none" w:pos="12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company is acting or proposing to act illegally or ultra vires;</w:t>
      </w:r>
    </w:p>
    <w:p>
      <w:pPr>
        <w:spacing w:after="0" w:line="178" w:lineRule="exact"/>
        <w:rPr>
          <w:sz w:val="20"/>
          <w:szCs w:val="20"/>
          <w:color w:val="auto"/>
        </w:rPr>
      </w:pPr>
    </w:p>
    <w:p>
      <w:pPr>
        <w:ind w:left="1240" w:right="3239" w:hanging="443"/>
        <w:spacing w:after="0" w:line="261" w:lineRule="auto"/>
        <w:tabs>
          <w:tab w:leader="none" w:pos="12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 complained of, although not ultra vires, could be effected only if authorized by more than a simple majority vote;</w:t>
      </w:r>
    </w:p>
    <w:p>
      <w:pPr>
        <w:spacing w:after="0" w:line="160" w:lineRule="exact"/>
        <w:rPr>
          <w:sz w:val="20"/>
          <w:szCs w:val="20"/>
          <w:color w:val="auto"/>
        </w:rPr>
      </w:pPr>
    </w:p>
    <w:p>
      <w:pPr>
        <w:ind w:left="1240" w:right="3759" w:hanging="443"/>
        <w:spacing w:after="0" w:line="234" w:lineRule="auto"/>
        <w:tabs>
          <w:tab w:leader="none" w:pos="12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rights of the plaintiff shareholder have been infringed or are about to be infringed; or</w:t>
      </w:r>
    </w:p>
    <w:p>
      <w:pPr>
        <w:spacing w:after="0" w:line="173" w:lineRule="exact"/>
        <w:rPr>
          <w:sz w:val="20"/>
          <w:szCs w:val="20"/>
          <w:color w:val="auto"/>
        </w:rPr>
      </w:pPr>
    </w:p>
    <w:p>
      <w:pPr>
        <w:ind w:left="1240" w:right="3579" w:hanging="443"/>
        <w:spacing w:after="0" w:line="234" w:lineRule="auto"/>
        <w:tabs>
          <w:tab w:leader="none" w:pos="12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who control the company are perpetrating a "fraud on the minority."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Indemnification. Cayman Islands law does not (other than as set forth hereafter) limit the extent to which a company's organizational documents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Insofar as indemnification or liability arising under the Securities Act of 1933 may be permitted to directors, officers or persons controlling the registrant pursuant to the foregoing provisions, we have been informed that in the opinion of the Securities and Exchange Commission such indemnification is against public policy as expressed in the Securities Act of 1933 and is therefore unenforceable.</w:t>
      </w:r>
    </w:p>
    <w:p>
      <w:pPr>
        <w:spacing w:after="0" w:line="168" w:lineRule="exact"/>
        <w:rPr>
          <w:sz w:val="20"/>
          <w:szCs w:val="20"/>
          <w:color w:val="auto"/>
        </w:rPr>
      </w:pPr>
    </w:p>
    <w:p>
      <w:pPr>
        <w:ind w:left="1240" w:hanging="443"/>
        <w:spacing w:after="0"/>
        <w:tabs>
          <w:tab w:leader="none" w:pos="12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3"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We have not entered into any material contracts other than in the ordinary course of business and other than those described in Item 4. "Information on the Company" or elsewhere in this Form 20-F.</w:t>
      </w:r>
    </w:p>
    <w:p>
      <w:pPr>
        <w:spacing w:after="0" w:line="167" w:lineRule="exact"/>
        <w:rPr>
          <w:sz w:val="20"/>
          <w:szCs w:val="20"/>
          <w:color w:val="auto"/>
        </w:rPr>
      </w:pPr>
    </w:p>
    <w:p>
      <w:pPr>
        <w:ind w:left="1240" w:hanging="443"/>
        <w:spacing w:after="0"/>
        <w:tabs>
          <w:tab w:leader="none" w:pos="12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Controls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China's government imposes control over the convertibility of Renminbi into foreign currencies. Under the current unified floating exchange rate system, the People's Bank of China publishes a daily exchange rate for Renminbi, or the PBOC Exchange Rate, based on the previous day's dealings in the inter-bank foreign exchange market. Financial institutions authorized to deal in foreign currency may enter into foreign exchange transactions at exchange rates within an authorized range above or below the PBOC Exchange Rate according to market conditions.</w:t>
      </w:r>
    </w:p>
    <w:p>
      <w:pPr>
        <w:spacing w:after="0" w:line="177"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Pursuant to the Foreign Exchange Control Regulations issued by the State Council on January 29, 1996 and effective as of April 1, 1996 (and amended on January 14, 1997) and the Administration of Settlement, Sale and Payment of Foreign Exchange Regulations which came into effect on July 1, 1996</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88" w:name="page89"/>
    <w:bookmarkEnd w:id="88"/>
    <w:p>
      <w:pPr>
        <w:ind w:right="3239"/>
        <w:spacing w:after="0" w:line="237" w:lineRule="auto"/>
        <w:rPr>
          <w:sz w:val="20"/>
          <w:szCs w:val="20"/>
          <w:color w:val="auto"/>
        </w:rPr>
      </w:pPr>
      <w:r>
        <w:rPr>
          <w:rFonts w:ascii="Courier New" w:cs="Courier New" w:eastAsia="Courier New" w:hAnsi="Courier New"/>
          <w:sz w:val="15"/>
          <w:szCs w:val="15"/>
          <w:color w:val="auto"/>
        </w:rPr>
        <w:t>regarding foreign exchange control, or the Regulations, conversion of Renminbi into foreign exchange by foreign investment enterprises for current account items, including the distribution of dividends and profits to foreign investors of joint ventures, is permissible. Foreign investment enterprises are permitted to remit foreign exchange from their foreign exchange bank account in China on the basis of, inter alia, the terms of the relevant joint venture contracts and the board resolutions declaring the distribution of the dividend and payment of profits. Conversion of Renminbi into foreign currencies and remittance of foreign currencies for capital account items, including direct investment, loans, security investment, is still subject to the approval of the State Administration of Foreign Exchange, or SAFE, in each such transaction. On January 14, 1997, the State Council amended the Foreign Exchange Control Regulations and added, among other things, an important provision, as Article 5 provides that the State shall not impose restrictions on recurring international payments and transfers.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Under the Regulations, foreign investment enterprises are required to open and maintain separate foreign exchange accounts for capital account items (but not for other items). In addition, foreign investment enterprises may only buy, sell and/or remit foreign currencies at those banks authorized to conduct foreign exchange business upon the production of valid commercial documents and, in the case of capital account item transactions, document approval from SAFE.</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Currently, foreign investment enterprises are required to apply to SAFE for "foreign exchange registration certificates for foreign investment enterprises." With such foreign exchange registration certificates (which are granted to foreign investment enterprises, upon fulfilling specified conditions and which are subject to review and renewal by SAFE on an annual basis) or with the foreign exchange sales notices from the SAFE (which are obtained on a transaction-by-transaction basis), foreign-invested enterprises may enter into foreign exchange transactions at banks authorized to conduct foreign exchange business to obtain foreign exchange for their needs.</w:t>
      </w:r>
    </w:p>
    <w:p>
      <w:pPr>
        <w:spacing w:after="0" w:line="172" w:lineRule="exact"/>
        <w:rPr>
          <w:sz w:val="20"/>
          <w:szCs w:val="20"/>
          <w:color w:val="auto"/>
        </w:rPr>
      </w:pPr>
    </w:p>
    <w:p>
      <w:pPr>
        <w:ind w:left="1240" w:hanging="443"/>
        <w:spacing w:after="0"/>
        <w:tabs>
          <w:tab w:leader="none" w:pos="12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following summary of the material Cayman Islands and United States federal income tax consequences relevant to the purchase, ownership or sale of our ADSs is based upon laws and relevant interpretations thereof in effect as of the date of this annual report, all of which are subject to change. This summary does not deal with all possible tax consequences relating to the purchase, ownership or sale of our ADSs, such as the tax consequences under state, local and other tax laws. To the extent that the discussion relates to matters of Cayman Islands tax law, it represents the opinion of Maples and Calder Asia, special Cayman Islands counsel to us. To the extent the discussion relates to matters of United States law or legal conclusions and subject to the qualifications herein, it represents the opinion of Morrison &amp; Foerster LLP, our special U.S.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Cayman Islands Taxation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There are no exchange control regulations or currency restrictions in the Cayman Islands.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Federal Income Taxation</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following discussion is a summary of the material United States federal income tax considerations that may be relevant to the purchase, ownership or sale of our shares or ADSs (collectively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4" w:right="1440" w:bottom="1440" w:gutter="0" w:footer="0" w:header="0"/>
        </w:sectPr>
      </w:pPr>
    </w:p>
    <w:bookmarkStart w:id="89" w:name="page90"/>
    <w:bookmarkEnd w:id="89"/>
    <w:p>
      <w:pPr>
        <w:ind w:right="3319"/>
        <w:spacing w:after="0" w:line="236" w:lineRule="auto"/>
        <w:rPr>
          <w:sz w:val="20"/>
          <w:szCs w:val="20"/>
          <w:color w:val="auto"/>
        </w:rPr>
      </w:pPr>
      <w:r>
        <w:rPr>
          <w:rFonts w:ascii="Courier New" w:cs="Courier New" w:eastAsia="Courier New" w:hAnsi="Courier New"/>
          <w:sz w:val="15"/>
          <w:szCs w:val="15"/>
          <w:color w:val="auto"/>
        </w:rPr>
        <w:t>referred to in this section as the "shares"). This discussion is based on the Internal Revenue Code of 1986, as amended, or the Code, U.S. Treasury regulations promulgated under the Code and published administrative rulings and pronouncements and judicial decisions, all as of the date hereof. We cannot assure you that future legislation, administrative rulings or court decisions will not modify the conclusions set forth in this summary, possibly with retroactive effect. Except as specifically set forth herein, this discussion deals only with investors that hold our shares as capital assets within the meaning of Section 1221 of the Code and that have the U.S. dollar as their functional currency, and does not address tax considerations applicable to holders that may be subject to special tax rules, such as:</w:t>
      </w:r>
    </w:p>
    <w:p>
      <w:pPr>
        <w:spacing w:after="0" w:line="174" w:lineRule="exact"/>
        <w:rPr>
          <w:sz w:val="20"/>
          <w:szCs w:val="20"/>
          <w:color w:val="auto"/>
        </w:rPr>
      </w:pPr>
    </w:p>
    <w:p>
      <w:pPr>
        <w:ind w:left="1240" w:hanging="443"/>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and financial institutions;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companies;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dealers;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traders that elect to mark to market;</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tax-exempt entities;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liable for alternative minimum tax;</w:t>
      </w:r>
    </w:p>
    <w:p>
      <w:pPr>
        <w:spacing w:after="0" w:line="173" w:lineRule="exact"/>
        <w:rPr>
          <w:sz w:val="20"/>
          <w:szCs w:val="20"/>
          <w:color w:val="auto"/>
        </w:rPr>
      </w:pPr>
    </w:p>
    <w:p>
      <w:pPr>
        <w:ind w:left="1240" w:right="3839" w:hanging="443"/>
        <w:spacing w:after="0" w:line="261" w:lineRule="auto"/>
        <w:tabs>
          <w:tab w:leader="none" w:pos="12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holding a share as part of a straddle, hedging, conversion, constructive sale or integrated transaction; or</w:t>
      </w:r>
    </w:p>
    <w:p>
      <w:pPr>
        <w:spacing w:after="0" w:line="160" w:lineRule="exact"/>
        <w:rPr>
          <w:sz w:val="20"/>
          <w:szCs w:val="20"/>
          <w:color w:val="auto"/>
        </w:rPr>
      </w:pPr>
    </w:p>
    <w:p>
      <w:pPr>
        <w:ind w:left="1240" w:right="3579" w:hanging="443"/>
        <w:spacing w:after="0" w:line="234" w:lineRule="auto"/>
        <w:tabs>
          <w:tab w:leader="none" w:pos="12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that actually or constructively own 10% or more of our voting stock.</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This discussion is of a general nature only and beneficial owners of the shares are urged to consult their tax advisors about the United States federal, state, local and foreign tax consequences to them of the purchase, ownership and sale of the shares.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discussion below of the United States federal income tax consequences to "U.S. Holders" will apply if you are the beneficial owner of the shares and you are:</w:t>
      </w:r>
    </w:p>
    <w:p>
      <w:pPr>
        <w:spacing w:after="0" w:line="167" w:lineRule="exact"/>
        <w:rPr>
          <w:sz w:val="20"/>
          <w:szCs w:val="20"/>
          <w:color w:val="auto"/>
        </w:rPr>
      </w:pPr>
    </w:p>
    <w:p>
      <w:pPr>
        <w:ind w:left="1240" w:hanging="443"/>
        <w:spacing w:after="0"/>
        <w:tabs>
          <w:tab w:leader="none" w:pos="124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3" w:lineRule="exact"/>
        <w:rPr>
          <w:sz w:val="20"/>
          <w:szCs w:val="20"/>
          <w:color w:val="auto"/>
        </w:rPr>
      </w:pPr>
    </w:p>
    <w:p>
      <w:pPr>
        <w:ind w:left="1240" w:right="3759" w:hanging="443"/>
        <w:spacing w:after="0" w:line="234" w:lineRule="auto"/>
        <w:tabs>
          <w:tab w:leader="none" w:pos="124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or partnership organized under the laws of the United States, any State or the District of Columbia;</w:t>
      </w:r>
    </w:p>
    <w:p>
      <w:pPr>
        <w:spacing w:after="0" w:line="173" w:lineRule="exact"/>
        <w:rPr>
          <w:sz w:val="20"/>
          <w:szCs w:val="20"/>
          <w:color w:val="auto"/>
        </w:rPr>
      </w:pPr>
    </w:p>
    <w:p>
      <w:pPr>
        <w:ind w:left="1240" w:right="3319" w:hanging="443"/>
        <w:spacing w:after="0" w:line="234" w:lineRule="auto"/>
        <w:tabs>
          <w:tab w:leader="none" w:pos="124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whose income is subject to United States federal income taxation regardless of its source;</w:t>
      </w:r>
    </w:p>
    <w:p>
      <w:pPr>
        <w:spacing w:after="0" w:line="173" w:lineRule="exact"/>
        <w:rPr>
          <w:sz w:val="20"/>
          <w:szCs w:val="20"/>
          <w:color w:val="auto"/>
        </w:rPr>
      </w:pPr>
    </w:p>
    <w:p>
      <w:pPr>
        <w:ind w:left="1240" w:right="3399" w:hanging="443"/>
        <w:spacing w:after="0" w:line="235" w:lineRule="auto"/>
        <w:tabs>
          <w:tab w:leader="none" w:pos="12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that is subject to the supervision of a court within the United States and the control of one or more United States persons; or</w:t>
      </w:r>
    </w:p>
    <w:p>
      <w:pPr>
        <w:spacing w:after="0" w:line="174" w:lineRule="exact"/>
        <w:rPr>
          <w:sz w:val="20"/>
          <w:szCs w:val="20"/>
          <w:color w:val="auto"/>
        </w:rPr>
      </w:pPr>
    </w:p>
    <w:p>
      <w:pPr>
        <w:ind w:left="1240" w:right="3319" w:hanging="443"/>
        <w:spacing w:after="0" w:line="261" w:lineRule="auto"/>
        <w:tabs>
          <w:tab w:leader="none" w:pos="124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that has a valid election in effect under applicable U.S. Treasury regulations to be treated as a United States person.</w:t>
      </w:r>
    </w:p>
    <w:p>
      <w:pPr>
        <w:spacing w:after="0" w:line="160"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If you are not described as a U.S. Holder, you will be considered a "Non-U.S. Holder." Non-U.S. Holders should consult the discussion below regarding the United States federal income tax consequences applicable to Non-U.S. Holders.</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3" w:right="1440" w:bottom="1440" w:gutter="0" w:footer="0" w:header="0"/>
        </w:sectPr>
      </w:pPr>
    </w:p>
    <w:bookmarkStart w:id="90" w:name="page91"/>
    <w:bookmarkEnd w:id="90"/>
    <w:p>
      <w:pPr>
        <w:ind w:right="3499" w:firstLine="787"/>
        <w:spacing w:after="0" w:line="234" w:lineRule="auto"/>
        <w:rPr>
          <w:sz w:val="20"/>
          <w:szCs w:val="20"/>
          <w:color w:val="auto"/>
        </w:rPr>
      </w:pPr>
      <w:r>
        <w:rPr>
          <w:rFonts w:ascii="Courier New" w:cs="Courier New" w:eastAsia="Courier New" w:hAnsi="Courier New"/>
          <w:sz w:val="15"/>
          <w:szCs w:val="15"/>
          <w:color w:val="auto"/>
        </w:rPr>
        <w:t>The Cayman Islands, where we are incorporated, is not a party to any double tax treaty with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Holders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Taxation of Dividends and Other Distributions on the Shares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Subject to the passive foreign investment company rules discussed below, which may apply to you, all our distributions to you with respect to the shares, other than certain pro rata distributions of the shares, will be includible in your gross income as ordinary dividend income when you receive the distribution, but only to the extent that the distribution is paid out of our current or accumulated earnings and profits. For this purpose, earnings and profits will be computed under United States federal income tax principles. The dividends will not be eligible for the dividends-received deduction allowed to corporations. To the extent that the amount of the distribution exceeds our current and accumulated earnings and profits, it will be treated first as a tax-free return of your tax basis in the shares, and to the extent the amount of the distribution exceeds your tax basis, the excess will be taxed as capital gain.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Dividends paid in Renminbi will be included in your income as a U.S. dollar amount based on the exchange rate in effect on the date that you receive the dividend, regardless of whether the payment is in fact converted into U.S. dollars. If you do not receive U.S. dollars on the date the dividend is distributed, you will be required to include either gain or loss in income when you later exchange the Renminbi for U.S. dollars. The gain or loss will be equal to the difference between the U.S. dollar value of the amount that you include in income when you receive the dividend and the amount that you receive when you actually exchange the Renminbi for U.S. dollars. The gain or loss generally will be ordinary income or loss from United States sources. If we distribute to you non-cash property, you will include in income an amount equal to the U.S. dollar equivalent of the fair market value of the property on the date that it is distributed.</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Dividends will constitute foreign source income for foreign tax credit limitation purposes. The limitation on foreign taxes eligible for credit is calculated separately with respect to specific classes of income. For this purpose, dividends distributed by us with respect to the shares will be "passive income" or, in the case of certain U.S. Holders, "financial services income." Special rules apply to individuals whose foreign source income during the taxable year consists entirely of "qualified passive income" and whose creditable foreign taxes paid or accrued during the taxable year do not exceed $300 ($600 in the case of a joint return). Further, in particular circumstances, a U.S. Holder that (i) has held the shares for less than a specified minimum period during which it is not protected from risk of loss, (ii) is obligated to make payments related to the dividends, or (iii) holds the shares in arrangements in which the U.S. Holder's expected economic profit, after non-U.S. taxes, is insubstantial will not be allowed a foreign tax credit for foreign taxes imposed on dividends paid on the shares.</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You will not be eligible for a foreign tax credit against your U.S. federal income tax liability for taxes paid by us that are deemed under Chinese law to have been paid by our shareholders.</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Distributions to you of shares or rights to subscribe for shares that are received as part of a pro rata distribution to all our shareholders should not be subject to United States federal income tax. The basis of your new shares or rights so received will be determined by allocating your basis in the old shares between the old shares and the new shares or rights received, based on their relative fair market values on the date of distribution. However, the basis of the new shares or rights will be zero if (i) the fair market value of the new shares or rights is less than 15% of the fair market value of the old shares at the time of distribution and (ii) the U.S. Holder does not make an election to determine the basis of the new shares by allocation as described above. Your holding period in the new shares or rights will generally include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4"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holding period of the old shares on which the distribution was made.</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For U.S. federal income tax purposes, the holders of our ADSs will be treated as the beneficial owners of the ordinary shares represented by those ADSs.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Taxation of Disposition of Shares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Subject to the passive foreign investment company rules discussed below, which may apply to you, you will recognize taxable gain or loss on any sale or exchange of a share equal to the difference between the amount realized (in U.S. dollars) for the share and your tax basis (in U.S. dollars) in the share. The gain or loss will be capital gain or loss. If you are an individual who has held the share for more than one year, you will be eligible for reduced rates of taxation (generally 15%). You may deduct any loss resulting from the sale or exchange of a share only against other capital gains. If you are an individual, up to US$3,000 of capital loss in excess of your capital gains may be deducted against ordinary income. Excess losses may be carried forward. Any gain or loss that you recognize will generally be treated as United States source income or loss, except that losses will be treated as foreign source losses to the extent you received dividends that were includible in the financial services income basket during the 24-month period prior to the sale.</w:t>
      </w:r>
    </w:p>
    <w:p>
      <w:pPr>
        <w:spacing w:after="0" w:line="15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Passive Foreign Investment Company</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believe we were a passive foreign investment company for United States federal income tax purposes for the taxable years ended on December 31st of 2000, 2001 and 2002, and we cannot be certain whether we will be treated as a passive foreign investment company for the taxable year ending on December 31st of 2003. U.S. Holders who owned shares during any taxable years during which we were a passive foreign investment company generally will be subject to increased U.S. tax liabilities and reporting requirements for those taxable years and all succeeding years, regardless of whether we continue to be a passive foreign investment company for the 2003 taxable year and any subsequent years, although a shareholder election, described below, to terminate such deemed passive foreign investment company status may be made in certain circumstances. The same adverse U.S. tax consequences will apply to U.S. Holders who acquire the shares during the 2003 or any subsequent taxable year if we are treated as a passive foreign investment company for that taxable year. U.S. Holders should consult their own tax advisors regarding our status as a passive foreign investment company, the consequences of an investment in a passive foreign investment company, and the consequences of making a shareholder election to terminate deemed passive foreign investment company status if we no longer meet the income or asset test for passive foreign investment company status in the 2003 taxable year.</w:t>
      </w:r>
    </w:p>
    <w:p>
      <w:pPr>
        <w:spacing w:after="0" w:line="176"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 company is considered a passive foreign investment company for any taxable year if either</w:t>
      </w:r>
    </w:p>
    <w:p>
      <w:pPr>
        <w:spacing w:after="0" w:line="167" w:lineRule="exact"/>
        <w:rPr>
          <w:sz w:val="20"/>
          <w:szCs w:val="20"/>
          <w:color w:val="auto"/>
        </w:rPr>
      </w:pPr>
    </w:p>
    <w:p>
      <w:pPr>
        <w:ind w:left="1240" w:hanging="443"/>
        <w:spacing w:after="0"/>
        <w:tabs>
          <w:tab w:leader="none" w:pos="12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its gross income is passive income, or</w:t>
      </w:r>
    </w:p>
    <w:p>
      <w:pPr>
        <w:spacing w:after="0" w:line="173" w:lineRule="exact"/>
        <w:rPr>
          <w:sz w:val="20"/>
          <w:szCs w:val="20"/>
          <w:color w:val="auto"/>
        </w:rPr>
      </w:pPr>
    </w:p>
    <w:p>
      <w:pPr>
        <w:ind w:left="1240" w:right="3499" w:hanging="443"/>
        <w:spacing w:after="0" w:line="235" w:lineRule="auto"/>
        <w:tabs>
          <w:tab w:leader="none" w:pos="12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50% of the value of its assets (based on an average of the quarterly values of the assets during a taxable year) is attributable to assets that produce or are held for the production of passive income.</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We will be treated as owning our proportionate share of the assets and earning our proportionate share of the income of any other corporation in which we own, directly or indirectly, more than 25% (by value) of the stock.</w:t>
      </w:r>
    </w:p>
    <w:p>
      <w:pPr>
        <w:spacing w:after="0" w:line="174" w:lineRule="exact"/>
        <w:rPr>
          <w:sz w:val="20"/>
          <w:szCs w:val="20"/>
          <w:color w:val="auto"/>
        </w:rPr>
      </w:pPr>
    </w:p>
    <w:p>
      <w:pPr>
        <w:ind w:right="4279" w:firstLine="787"/>
        <w:spacing w:after="0" w:line="261" w:lineRule="auto"/>
        <w:rPr>
          <w:sz w:val="20"/>
          <w:szCs w:val="20"/>
          <w:color w:val="auto"/>
        </w:rPr>
      </w:pPr>
      <w:r>
        <w:rPr>
          <w:rFonts w:ascii="Courier New" w:cs="Courier New" w:eastAsia="Courier New" w:hAnsi="Courier New"/>
          <w:sz w:val="14"/>
          <w:szCs w:val="14"/>
          <w:color w:val="auto"/>
        </w:rPr>
        <w:t>The determination that we were a passive foreign investment company for the 2000, 2001 and 2002 taxable years is based on</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17" w:right="1440" w:bottom="1440" w:gutter="0" w:footer="0" w:header="0"/>
        </w:sectPr>
      </w:pPr>
    </w:p>
    <w:bookmarkStart w:id="92" w:name="page93"/>
    <w:bookmarkEnd w:id="92"/>
    <w:p>
      <w:pPr>
        <w:ind w:right="3239"/>
        <w:spacing w:after="0" w:line="237" w:lineRule="auto"/>
        <w:rPr>
          <w:sz w:val="20"/>
          <w:szCs w:val="20"/>
          <w:color w:val="auto"/>
        </w:rPr>
      </w:pPr>
      <w:r>
        <w:rPr>
          <w:rFonts w:ascii="Courier New" w:cs="Courier New" w:eastAsia="Courier New" w:hAnsi="Courier New"/>
          <w:sz w:val="15"/>
          <w:szCs w:val="15"/>
          <w:color w:val="auto"/>
        </w:rPr>
        <w:t>our valuations of our assets, including goodwill. In calculating goodwill, we have valued our total assets based on our total market value determined using the average of the quarterly selling prices of the shares for the relevant year and have made a number of assumptions regarding the amount of this value allocable to goodwill. We believe our valuation approach is reasonable. However, it is possible that the Internal Revenue Service, or IRS, will challenge the valuation of our goodwill, which may result in it becoming even more likely that we would be classified as a passive foreign investment company for the 2000, 2001, 2002 and 2003 taxable years as well as for subsequent years. In addition, if our actual acquisitions and capital expenditures do not match our projections, the likelihood that we are or will be classified as a passive foreign investment company may also increase.</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We must make a separate determination each year as to whether we are a passive foreign investment company. As a result, our passive foreign investment company status may change.</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we are a passive foreign investment company for any taxable year during which you hold shares, you will be subject to special tax rules with respect to any "excess distribution" that you receive and any gain you realize from a sale or other disposition (including a pledge) of the shares, unless you make a "mark-to-market" election as discussed below. Distributions you receive in a taxable year that are greater than 125% of the average annual distributions you received during the shorter of the three preceding taxable years or your holding period for the shares will be treated as an excess distribution. Under these special tax rules</w:t>
      </w:r>
    </w:p>
    <w:p>
      <w:pPr>
        <w:spacing w:after="0" w:line="178" w:lineRule="exact"/>
        <w:rPr>
          <w:sz w:val="20"/>
          <w:szCs w:val="20"/>
          <w:color w:val="auto"/>
        </w:rPr>
      </w:pPr>
    </w:p>
    <w:p>
      <w:pPr>
        <w:ind w:left="1240" w:right="3579" w:hanging="443"/>
        <w:spacing w:after="0" w:line="234" w:lineRule="auto"/>
        <w:tabs>
          <w:tab w:leader="none" w:pos="12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distribution or gain will be allocated ratably over your holding period for the shares,</w:t>
      </w:r>
    </w:p>
    <w:p>
      <w:pPr>
        <w:spacing w:after="0" w:line="173" w:lineRule="exact"/>
        <w:rPr>
          <w:sz w:val="20"/>
          <w:szCs w:val="20"/>
          <w:color w:val="auto"/>
        </w:rPr>
      </w:pPr>
    </w:p>
    <w:p>
      <w:pPr>
        <w:ind w:left="1240" w:right="3319" w:hanging="443"/>
        <w:spacing w:after="0" w:line="235" w:lineRule="auto"/>
        <w:tabs>
          <w:tab w:leader="none" w:pos="12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allocated to the current taxable year, and any taxable year prior to the first taxable year in which we were a passive foreign investment company, will be treated as ordinary income, and</w:t>
      </w:r>
    </w:p>
    <w:p>
      <w:pPr>
        <w:spacing w:after="0" w:line="175" w:lineRule="exact"/>
        <w:rPr>
          <w:sz w:val="20"/>
          <w:szCs w:val="20"/>
          <w:color w:val="auto"/>
        </w:rPr>
      </w:pPr>
    </w:p>
    <w:p>
      <w:pPr>
        <w:ind w:left="1240" w:right="3319" w:hanging="443"/>
        <w:spacing w:after="0" w:line="256" w:lineRule="auto"/>
        <w:tabs>
          <w:tab w:leader="none" w:pos="12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allocated to each other year will be subject to tax at the highest tax rate in effect for that year and the interest charge generally applicable to underpayments of tax will be imposed on the resulting tax attributable to each such year.</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tax liability for amounts allocated to years prior to the year of disposition or "excess distribution" cannot be offset by any net operating losses, and gains (but not losses) realized on the sale of the shares cannot be treated as capital, even if you hold the shares as capital assets.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If you held shares during any of the 2000, 2001 and 2002 taxable years when we were likely a passive foreign investment company, then we will continue to be treated as a passive foreign investment company with respect to your shares, even if we are no longer by definition a passive foreign investment company. You may terminate this deemed passive foreign investment company status by making a "deemed sale" election under Section 1298(b)(1) of the Code. If you make a deemed sale election, you will recognize gain (if any) on the deemed sale of the shares on the last day of the last taxable year in which we qualified as a passive foreign investment company. The result of this election is: (1) your tax basis in the shares will increase by the amount of gain recognized; (2) you will start a new holding period with respect to the shares (for passive foreign investment company purposes only); and (3) you will no longer be subject to the excess distribution rules discussed immediately above with respect to the shares. The deemed sale election is made on IRS Form 8621 part of an amended income tax return for your taxable year that includes the date on which we cease to qualify as a passive foreign investment company.</w:t>
      </w:r>
    </w:p>
    <w:p>
      <w:pPr>
        <w:spacing w:after="0" w:line="16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If we are a passive foreign investment company, you may avoid taxation under the excess distribution rules discussed two paragraphs above by making a "qualified electing fund" election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624" w:right="1440" w:bottom="1440" w:gutter="0" w:footer="0" w:header="0"/>
        </w:sectPr>
      </w:pPr>
    </w:p>
    <w:bookmarkStart w:id="93" w:name="page94"/>
    <w:bookmarkEnd w:id="93"/>
    <w:p>
      <w:pPr>
        <w:ind w:right="3399"/>
        <w:spacing w:after="0" w:line="235" w:lineRule="auto"/>
        <w:rPr>
          <w:sz w:val="20"/>
          <w:szCs w:val="20"/>
          <w:color w:val="auto"/>
        </w:rPr>
      </w:pPr>
      <w:r>
        <w:rPr>
          <w:rFonts w:ascii="Courier New" w:cs="Courier New" w:eastAsia="Courier New" w:hAnsi="Courier New"/>
          <w:sz w:val="15"/>
          <w:szCs w:val="15"/>
          <w:color w:val="auto"/>
        </w:rPr>
        <w:t>include your share of our income on a current basis. However, you may make a qualified electing fund election only if we agree to furnish you annually with certain tax information, and we do not presently intend to prepare or provide such information.</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Alternatively, a U.S. Holder of "marketable stock" in a passive foreign investment company may make a mark-to-market election for stock of a passive foreign investment company to elect out of the excess distribution rules discussed three paragraphs above. If you make a mark-to-market election for the shares, you will include in income each year an amount equal to the excess, if any, of the fair market value of the shares as of the close of your taxable year over your adjusted basis in such shares. You are allowed a deduction for the excess, if any, of the adjusted basis of the shares over their fair market value as of the close of the taxable year. However, deductions are allowable only to the extent of any net mark-to-market gains on the stock included in your income for prior taxable years. Amounts included in your income under a mark-to-market election, as well as gain on the actual sale or other disposition of the shares, are treated as ordinary income. Ordinary loss treatment also applies to the deductible portion of any mark-to-market loss on the shares, as well as to any loss realized on the actual sale or disposition of the shares, to the extent that the amount of such loss does not exceed the net mark-to-market gains previously included for such shares. Your basis in the shares will be adjusted to reflect any such income or loss amounts. The tax rules that apply to distributions by corporations which are not passive foreign investment companies would apply to distributions by us.</w:t>
      </w:r>
    </w:p>
    <w:p>
      <w:pPr>
        <w:spacing w:after="0" w:line="34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mark-to-market election is available only for stock which is regularly traded on a national securities exchange that is registered with the Securities and Exchange Commission or on Nasdaq, or an exchange or market that the U.S. Secretary of the Treasury determines has rules sufficient to ensure that the market price represents a legitimate and sound fair market value. The mark-to-market election would be available to you unless our ADSs are delisted from the Nasdaq National Market and do not subsequently become regularly traded on the Nasdaq SmallCap Market or other qualified exchange or market.</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If you hold shares in any year in which we are a passive foreign investment company, you would be required to file IRS Form 8621 regarding distributions received on the shares and any gain realized on the disposition of the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If you are a Non-U.S. Holder, you generally will not be subject to United States federal income tax on dividends paid by us unless the income is effectively connected with your conduct of a trade or business in the United States.</w:t>
      </w:r>
    </w:p>
    <w:p>
      <w:pPr>
        <w:spacing w:after="0" w:line="17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You generally will not be subject to United States federal income tax on any gain attributable to a sale or other disposition of the shares unless such gain is effectively connected with your conduct of a trade or business within the United States or you are a natural person who is present in the United States for 183 days or more and certain other conditions exist.</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Dividends and gains that are effectively connected with your conduct of a trade or business in the United States generally will be subject to tax in the same manner as they would be if you were a U.S. Holder except for the rules regarding passive foreign investment companies. Effectively connected dividends and gains received by a corporate Non-U.S. Holder may also be subject to an additional branch profits tax at a 30% rate or a lower tax treaty rate.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In general, information reporting requirements will apply to dividends in respect of the shares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23" w:right="1440" w:bottom="1440" w:gutter="0" w:footer="0" w:header="0"/>
        </w:sectPr>
      </w:pPr>
    </w:p>
    <w:bookmarkStart w:id="94" w:name="page95"/>
    <w:bookmarkEnd w:id="94"/>
    <w:p>
      <w:pPr>
        <w:ind w:right="3239"/>
        <w:spacing w:after="0" w:line="236" w:lineRule="auto"/>
        <w:rPr>
          <w:sz w:val="20"/>
          <w:szCs w:val="20"/>
          <w:color w:val="auto"/>
        </w:rPr>
      </w:pPr>
      <w:r>
        <w:rPr>
          <w:rFonts w:ascii="Courier New" w:cs="Courier New" w:eastAsia="Courier New" w:hAnsi="Courier New"/>
          <w:sz w:val="15"/>
          <w:szCs w:val="15"/>
          <w:color w:val="auto"/>
        </w:rPr>
        <w:t>the proceeds received on the sale, exchange or redemption of shares paid within the U.S. (and, in certain cases, outside the United States) to U.S. Holders other than certain exempt recipients, such as corporations, and a 28% backup withholding tax may apply to such amounts if the U.S. Holder fails to provide an accurate taxpayer identification number or to report interest and dividends required to be shown on its U.S. federal income tax returns. The amount of any backup withholding from a payment to a U.S. Holder will be allowed as credit against the U.S. Holder's U.S. federal income tax liability provided that the appropriate returns are filed.</w:t>
      </w:r>
    </w:p>
    <w:p>
      <w:pPr>
        <w:spacing w:after="0" w:line="178"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A Non-U.S. Holder generally may eliminate the requirement for information reporting and backup withholding by providing certification of its foreign status to the payor, under penalties of perjury, on IRS Form W-8BEN.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Civil Liabilities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We are incorporated in the Cayman Islands because of the following benefits found there:</w:t>
      </w:r>
    </w:p>
    <w:p>
      <w:pPr>
        <w:spacing w:after="0" w:line="167" w:lineRule="exact"/>
        <w:rPr>
          <w:sz w:val="20"/>
          <w:szCs w:val="20"/>
          <w:color w:val="auto"/>
        </w:rPr>
      </w:pPr>
    </w:p>
    <w:p>
      <w:pPr>
        <w:ind w:left="1140" w:hanging="343"/>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and economic stability;</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effective judicial system;</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tax system;</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exchange control or currency restrictions; and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professional and support services.</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However, certain disadvantages accompany incorporation in the Cayman Islands. These disadvantages include:</w:t>
      </w:r>
    </w:p>
    <w:p>
      <w:pPr>
        <w:spacing w:after="0" w:line="173" w:lineRule="exact"/>
        <w:rPr>
          <w:sz w:val="20"/>
          <w:szCs w:val="20"/>
          <w:color w:val="auto"/>
        </w:rPr>
      </w:pPr>
    </w:p>
    <w:p>
      <w:pPr>
        <w:ind w:left="800" w:right="3239" w:firstLine="784"/>
        <w:spacing w:after="0" w:line="235" w:lineRule="auto"/>
        <w:tabs>
          <w:tab w:leader="none" w:pos="193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Cayman Islands has a less developed body of securities laws as compared to the United States and provides significantly less protection to investors; and</w:t>
      </w:r>
    </w:p>
    <w:p>
      <w:pPr>
        <w:spacing w:after="0" w:line="173" w:lineRule="exact"/>
        <w:rPr>
          <w:rFonts w:ascii="Courier New" w:cs="Courier New" w:eastAsia="Courier New" w:hAnsi="Courier New"/>
          <w:sz w:val="15"/>
          <w:szCs w:val="15"/>
          <w:color w:val="auto"/>
        </w:rPr>
      </w:pPr>
    </w:p>
    <w:p>
      <w:pPr>
        <w:ind w:left="800" w:right="3679" w:firstLine="784"/>
        <w:spacing w:after="0" w:line="234" w:lineRule="auto"/>
        <w:tabs>
          <w:tab w:leader="none" w:pos="193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Cayman Islands companies may not have standing to sue before the federal courts of the United States.</w:t>
      </w:r>
    </w:p>
    <w:p>
      <w:pPr>
        <w:spacing w:after="0" w:line="173" w:lineRule="exact"/>
        <w:rPr>
          <w:sz w:val="20"/>
          <w:szCs w:val="20"/>
          <w:color w:val="auto"/>
        </w:rPr>
      </w:pPr>
    </w:p>
    <w:p>
      <w:pPr>
        <w:ind w:right="3679" w:firstLine="787"/>
        <w:spacing w:after="0" w:line="258" w:lineRule="auto"/>
        <w:rPr>
          <w:sz w:val="20"/>
          <w:szCs w:val="20"/>
          <w:color w:val="auto"/>
        </w:rPr>
      </w:pPr>
      <w:r>
        <w:rPr>
          <w:rFonts w:ascii="Courier New" w:cs="Courier New" w:eastAsia="Courier New" w:hAnsi="Courier New"/>
          <w:sz w:val="14"/>
          <w:szCs w:val="14"/>
          <w:color w:val="auto"/>
        </w:rPr>
        <w:t>Our constituent documents do not contain provisions requiring that disputes, including those arising under the securities laws of the United States, between us, our officers, directors and shareholders be arbitrated.</w:t>
      </w:r>
    </w:p>
    <w:p>
      <w:pPr>
        <w:spacing w:after="0" w:line="161"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 substantial portion of our current operations is conducted in China through NetEase Beijing, our wholly-owned Chinese subsidiary. All or most of our assets are located in China. We have appointed CT Corporation System, 111 Eighth Avenue, New York, NY 10011, as our agent upon whom process may be served in any action brought against us under the securities laws of the United States.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624" w:right="1440" w:bottom="1440" w:gutter="0" w:footer="0" w:header="0"/>
        </w:sectPr>
      </w:pPr>
    </w:p>
    <w:bookmarkStart w:id="95" w:name="page96"/>
    <w:bookmarkEnd w:id="95"/>
    <w:p>
      <w:pPr>
        <w:ind w:right="3499" w:firstLine="787"/>
        <w:spacing w:after="0" w:line="235" w:lineRule="auto"/>
        <w:rPr>
          <w:sz w:val="20"/>
          <w:szCs w:val="20"/>
          <w:color w:val="auto"/>
        </w:rPr>
      </w:pPr>
      <w:r>
        <w:rPr>
          <w:rFonts w:ascii="Courier New" w:cs="Courier New" w:eastAsia="Courier New" w:hAnsi="Courier New"/>
          <w:sz w:val="15"/>
          <w:szCs w:val="15"/>
          <w:color w:val="auto"/>
        </w:rPr>
        <w:t>Maples and Calder Asia, our counsel as to Cayman Islands law, and Commerce &amp; Finance Law Office, our counsel as to Chinese law, have advised us that there is uncertainty as to whether the courts of the Cayman Islands or China would:</w:t>
      </w:r>
    </w:p>
    <w:p>
      <w:pPr>
        <w:spacing w:after="0" w:line="175" w:lineRule="exact"/>
        <w:rPr>
          <w:sz w:val="20"/>
          <w:szCs w:val="20"/>
          <w:color w:val="auto"/>
        </w:rPr>
      </w:pPr>
    </w:p>
    <w:p>
      <w:pPr>
        <w:ind w:left="800" w:right="3319" w:firstLine="784"/>
        <w:spacing w:after="0" w:line="235" w:lineRule="auto"/>
        <w:tabs>
          <w:tab w:leader="none" w:pos="193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5" w:lineRule="exact"/>
        <w:rPr>
          <w:rFonts w:ascii="Courier New" w:cs="Courier New" w:eastAsia="Courier New" w:hAnsi="Courier New"/>
          <w:sz w:val="15"/>
          <w:szCs w:val="15"/>
          <w:color w:val="auto"/>
        </w:rPr>
      </w:pPr>
    </w:p>
    <w:p>
      <w:pPr>
        <w:ind w:left="800" w:right="3239" w:firstLine="784"/>
        <w:spacing w:after="0" w:line="258" w:lineRule="auto"/>
        <w:tabs>
          <w:tab w:leader="none" w:pos="193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entertain original actions brought in the Cayman Islands or China against us or our directors or officers predicated upon the securities laws of the United States or any state in the United States.</w:t>
      </w:r>
    </w:p>
    <w:p>
      <w:pPr>
        <w:spacing w:after="0" w:line="16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Maples and Calder Asia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 under the common law doctrine of obligation.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Commerce &amp; Finance Law Office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75" w:lineRule="exact"/>
        <w:rPr>
          <w:sz w:val="20"/>
          <w:szCs w:val="20"/>
          <w:color w:val="auto"/>
        </w:rPr>
      </w:pPr>
    </w:p>
    <w:p>
      <w:pPr>
        <w:ind w:left="1580" w:right="6299" w:hanging="783"/>
        <w:spacing w:after="0" w:line="465" w:lineRule="auto"/>
        <w:tabs>
          <w:tab w:leader="none" w:pos="15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Paying Agents Not applicable.</w:t>
      </w:r>
    </w:p>
    <w:p>
      <w:pPr>
        <w:spacing w:after="0" w:line="14" w:lineRule="exact"/>
        <w:rPr>
          <w:rFonts w:ascii="Courier New" w:cs="Courier New" w:eastAsia="Courier New" w:hAnsi="Courier New"/>
          <w:sz w:val="15"/>
          <w:szCs w:val="15"/>
          <w:color w:val="auto"/>
        </w:rPr>
      </w:pPr>
    </w:p>
    <w:p>
      <w:pPr>
        <w:ind w:left="1580" w:right="6899" w:hanging="783"/>
        <w:spacing w:after="0" w:line="509" w:lineRule="auto"/>
        <w:tabs>
          <w:tab w:leader="none" w:pos="15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by Experts Not applicable.</w:t>
      </w:r>
    </w:p>
    <w:p>
      <w:pPr>
        <w:ind w:left="1580" w:hanging="783"/>
        <w:spacing w:after="0"/>
        <w:tabs>
          <w:tab w:leader="none" w:pos="15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on Display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have previously filed with the Commission our registration statement on Form F-1 and prospectus under the Securities Act of 1933, as amended, with respect to our ADSs.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are subject to the periodic reporting and other informational requirements of the Securities Exchange Act of 1934, as amended, or the Exchange Act. Under the Exchange Act, we are required to file reports and other information with the Securities and Exchange Commission. Specifically, we are required to file annually a Form 20-F no later than six months after the close of each fiscal year, which is December 31. Copies of reports and other information, when so filed, may be inspected without charge and may be obtained at prescribed rates at the public reference facilities maintained by the Securities and Exchange Commission at Judiciary Plaza, 450 Fifth Street, N.W., Washington, D.C. 20549, and at the regional office of the Securities and Exchange Commission located at Citicorp Center, 500 West Madison Street, Suite 1400, Chicago, Illinois 60661. The public may obtain information regarding the Washington, D.C. Public Reference Room by calling the Commission at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23" w:right="1440" w:bottom="1440" w:gutter="0" w:footer="0" w:header="0"/>
        </w:sectPr>
      </w:pPr>
    </w:p>
    <w:bookmarkStart w:id="96" w:name="page97"/>
    <w:bookmarkEnd w:id="96"/>
    <w:p>
      <w:pPr>
        <w:ind w:right="3939"/>
        <w:spacing w:after="0" w:line="234" w:lineRule="auto"/>
        <w:rPr>
          <w:sz w:val="20"/>
          <w:szCs w:val="20"/>
          <w:color w:val="auto"/>
        </w:rPr>
      </w:pPr>
      <w:r>
        <w:rPr>
          <w:rFonts w:ascii="Courier New" w:cs="Courier New" w:eastAsia="Courier New" w:hAnsi="Courier New"/>
          <w:sz w:val="15"/>
          <w:szCs w:val="15"/>
          <w:color w:val="auto"/>
        </w:rPr>
        <w:t>are exempt from the reporting and short-swing profit recovery provisions contained in Section 16 of the Exchange Act.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financial statements have been prepared in accordance with U.S.</w:t>
      </w:r>
    </w:p>
    <w:p>
      <w:pPr>
        <w:spacing w:after="0" w:line="237" w:lineRule="auto"/>
        <w:rPr>
          <w:sz w:val="20"/>
          <w:szCs w:val="20"/>
          <w:color w:val="auto"/>
        </w:rPr>
      </w:pPr>
      <w:r>
        <w:rPr>
          <w:rFonts w:ascii="Courier New" w:cs="Courier New" w:eastAsia="Courier New" w:hAnsi="Courier New"/>
          <w:sz w:val="15"/>
          <w:szCs w:val="15"/>
          <w:color w:val="auto"/>
        </w:rPr>
        <w:t>GAAP.</w:t>
      </w:r>
    </w:p>
    <w:p>
      <w:pPr>
        <w:spacing w:after="0" w:line="173"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We will furnish our shareholders with annual reports, which will include a review of operations and annual audited consolidated financial statements prepared in conformity with U.S. GAAP.</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Subsidiary Information</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Please refer to Item 5. "Operating and Financial Review and Prospects-- Quantitative and Qualitative Disclosures About Market Risk."</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Description of Securities Other than Equity Securities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Defaults, Dividend Arrearages and Delinquencies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ind w:left="1060" w:right="3319" w:hanging="1048"/>
        <w:spacing w:after="0" w:line="234" w:lineRule="auto"/>
        <w:tabs>
          <w:tab w:leader="none" w:pos="10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Material Modifications to the Rights of Security Holders and Use of Proceeds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following "Use of Proceeds" information relates to the registration statement on Form F-1 (File No. 333-11724) (the "Registration Statement") for our initial public offering of 4,500,000 American Depositary Shares, each representing 100 of our ordinary shares, for an aggregate offering price of US$69.75 million. Our Registration Statement was declared effective by the Commission on June 29, 2000.</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received net proceeds of approximately US$64.9 million from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public offering (taking into account underwriting discounts of US$4.88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but not taking into account transaction expenses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US$2.7 million). None of the transaction expenses included payments to directors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officers of our company, persons owning 10% or more of our equity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our affiliates.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From the effective date of the Registration Statement to July 6, 2000, we did not use any of the proceeds from our initial public offering. Since July 6, 2000, we have used the net proceeds from our initial public offering to satisfy past indebtedness and reduce our accounts payable and to fund expenses primarily for marketing, employee compensation, and capital expenditures.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24" w:right="1440" w:bottom="1440" w:gutter="0" w:footer="0" w:header="0"/>
        </w:sectPr>
      </w:pPr>
    </w:p>
    <w:bookmarkStart w:id="97" w:name="page98"/>
    <w:bookmarkEnd w:id="97"/>
    <w:p>
      <w:pPr>
        <w:jc w:val="both"/>
        <w:ind w:right="3579" w:firstLine="612"/>
        <w:spacing w:after="0" w:line="235" w:lineRule="auto"/>
        <w:rPr>
          <w:sz w:val="20"/>
          <w:szCs w:val="20"/>
          <w:color w:val="auto"/>
        </w:rPr>
      </w:pPr>
      <w:r>
        <w:rPr>
          <w:rFonts w:ascii="Courier New" w:cs="Courier New" w:eastAsia="Courier New" w:hAnsi="Courier New"/>
          <w:sz w:val="15"/>
          <w:szCs w:val="15"/>
          <w:color w:val="auto"/>
        </w:rPr>
        <w:t>Merrill Lynch Far East Limited, Merrill Lynch, Pierce, Fenner &amp; Smith Incorporated, Deutsche Bank Securities Inc., Chase Securities Inc., Salomon Smith Barney Inc., and UBS Warburg LLC were the underwriters for our initial public offering.</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Controls and Procedures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Disclosure Controls and Procedures</w:t>
      </w:r>
    </w:p>
    <w:p>
      <w:pPr>
        <w:spacing w:after="0" w:line="173" w:lineRule="exact"/>
        <w:rPr>
          <w:sz w:val="20"/>
          <w:szCs w:val="20"/>
          <w:color w:val="auto"/>
        </w:rPr>
      </w:pPr>
    </w:p>
    <w:p>
      <w:pPr>
        <w:ind w:right="3239" w:firstLine="612"/>
        <w:spacing w:after="0" w:line="236" w:lineRule="auto"/>
        <w:rPr>
          <w:sz w:val="20"/>
          <w:szCs w:val="20"/>
          <w:color w:val="auto"/>
        </w:rPr>
      </w:pPr>
      <w:r>
        <w:rPr>
          <w:rFonts w:ascii="Courier New" w:cs="Courier New" w:eastAsia="Courier New" w:hAnsi="Courier New"/>
          <w:sz w:val="15"/>
          <w:szCs w:val="15"/>
          <w:color w:val="auto"/>
        </w:rPr>
        <w:t>Ted Sun, our Acting Chief Executive Officer, and Denny Lee, our Chief Financial Officer, have performed an evaluation of our disclosure controls and procedures, as that term is defined in Rules 13a-14(c) and 15d-14(c) of the Securities Exchange Act of 1934, as amended (the "Exchange Act"), within 90 days of the date of this report and each has concluded that such disclosure controls and procedures are effective to ensure that information required to be disclosed in our periodic reports filed under the Exchange Act is recorded, processed, summarized and reported, within the time period specified by the Securities and Exchange Commission's rules and regulations.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Internal Controls</w:t>
      </w:r>
    </w:p>
    <w:p>
      <w:pPr>
        <w:spacing w:after="0" w:line="173" w:lineRule="exact"/>
        <w:rPr>
          <w:sz w:val="20"/>
          <w:szCs w:val="20"/>
          <w:color w:val="auto"/>
        </w:rPr>
      </w:pPr>
    </w:p>
    <w:p>
      <w:pPr>
        <w:ind w:right="3319" w:firstLine="612"/>
        <w:spacing w:after="0" w:line="256" w:lineRule="auto"/>
        <w:rPr>
          <w:sz w:val="20"/>
          <w:szCs w:val="20"/>
          <w:color w:val="auto"/>
        </w:rPr>
      </w:pPr>
      <w:r>
        <w:rPr>
          <w:rFonts w:ascii="Courier New" w:cs="Courier New" w:eastAsia="Courier New" w:hAnsi="Courier New"/>
          <w:sz w:val="14"/>
          <w:szCs w:val="14"/>
          <w:color w:val="auto"/>
        </w:rPr>
        <w:t>No significant changes in our internal controls or in other factors that could significantly affect these controls subsequent to the date of the evaluation, including any corrective actions with regard to significant deficiencies and material weaknesses, were made as a result of the evaluation.</w:t>
      </w:r>
    </w:p>
    <w:p>
      <w:pPr>
        <w:spacing w:after="0" w:line="15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[Reserved]</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Company has elected to provide financial statements pursuant to Item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18.</w:t>
      </w:r>
      <w:r>
        <w:rPr>
          <w:sz w:val="20"/>
          <w:szCs w:val="20"/>
          <w:color w:val="auto"/>
        </w:rPr>
        <w:tab/>
      </w: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right="3759" w:firstLine="612"/>
        <w:spacing w:after="0" w:line="234" w:lineRule="auto"/>
        <w:rPr>
          <w:sz w:val="20"/>
          <w:szCs w:val="20"/>
          <w:color w:val="auto"/>
        </w:rPr>
      </w:pPr>
      <w:r>
        <w:rPr>
          <w:rFonts w:ascii="Courier New" w:cs="Courier New" w:eastAsia="Courier New" w:hAnsi="Courier New"/>
          <w:sz w:val="15"/>
          <w:szCs w:val="15"/>
          <w:color w:val="auto"/>
        </w:rPr>
        <w:t>The consolidated financial statements for NetEase.com, Inc. and its subsidiaries are included at the end of this annual report.</w:t>
      </w:r>
    </w:p>
    <w:p>
      <w:pPr>
        <w:sectPr>
          <w:pgSz w:w="11900" w:h="16838" w:orient="portrait"/>
          <w:cols w:equalWidth="0" w:num="1">
            <w:col w:w="10239"/>
          </w:cols>
          <w:pgMar w:left="220" w:top="62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178" w:lineRule="exact"/>
        <w:rPr>
          <w:sz w:val="20"/>
          <w:szCs w:val="20"/>
          <w:color w:val="auto"/>
        </w:rPr>
      </w:pPr>
    </w:p>
    <w:p>
      <w:pPr>
        <w:sectPr>
          <w:pgSz w:w="11900" w:h="16838" w:orient="portrait"/>
          <w:cols w:equalWidth="0" w:num="2">
            <w:col w:w="700" w:space="360"/>
            <w:col w:w="9179"/>
          </w:cols>
          <w:pgMar w:left="220" w:top="623"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2">
            <w:col w:w="2260" w:space="720"/>
            <w:col w:w="7259"/>
          </w:cols>
          <w:pgMar w:left="220" w:top="623" w:right="1440" w:bottom="1440" w:gutter="0" w:footer="0" w:header="0"/>
          <w:type w:val="continuous"/>
        </w:sectPr>
      </w:pPr>
    </w:p>
    <w:p>
      <w:pPr>
        <w:ind w:left="800" w:right="3239" w:hanging="611"/>
        <w:spacing w:after="0" w:line="256" w:lineRule="auto"/>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Amended and Restated Memorandum of Association of NetEase.com, Inc. (incorporated by reference to Exhibit 3.1 from Amendment No. 1 to the company's Registration Statement on Form F-1 (file no. 333-11724) filed with the Securities and Exchange Commission on May 15, 2000)</w:t>
      </w:r>
    </w:p>
    <w:p>
      <w:pPr>
        <w:spacing w:after="0" w:line="164" w:lineRule="exact"/>
        <w:rPr>
          <w:sz w:val="20"/>
          <w:szCs w:val="20"/>
          <w:color w:val="auto"/>
        </w:rPr>
      </w:pPr>
    </w:p>
    <w:p>
      <w:pPr>
        <w:ind w:left="800" w:right="3239" w:hanging="611"/>
        <w:spacing w:after="0" w:line="256" w:lineRule="auto"/>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Amended and Restated Articles of Association of NetEase.com, Inc. (incorporated by reference to Exhibit 3.2 from Amendment No. 1 to the company's Registration Statement on Form F-1 (file no. 333-11724) filed with the Securities and Exchange Commission on May 15, 2000)</w:t>
      </w:r>
    </w:p>
    <w:p>
      <w:pPr>
        <w:spacing w:after="0" w:line="164" w:lineRule="exact"/>
        <w:rPr>
          <w:sz w:val="20"/>
          <w:szCs w:val="20"/>
          <w:color w:val="auto"/>
        </w:rPr>
      </w:pPr>
    </w:p>
    <w:p>
      <w:pPr>
        <w:ind w:left="800" w:right="4199" w:hanging="611"/>
        <w:spacing w:after="0" w:line="234" w:lineRule="auto"/>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Amendment to Amended and Restated Articles of Association of NetEase.com, Inc. dated as of June 5,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3" w:right="1440" w:bottom="1440" w:gutter="0" w:footer="0" w:header="0"/>
          <w:type w:val="continuous"/>
        </w:sectPr>
      </w:pPr>
    </w:p>
    <w:bookmarkStart w:id="98" w:name="page99"/>
    <w:bookmarkEnd w:id="98"/>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Specimen American Depositary Receipt of NetEase.com, Inc. (incorporated by reference to Exhibit 4.1 from Amendment No. 1 to the company's Registration Statement on Form F-1 (file no. 333-11724) filed with the Securities and Exchange Commission on May 15, 2000)</w:t>
      </w:r>
    </w:p>
    <w:p>
      <w:pPr>
        <w:spacing w:after="0" w:line="164"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Specimen Stock Certificate of NetEase.com, Inc. (incorporated by reference to Exhibit 4.2 from Amendment No. 1 to the company's Registration Statement on Form F-1 (file no. 333-11724) filed with the Securities and Exchange Commission on May 15, 2000)</w:t>
      </w:r>
    </w:p>
    <w:p>
      <w:pPr>
        <w:spacing w:after="0" w:line="175" w:lineRule="exact"/>
        <w:rPr>
          <w:sz w:val="20"/>
          <w:szCs w:val="20"/>
          <w:color w:val="auto"/>
        </w:rPr>
      </w:pPr>
    </w:p>
    <w:p>
      <w:pPr>
        <w:ind w:left="800" w:right="331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Shareholder Voting Rights Trust Agreement dated May 12, 2000 among William Lei Ding, Bo Ding and NetEase Information Technology (Beijing) Co., Ltd. (incorporated by reference to Exhibit 10.40 from Amendment No. 1 to the company's Registration Statement on Form F-1 (file no.</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333-11724) filed with the Securities and Exchange Commission on May 15,</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2000)</w:t>
      </w:r>
    </w:p>
    <w:p>
      <w:pPr>
        <w:spacing w:after="0" w:line="173"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1999 Stock Incentive Plan and Form of Stock Option Agreement (incorporated by reference to Exhibit 10.1 from the company's Registration Statement on Form F-1 (file no. 333-11724) filed with the Securities and Exchange Commission on March 27, 2000)</w:t>
      </w:r>
    </w:p>
    <w:p>
      <w:pPr>
        <w:spacing w:after="0" w:line="175"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Amended and Restated 2000 Stock Incentive Plan and Form of Stock Option Agreement (including standard and non-standard form) (incorporated by reference to Exhibit 4.2 from the company's Annual Report on Form 20-F for the year ended December 31, 2000 filed with the Securities and Exchange Commission on August 31, 2001)</w:t>
      </w:r>
    </w:p>
    <w:p>
      <w:pPr>
        <w:spacing w:after="0" w:line="174" w:lineRule="exact"/>
        <w:rPr>
          <w:sz w:val="20"/>
          <w:szCs w:val="20"/>
          <w:color w:val="auto"/>
        </w:rPr>
      </w:pPr>
    </w:p>
    <w:p>
      <w:pPr>
        <w:jc w:val="both"/>
        <w:ind w:left="800" w:right="339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Employment Agreement dated August 13, 1999 between NetEase.com, Inc. and William Lei Ding (incorporated by reference to Exhibit 10.2 from the company's Registration Statement on Form F-1 (file no. 333-11724) filed with the Securities and Exchange Commission on March 27, 2000)</w:t>
      </w:r>
    </w:p>
    <w:p>
      <w:pPr>
        <w:spacing w:after="0" w:line="164"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Addendum to Employment Agreement between NetEase.com, Inc. and William Ding dated May 1, 2003</w:t>
      </w:r>
    </w:p>
    <w:p>
      <w:pPr>
        <w:spacing w:after="0" w:line="173"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Employment Agreement dated April 1, 2002 between NetEase.com, Inc. and Denny Lee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Employment Agreement dated September 11, 2001 between NetEase.com, Inc.</w:t>
      </w:r>
    </w:p>
    <w:p>
      <w:pPr>
        <w:spacing w:after="0" w:line="5"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and Ted Sun (incorporated by reference to Exhibit 4.6 from the company's Annual Report on Form 20-F for the year ended December 31, 2001 filed with the Securities and Exchange Commission on June 21, 2002)</w:t>
      </w:r>
    </w:p>
    <w:p>
      <w:pPr>
        <w:spacing w:after="0" w:line="175"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Employment Agreement dated June 25, 2003 between NetEase.com, Inc. and Michael Tong</w:t>
      </w:r>
    </w:p>
    <w:p>
      <w:pPr>
        <w:spacing w:after="0" w:line="173"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Asset Purchase Agreement dated September 1, 1999 between Guangzhou NetEase Computer System Co., Ltd. and NetEase Information Technology (Beijing) Co., Ltd. (incorporated by reference to Exhibit 10.4 from the company's Registration Statement on Form F-1 (file no. 333-11724) filed with the Securities and Exchange Commission on March 27, 2000)</w:t>
      </w:r>
    </w:p>
    <w:p>
      <w:pPr>
        <w:spacing w:after="0" w:line="163"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Supplemental Agreement to Asset Purchase Agreement dated as of September 24, 1999 between Guangzhou NetEase Computer System Co., Ltd. and NetEase Information Technology (Beijing) Co., Ltd. (incorporated by reference to Exhibit 10.5 from the company's Registration Statement on Form F-1 (file no. 333-11724) filed with the Securities and Exchange Commission on March 27, 2000)</w:t>
      </w:r>
    </w:p>
    <w:p>
      <w:pPr>
        <w:spacing w:after="0" w:line="175"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Domain Name License Agreement dated February 3, 2000 between NetEase.com, Inc. and Guangzhou NetEase Computer System Co., Ltd. (incorporated by reference to Exhibit 10.7 from the company's Registration Statement on Form F-1 (file no. 333-11724) filed with the Securities and Exchange Commission on March 27, 2000)</w:t>
      </w:r>
    </w:p>
    <w:p>
      <w:pPr>
        <w:spacing w:after="0" w:line="174" w:lineRule="exact"/>
        <w:rPr>
          <w:sz w:val="20"/>
          <w:szCs w:val="20"/>
          <w:color w:val="auto"/>
        </w:rPr>
      </w:pPr>
    </w:p>
    <w:p>
      <w:pPr>
        <w:ind w:left="800" w:right="34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Copyright License Agreement dated February 3, 2000 between NetEase Information Technology (Beijing) Co., Ltd. and Guangzhou NetEase Computer System Co., Ltd. (incorporated by reference to Exhibit 10.8 from the company's Registration Statement 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23" w:right="1440" w:bottom="1440" w:gutter="0" w:footer="0" w:header="0"/>
        </w:sectPr>
      </w:pPr>
    </w:p>
    <w:bookmarkStart w:id="99" w:name="page100"/>
    <w:bookmarkEnd w:id="99"/>
    <w:p>
      <w:pPr>
        <w:ind w:right="3499"/>
        <w:spacing w:after="0" w:line="234" w:lineRule="auto"/>
        <w:rPr>
          <w:sz w:val="20"/>
          <w:szCs w:val="20"/>
          <w:color w:val="auto"/>
        </w:rPr>
      </w:pPr>
      <w:r>
        <w:rPr>
          <w:rFonts w:ascii="Courier New" w:cs="Courier New" w:eastAsia="Courier New" w:hAnsi="Courier New"/>
          <w:sz w:val="15"/>
          <w:szCs w:val="15"/>
          <w:color w:val="auto"/>
        </w:rPr>
        <w:t>Form F-1 (file no. 333-11724) filed with the Securities and Exchange Commission on March 27, 2000)</w:t>
      </w:r>
    </w:p>
    <w:p>
      <w:pPr>
        <w:spacing w:after="0" w:line="173" w:lineRule="exact"/>
        <w:rPr>
          <w:sz w:val="20"/>
          <w:szCs w:val="20"/>
          <w:color w:val="auto"/>
        </w:rPr>
      </w:pPr>
    </w:p>
    <w:p>
      <w:pPr>
        <w:ind w:right="3499" w:hanging="786"/>
        <w:spacing w:after="0" w:line="254" w:lineRule="auto"/>
        <w:rPr>
          <w:sz w:val="20"/>
          <w:szCs w:val="20"/>
          <w:color w:val="auto"/>
        </w:rPr>
      </w:pPr>
      <w:r>
        <w:rPr>
          <w:rFonts w:ascii="Courier New" w:cs="Courier New" w:eastAsia="Courier New" w:hAnsi="Courier New"/>
          <w:sz w:val="15"/>
          <w:szCs w:val="15"/>
          <w:color w:val="auto"/>
        </w:rPr>
        <w:t>4.12</w:t>
      </w:r>
      <w:r>
        <w:rPr>
          <w:sz w:val="20"/>
          <w:szCs w:val="20"/>
          <w:color w:val="auto"/>
        </w:rPr>
        <w:t xml:space="preserve"> </w:t>
      </w:r>
      <w:r>
        <w:rPr>
          <w:rFonts w:ascii="Courier New" w:cs="Courier New" w:eastAsia="Courier New" w:hAnsi="Courier New"/>
          <w:sz w:val="14"/>
          <w:szCs w:val="14"/>
          <w:color w:val="auto"/>
        </w:rPr>
        <w:t>Trademark License Agreement dated February 3, 2000 between NetEase Information Technology (Beijing) Co., Ltd. and Guangzhou NetEase Computer System Co., Ltd. (incorporated by reference to Exhibit 10.9 from the company's Registration Statement on Form F-1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333-11724) filed with the Securities and Exchange Commission on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27, 2000)</w:t>
      </w:r>
    </w:p>
    <w:p>
      <w:pPr>
        <w:spacing w:after="0" w:line="173" w:lineRule="exact"/>
        <w:rPr>
          <w:sz w:val="20"/>
          <w:szCs w:val="20"/>
          <w:color w:val="auto"/>
        </w:rPr>
      </w:pPr>
    </w:p>
    <w:p>
      <w:pPr>
        <w:ind w:right="3239" w:hanging="786"/>
        <w:spacing w:after="0" w:line="255" w:lineRule="auto"/>
        <w:rPr>
          <w:sz w:val="20"/>
          <w:szCs w:val="20"/>
          <w:color w:val="auto"/>
        </w:rPr>
      </w:pPr>
      <w:r>
        <w:rPr>
          <w:rFonts w:ascii="Courier New" w:cs="Courier New" w:eastAsia="Courier New" w:hAnsi="Courier New"/>
          <w:sz w:val="15"/>
          <w:szCs w:val="15"/>
          <w:color w:val="auto"/>
        </w:rPr>
        <w:t>4.13</w:t>
      </w:r>
      <w:r>
        <w:rPr>
          <w:sz w:val="20"/>
          <w:szCs w:val="20"/>
          <w:color w:val="auto"/>
        </w:rPr>
        <w:t xml:space="preserve"> </w:t>
      </w:r>
      <w:r>
        <w:rPr>
          <w:rFonts w:ascii="Courier New" w:cs="Courier New" w:eastAsia="Courier New" w:hAnsi="Courier New"/>
          <w:sz w:val="14"/>
          <w:szCs w:val="14"/>
          <w:color w:val="auto"/>
        </w:rPr>
        <w:t>Supplemental Agreement (to Copyright License Agreement, Domain Name License Agreement and Exclusive Technical Services Master Agreement) dated April 27, 2000 between NetEase Information Technology (Beijing) Co., Ltd. and Guangzhou NetEase Computer System Co., Ltd. (incorporated by reference to Exhibit 10.10 from Amendment No. 1 to the company's Registration Statement on Form F-1 (file no. 333-11724) filed with the Securities and Exchange Commission on May 15, 2000)</w:t>
      </w:r>
    </w:p>
    <w:p>
      <w:pPr>
        <w:spacing w:after="0" w:line="166" w:lineRule="exact"/>
        <w:rPr>
          <w:sz w:val="20"/>
          <w:szCs w:val="20"/>
          <w:color w:val="auto"/>
        </w:rPr>
      </w:pPr>
    </w:p>
    <w:p>
      <w:pPr>
        <w:ind w:right="3319" w:hanging="786"/>
        <w:spacing w:after="0" w:line="236" w:lineRule="auto"/>
        <w:rPr>
          <w:sz w:val="20"/>
          <w:szCs w:val="20"/>
          <w:color w:val="auto"/>
        </w:rPr>
      </w:pPr>
      <w:r>
        <w:rPr>
          <w:rFonts w:ascii="Courier New" w:cs="Courier New" w:eastAsia="Courier New" w:hAnsi="Courier New"/>
          <w:sz w:val="15"/>
          <w:szCs w:val="15"/>
          <w:color w:val="auto"/>
        </w:rPr>
        <w:t>4.14</w:t>
      </w:r>
      <w:r>
        <w:rPr>
          <w:sz w:val="20"/>
          <w:szCs w:val="20"/>
          <w:color w:val="auto"/>
        </w:rPr>
        <w:t xml:space="preserve"> </w:t>
      </w:r>
      <w:r>
        <w:rPr>
          <w:rFonts w:ascii="Courier New" w:cs="Courier New" w:eastAsia="Courier New" w:hAnsi="Courier New"/>
          <w:sz w:val="15"/>
          <w:szCs w:val="15"/>
          <w:color w:val="auto"/>
        </w:rPr>
        <w:t>Exclusive Technical Services Master Agreement dated February 3, 2000 between NetEase Information Technology (Beijing) Co., Ltd. and Guangzhou NetEase Computer System Co., Ltd. (incorporated by reference to Exhibit 10.11 from the company's Registration Statement on Form F-1 (file no. 333-11724) filed with the Securities and Exchange Commission on March 27, 2000)</w:t>
      </w:r>
    </w:p>
    <w:p>
      <w:pPr>
        <w:spacing w:after="0" w:line="175" w:lineRule="exact"/>
        <w:rPr>
          <w:sz w:val="20"/>
          <w:szCs w:val="20"/>
          <w:color w:val="auto"/>
        </w:rPr>
      </w:pPr>
    </w:p>
    <w:p>
      <w:pPr>
        <w:ind w:right="3239" w:hanging="786"/>
        <w:spacing w:after="0" w:line="236" w:lineRule="auto"/>
        <w:rPr>
          <w:sz w:val="20"/>
          <w:szCs w:val="20"/>
          <w:color w:val="auto"/>
        </w:rPr>
      </w:pPr>
      <w:r>
        <w:rPr>
          <w:rFonts w:ascii="Courier New" w:cs="Courier New" w:eastAsia="Courier New" w:hAnsi="Courier New"/>
          <w:sz w:val="15"/>
          <w:szCs w:val="15"/>
          <w:color w:val="auto"/>
        </w:rPr>
        <w:t>4.15</w:t>
      </w:r>
      <w:r>
        <w:rPr>
          <w:sz w:val="20"/>
          <w:szCs w:val="20"/>
          <w:color w:val="auto"/>
        </w:rPr>
        <w:t xml:space="preserve"> </w:t>
      </w:r>
      <w:r>
        <w:rPr>
          <w:rFonts w:ascii="Courier New" w:cs="Courier New" w:eastAsia="Courier New" w:hAnsi="Courier New"/>
          <w:sz w:val="15"/>
          <w:szCs w:val="15"/>
          <w:color w:val="auto"/>
        </w:rPr>
        <w:t>Notice of Renewal dated April 2, 2001 relating to the Copyright License Agreement, the Trademark License Agreement and the Exclusive Technical Services Master Agreement, each dated February 3, 2000 and made between NetEase Information Technology (Beijing) Co., Ltd. and Guangzhou NetEase Computer System Co., Ltd. (incorporated by reference to Exhibit 4.14 from the company's Annual Report on Form 20-F for the year ended December 31, 2000 filed with the Securities and Exchange Commission on August 31, 2001)</w:t>
      </w:r>
    </w:p>
    <w:p>
      <w:pPr>
        <w:spacing w:after="0" w:line="177" w:lineRule="exact"/>
        <w:rPr>
          <w:sz w:val="20"/>
          <w:szCs w:val="20"/>
          <w:color w:val="auto"/>
        </w:rPr>
      </w:pPr>
    </w:p>
    <w:p>
      <w:pPr>
        <w:ind w:right="3239" w:hanging="786"/>
        <w:spacing w:after="0" w:line="236" w:lineRule="auto"/>
        <w:rPr>
          <w:sz w:val="20"/>
          <w:szCs w:val="20"/>
          <w:color w:val="auto"/>
        </w:rPr>
      </w:pPr>
      <w:r>
        <w:rPr>
          <w:rFonts w:ascii="Courier New" w:cs="Courier New" w:eastAsia="Courier New" w:hAnsi="Courier New"/>
          <w:sz w:val="15"/>
          <w:szCs w:val="15"/>
          <w:color w:val="auto"/>
        </w:rPr>
        <w:t>4.16</w:t>
      </w:r>
      <w:r>
        <w:rPr>
          <w:sz w:val="20"/>
          <w:szCs w:val="20"/>
          <w:color w:val="auto"/>
        </w:rPr>
        <w:t xml:space="preserve"> </w:t>
      </w:r>
      <w:r>
        <w:rPr>
          <w:rFonts w:ascii="Courier New" w:cs="Courier New" w:eastAsia="Courier New" w:hAnsi="Courier New"/>
          <w:sz w:val="15"/>
          <w:szCs w:val="15"/>
          <w:color w:val="auto"/>
        </w:rPr>
        <w:t>Exclusive Consulting and Services Agreement dated February 3, 2000 between NetEase Information Technology (Beijing) Co., Ltd. and Beijing Guangyitong Advertising Co., Ltd. (incorporated by reference to Exhibit 10.12 from the company's Registration Statement on Form F-1 (file no. 333-11724) filed with the Securities and Exchange Commission on March 27, 2000)</w:t>
      </w:r>
    </w:p>
    <w:p>
      <w:pPr>
        <w:spacing w:after="0" w:line="175" w:lineRule="exact"/>
        <w:rPr>
          <w:sz w:val="20"/>
          <w:szCs w:val="20"/>
          <w:color w:val="auto"/>
        </w:rPr>
      </w:pPr>
    </w:p>
    <w:p>
      <w:pPr>
        <w:ind w:right="3239" w:hanging="786"/>
        <w:spacing w:after="0" w:line="236" w:lineRule="auto"/>
        <w:rPr>
          <w:sz w:val="20"/>
          <w:szCs w:val="20"/>
          <w:color w:val="auto"/>
        </w:rPr>
      </w:pPr>
      <w:r>
        <w:rPr>
          <w:rFonts w:ascii="Courier New" w:cs="Courier New" w:eastAsia="Courier New" w:hAnsi="Courier New"/>
          <w:sz w:val="15"/>
          <w:szCs w:val="15"/>
          <w:color w:val="auto"/>
        </w:rPr>
        <w:t>4.17</w:t>
      </w:r>
      <w:r>
        <w:rPr>
          <w:sz w:val="20"/>
          <w:szCs w:val="20"/>
          <w:color w:val="auto"/>
        </w:rPr>
        <w:t xml:space="preserve"> </w:t>
      </w:r>
      <w:r>
        <w:rPr>
          <w:rFonts w:ascii="Courier New" w:cs="Courier New" w:eastAsia="Courier New" w:hAnsi="Courier New"/>
          <w:sz w:val="15"/>
          <w:szCs w:val="15"/>
          <w:color w:val="auto"/>
        </w:rPr>
        <w:t>Notice of Renewal dated April 2, 2001 relating to the Exclusive Consulting and Services Agreement dated February 3, 2000 and made between NetEase Information Technology (Beijing) Co., Ltd. and Beijing Guangyitong Advertising Co., Ltd. (incorporated by reference to Exhibit 4.16 from the company's Annual Report on Form 20-F for the year ended December 31, 2000 filed with the Securities and Exchange Commission on August 31, 2001)</w:t>
      </w:r>
    </w:p>
    <w:p>
      <w:pPr>
        <w:spacing w:after="0" w:line="176" w:lineRule="exact"/>
        <w:rPr>
          <w:sz w:val="20"/>
          <w:szCs w:val="20"/>
          <w:color w:val="auto"/>
        </w:rPr>
      </w:pPr>
    </w:p>
    <w:p>
      <w:pPr>
        <w:ind w:right="3319" w:hanging="786"/>
        <w:spacing w:after="0" w:line="256" w:lineRule="auto"/>
        <w:rPr>
          <w:sz w:val="20"/>
          <w:szCs w:val="20"/>
          <w:color w:val="auto"/>
        </w:rPr>
      </w:pPr>
      <w:r>
        <w:rPr>
          <w:rFonts w:ascii="Courier New" w:cs="Courier New" w:eastAsia="Courier New" w:hAnsi="Courier New"/>
          <w:sz w:val="15"/>
          <w:szCs w:val="15"/>
          <w:color w:val="auto"/>
        </w:rPr>
        <w:t>4.18</w:t>
      </w:r>
      <w:r>
        <w:rPr>
          <w:sz w:val="20"/>
          <w:szCs w:val="20"/>
          <w:color w:val="auto"/>
        </w:rPr>
        <w:t xml:space="preserve"> </w:t>
      </w:r>
      <w:r>
        <w:rPr>
          <w:rFonts w:ascii="Courier New" w:cs="Courier New" w:eastAsia="Courier New" w:hAnsi="Courier New"/>
          <w:sz w:val="14"/>
          <w:szCs w:val="14"/>
          <w:color w:val="auto"/>
        </w:rPr>
        <w:t>Exclusive Advertising Agency Agreement dated February 3, 2000 between Guangzhou NetEase Computer System Co., Ltd. and NetEase.com, Inc. (incorporated by reference to Exhibit 10.13 from the company's Registration Statement on Form F-1 (file no. 333-11724) filed with the Securities and Exchange Commission on March 27, 2000)</w:t>
      </w:r>
    </w:p>
    <w:p>
      <w:pPr>
        <w:spacing w:after="0" w:line="163" w:lineRule="exact"/>
        <w:rPr>
          <w:sz w:val="20"/>
          <w:szCs w:val="20"/>
          <w:color w:val="auto"/>
        </w:rPr>
      </w:pPr>
    </w:p>
    <w:p>
      <w:pPr>
        <w:ind w:right="3239" w:hanging="786"/>
        <w:spacing w:after="0" w:line="236" w:lineRule="auto"/>
        <w:rPr>
          <w:sz w:val="20"/>
          <w:szCs w:val="20"/>
          <w:color w:val="auto"/>
        </w:rPr>
      </w:pPr>
      <w:r>
        <w:rPr>
          <w:rFonts w:ascii="Courier New" w:cs="Courier New" w:eastAsia="Courier New" w:hAnsi="Courier New"/>
          <w:sz w:val="15"/>
          <w:szCs w:val="15"/>
          <w:color w:val="auto"/>
        </w:rPr>
        <w:t>4.19</w:t>
      </w:r>
      <w:r>
        <w:rPr>
          <w:sz w:val="20"/>
          <w:szCs w:val="20"/>
          <w:color w:val="auto"/>
        </w:rPr>
        <w:t xml:space="preserve"> </w:t>
      </w:r>
      <w:r>
        <w:rPr>
          <w:rFonts w:ascii="Courier New" w:cs="Courier New" w:eastAsia="Courier New" w:hAnsi="Courier New"/>
          <w:sz w:val="15"/>
          <w:szCs w:val="15"/>
          <w:color w:val="auto"/>
        </w:rPr>
        <w:t>Notice of Renewal dated April 2, 2001 relating to the Exclusive Advertising Agency Agreement dated February 3, 2000 between Guangzhou NetEase Computer System Co., Ltd. and NetEase.com, Inc. (incorporated by reference to Exhibit 4.18 from the company's Annual Report on Form 20-F for the year ended December 31, 2000 filed with the Securities and Exchange Commission on August 31, 2001)</w:t>
      </w:r>
    </w:p>
    <w:p>
      <w:pPr>
        <w:spacing w:after="0" w:line="175" w:lineRule="exact"/>
        <w:rPr>
          <w:sz w:val="20"/>
          <w:szCs w:val="20"/>
          <w:color w:val="auto"/>
        </w:rPr>
      </w:pPr>
    </w:p>
    <w:p>
      <w:pPr>
        <w:ind w:right="3499" w:hanging="786"/>
        <w:spacing w:after="0" w:line="256" w:lineRule="auto"/>
        <w:rPr>
          <w:sz w:val="20"/>
          <w:szCs w:val="20"/>
          <w:color w:val="auto"/>
        </w:rPr>
      </w:pPr>
      <w:r>
        <w:rPr>
          <w:rFonts w:ascii="Courier New" w:cs="Courier New" w:eastAsia="Courier New" w:hAnsi="Courier New"/>
          <w:sz w:val="15"/>
          <w:szCs w:val="15"/>
          <w:color w:val="auto"/>
        </w:rPr>
        <w:t>4.20</w:t>
      </w:r>
      <w:r>
        <w:rPr>
          <w:sz w:val="20"/>
          <w:szCs w:val="20"/>
          <w:color w:val="auto"/>
        </w:rPr>
        <w:t xml:space="preserve"> </w:t>
      </w:r>
      <w:r>
        <w:rPr>
          <w:rFonts w:ascii="Courier New" w:cs="Courier New" w:eastAsia="Courier New" w:hAnsi="Courier New"/>
          <w:sz w:val="14"/>
          <w:szCs w:val="14"/>
          <w:color w:val="auto"/>
        </w:rPr>
        <w:t>Trademark Transfer Agreement dated March 29, 2000 between Guangzhou NetEase Computer System Co., Ltd. and NetEase Information Technology (Beijing) Co., Ltd. (incorporated by reference to Exhibit 10.14 from Amendment No. 1 to the company's Registration Statement on Form F-1 (file no. 333-11724) filed with the Securities and</w:t>
      </w:r>
    </w:p>
    <w:p>
      <w:pPr>
        <w:spacing w:after="0" w:line="15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9439"/>
          </w:cols>
          <w:pgMar w:left="1020" w:top="624"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Exchange Commission on May 15, 2000)</w:t>
      </w:r>
    </w:p>
    <w:p>
      <w:pPr>
        <w:spacing w:after="0" w:line="173" w:lineRule="exact"/>
        <w:rPr>
          <w:sz w:val="20"/>
          <w:szCs w:val="20"/>
          <w:color w:val="auto"/>
        </w:rPr>
      </w:pPr>
    </w:p>
    <w:p>
      <w:pPr>
        <w:ind w:right="3239" w:hanging="786"/>
        <w:spacing w:after="0" w:line="256" w:lineRule="auto"/>
        <w:rPr>
          <w:sz w:val="20"/>
          <w:szCs w:val="20"/>
          <w:color w:val="auto"/>
        </w:rPr>
      </w:pPr>
      <w:r>
        <w:rPr>
          <w:rFonts w:ascii="Courier New" w:cs="Courier New" w:eastAsia="Courier New" w:hAnsi="Courier New"/>
          <w:sz w:val="15"/>
          <w:szCs w:val="15"/>
          <w:color w:val="auto"/>
        </w:rPr>
        <w:t>4.21</w:t>
      </w:r>
      <w:r>
        <w:rPr>
          <w:sz w:val="20"/>
          <w:szCs w:val="20"/>
          <w:color w:val="auto"/>
        </w:rPr>
        <w:t xml:space="preserve"> </w:t>
      </w:r>
      <w:r>
        <w:rPr>
          <w:rFonts w:ascii="Courier New" w:cs="Courier New" w:eastAsia="Courier New" w:hAnsi="Courier New"/>
          <w:sz w:val="14"/>
          <w:szCs w:val="14"/>
          <w:color w:val="auto"/>
        </w:rPr>
        <w:t>Online Advertising Agreement dated February 15, 2000 between Guangzhou NetEase Computer System Co., Ltd. and Beijing Guangyitong Advertising Co., Ltd. (incorporated by reference to Exhibit 10.15 from the company's Registration Statement on Form F-1 (file no. 333-11724) filed with the Securities and Exchange Commission on March 27, 2000)</w:t>
      </w:r>
    </w:p>
    <w:p>
      <w:pPr>
        <w:spacing w:after="0" w:line="163" w:lineRule="exact"/>
        <w:rPr>
          <w:sz w:val="20"/>
          <w:szCs w:val="20"/>
          <w:color w:val="auto"/>
        </w:rPr>
      </w:pPr>
    </w:p>
    <w:p>
      <w:pPr>
        <w:ind w:right="3399" w:hanging="786"/>
        <w:spacing w:after="0" w:line="236" w:lineRule="auto"/>
        <w:rPr>
          <w:sz w:val="20"/>
          <w:szCs w:val="20"/>
          <w:color w:val="auto"/>
        </w:rPr>
      </w:pPr>
      <w:r>
        <w:rPr>
          <w:rFonts w:ascii="Courier New" w:cs="Courier New" w:eastAsia="Courier New" w:hAnsi="Courier New"/>
          <w:sz w:val="15"/>
          <w:szCs w:val="15"/>
          <w:color w:val="auto"/>
        </w:rPr>
        <w:t>4.22</w:t>
      </w:r>
      <w:r>
        <w:rPr>
          <w:sz w:val="20"/>
          <w:szCs w:val="20"/>
          <w:color w:val="auto"/>
        </w:rPr>
        <w:t xml:space="preserve"> </w:t>
      </w:r>
      <w:r>
        <w:rPr>
          <w:rFonts w:ascii="Courier New" w:cs="Courier New" w:eastAsia="Courier New" w:hAnsi="Courier New"/>
          <w:sz w:val="15"/>
          <w:szCs w:val="15"/>
          <w:color w:val="auto"/>
        </w:rPr>
        <w:t>Notice of Renewal dated April 2, 2001 relating to the Online Advertising Agreement dated February 15, 2000 and made between Guangzhou NetEase Computer System Co., Ltd. and Beijing Guangyitong Advertising Co., Ltd. (incorporated by reference to Exhibit 4.21 from the company's Annual Report on Form 20-F for the year ended December 31, 2000 filed with the Securities and Exchange Commission on August 31, 2001)</w:t>
      </w:r>
    </w:p>
    <w:p>
      <w:pPr>
        <w:spacing w:after="0" w:line="176" w:lineRule="exact"/>
        <w:rPr>
          <w:sz w:val="20"/>
          <w:szCs w:val="20"/>
          <w:color w:val="auto"/>
        </w:rPr>
      </w:pPr>
    </w:p>
    <w:p>
      <w:pPr>
        <w:ind w:right="3239" w:hanging="786"/>
        <w:spacing w:after="0" w:line="254" w:lineRule="auto"/>
        <w:rPr>
          <w:sz w:val="20"/>
          <w:szCs w:val="20"/>
          <w:color w:val="auto"/>
        </w:rPr>
      </w:pPr>
      <w:r>
        <w:rPr>
          <w:rFonts w:ascii="Courier New" w:cs="Courier New" w:eastAsia="Courier New" w:hAnsi="Courier New"/>
          <w:sz w:val="15"/>
          <w:szCs w:val="15"/>
          <w:color w:val="auto"/>
        </w:rPr>
        <w:t>4.23</w:t>
      </w:r>
      <w:r>
        <w:rPr>
          <w:sz w:val="20"/>
          <w:szCs w:val="20"/>
          <w:color w:val="auto"/>
        </w:rPr>
        <w:t xml:space="preserve"> </w:t>
      </w:r>
      <w:r>
        <w:rPr>
          <w:rFonts w:ascii="Courier New" w:cs="Courier New" w:eastAsia="Courier New" w:hAnsi="Courier New"/>
          <w:sz w:val="14"/>
          <w:szCs w:val="14"/>
          <w:color w:val="auto"/>
        </w:rPr>
        <w:t>Amended and Restated Investors' Rights Agreement, dated March 28, 2000 among NetEase.com, Inc., Baring Asia Private Equity Investments XI Limited, The Goldman Sachs Group, Inc., Softbank China Venture Investments No. 1 Limited, Best Alliance Profits Limited and Shining Globe International Limited (incorporated by reference to Exhibit 10.16 from the company's Registration Statement on Form F-1 (file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333-11724) filed with the Securities and Exchange Commission on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27, 2000)</w:t>
      </w:r>
    </w:p>
    <w:p>
      <w:pPr>
        <w:spacing w:after="0" w:line="173" w:lineRule="exact"/>
        <w:rPr>
          <w:sz w:val="20"/>
          <w:szCs w:val="20"/>
          <w:color w:val="auto"/>
        </w:rPr>
      </w:pPr>
    </w:p>
    <w:p>
      <w:pPr>
        <w:ind w:right="3499" w:hanging="786"/>
        <w:spacing w:after="0" w:line="261" w:lineRule="auto"/>
        <w:rPr>
          <w:sz w:val="20"/>
          <w:szCs w:val="20"/>
          <w:color w:val="auto"/>
        </w:rPr>
      </w:pPr>
      <w:r>
        <w:rPr>
          <w:rFonts w:ascii="Courier New" w:cs="Courier New" w:eastAsia="Courier New" w:hAnsi="Courier New"/>
          <w:sz w:val="15"/>
          <w:szCs w:val="15"/>
          <w:color w:val="auto"/>
        </w:rPr>
        <w:t>4.24</w:t>
      </w:r>
      <w:r>
        <w:rPr>
          <w:sz w:val="20"/>
          <w:szCs w:val="20"/>
          <w:color w:val="auto"/>
        </w:rPr>
        <w:t xml:space="preserve"> </w:t>
      </w:r>
      <w:r>
        <w:rPr>
          <w:rFonts w:ascii="Courier New" w:cs="Courier New" w:eastAsia="Courier New" w:hAnsi="Courier New"/>
          <w:sz w:val="14"/>
          <w:szCs w:val="14"/>
          <w:color w:val="auto"/>
        </w:rPr>
        <w:t>Tenancy Agreement dated October 31, 2002 between NetEase Information Technology (Beijing) Co., Ltd. and Beijing Oriental Plaza Co., Ltd.</w:t>
      </w:r>
    </w:p>
    <w:p>
      <w:pPr>
        <w:spacing w:after="0" w:line="160" w:lineRule="exact"/>
        <w:rPr>
          <w:sz w:val="20"/>
          <w:szCs w:val="20"/>
          <w:color w:val="auto"/>
        </w:rPr>
      </w:pPr>
    </w:p>
    <w:p>
      <w:pPr>
        <w:ind w:right="3319" w:hanging="786"/>
        <w:spacing w:after="0" w:line="236" w:lineRule="auto"/>
        <w:rPr>
          <w:sz w:val="20"/>
          <w:szCs w:val="20"/>
          <w:color w:val="auto"/>
        </w:rPr>
      </w:pPr>
      <w:r>
        <w:rPr>
          <w:rFonts w:ascii="Courier New" w:cs="Courier New" w:eastAsia="Courier New" w:hAnsi="Courier New"/>
          <w:sz w:val="15"/>
          <w:szCs w:val="15"/>
          <w:color w:val="auto"/>
        </w:rPr>
        <w:t>4.25</w:t>
      </w:r>
      <w:r>
        <w:rPr>
          <w:sz w:val="20"/>
          <w:szCs w:val="20"/>
          <w:color w:val="auto"/>
        </w:rPr>
        <w:t xml:space="preserve"> </w:t>
      </w:r>
      <w:r>
        <w:rPr>
          <w:rFonts w:ascii="Courier New" w:cs="Courier New" w:eastAsia="Courier New" w:hAnsi="Courier New"/>
          <w:sz w:val="15"/>
          <w:szCs w:val="15"/>
          <w:color w:val="auto"/>
        </w:rPr>
        <w:t>Strategic Cooperation Agreement dated March 23, 2000 between NetEase.com, Inc. and News Digital Ventures (incorporated by reference to Exhibit 10.23 from the company's Registration Statement on Form F-1 (file no. 333-11724) filed with the Securities and Exchange Commission on March 27, 2000)</w:t>
      </w:r>
    </w:p>
    <w:p>
      <w:pPr>
        <w:spacing w:after="0" w:line="174" w:lineRule="exact"/>
        <w:rPr>
          <w:sz w:val="20"/>
          <w:szCs w:val="20"/>
          <w:color w:val="auto"/>
        </w:rPr>
      </w:pPr>
    </w:p>
    <w:p>
      <w:pPr>
        <w:ind w:right="3239" w:hanging="786"/>
        <w:spacing w:after="0" w:line="236" w:lineRule="auto"/>
        <w:rPr>
          <w:sz w:val="20"/>
          <w:szCs w:val="20"/>
          <w:color w:val="auto"/>
        </w:rPr>
      </w:pPr>
      <w:r>
        <w:rPr>
          <w:rFonts w:ascii="Courier New" w:cs="Courier New" w:eastAsia="Courier New" w:hAnsi="Courier New"/>
          <w:sz w:val="15"/>
          <w:szCs w:val="15"/>
          <w:color w:val="auto"/>
        </w:rPr>
        <w:t>4.26</w:t>
      </w:r>
      <w:r>
        <w:rPr>
          <w:sz w:val="20"/>
          <w:szCs w:val="20"/>
          <w:color w:val="auto"/>
        </w:rPr>
        <w:t xml:space="preserve"> </w:t>
      </w:r>
      <w:r>
        <w:rPr>
          <w:rFonts w:ascii="Courier New" w:cs="Courier New" w:eastAsia="Courier New" w:hAnsi="Courier New"/>
          <w:sz w:val="15"/>
          <w:szCs w:val="15"/>
          <w:color w:val="auto"/>
        </w:rPr>
        <w:t>Amendment No. 1 dated June 22, 2000 to the Strategic Cooperation Agreement between NetEase.com, Inc. and News Digital Ventures (incorporated by reference to Exhibit 4.26 from the company's Annual Report on Form 20-F for the year ended December 31, 2000 filed with the Securities and Exchange Commission on August 31, 2001)</w:t>
      </w:r>
    </w:p>
    <w:p>
      <w:pPr>
        <w:spacing w:after="0" w:line="174" w:lineRule="exact"/>
        <w:rPr>
          <w:sz w:val="20"/>
          <w:szCs w:val="20"/>
          <w:color w:val="auto"/>
        </w:rPr>
      </w:pPr>
    </w:p>
    <w:p>
      <w:pPr>
        <w:ind w:right="3239" w:hanging="786"/>
        <w:spacing w:after="0" w:line="236" w:lineRule="auto"/>
        <w:rPr>
          <w:sz w:val="20"/>
          <w:szCs w:val="20"/>
          <w:color w:val="auto"/>
        </w:rPr>
      </w:pPr>
      <w:r>
        <w:rPr>
          <w:rFonts w:ascii="Courier New" w:cs="Courier New" w:eastAsia="Courier New" w:hAnsi="Courier New"/>
          <w:sz w:val="15"/>
          <w:szCs w:val="15"/>
          <w:color w:val="auto"/>
        </w:rPr>
        <w:t>4.27</w:t>
      </w:r>
      <w:r>
        <w:rPr>
          <w:sz w:val="20"/>
          <w:szCs w:val="20"/>
          <w:color w:val="auto"/>
        </w:rPr>
        <w:t xml:space="preserve"> </w:t>
      </w:r>
      <w:r>
        <w:rPr>
          <w:rFonts w:ascii="Courier New" w:cs="Courier New" w:eastAsia="Courier New" w:hAnsi="Courier New"/>
          <w:sz w:val="15"/>
          <w:szCs w:val="15"/>
          <w:color w:val="auto"/>
        </w:rPr>
        <w:t>Amendment No. 2 dated September 1, 2000 to the Strategic Cooperation Agreement between NetEase.com, Inc. and News Digital Ventures (incorporated by reference to Exhibit 4.27 from the company's Annual Report on Form 20-F for the year ended December 31, 2000 filed with the Securities and Exchange Commission on August 31, 2001)</w:t>
      </w:r>
    </w:p>
    <w:p>
      <w:pPr>
        <w:spacing w:after="0" w:line="174" w:lineRule="exact"/>
        <w:rPr>
          <w:sz w:val="20"/>
          <w:szCs w:val="20"/>
          <w:color w:val="auto"/>
        </w:rPr>
      </w:pPr>
    </w:p>
    <w:p>
      <w:pPr>
        <w:ind w:right="3319" w:hanging="786"/>
        <w:spacing w:after="0" w:line="235" w:lineRule="auto"/>
        <w:rPr>
          <w:sz w:val="20"/>
          <w:szCs w:val="20"/>
          <w:color w:val="auto"/>
        </w:rPr>
      </w:pPr>
      <w:r>
        <w:rPr>
          <w:rFonts w:ascii="Courier New" w:cs="Courier New" w:eastAsia="Courier New" w:hAnsi="Courier New"/>
          <w:sz w:val="15"/>
          <w:szCs w:val="15"/>
          <w:color w:val="auto"/>
        </w:rPr>
        <w:t>4.28</w:t>
      </w:r>
      <w:r>
        <w:rPr>
          <w:sz w:val="20"/>
          <w:szCs w:val="20"/>
          <w:color w:val="auto"/>
        </w:rPr>
        <w:t xml:space="preserve"> </w:t>
      </w:r>
      <w:r>
        <w:rPr>
          <w:rFonts w:ascii="Courier New" w:cs="Courier New" w:eastAsia="Courier New" w:hAnsi="Courier New"/>
          <w:sz w:val="15"/>
          <w:szCs w:val="15"/>
          <w:color w:val="auto"/>
        </w:rPr>
        <w:t>Letter Agreement dated as of February 24, 2003 regarding the Strategic Cooperation Agreement between NetEase.com, Inc. and News Digital Ventures</w:t>
      </w:r>
    </w:p>
    <w:p>
      <w:pPr>
        <w:spacing w:after="0" w:line="174" w:lineRule="exact"/>
        <w:rPr>
          <w:sz w:val="20"/>
          <w:szCs w:val="20"/>
          <w:color w:val="auto"/>
        </w:rPr>
      </w:pPr>
    </w:p>
    <w:p>
      <w:pPr>
        <w:ind w:right="3399" w:hanging="786"/>
        <w:spacing w:after="0" w:line="236" w:lineRule="auto"/>
        <w:rPr>
          <w:sz w:val="20"/>
          <w:szCs w:val="20"/>
          <w:color w:val="auto"/>
        </w:rPr>
      </w:pPr>
      <w:r>
        <w:rPr>
          <w:rFonts w:ascii="Courier New" w:cs="Courier New" w:eastAsia="Courier New" w:hAnsi="Courier New"/>
          <w:sz w:val="15"/>
          <w:szCs w:val="15"/>
          <w:color w:val="auto"/>
        </w:rPr>
        <w:t>4.29</w:t>
      </w:r>
      <w:r>
        <w:rPr>
          <w:sz w:val="20"/>
          <w:szCs w:val="20"/>
          <w:color w:val="auto"/>
        </w:rPr>
        <w:t xml:space="preserve"> </w:t>
      </w:r>
      <w:r>
        <w:rPr>
          <w:rFonts w:ascii="Courier New" w:cs="Courier New" w:eastAsia="Courier New" w:hAnsi="Courier New"/>
          <w:sz w:val="15"/>
          <w:szCs w:val="15"/>
          <w:color w:val="auto"/>
        </w:rPr>
        <w:t>Supplemental Agreement dated May 10, 2000 (amending the Domain Name License Agreement) between NetEase.com, Inc. and Guangzhou NetEase Computer System Co., Ltd. (incorporated by reference to Exhibit 10.37 from Amendment No. 1 to the company's Registration Statement on Form F-1 (file no. 333-11724) filed with the Securities and Exchange Commission on May 15, 2000)</w:t>
      </w:r>
    </w:p>
    <w:p>
      <w:pPr>
        <w:spacing w:after="0" w:line="175" w:lineRule="exact"/>
        <w:rPr>
          <w:sz w:val="20"/>
          <w:szCs w:val="20"/>
          <w:color w:val="auto"/>
        </w:rPr>
      </w:pPr>
    </w:p>
    <w:p>
      <w:pPr>
        <w:ind w:right="3239" w:hanging="786"/>
        <w:spacing w:after="0" w:line="256" w:lineRule="auto"/>
        <w:rPr>
          <w:sz w:val="20"/>
          <w:szCs w:val="20"/>
          <w:color w:val="auto"/>
        </w:rPr>
      </w:pPr>
      <w:r>
        <w:rPr>
          <w:rFonts w:ascii="Courier New" w:cs="Courier New" w:eastAsia="Courier New" w:hAnsi="Courier New"/>
          <w:sz w:val="15"/>
          <w:szCs w:val="15"/>
          <w:color w:val="auto"/>
        </w:rPr>
        <w:t>4.30</w:t>
      </w:r>
      <w:r>
        <w:rPr>
          <w:sz w:val="20"/>
          <w:szCs w:val="20"/>
          <w:color w:val="auto"/>
        </w:rPr>
        <w:t xml:space="preserve"> </w:t>
      </w:r>
      <w:r>
        <w:rPr>
          <w:rFonts w:ascii="Courier New" w:cs="Courier New" w:eastAsia="Courier New" w:hAnsi="Courier New"/>
          <w:sz w:val="14"/>
          <w:szCs w:val="14"/>
          <w:color w:val="auto"/>
        </w:rPr>
        <w:t>Agreement dated May 11, 2000 between NetEase Information Technology (Beijing) Co., Ltd. and Guangzhou NetEase Computer System Co., Ltd. (incorporated by reference to Exhibit 10.41 from Amendment No. 1 to the company's Registration Statement on Form F-1 (file no. 333-11724) filed with the Securities and Exchange Commission on May 15, 2000)</w:t>
      </w:r>
    </w:p>
    <w:p>
      <w:pPr>
        <w:spacing w:after="0" w:line="163" w:lineRule="exact"/>
        <w:rPr>
          <w:sz w:val="20"/>
          <w:szCs w:val="20"/>
          <w:color w:val="auto"/>
        </w:rPr>
      </w:pPr>
    </w:p>
    <w:p>
      <w:pPr>
        <w:ind w:right="3499" w:hanging="786"/>
        <w:spacing w:after="0" w:line="236" w:lineRule="auto"/>
        <w:rPr>
          <w:sz w:val="20"/>
          <w:szCs w:val="20"/>
          <w:color w:val="auto"/>
        </w:rPr>
      </w:pPr>
      <w:r>
        <w:rPr>
          <w:rFonts w:ascii="Courier New" w:cs="Courier New" w:eastAsia="Courier New" w:hAnsi="Courier New"/>
          <w:sz w:val="15"/>
          <w:szCs w:val="15"/>
          <w:color w:val="auto"/>
        </w:rPr>
        <w:t>4.31</w:t>
      </w:r>
      <w:r>
        <w:rPr>
          <w:sz w:val="20"/>
          <w:szCs w:val="20"/>
          <w:color w:val="auto"/>
        </w:rPr>
        <w:t xml:space="preserve"> </w:t>
      </w:r>
      <w:r>
        <w:rPr>
          <w:rFonts w:ascii="Courier New" w:cs="Courier New" w:eastAsia="Courier New" w:hAnsi="Courier New"/>
          <w:sz w:val="15"/>
          <w:szCs w:val="15"/>
          <w:color w:val="auto"/>
        </w:rPr>
        <w:t>Operating Agreement dated May 10, 2000 among NetEase Information Technology (Beijing) Co., Ltd., Beijing Guangyitong Advertising Co., Ltd., Bo Ding and William Lei Ding (incorporated by reference to Exhibit 10.42 from Amendment No. 1 to the company's Registration Statement on Form F-1 (file no. 333-11724) filed with the Securities and</w:t>
      </w:r>
    </w:p>
    <w:p>
      <w:pPr>
        <w:spacing w:after="0" w:line="16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9439"/>
          </w:cols>
          <w:pgMar w:left="1020" w:top="617" w:right="1440" w:bottom="1440" w:gutter="0" w:footer="0" w:header="0"/>
        </w:sectPr>
      </w:pPr>
    </w:p>
    <w:bookmarkStart w:id="101" w:name="page102"/>
    <w:bookmarkEnd w:id="101"/>
    <w:p>
      <w:pPr>
        <w:ind w:left="800"/>
        <w:spacing w:after="0"/>
        <w:rPr>
          <w:sz w:val="20"/>
          <w:szCs w:val="20"/>
          <w:color w:val="auto"/>
        </w:rPr>
      </w:pPr>
      <w:r>
        <w:rPr>
          <w:rFonts w:ascii="Courier New" w:cs="Courier New" w:eastAsia="Courier New" w:hAnsi="Courier New"/>
          <w:sz w:val="15"/>
          <w:szCs w:val="15"/>
          <w:color w:val="auto"/>
        </w:rPr>
        <w:t>Exchange Commission on May 15, 2000)</w:t>
      </w:r>
    </w:p>
    <w:p>
      <w:pPr>
        <w:spacing w:after="0" w:line="173" w:lineRule="exact"/>
        <w:rPr>
          <w:sz w:val="20"/>
          <w:szCs w:val="20"/>
          <w:color w:val="auto"/>
        </w:rPr>
      </w:pPr>
    </w:p>
    <w:p>
      <w:pPr>
        <w:ind w:left="800" w:right="339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4.32</w:t>
      </w:r>
      <w:r>
        <w:rPr>
          <w:sz w:val="20"/>
          <w:szCs w:val="20"/>
          <w:color w:val="auto"/>
        </w:rPr>
        <w:tab/>
      </w:r>
      <w:r>
        <w:rPr>
          <w:rFonts w:ascii="Courier New" w:cs="Courier New" w:eastAsia="Courier New" w:hAnsi="Courier New"/>
          <w:sz w:val="14"/>
          <w:szCs w:val="14"/>
          <w:color w:val="auto"/>
        </w:rPr>
        <w:t>Supplemental Agreement dated May 12, 2000 (supplementing the Online Advertising Agreement dated February 15, 2000) between Guangzhou NetEase Computer System Co., Ltd. and Beijing Guangyitong Advertising Co., Ltd. (incorporated by reference to Exhibit 10.47 from Amendment No. 1 to the company's Registration Statement on Form F-1 (file no.</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333-11724) filed with the Securities and Exchange Commission on May 15,</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2000)</w:t>
      </w:r>
    </w:p>
    <w:p>
      <w:pPr>
        <w:spacing w:after="0" w:line="17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4.33</w:t>
      </w:r>
      <w:r>
        <w:rPr>
          <w:sz w:val="20"/>
          <w:szCs w:val="20"/>
          <w:color w:val="auto"/>
        </w:rPr>
        <w:tab/>
      </w:r>
      <w:r>
        <w:rPr>
          <w:rFonts w:ascii="Courier New" w:cs="Courier New" w:eastAsia="Courier New" w:hAnsi="Courier New"/>
          <w:sz w:val="15"/>
          <w:szCs w:val="15"/>
          <w:color w:val="auto"/>
        </w:rPr>
        <w:t>Supplemental Agreement dated May 15, 2000 (supplementing the Domain Name License Agreement dated February 3, 2000) between NetEase.com, Inc. and Guangzhou NetEase Computer System Co., Ltd. (incorporated by reference to Exhibit 10.48 from Amendment No. 1 to the company's Registration Statement on Form F-1 (file no. 333-11724) filed with the Securities and Exchange Commission on May 15, 2000)</w:t>
      </w:r>
    </w:p>
    <w:p>
      <w:pPr>
        <w:spacing w:after="0" w:line="175"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4.34</w:t>
      </w:r>
      <w:r>
        <w:rPr>
          <w:sz w:val="20"/>
          <w:szCs w:val="20"/>
          <w:color w:val="auto"/>
        </w:rPr>
        <w:tab/>
      </w:r>
      <w:r>
        <w:rPr>
          <w:rFonts w:ascii="Courier New" w:cs="Courier New" w:eastAsia="Courier New" w:hAnsi="Courier New"/>
          <w:sz w:val="15"/>
          <w:szCs w:val="15"/>
          <w:color w:val="auto"/>
        </w:rPr>
        <w:t>Letter of Agreement, dated June 6, 2000, among William Lei Ding, Bo Ding and NetEase.com, Inc. (incorporated by reference to Exhibit 10.49 from Amendment No. 2 to the company's Registration Statement on Form F-1 (file no. 333-11724) filed with the Securities and Exchange Commission on June 15, 2000)</w:t>
      </w:r>
    </w:p>
    <w:p>
      <w:pPr>
        <w:spacing w:after="0" w:line="174" w:lineRule="exact"/>
        <w:rPr>
          <w:sz w:val="20"/>
          <w:szCs w:val="20"/>
          <w:color w:val="auto"/>
        </w:rPr>
      </w:pPr>
    </w:p>
    <w:p>
      <w:pPr>
        <w:ind w:left="800" w:right="323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4.35</w:t>
      </w:r>
      <w:r>
        <w:rPr>
          <w:sz w:val="20"/>
          <w:szCs w:val="20"/>
          <w:color w:val="auto"/>
        </w:rPr>
        <w:tab/>
      </w:r>
      <w:r>
        <w:rPr>
          <w:rFonts w:ascii="Courier New" w:cs="Courier New" w:eastAsia="Courier New" w:hAnsi="Courier New"/>
          <w:sz w:val="14"/>
          <w:szCs w:val="14"/>
          <w:color w:val="auto"/>
        </w:rPr>
        <w:t>Supplemental Agreement dated June 15, 2000 (supplementing the Online Advertising Agreement dated February 15, 2000), between Beijing Guangyitong Advertising Co., Ltd. and Guangzhou NetEase Computer System Co., Ltd. (incorporated by reference to Exhibit 10.50 from Amendment No. 2 to the company's Registration Statement on Form F-1 (file no.</w:t>
      </w:r>
    </w:p>
    <w:p>
      <w:pPr>
        <w:ind w:left="800"/>
        <w:spacing w:after="0" w:line="233" w:lineRule="auto"/>
        <w:rPr>
          <w:sz w:val="20"/>
          <w:szCs w:val="20"/>
          <w:color w:val="auto"/>
        </w:rPr>
      </w:pPr>
      <w:r>
        <w:rPr>
          <w:rFonts w:ascii="Courier New" w:cs="Courier New" w:eastAsia="Courier New" w:hAnsi="Courier New"/>
          <w:sz w:val="15"/>
          <w:szCs w:val="15"/>
          <w:color w:val="auto"/>
        </w:rPr>
        <w:t>333-11724) filed with the Securities and Exchange Commission on June</w:t>
      </w:r>
    </w:p>
    <w:p>
      <w:pPr>
        <w:ind w:left="800"/>
        <w:spacing w:after="0" w:line="237" w:lineRule="auto"/>
        <w:rPr>
          <w:sz w:val="20"/>
          <w:szCs w:val="20"/>
          <w:color w:val="auto"/>
        </w:rPr>
      </w:pPr>
      <w:r>
        <w:rPr>
          <w:rFonts w:ascii="Courier New" w:cs="Courier New" w:eastAsia="Courier New" w:hAnsi="Courier New"/>
          <w:sz w:val="15"/>
          <w:szCs w:val="15"/>
          <w:color w:val="auto"/>
        </w:rPr>
        <w:t>15, 2000)</w:t>
      </w:r>
    </w:p>
    <w:p>
      <w:pPr>
        <w:spacing w:after="0" w:line="174"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4.36</w:t>
      </w:r>
      <w:r>
        <w:rPr>
          <w:sz w:val="20"/>
          <w:szCs w:val="20"/>
          <w:color w:val="auto"/>
        </w:rPr>
        <w:tab/>
      </w:r>
      <w:r>
        <w:rPr>
          <w:rFonts w:ascii="Courier New" w:cs="Courier New" w:eastAsia="Courier New" w:hAnsi="Courier New"/>
          <w:sz w:val="15"/>
          <w:szCs w:val="15"/>
          <w:color w:val="auto"/>
        </w:rPr>
        <w:t>Supplemental Agreement dated June 15, 2000 (supplementing the Exclusive Consulting and Services Agreement dated February 3, 2000), between NetEase Information Technology (Beijing) Co., Ltd. and Beijing Guangyitong Advertising Co., Ltd. (incorporated by reference to Exhibit 10.51 from Amendment No. 2 to the company's Registration Statement on Form F-1 (file no. 333-11724) filed with the Securities and Exchange Commission on June 15, 2000)</w:t>
      </w:r>
    </w:p>
    <w:p>
      <w:pPr>
        <w:spacing w:after="0" w:line="176"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4.37</w:t>
      </w:r>
      <w:r>
        <w:rPr>
          <w:sz w:val="20"/>
          <w:szCs w:val="20"/>
          <w:color w:val="auto"/>
        </w:rPr>
        <w:tab/>
      </w:r>
      <w:r>
        <w:rPr>
          <w:rFonts w:ascii="Courier New" w:cs="Courier New" w:eastAsia="Courier New" w:hAnsi="Courier New"/>
          <w:sz w:val="14"/>
          <w:szCs w:val="14"/>
          <w:color w:val="auto"/>
        </w:rPr>
        <w:t>Trademark Assignment Agreement dated August 17, 2001 between Guangzhou NetEase Computer System Co., Ltd. and NetEase Information Technology (Beijing) Co., Ltd and its Supplemental Agreement dated August 27, 2001 (incorporated by reference to Exhibit 4.53 from the company's Annual Report on Form 20-F for the year ended December 31, 2000 filed with the Securities and Exchange Commission on August 31, 2001)</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Subsidiaries of NetEase.com, Inc.</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Consent of PricewaterhouseCoopers, Independent Public Accountants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Consent of Maples and Calder Asia</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Consent of Commerce &amp; Finance Law Office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CEO Certification Pursuant to Section 906 of the Sarbanes-Oxley Act of</w:t>
      </w:r>
    </w:p>
    <w:p>
      <w:pPr>
        <w:ind w:left="800"/>
        <w:spacing w:after="0" w:line="237" w:lineRule="auto"/>
        <w:rPr>
          <w:sz w:val="20"/>
          <w:szCs w:val="20"/>
          <w:color w:val="auto"/>
        </w:rPr>
      </w:pPr>
      <w:r>
        <w:rPr>
          <w:rFonts w:ascii="Courier New" w:cs="Courier New" w:eastAsia="Courier New" w:hAnsi="Courier New"/>
          <w:sz w:val="15"/>
          <w:szCs w:val="15"/>
          <w:color w:val="auto"/>
        </w:rPr>
        <w:t>2002</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CFO Certification Pursuant to Section 906 of the Sarbanes-Oxley Act of</w:t>
      </w:r>
    </w:p>
    <w:p>
      <w:pPr>
        <w:ind w:left="800"/>
        <w:spacing w:after="0" w:line="237" w:lineRule="auto"/>
        <w:rPr>
          <w:sz w:val="20"/>
          <w:szCs w:val="20"/>
          <w:color w:val="auto"/>
        </w:rPr>
      </w:pPr>
      <w:r>
        <w:rPr>
          <w:rFonts w:ascii="Courier New" w:cs="Courier New" w:eastAsia="Courier New" w:hAnsi="Courier New"/>
          <w:sz w:val="15"/>
          <w:szCs w:val="15"/>
          <w:color w:val="auto"/>
        </w:rPr>
        <w:t>2002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17" w:right="1440" w:bottom="1440" w:gutter="0" w:footer="0" w:header="0"/>
        </w:sectPr>
      </w:pPr>
    </w:p>
    <w:bookmarkStart w:id="102" w:name="page103"/>
    <w:bookmarkEnd w:id="10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registrant hereby certifies that it meets all of the requirements for filing on Form 20-F and that it has duly caused and authorized the undersigned to sign this annual report on its behalf.</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Ted Sun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Ted Sun</w:t>
      </w:r>
    </w:p>
    <w:p>
      <w:pPr>
        <w:ind w:left="3860"/>
        <w:spacing w:after="0" w:line="237" w:lineRule="auto"/>
        <w:rPr>
          <w:sz w:val="20"/>
          <w:szCs w:val="20"/>
          <w:color w:val="auto"/>
        </w:rPr>
      </w:pPr>
      <w:r>
        <w:rPr>
          <w:rFonts w:ascii="Courier New" w:cs="Courier New" w:eastAsia="Courier New" w:hAnsi="Courier New"/>
          <w:sz w:val="15"/>
          <w:szCs w:val="15"/>
          <w:color w:val="auto"/>
        </w:rPr>
        <w:t>Acting 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617" w:right="1440" w:bottom="1440" w:gutter="0" w:footer="0" w:header="0"/>
        </w:sectPr>
      </w:pPr>
    </w:p>
    <w:bookmarkStart w:id="103" w:name="page104"/>
    <w:bookmarkEnd w:id="103"/>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 Ted Sun, Acting Chief Executive Officer of NetEase.com, Inc., certify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3" w:lineRule="exact"/>
        <w:rPr>
          <w:sz w:val="20"/>
          <w:szCs w:val="20"/>
          <w:color w:val="auto"/>
        </w:rPr>
      </w:pPr>
    </w:p>
    <w:p>
      <w:pPr>
        <w:ind w:left="800" w:hanging="266"/>
        <w:spacing w:after="0"/>
        <w:tabs>
          <w:tab w:leader="none" w:pos="8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20-F of NetEase.com, Inc.;</w:t>
      </w:r>
    </w:p>
    <w:p>
      <w:pPr>
        <w:spacing w:after="0" w:line="177" w:lineRule="exact"/>
        <w:rPr>
          <w:rFonts w:ascii="Courier New" w:cs="Courier New" w:eastAsia="Courier New" w:hAnsi="Courier New"/>
          <w:sz w:val="14"/>
          <w:szCs w:val="14"/>
          <w:color w:val="auto"/>
        </w:rPr>
      </w:pPr>
    </w:p>
    <w:p>
      <w:pPr>
        <w:ind w:right="3319" w:firstLine="534"/>
        <w:spacing w:after="0" w:line="236" w:lineRule="auto"/>
        <w:tabs>
          <w:tab w:leader="none" w:pos="7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right="3499" w:firstLine="534"/>
        <w:spacing w:after="0" w:line="256" w:lineRule="auto"/>
        <w:tabs>
          <w:tab w:leader="none" w:pos="7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right="3399" w:firstLine="534"/>
        <w:spacing w:after="0" w:line="258" w:lineRule="auto"/>
        <w:tabs>
          <w:tab w:leader="none" w:pos="78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61" w:lineRule="exact"/>
        <w:rPr>
          <w:sz w:val="20"/>
          <w:szCs w:val="20"/>
          <w:color w:val="auto"/>
        </w:rPr>
      </w:pPr>
    </w:p>
    <w:p>
      <w:pPr>
        <w:ind w:right="3319" w:firstLine="534"/>
        <w:spacing w:after="0" w:line="256" w:lineRule="auto"/>
        <w:tabs>
          <w:tab w:leader="none" w:pos="78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4" w:lineRule="exact"/>
        <w:rPr>
          <w:rFonts w:ascii="Courier New" w:cs="Courier New" w:eastAsia="Courier New" w:hAnsi="Courier New"/>
          <w:sz w:val="14"/>
          <w:szCs w:val="14"/>
          <w:color w:val="auto"/>
        </w:rPr>
      </w:pPr>
    </w:p>
    <w:p>
      <w:pPr>
        <w:ind w:right="3239" w:firstLine="534"/>
        <w:spacing w:after="0" w:line="235" w:lineRule="auto"/>
        <w:tabs>
          <w:tab w:leader="none" w:pos="7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7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sz w:val="20"/>
          <w:szCs w:val="20"/>
          <w:color w:val="auto"/>
        </w:rPr>
      </w:pPr>
    </w:p>
    <w:p>
      <w:pPr>
        <w:ind w:right="3319" w:firstLine="534"/>
        <w:spacing w:after="0" w:line="235" w:lineRule="auto"/>
        <w:tabs>
          <w:tab w:leader="none" w:pos="78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5" w:lineRule="exact"/>
        <w:rPr>
          <w:sz w:val="20"/>
          <w:szCs w:val="20"/>
          <w:color w:val="auto"/>
        </w:rPr>
      </w:pPr>
    </w:p>
    <w:p>
      <w:pPr>
        <w:ind w:right="3579" w:firstLine="534"/>
        <w:spacing w:after="0" w:line="256"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Courier New" w:cs="Courier New" w:eastAsia="Courier New" w:hAnsi="Courier New"/>
          <w:sz w:val="14"/>
          <w:szCs w:val="14"/>
          <w:color w:val="auto"/>
        </w:rPr>
      </w:pPr>
    </w:p>
    <w:p>
      <w:pPr>
        <w:ind w:right="3239" w:firstLine="534"/>
        <w:spacing w:after="0" w:line="261" w:lineRule="auto"/>
        <w:tabs>
          <w:tab w:leader="none" w:pos="78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controls; and</w:t>
      </w:r>
    </w:p>
    <w:p>
      <w:pPr>
        <w:spacing w:after="0" w:line="160" w:lineRule="exact"/>
        <w:rPr>
          <w:sz w:val="20"/>
          <w:szCs w:val="20"/>
          <w:color w:val="auto"/>
        </w:rPr>
      </w:pPr>
    </w:p>
    <w:p>
      <w:pPr>
        <w:jc w:val="both"/>
        <w:ind w:right="3239" w:firstLine="534"/>
        <w:spacing w:after="0" w:line="256" w:lineRule="auto"/>
        <w:tabs>
          <w:tab w:leader="none" w:pos="78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26,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Ted Sun</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Ted Sun</w:t>
      </w:r>
    </w:p>
    <w:p>
      <w:pPr>
        <w:ind w:left="360"/>
        <w:spacing w:after="0" w:line="237" w:lineRule="auto"/>
        <w:rPr>
          <w:sz w:val="20"/>
          <w:szCs w:val="20"/>
          <w:color w:val="auto"/>
        </w:rPr>
      </w:pPr>
      <w:r>
        <w:rPr>
          <w:rFonts w:ascii="Courier New" w:cs="Courier New" w:eastAsia="Courier New" w:hAnsi="Courier New"/>
          <w:sz w:val="15"/>
          <w:szCs w:val="15"/>
          <w:color w:val="auto"/>
        </w:rPr>
        <w:t>Acting Chief Executive Officer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617" w:right="1440" w:bottom="1440" w:gutter="0" w:footer="0" w:header="0"/>
        </w:sectPr>
      </w:pPr>
    </w:p>
    <w:bookmarkStart w:id="104" w:name="page105"/>
    <w:bookmarkEnd w:id="104"/>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 Denny Lee, Chief Financial Officer of NetEase.com, Inc., certify that:</w:t>
      </w:r>
    </w:p>
    <w:p>
      <w:pPr>
        <w:spacing w:after="0" w:line="178" w:lineRule="exact"/>
        <w:rPr>
          <w:sz w:val="20"/>
          <w:szCs w:val="20"/>
          <w:color w:val="auto"/>
        </w:rPr>
      </w:pPr>
    </w:p>
    <w:p>
      <w:pPr>
        <w:ind w:left="800" w:hanging="266"/>
        <w:spacing w:after="0"/>
        <w:tabs>
          <w:tab w:leader="none" w:pos="80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20-F of NetEase.com, Inc.;</w:t>
      </w:r>
    </w:p>
    <w:p>
      <w:pPr>
        <w:spacing w:after="0" w:line="177" w:lineRule="exact"/>
        <w:rPr>
          <w:rFonts w:ascii="Courier New" w:cs="Courier New" w:eastAsia="Courier New" w:hAnsi="Courier New"/>
          <w:sz w:val="14"/>
          <w:szCs w:val="14"/>
          <w:color w:val="auto"/>
        </w:rPr>
      </w:pPr>
    </w:p>
    <w:p>
      <w:pPr>
        <w:ind w:right="3319" w:firstLine="534"/>
        <w:spacing w:after="0" w:line="236" w:lineRule="auto"/>
        <w:tabs>
          <w:tab w:leader="none" w:pos="7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right="3499" w:firstLine="534"/>
        <w:spacing w:after="0" w:line="256" w:lineRule="auto"/>
        <w:tabs>
          <w:tab w:leader="none" w:pos="78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right="3399" w:firstLine="534"/>
        <w:spacing w:after="0" w:line="258" w:lineRule="auto"/>
        <w:tabs>
          <w:tab w:leader="none" w:pos="78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61" w:lineRule="exact"/>
        <w:rPr>
          <w:sz w:val="20"/>
          <w:szCs w:val="20"/>
          <w:color w:val="auto"/>
        </w:rPr>
      </w:pPr>
    </w:p>
    <w:p>
      <w:pPr>
        <w:ind w:right="3319" w:firstLine="534"/>
        <w:spacing w:after="0" w:line="256" w:lineRule="auto"/>
        <w:tabs>
          <w:tab w:leader="none" w:pos="78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64" w:lineRule="exact"/>
        <w:rPr>
          <w:rFonts w:ascii="Courier New" w:cs="Courier New" w:eastAsia="Courier New" w:hAnsi="Courier New"/>
          <w:sz w:val="14"/>
          <w:szCs w:val="14"/>
          <w:color w:val="auto"/>
        </w:rPr>
      </w:pPr>
    </w:p>
    <w:p>
      <w:pPr>
        <w:ind w:right="3239" w:firstLine="534"/>
        <w:spacing w:after="0" w:line="235" w:lineRule="auto"/>
        <w:tabs>
          <w:tab w:leader="none" w:pos="7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7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sz w:val="20"/>
          <w:szCs w:val="20"/>
          <w:color w:val="auto"/>
        </w:rPr>
      </w:pPr>
    </w:p>
    <w:p>
      <w:pPr>
        <w:ind w:right="3319" w:firstLine="534"/>
        <w:spacing w:after="0" w:line="235" w:lineRule="auto"/>
        <w:tabs>
          <w:tab w:leader="none" w:pos="7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5" w:lineRule="exact"/>
        <w:rPr>
          <w:sz w:val="20"/>
          <w:szCs w:val="20"/>
          <w:color w:val="auto"/>
        </w:rPr>
      </w:pPr>
    </w:p>
    <w:p>
      <w:pPr>
        <w:ind w:right="3579" w:firstLine="534"/>
        <w:spacing w:after="0" w:line="256" w:lineRule="auto"/>
        <w:tabs>
          <w:tab w:leader="none" w:pos="78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4" w:lineRule="exact"/>
        <w:rPr>
          <w:rFonts w:ascii="Courier New" w:cs="Courier New" w:eastAsia="Courier New" w:hAnsi="Courier New"/>
          <w:sz w:val="14"/>
          <w:szCs w:val="14"/>
          <w:color w:val="auto"/>
        </w:rPr>
      </w:pPr>
    </w:p>
    <w:p>
      <w:pPr>
        <w:ind w:right="3239" w:firstLine="534"/>
        <w:spacing w:after="0" w:line="261" w:lineRule="auto"/>
        <w:tabs>
          <w:tab w:leader="none" w:pos="78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controls; and</w:t>
      </w:r>
    </w:p>
    <w:p>
      <w:pPr>
        <w:spacing w:after="0" w:line="160" w:lineRule="exact"/>
        <w:rPr>
          <w:sz w:val="20"/>
          <w:szCs w:val="20"/>
          <w:color w:val="auto"/>
        </w:rPr>
      </w:pPr>
    </w:p>
    <w:p>
      <w:pPr>
        <w:jc w:val="both"/>
        <w:ind w:right="3239" w:firstLine="534"/>
        <w:spacing w:after="0" w:line="256" w:lineRule="auto"/>
        <w:tabs>
          <w:tab w:leader="none" w:pos="78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26,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Denny Lee</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Denny Lee</w:t>
      </w:r>
    </w:p>
    <w:p>
      <w:pPr>
        <w:ind w:left="360"/>
        <w:spacing w:after="0" w:line="237" w:lineRule="auto"/>
        <w:rPr>
          <w:sz w:val="20"/>
          <w:szCs w:val="20"/>
          <w:color w:val="auto"/>
        </w:rPr>
      </w:pPr>
      <w:r>
        <w:rPr>
          <w:rFonts w:ascii="Courier New" w:cs="Courier New" w:eastAsia="Courier New" w:hAnsi="Courier New"/>
          <w:sz w:val="15"/>
          <w:szCs w:val="15"/>
          <w:color w:val="auto"/>
        </w:rPr>
        <w:t>Chief Financial Officer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617" w:right="1440" w:bottom="1440" w:gutter="0" w:footer="0" w:header="0"/>
        </w:sectPr>
      </w:pPr>
    </w:p>
    <w:bookmarkStart w:id="105" w:name="page106"/>
    <w:bookmarkEnd w:id="105"/>
    <w:p>
      <w:pPr>
        <w:ind w:left="2800"/>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20" w:type="dxa"/>
            <w:vAlign w:val="bottom"/>
          </w:tcPr>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1000" w:type="dxa"/>
            <w:vAlign w:val="bottom"/>
          </w:tcPr>
          <w:p>
            <w:pPr>
              <w:spacing w:after="0"/>
              <w:rPr>
                <w:sz w:val="14"/>
                <w:szCs w:val="14"/>
                <w:color w:val="auto"/>
              </w:rPr>
            </w:pPr>
          </w:p>
        </w:tc>
      </w:tr>
      <w:tr>
        <w:trPr>
          <w:trHeight w:val="673"/>
        </w:trPr>
        <w:tc>
          <w:tcPr>
            <w:tcW w:w="9420" w:type="dxa"/>
            <w:vAlign w:val="bottom"/>
          </w:tcPr>
          <w:p>
            <w:pPr>
              <w:spacing w:after="0"/>
              <w:rPr>
                <w:sz w:val="20"/>
                <w:szCs w:val="20"/>
                <w:color w:val="auto"/>
              </w:rPr>
            </w:pPr>
            <w:r>
              <w:rPr>
                <w:rFonts w:ascii="Courier New" w:cs="Courier New" w:eastAsia="Courier New" w:hAnsi="Courier New"/>
                <w:sz w:val="15"/>
                <w:szCs w:val="15"/>
                <w:color w:val="auto"/>
                <w:w w:val="97"/>
              </w:rPr>
              <w:t>Reports of independent public accountants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F-2 - F3</w:t>
            </w:r>
          </w:p>
        </w:tc>
      </w:tr>
      <w:tr>
        <w:trPr>
          <w:trHeight w:val="336"/>
        </w:trPr>
        <w:tc>
          <w:tcPr>
            <w:tcW w:w="9420" w:type="dxa"/>
            <w:vAlign w:val="bottom"/>
          </w:tcPr>
          <w:p>
            <w:pPr>
              <w:spacing w:after="0"/>
              <w:rPr>
                <w:sz w:val="20"/>
                <w:szCs w:val="20"/>
                <w:color w:val="auto"/>
              </w:rPr>
            </w:pPr>
            <w:r>
              <w:rPr>
                <w:rFonts w:ascii="Courier New" w:cs="Courier New" w:eastAsia="Courier New" w:hAnsi="Courier New"/>
                <w:sz w:val="15"/>
                <w:szCs w:val="15"/>
                <w:color w:val="auto"/>
                <w:w w:val="97"/>
              </w:rPr>
              <w:t>Consolidated balance sheets at December 31, 2001 and 2002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36"/>
        </w:trPr>
        <w:tc>
          <w:tcPr>
            <w:tcW w:w="94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and comprehensive income (loss) for the years</w:t>
            </w:r>
          </w:p>
        </w:tc>
        <w:tc>
          <w:tcPr>
            <w:tcW w:w="1000" w:type="dxa"/>
            <w:vAlign w:val="bottom"/>
          </w:tcPr>
          <w:p>
            <w:pPr>
              <w:spacing w:after="0"/>
              <w:rPr>
                <w:sz w:val="24"/>
                <w:szCs w:val="24"/>
                <w:color w:val="auto"/>
              </w:rPr>
            </w:pPr>
          </w:p>
        </w:tc>
      </w:tr>
      <w:tr>
        <w:trPr>
          <w:trHeight w:val="168"/>
        </w:trPr>
        <w:tc>
          <w:tcPr>
            <w:tcW w:w="9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ended December 31, 2000, 2001 and 2002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F-5 - F-6</w:t>
            </w:r>
          </w:p>
        </w:tc>
      </w:tr>
      <w:tr>
        <w:trPr>
          <w:trHeight w:val="336"/>
        </w:trPr>
        <w:tc>
          <w:tcPr>
            <w:tcW w:w="9420" w:type="dxa"/>
            <w:vAlign w:val="bottom"/>
          </w:tcPr>
          <w:p>
            <w:pPr>
              <w:spacing w:after="0"/>
              <w:rPr>
                <w:sz w:val="20"/>
                <w:szCs w:val="20"/>
                <w:color w:val="auto"/>
              </w:rPr>
            </w:pPr>
            <w:r>
              <w:rPr>
                <w:rFonts w:ascii="Courier New" w:cs="Courier New" w:eastAsia="Courier New" w:hAnsi="Courier New"/>
                <w:sz w:val="15"/>
                <w:szCs w:val="15"/>
                <w:color w:val="auto"/>
              </w:rPr>
              <w:t>Consolidated statements of shareholders' equity for the years ended</w:t>
            </w:r>
          </w:p>
        </w:tc>
        <w:tc>
          <w:tcPr>
            <w:tcW w:w="1000" w:type="dxa"/>
            <w:vAlign w:val="bottom"/>
          </w:tcPr>
          <w:p>
            <w:pPr>
              <w:spacing w:after="0"/>
              <w:rPr>
                <w:sz w:val="24"/>
                <w:szCs w:val="24"/>
                <w:color w:val="auto"/>
              </w:rPr>
            </w:pPr>
          </w:p>
        </w:tc>
      </w:tr>
      <w:tr>
        <w:trPr>
          <w:trHeight w:val="168"/>
        </w:trPr>
        <w:tc>
          <w:tcPr>
            <w:tcW w:w="9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December 31, 2000, 2001 and 2002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F-7 - F-8</w:t>
            </w:r>
          </w:p>
        </w:tc>
      </w:tr>
      <w:tr>
        <w:trPr>
          <w:trHeight w:val="336"/>
        </w:trPr>
        <w:tc>
          <w:tcPr>
            <w:tcW w:w="9420" w:type="dxa"/>
            <w:vAlign w:val="bottom"/>
          </w:tcPr>
          <w:p>
            <w:pPr>
              <w:spacing w:after="0"/>
              <w:rPr>
                <w:sz w:val="20"/>
                <w:szCs w:val="20"/>
                <w:color w:val="auto"/>
              </w:rPr>
            </w:pPr>
            <w:r>
              <w:rPr>
                <w:rFonts w:ascii="Courier New" w:cs="Courier New" w:eastAsia="Courier New" w:hAnsi="Courier New"/>
                <w:sz w:val="15"/>
                <w:szCs w:val="15"/>
                <w:color w:val="auto"/>
                <w:w w:val="97"/>
              </w:rPr>
              <w:t>Consolidated statements of cash flows for the years ended December 31, 2000, 2001 and 2002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F-9 - F-10</w:t>
            </w:r>
          </w:p>
        </w:tc>
      </w:tr>
      <w:tr>
        <w:trPr>
          <w:trHeight w:val="336"/>
        </w:trPr>
        <w:tc>
          <w:tcPr>
            <w:tcW w:w="9420" w:type="dxa"/>
            <w:vAlign w:val="bottom"/>
          </w:tcPr>
          <w:p>
            <w:pPr>
              <w:spacing w:after="0"/>
              <w:rPr>
                <w:sz w:val="20"/>
                <w:szCs w:val="20"/>
                <w:color w:val="auto"/>
              </w:rPr>
            </w:pPr>
            <w:r>
              <w:rPr>
                <w:rFonts w:ascii="Courier New" w:cs="Courier New" w:eastAsia="Courier New" w:hAnsi="Courier New"/>
                <w:sz w:val="15"/>
                <w:szCs w:val="15"/>
                <w:color w:val="auto"/>
                <w:w w:val="97"/>
              </w:rPr>
              <w:t>Notes to the consolidated financial statements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F-11 - F-36</w:t>
            </w:r>
          </w:p>
        </w:tc>
      </w:tr>
      <w:tr>
        <w:trPr>
          <w:trHeight w:val="505"/>
        </w:trPr>
        <w:tc>
          <w:tcPr>
            <w:tcW w:w="942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1000" w:type="dxa"/>
            <w:vAlign w:val="bottom"/>
          </w:tcPr>
          <w:p>
            <w:pPr>
              <w:spacing w:after="0"/>
              <w:rPr>
                <w:sz w:val="24"/>
                <w:szCs w:val="24"/>
                <w:color w:val="auto"/>
              </w:rPr>
            </w:pPr>
          </w:p>
        </w:tc>
      </w:tr>
    </w:tbl>
    <w:p>
      <w:pPr>
        <w:sectPr>
          <w:pgSz w:w="11900" w:h="16838" w:orient="portrait"/>
          <w:cols w:equalWidth="0" w:num="1">
            <w:col w:w="10420"/>
          </w:cols>
          <w:pgMar w:left="220" w:top="617" w:right="1259"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Reports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NetEase.com, Inc.:</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operations and comprehensive income, of shareholders' equity and of cash flows expressed in Chinese Renminbi ("RMB") present fairly, in all material respects, the financial position of NetEase.com, Inc. as of December 31, 2002, and the results of its operations and its cash flows for the year ended December 31, 2002, in conformity with generally accepted accounting principles in the United States of America. These financial statements are the responsibility of NetEase.com, Inc.'s management; our responsibility is to express an opinion on these financial statements based on our audit. We conducted our audit of these statements in accordance with generally accepted auditing standards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 The financial statements of NetEase.com, Inc. as of December 31, 2001 and for each of the two years ended December 31, 2000 and 2001 were audited by other independent accountants who have ceased operations. Those independent accountants expressed an unqualified opinion on those financial statements in their report dated April 2, 2002.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Beijing, People's Republic of China</w:t>
      </w:r>
    </w:p>
    <w:p>
      <w:pPr>
        <w:spacing w:after="0" w:line="237" w:lineRule="auto"/>
        <w:rPr>
          <w:sz w:val="20"/>
          <w:szCs w:val="20"/>
          <w:color w:val="auto"/>
        </w:rPr>
      </w:pPr>
      <w:r>
        <w:rPr>
          <w:rFonts w:ascii="Courier New" w:cs="Courier New" w:eastAsia="Courier New" w:hAnsi="Courier New"/>
          <w:sz w:val="15"/>
          <w:szCs w:val="15"/>
          <w:color w:val="auto"/>
        </w:rPr>
        <w:t>April 7,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107" w:name="page108"/>
    <w:bookmarkEnd w:id="107"/>
    <w:p>
      <w:pPr>
        <w:ind w:right="3319"/>
        <w:spacing w:after="0" w:line="261" w:lineRule="auto"/>
        <w:rPr>
          <w:sz w:val="20"/>
          <w:szCs w:val="20"/>
          <w:color w:val="auto"/>
        </w:rPr>
      </w:pPr>
      <w:r>
        <w:rPr>
          <w:rFonts w:ascii="Courier New" w:cs="Courier New" w:eastAsia="Courier New" w:hAnsi="Courier New"/>
          <w:sz w:val="14"/>
          <w:szCs w:val="14"/>
          <w:color w:val="auto"/>
        </w:rPr>
        <w:t>The following report is a copy of a report previously issued by Arthur Andersen .. Hua Qiang and has not been reissued by Arthur Andersen . Hua Qiang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NetEase.com, Inc.:</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NetEase.com, Inc. (a Cayman Islands corporation) as of December 31, 2000 and 2001 and the related consolidated statements of operations and comprehensive loss, shareholders' equity and cash flows for the years ended December 31, 1999, 2000 and 2001 expressed in Chinese Renminbi ("RMB"). These financial statements are the responsibility of NetEase. com, Inc.'s management. Our responsibility is to express an opinion on these financial statements based on our audits.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in the United States of America.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NetEase.com, Inc. as of December 31, 2000 and 2001 and the results of its operations and its cash flows for the years ended December 31, 1999, 2000 and 2001 in conformity with generally accepted accounting principles in the United States of America.</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Without qualifying our opinion, we draw attention to Note 17 to the consolidated financial statements which indicates that the Company and certain of its current and former officers and directors are defendants of four substantially identical purported class action complaints alleging violations of the federal securities laws and committing securities fraud in the United States District Court for the Southern District of New York. At the present time, the Company cannot estimate what damages, if any, may be payable in connection with this litigation. The ultimate resolution of this matter may have a material adverse impact on the results of operations in the period in which it is resolved.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 HUA QIANG</w:t>
      </w:r>
    </w:p>
    <w:p>
      <w:pPr>
        <w:spacing w:after="0" w:line="237" w:lineRule="auto"/>
        <w:rPr>
          <w:sz w:val="20"/>
          <w:szCs w:val="20"/>
          <w:color w:val="auto"/>
        </w:rPr>
      </w:pPr>
      <w:r>
        <w:rPr>
          <w:rFonts w:ascii="Courier New" w:cs="Courier New" w:eastAsia="Courier New" w:hAnsi="Courier New"/>
          <w:sz w:val="15"/>
          <w:szCs w:val="15"/>
          <w:color w:val="auto"/>
        </w:rPr>
        <w:t>Beijing, People's Republic of China</w:t>
      </w:r>
    </w:p>
    <w:p>
      <w:pPr>
        <w:spacing w:after="0" w:line="238" w:lineRule="auto"/>
        <w:rPr>
          <w:sz w:val="20"/>
          <w:szCs w:val="20"/>
          <w:color w:val="auto"/>
        </w:rPr>
      </w:pPr>
      <w:r>
        <w:rPr>
          <w:rFonts w:ascii="Courier New" w:cs="Courier New" w:eastAsia="Courier New" w:hAnsi="Courier New"/>
          <w:sz w:val="15"/>
          <w:szCs w:val="15"/>
          <w:color w:val="auto"/>
        </w:rPr>
        <w:t>April 2, 2002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23"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December 31,</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9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Note</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2002</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900" w:type="dxa"/>
            <w:vAlign w:val="bottom"/>
          </w:tcPr>
          <w:p>
            <w:pPr>
              <w:spacing w:after="0"/>
              <w:rPr>
                <w:sz w:val="14"/>
                <w:szCs w:val="14"/>
                <w:color w:val="auto"/>
              </w:rPr>
            </w:pPr>
          </w:p>
        </w:tc>
        <w:tc>
          <w:tcPr>
            <w:tcW w:w="51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RMB</w:t>
            </w:r>
          </w:p>
        </w:tc>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RMB</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US$</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479,608,534</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560,069,711</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67,641,269</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Restricted cash</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90,308,448</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1,208,305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145,931</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cash investments</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45,521,300</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Prepayments and other current assets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9,136,362</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6,110,689</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738,006</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Due from related parties, net of allowance for</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doubtful accounts of RMB7,447,775 and RMB8,703,307</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(US$1,051,124) at December 31, 2001 and 2002,</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respectively</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2,290,204</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22,448,509</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2,711,173</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626,864,848</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589,837,214</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71,236,379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rental deposit</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1,087,487</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1,065,912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128,733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convertible preference shares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9,701,293</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equipment and software, net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36,356,088</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26,379,182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3,185,892</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asset</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783,352</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2,395,888</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289,358</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674,793,068</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619,678,196</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74,840,362</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Liabilities &amp; Shareholders' Equity</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bank loans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84,000,000</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13,116,442</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3,814,614</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460,702</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Salary and welfare payable</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9,936,211</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16,023,380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1,935,191</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Taxes payable</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1,772,931</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8,252,950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996,733</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165,115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19,941</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10,937,950</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10,398,385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1,255,844</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119,763,534</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38,654,444</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4,668,411</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US$0.0001 par value:</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1,000,000,000,000 shares authorized,</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3,024,175,192 shares issued and</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outstanding as of December 31, 2001, and</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3,100,162,537 shares issued and</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outstanding as of December 31, 2002</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2,503,626</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2,566,543</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309,969</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1,044,889,829</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1,049,651,354</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126,769,488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Subscriptions receivable</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(35,100,568)</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(33,113,848)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(3,999,257)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(3,344,574)</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(474,739)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(57,336)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adjustments</w:t>
            </w:r>
          </w:p>
        </w:tc>
        <w:tc>
          <w:tcPr>
            <w:tcW w:w="62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217,327</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228,910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27,646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62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(454,136,106)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(437,834,468)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(52,878,559)</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62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555,029,534</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581,023,752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70,171,951</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620" w:type="dxa"/>
            <w:vAlign w:val="bottom"/>
          </w:tcPr>
          <w:p>
            <w:pPr>
              <w:spacing w:after="0"/>
              <w:rPr>
                <w:sz w:val="14"/>
                <w:szCs w:val="14"/>
                <w:color w:val="auto"/>
              </w:rPr>
            </w:pP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674,793,068</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619,678,196</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74,840,362</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Consolidated Statements of Operations and Comprehensive Income (Loss)</w:t>
      </w:r>
    </w:p>
    <w:p>
      <w:pPr>
        <w:sectPr>
          <w:pgSz w:w="11900" w:h="16838" w:orient="portrait"/>
          <w:cols w:equalWidth="0" w:num="1">
            <w:col w:w="11200"/>
          </w:cols>
          <w:pgMar w:left="220" w:top="62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Note</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the 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tabs>
          <w:tab w:leader="none" w:pos="1640" w:val="left"/>
          <w:tab w:leader="none" w:pos="3400" w:val="left"/>
          <w:tab w:leader="none" w:pos="47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4"/>
          <w:szCs w:val="14"/>
          <w:color w:val="auto"/>
        </w:rPr>
        <w:t>2002</w:t>
      </w:r>
    </w:p>
    <w:p>
      <w:pPr>
        <w:ind w:left="360"/>
        <w:spacing w:after="0"/>
        <w:tabs>
          <w:tab w:leader="none" w:pos="1640" w:val="left"/>
          <w:tab w:leader="none" w:pos="3400" w:val="left"/>
          <w:tab w:leader="none" w:pos="4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60"/>
        <w:spacing w:after="0"/>
        <w:tabs>
          <w:tab w:leader="none" w:pos="1640" w:val="left"/>
          <w:tab w:leader="none" w:pos="3400" w:val="left"/>
          <w:tab w:leader="none" w:pos="4720" w:val="left"/>
        </w:tabs>
        <w:rPr>
          <w:sz w:val="20"/>
          <w:szCs w:val="20"/>
          <w:color w:val="auto"/>
        </w:rPr>
      </w:pP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4"/>
          <w:szCs w:val="14"/>
          <w:color w:val="auto"/>
        </w:rPr>
        <w:t>US$</w:t>
      </w:r>
    </w:p>
    <w:p>
      <w:pPr>
        <w:spacing w:after="0" w:line="167" w:lineRule="exact"/>
        <w:rPr>
          <w:sz w:val="20"/>
          <w:szCs w:val="20"/>
          <w:color w:val="auto"/>
        </w:rPr>
      </w:pPr>
    </w:p>
    <w:p>
      <w:pPr>
        <w:sectPr>
          <w:pgSz w:w="11900" w:h="16838" w:orient="portrait"/>
          <w:cols w:equalWidth="0" w:num="2">
            <w:col w:w="5180" w:space="420"/>
            <w:col w:w="5600"/>
          </w:cols>
          <w:pgMar w:left="220" w:top="624" w:right="47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services from related parties</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30,067,477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14,163,952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34,209,376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4,131,567</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E-commerce and other services (including</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revenues of RMB1,094,859, RMB14,103,151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RMB 197,357,067 (US$23,835,395) from</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 related party in 2000, 2001 and 2002,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respectively)</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2,455,834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14,103,151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197,357,067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23,835,395</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Software licensing and related integration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projects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450,350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33,218</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1,002,025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121,018</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32,973,661</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28,300,321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232,568,468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28,087,980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value-added taxes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(2,476,444)</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(2,274,784)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(11,627,216)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(1,404,253)</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30,497,217</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26,025,537</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220,941,252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26,683,727</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e-commerce and other services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(including cost reimbursements to a</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related party of RMB2,098,127, RMB796,454</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RMB 22,737,436 (US$2,746,067) in 2000,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2001 and 2002, respectively)</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(38,738,335)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(60,058,488)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(69,769,449)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(8,426,262)</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 compensation cost*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(1,171,084)</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(1,908,125)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(230,450)</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 of revenues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(39,909,419)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(60,058,488)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(71,677,574)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(8,656,712)</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 on revenues)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(9,412,202)</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(34,032,951)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149,263,678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18,027,015</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(including cost reimbursements to a related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party of RMB3,124,247, RMB1,884,823 and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RMB5,542,383 (US$669,370) in 2000, 2001 and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2002, respectively)</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(162,922,561)</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(181,560,624)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(92,785,244)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(11,205,948)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impairment loss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(2,766,543)</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(746,857)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(90,200)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(including cost reimbursements to a</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related party of RMBnil, RMBnil and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RMB1,346,824 (US$162,660) in 2000, 2001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2002 respectively)</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(9,525,436)</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(11,169,454)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(13,808,360)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(1,667,676)</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 compensation cost*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(12,668,476)</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(2,357,758)</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(1,898,733)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(229,316)</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action settlement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(36,005,385)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(4,348,476)</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(185,116,473)</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(197,854,379)</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(145,244,579)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(17,541,616)</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 (loss)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(194,528,675)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(231,887,330)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4,019,099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485,399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impairment loss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(8,924,381)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27,858,710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17,571,187</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7,562,322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913,324</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(2,589,735)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(9,882,874)</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(1,401,041)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(169,208)</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(9,099)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(40,516)</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3,725,370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449,924</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(Loss) before tax</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(169,268,799)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(233,163,914)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13,905,750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1,679,439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w:t>
            </w:r>
          </w:p>
        </w:tc>
        <w:tc>
          <w:tcPr>
            <w:tcW w:w="340" w:type="dxa"/>
            <w:vAlign w:val="bottom"/>
          </w:tcPr>
          <w:p>
            <w:pPr>
              <w:spacing w:after="0"/>
              <w:rPr>
                <w:sz w:val="14"/>
                <w:szCs w:val="14"/>
                <w:color w:val="auto"/>
              </w:rPr>
            </w:pP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2,395,888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289,358</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profit (loss)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(169,268,799)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(233,163,914)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16,301,638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1,968,797</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(loss)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Currency translation adjustments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(348,586)</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565,913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 (loss)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(169,617,385)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(232,598,001)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16,313,221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1,970,196</w:t>
            </w:r>
          </w:p>
        </w:tc>
      </w:tr>
      <w:tr>
        <w:trPr>
          <w:trHeight w:val="168"/>
        </w:trPr>
        <w:tc>
          <w:tcPr>
            <w:tcW w:w="4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560" w:type="dxa"/>
            <w:vAlign w:val="bottom"/>
          </w:tcPr>
          <w:p>
            <w:pPr>
              <w:ind w:left="3420"/>
              <w:spacing w:after="0"/>
              <w:rPr>
                <w:sz w:val="20"/>
                <w:szCs w:val="20"/>
                <w:color w:val="auto"/>
              </w:rPr>
            </w:pPr>
            <w:r>
              <w:rPr>
                <w:rFonts w:ascii="Courier New" w:cs="Courier New" w:eastAsia="Courier New" w:hAnsi="Courier New"/>
                <w:sz w:val="15"/>
                <w:szCs w:val="15"/>
                <w:color w:val="auto"/>
              </w:rPr>
              <w:t>F-5</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00"/>
          </w:cols>
          <w:pgMar w:left="220" w:top="624" w:right="479" w:bottom="1440" w:gutter="0" w:footer="0" w:header="0"/>
          <w:type w:val="continuous"/>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For the year ended December 31,</w:t>
            </w:r>
          </w:p>
        </w:tc>
        <w:tc>
          <w:tcPr>
            <w:tcW w:w="12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Note</w:t>
            </w:r>
          </w:p>
        </w:tc>
        <w:tc>
          <w:tcPr>
            <w:tcW w:w="15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60" w:type="dxa"/>
            <w:vAlign w:val="bottom"/>
          </w:tcPr>
          <w:p>
            <w:pPr>
              <w:spacing w:after="0"/>
              <w:rPr>
                <w:sz w:val="14"/>
                <w:szCs w:val="14"/>
                <w:color w:val="auto"/>
              </w:rPr>
            </w:pP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RMB</w:t>
            </w:r>
          </w:p>
        </w:tc>
        <w:tc>
          <w:tcPr>
            <w:tcW w:w="13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RMB</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RMB</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US$</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earnings (loss) per share, basic</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17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ADS, basic</w:t>
            </w:r>
          </w:p>
        </w:tc>
        <w:tc>
          <w:tcPr>
            <w:tcW w:w="62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share, diluted</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ADS, diluted</w:t>
            </w:r>
          </w:p>
        </w:tc>
        <w:tc>
          <w:tcPr>
            <w:tcW w:w="62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ordinary shares</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 basic</w:t>
            </w:r>
          </w:p>
        </w:tc>
        <w:tc>
          <w:tcPr>
            <w:tcW w:w="62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2,497,467,200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3,013,419,400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3,051,395,100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3,051,395,100</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ADS outstanding,</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24,974,672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30,134,194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30,513,951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30,513,951</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ordinary shares</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 diluted</w:t>
            </w:r>
          </w:p>
        </w:tc>
        <w:tc>
          <w:tcPr>
            <w:tcW w:w="62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2,497,467,200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3,013,419,400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3,127,837,900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3,127,837,900</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ADS outstanding,</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24,974,672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30,134,194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31,278,379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31,278,379</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 Share compensation cost</w:t>
            </w: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revenues - advertising, e-commerce</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15</w:t>
            </w: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other services</w:t>
            </w:r>
          </w:p>
        </w:tc>
        <w:tc>
          <w:tcPr>
            <w:tcW w:w="62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(1,171,084)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(1,908,125)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(230,450)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Selling, general and administrative expenses</w:t>
            </w:r>
          </w:p>
        </w:tc>
        <w:tc>
          <w:tcPr>
            <w:tcW w:w="62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(7,437,230)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(204,423)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(1,522,369)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(183,861)</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62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(5,231,246)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(2,153,335)</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(376,364)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(45,455)</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(13,839,560)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(2,357,758)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(3,806,858)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(459,766)</w:t>
            </w:r>
          </w:p>
        </w:tc>
      </w:tr>
      <w:tr>
        <w:trPr>
          <w:trHeight w:val="168"/>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40"/>
          </w:cols>
          <w:pgMar w:left="220" w:top="953" w:right="14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2980" w:type="dxa"/>
            <w:vAlign w:val="bottom"/>
          </w:tcPr>
          <w:p>
            <w:pPr>
              <w:spacing w:after="0"/>
              <w:rPr>
                <w:sz w:val="24"/>
                <w:szCs w:val="24"/>
                <w:color w:val="auto"/>
              </w:rPr>
            </w:pPr>
          </w:p>
        </w:tc>
        <w:tc>
          <w:tcPr>
            <w:tcW w:w="2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Convertible preference shares</w:t>
            </w:r>
          </w:p>
        </w:tc>
        <w:tc>
          <w:tcPr>
            <w:tcW w:w="26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Subscriptions</w:t>
            </w:r>
          </w:p>
        </w:tc>
      </w:tr>
      <w:tr>
        <w:trPr>
          <w:trHeight w:val="168"/>
        </w:trPr>
        <w:tc>
          <w:tcPr>
            <w:tcW w:w="2980" w:type="dxa"/>
            <w:vAlign w:val="bottom"/>
          </w:tcPr>
          <w:p>
            <w:pPr>
              <w:spacing w:after="0"/>
              <w:rPr>
                <w:sz w:val="14"/>
                <w:szCs w:val="14"/>
                <w:color w:val="auto"/>
              </w:rPr>
            </w:pPr>
          </w:p>
        </w:tc>
        <w:tc>
          <w:tcPr>
            <w:tcW w:w="2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Share</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paid-up capital</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receivable</w:t>
            </w:r>
          </w:p>
        </w:tc>
      </w:tr>
      <w:tr>
        <w:trPr>
          <w:trHeight w:val="168"/>
        </w:trPr>
        <w:tc>
          <w:tcPr>
            <w:tcW w:w="298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RMB</w:t>
            </w:r>
          </w:p>
        </w:tc>
        <w:tc>
          <w:tcPr>
            <w:tcW w:w="1300" w:type="dxa"/>
            <w:vAlign w:val="bottom"/>
          </w:tcPr>
          <w:p>
            <w:pPr>
              <w:spacing w:after="0"/>
              <w:rPr>
                <w:sz w:val="14"/>
                <w:szCs w:val="14"/>
                <w:color w:val="auto"/>
              </w:rPr>
            </w:pPr>
          </w:p>
        </w:tc>
        <w:tc>
          <w:tcPr>
            <w:tcW w:w="13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RMB</w:t>
            </w: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RMB</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RMB</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3,000,000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248,367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2,004,500,000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1,659,447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197,604,001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Series B preference shares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for cash at US$15.62</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2,560,556</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211,976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330,940,024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(41,390,508)</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Cost of issuance of Series B</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preference shares</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(6,246,516)</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Ordinary shares issued for cash</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US$0.155 per share in</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initial public offering</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372,560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557,094,666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(6,439,401)</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Cost of initial public offering</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(62,289,780)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Automatic conversion of Series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preference shares to</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(3,000,000)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(248,367)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300,000,000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248,367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Automatic conversion of Series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 preference shares to</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(2,560,556)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(211,976)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256,055,600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211,976</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39,402,963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3,010,555,600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2,492,350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1,076,505,358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(47,829,909)</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Collection of subscriptions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for Series B</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preference shares issued in</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6,289,940</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Ordinary shares issued to a</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officer of the Company</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compensation (see Note 14)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11,250,000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9,315</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1,334,529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Ordinary shares issued for</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 to be provided by</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certain employees (see Note 14)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2,369,592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1,961</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799,160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Retained</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earnings</w:t>
            </w:r>
          </w:p>
        </w:tc>
        <w:tc>
          <w:tcPr>
            <w:tcW w:w="1300" w:type="dxa"/>
            <w:vAlign w:val="bottom"/>
          </w:tcPr>
          <w:p>
            <w:pPr>
              <w:spacing w:after="0"/>
              <w:rPr>
                <w:sz w:val="14"/>
                <w:szCs w:val="14"/>
                <w:color w:val="auto"/>
              </w:rPr>
            </w:pP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Deferred</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Translation</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deficit)</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RMB</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RMB</w:t>
            </w:r>
          </w:p>
        </w:tc>
        <w:tc>
          <w:tcPr>
            <w:tcW w:w="13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RMB</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RMB</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December 31,</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(11,743,182)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(51,703,393)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136,065,240</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Series B preference shares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for cash at US$15.62</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289,761,492</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Cost of issuance of Series B</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preference shares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(6,246,516)</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Ordinary shares issued for cash</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US$0.155 per share in</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initial public offering</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571,027,825</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Cost of initial public offering</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(62,289,780)</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Automatic conversion of Series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preference shares to</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Automatic conversion of Series</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 preference shares to</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(25,563,403)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13,839,560</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(169,268,799)</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(169,268,799)</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(348,586)</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(348,586)</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ectPr>
          <w:pgSz w:w="11900" w:h="16838" w:orient="portrait"/>
          <w:cols w:equalWidth="0" w:num="1">
            <w:col w:w="11040"/>
          </w:cols>
          <w:pgMar w:left="220" w:top="617" w:right="63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(37,306,585)</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(220,972,192)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(348,586)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772,540,436</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Collection of subscriptions</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for Series B</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preference shares issued in</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6,289,940</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Ordinary shares issued to a</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officer of the Company</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compensation (see Note 14)</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(739,265)</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604,579</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Ordinary shares issued for</w:t>
            </w: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 to be provided by</w:t>
            </w: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certain employees (see Note 14)</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(555,914)</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245,207</w:t>
            </w:r>
          </w:p>
        </w:tc>
      </w:tr>
      <w:tr>
        <w:trPr>
          <w:trHeight w:val="505"/>
        </w:trPr>
        <w:tc>
          <w:tcPr>
            <w:tcW w:w="3080" w:type="dxa"/>
            <w:vAlign w:val="bottom"/>
          </w:tcPr>
          <w:p>
            <w:pPr>
              <w:spacing w:after="0"/>
              <w:rPr>
                <w:sz w:val="24"/>
                <w:szCs w:val="24"/>
                <w:color w:val="auto"/>
              </w:rPr>
            </w:pPr>
          </w:p>
        </w:tc>
        <w:tc>
          <w:tcPr>
            <w:tcW w:w="13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F-7</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gridSpan w:val="3"/>
          </w:tcPr>
          <w:p>
            <w:pPr>
              <w:spacing w:after="0"/>
              <w:rPr>
                <w:sz w:val="20"/>
                <w:szCs w:val="20"/>
                <w:color w:val="auto"/>
              </w:rPr>
            </w:pPr>
            <w:r>
              <w:rPr>
                <w:rFonts w:ascii="Courier New" w:cs="Courier New" w:eastAsia="Courier New" w:hAnsi="Courier New"/>
                <w:sz w:val="15"/>
                <w:szCs w:val="15"/>
                <w:color w:val="auto"/>
                <w:w w:val="97"/>
              </w:rPr>
              <w:t>Consolidated Statements of Shareholders' Equity (cont'd.)</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280" w:type="dxa"/>
            <w:vAlign w:val="bottom"/>
          </w:tcPr>
          <w:p>
            <w:pPr>
              <w:spacing w:after="0"/>
              <w:rPr>
                <w:sz w:val="24"/>
                <w:szCs w:val="24"/>
                <w:color w:val="auto"/>
              </w:rPr>
            </w:pPr>
          </w:p>
        </w:tc>
        <w:tc>
          <w:tcPr>
            <w:tcW w:w="2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Convertible preference shares</w:t>
            </w:r>
          </w:p>
        </w:tc>
        <w:tc>
          <w:tcPr>
            <w:tcW w:w="26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Ordinary shares</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Additional</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Subscriptions</w:t>
            </w:r>
          </w:p>
        </w:tc>
      </w:tr>
      <w:tr>
        <w:trPr>
          <w:trHeight w:val="168"/>
        </w:trPr>
        <w:tc>
          <w:tcPr>
            <w:tcW w:w="2280" w:type="dxa"/>
            <w:vAlign w:val="bottom"/>
          </w:tcPr>
          <w:p>
            <w:pPr>
              <w:spacing w:after="0"/>
              <w:rPr>
                <w:sz w:val="14"/>
                <w:szCs w:val="14"/>
                <w:color w:val="auto"/>
              </w:rPr>
            </w:pPr>
          </w:p>
        </w:tc>
        <w:tc>
          <w:tcPr>
            <w:tcW w:w="27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Share</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3"/>
              </w:rPr>
              <w:t>Share</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paid-up capital</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receivable</w:t>
            </w:r>
          </w:p>
        </w:tc>
      </w:tr>
      <w:tr>
        <w:trPr>
          <w:trHeight w:val="168"/>
        </w:trPr>
        <w:tc>
          <w:tcPr>
            <w:tcW w:w="22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RMB</w:t>
            </w:r>
          </w:p>
        </w:tc>
        <w:tc>
          <w:tcPr>
            <w:tcW w:w="132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RMB</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RMB</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RMB</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(33,749,218)</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Provision for</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uncollectible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6,439,401</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31, 2001</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3,024,175,192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2,503,626</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1,044,889,829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(35,100,568)</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Collection of</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for Series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 preference shares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in 2000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1,986,720</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a senior officer of</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Company as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(see Note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11,250,000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9,315</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services to be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certain</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employees (see Note 14)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15,959,245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13,214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625,056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upon exercise of</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options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48,778,100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40,388</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3,847,031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298,753</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profit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31, 2002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3,100,162,537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2,566,543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1,049,651,354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(33,113,848)</w:t>
            </w:r>
          </w:p>
        </w:tc>
      </w:tr>
      <w:tr>
        <w:trPr>
          <w:trHeight w:val="168"/>
        </w:trPr>
        <w:tc>
          <w:tcPr>
            <w:tcW w:w="22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Retained</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earnings</w:t>
            </w:r>
          </w:p>
        </w:tc>
        <w:tc>
          <w:tcPr>
            <w:tcW w:w="132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Deferred</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Translation</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equity</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RMB</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RMB</w:t>
            </w:r>
          </w:p>
        </w:tc>
        <w:tc>
          <w:tcPr>
            <w:tcW w:w="13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RMB</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RMB</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35,257,190</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1,507,972</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Provision for</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uncollectible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6,439,401</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(233,163,914)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(233,163,914)</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565,913</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565,913</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31, 2001</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(3,344,574)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(454,136,106)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217,327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555,029,534</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Collection of</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for Series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 preference shares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in 2000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1,986,720</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a senior officer of</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Company as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(see Note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604,729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604,729</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services to be</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certain</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employees (see Note 14)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467,631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1,105,901</w:t>
            </w: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issued</w:t>
      </w:r>
    </w:p>
    <w:p>
      <w:pPr>
        <w:sectPr>
          <w:pgSz w:w="11900" w:h="16838" w:orient="portrait"/>
          <w:cols w:equalWidth="0" w:num="1">
            <w:col w:w="10600"/>
          </w:cols>
          <w:pgMar w:left="220" w:top="617" w:right="1079" w:bottom="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0"/>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upon exercise of</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options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3,887,419</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Share compensation cost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1,797,475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2,096,228</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profit</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16,301,638</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16,301,638</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Translation adjustments</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11,583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11,583</w:t>
            </w:r>
          </w:p>
        </w:tc>
      </w:tr>
      <w:tr>
        <w:trPr>
          <w:trHeight w:val="168"/>
        </w:trPr>
        <w:tc>
          <w:tcPr>
            <w:tcW w:w="224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31, 2002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(474,739)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(437,834,468)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228,910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581,023,752</w:t>
            </w:r>
          </w:p>
        </w:tc>
      </w:tr>
      <w:tr>
        <w:trPr>
          <w:trHeight w:val="168"/>
        </w:trPr>
        <w:tc>
          <w:tcPr>
            <w:tcW w:w="224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135"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3"/>
        </w:trPr>
        <w:tc>
          <w:tcPr>
            <w:tcW w:w="4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For the year ended December 31,</w:t>
            </w:r>
          </w:p>
        </w:tc>
        <w:tc>
          <w:tcPr>
            <w:tcW w:w="15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6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6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300" w:type="dxa"/>
            <w:vAlign w:val="bottom"/>
          </w:tcPr>
          <w:p>
            <w:pPr>
              <w:spacing w:after="0"/>
              <w:rPr>
                <w:sz w:val="14"/>
                <w:szCs w:val="14"/>
                <w:color w:val="auto"/>
              </w:rPr>
            </w:pPr>
          </w:p>
        </w:tc>
        <w:tc>
          <w:tcPr>
            <w:tcW w:w="6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RMB</w:t>
            </w:r>
          </w:p>
        </w:tc>
        <w:tc>
          <w:tcPr>
            <w:tcW w:w="16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RMB</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RMB</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US$</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profit (loss)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(169,268,799)</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(233,163,914)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16,301,638</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1,968,797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for:</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8,117,140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17,334,794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21,797,267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2,632,520</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 compensation cost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13,839,560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2,357,758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3,806,858</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459,766</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doubtful debts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1,584,452</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7,105,038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3,254,783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393,090</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Write down of investment in convertible note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2,069,475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Write down of investment in convertible</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preference shares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6,854,906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Write down of property, equipment and</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software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2,766,543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746,857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90,200</w:t>
            </w: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uncollectible subscriptions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receivable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6,439,401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accounts receivable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4,706,696</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684,888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prepayments and other</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(6,056,428)</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5,689,171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3,025,673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365,420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due from related parties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(5,194,687)</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(3,526,047)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(23,413,088)</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(2,827,668)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deferred assets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(673,407)</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(109,945)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783,352</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94,608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deferred tax assets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(2,395,888)</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(289,358)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6,420,224</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5,553,994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(9,301,828)</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(1,123,409)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deferred revenue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(1,035,112)</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(558,739)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165,115</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19,941</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salary and welfare payable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4,862,634</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3,204,174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6,087,169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735,165</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taxes payable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(410,760)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765,827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6,480,019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782,610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accrued liabilities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18,083,907</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(7,843,607)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(539,565)</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(65,165)</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Increase (decrease) in due to related parties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371,279</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(1,313,229)</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6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(124,653,301)</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(185,689,512)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26,798,362</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3,236,517</w:t>
            </w:r>
          </w:p>
        </w:tc>
      </w:tr>
      <w:tr>
        <w:trPr>
          <w:trHeight w:val="168"/>
        </w:trPr>
        <w:tc>
          <w:tcPr>
            <w:tcW w:w="4300" w:type="dxa"/>
            <w:vAlign w:val="bottom"/>
          </w:tcPr>
          <w:p>
            <w:pPr>
              <w:spacing w:after="0"/>
              <w:rPr>
                <w:sz w:val="14"/>
                <w:szCs w:val="14"/>
                <w:color w:val="auto"/>
              </w:rPr>
            </w:pPr>
          </w:p>
        </w:tc>
        <w:tc>
          <w:tcPr>
            <w:tcW w:w="6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temporary cash</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(45,521,300)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45,521,300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5,497,742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property, equipment and software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(33,970,794)</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(21,095,334)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(12,567,218)</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(1,517,781)</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investment in convertible note</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(827,810)</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(1,241,665)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 convertible preference shares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(16,556,199)</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disposal of convertible</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preference shares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9,701,293</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1,171,654</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non-current deposit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(1,682,710)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595,223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21,575</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2,606</w:t>
            </w:r>
          </w:p>
        </w:tc>
      </w:tr>
      <w:tr>
        <w:trPr>
          <w:trHeight w:val="168"/>
        </w:trPr>
        <w:tc>
          <w:tcPr>
            <w:tcW w:w="4300" w:type="dxa"/>
            <w:vAlign w:val="bottom"/>
          </w:tcPr>
          <w:p>
            <w:pPr>
              <w:spacing w:after="0"/>
              <w:rPr>
                <w:sz w:val="14"/>
                <w:szCs w:val="14"/>
                <w:color w:val="auto"/>
              </w:rPr>
            </w:pPr>
          </w:p>
        </w:tc>
        <w:tc>
          <w:tcPr>
            <w:tcW w:w="6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investing</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(53,037,513)</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(67,263,076)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42,676,950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5,154,221</w:t>
            </w:r>
          </w:p>
        </w:tc>
      </w:tr>
      <w:tr>
        <w:trPr>
          <w:trHeight w:val="168"/>
        </w:trPr>
        <w:tc>
          <w:tcPr>
            <w:tcW w:w="4300" w:type="dxa"/>
            <w:vAlign w:val="bottom"/>
          </w:tcPr>
          <w:p>
            <w:pPr>
              <w:spacing w:after="0"/>
              <w:rPr>
                <w:sz w:val="14"/>
                <w:szCs w:val="14"/>
                <w:color w:val="auto"/>
              </w:rPr>
            </w:pPr>
          </w:p>
        </w:tc>
        <w:tc>
          <w:tcPr>
            <w:tcW w:w="6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short-term bank loans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112,600,000</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123,800,000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short-term bank loans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(152,400,000)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(84,000,000)</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(10,144,928)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ordinary shares,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RMB62,289,780 issuance costs and</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RMB6,439,401 subscriptions receivable in</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508,738,045</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ind w:left="3340"/>
              <w:spacing w:after="0"/>
              <w:rPr>
                <w:sz w:val="20"/>
                <w:szCs w:val="20"/>
                <w:color w:val="auto"/>
              </w:rPr>
            </w:pPr>
            <w:r>
              <w:rPr>
                <w:rFonts w:ascii="Courier New" w:cs="Courier New" w:eastAsia="Courier New" w:hAnsi="Courier New"/>
                <w:sz w:val="15"/>
                <w:szCs w:val="15"/>
                <w:color w:val="auto"/>
              </w:rPr>
              <w:t>F-9</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340"/>
          </w:cols>
          <w:pgMar w:left="220" w:top="617" w:right="1339"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Consolidated Statements of Cash Flows (cont'd.)</w:t>
      </w:r>
    </w:p>
    <w:p>
      <w:pPr>
        <w:spacing w:after="0" w:line="335"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For the year ended December 31,</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600"/>
        <w:spacing w:after="0"/>
        <w:tabs>
          <w:tab w:leader="none" w:pos="7160" w:val="left"/>
          <w:tab w:leader="none" w:pos="8640" w:val="left"/>
          <w:tab w:leader="none" w:pos="100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2002</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700"/>
        <w:spacing w:after="0"/>
        <w:tabs>
          <w:tab w:leader="none" w:pos="7160" w:val="left"/>
          <w:tab w:leader="none" w:pos="8640" w:val="left"/>
          <w:tab w:leader="none" w:pos="10140" w:val="left"/>
        </w:tabs>
        <w:rPr>
          <w:sz w:val="20"/>
          <w:szCs w:val="20"/>
          <w:color w:val="auto"/>
        </w:rPr>
      </w:pP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5"/>
          <w:szCs w:val="15"/>
          <w:color w:val="auto"/>
        </w:rPr>
        <w:t>RMB</w:t>
      </w:r>
      <w:r>
        <w:rPr>
          <w:sz w:val="20"/>
          <w:szCs w:val="20"/>
          <w:color w:val="auto"/>
        </w:rPr>
        <w:tab/>
      </w:r>
      <w:r>
        <w:rPr>
          <w:rFonts w:ascii="Courier New" w:cs="Courier New" w:eastAsia="Courier New" w:hAnsi="Courier New"/>
          <w:sz w:val="14"/>
          <w:szCs w:val="14"/>
          <w:color w:val="auto"/>
        </w:rPr>
        <w:t>US$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Proceeds from issuance of Series A and Series B</w:t>
      </w:r>
    </w:p>
    <w:p>
      <w:pPr>
        <w:ind w:left="440"/>
        <w:spacing w:after="0" w:line="237" w:lineRule="auto"/>
        <w:rPr>
          <w:sz w:val="20"/>
          <w:szCs w:val="20"/>
          <w:color w:val="auto"/>
        </w:rPr>
      </w:pPr>
      <w:r>
        <w:rPr>
          <w:rFonts w:ascii="Courier New" w:cs="Courier New" w:eastAsia="Courier New" w:hAnsi="Courier New"/>
          <w:sz w:val="15"/>
          <w:szCs w:val="15"/>
          <w:color w:val="auto"/>
        </w:rPr>
        <w:t>preference shares, net of issuance costs of</w:t>
      </w:r>
    </w:p>
    <w:p>
      <w:pPr>
        <w:ind w:left="440"/>
        <w:spacing w:after="0" w:line="238" w:lineRule="auto"/>
        <w:rPr>
          <w:sz w:val="20"/>
          <w:szCs w:val="20"/>
          <w:color w:val="auto"/>
        </w:rPr>
      </w:pPr>
      <w:r>
        <w:rPr>
          <w:rFonts w:ascii="Courier New" w:cs="Courier New" w:eastAsia="Courier New" w:hAnsi="Courier New"/>
          <w:sz w:val="15"/>
          <w:szCs w:val="15"/>
          <w:color w:val="auto"/>
        </w:rPr>
        <w:t>RMB6,246,516 and RMB41,390,508</w:t>
      </w:r>
    </w:p>
    <w:p>
      <w:pPr>
        <w:sectPr>
          <w:pgSz w:w="11900" w:h="16838" w:orient="portrait"/>
          <w:cols w:equalWidth="0" w:num="1">
            <w:col w:w="11120"/>
          </w:cols>
          <w:pgMar w:left="220" w:top="617" w:right="559" w:bottom="1440" w:gutter="0" w:footer="0" w:header="0"/>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subscriptions receivable in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283,514,976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5">
            <w:col w:w="4620" w:space="720"/>
            <w:col w:w="1740" w:space="720"/>
            <w:col w:w="680" w:space="720"/>
            <w:col w:w="760" w:space="720"/>
            <w:col w:w="440"/>
          </w:cols>
          <w:pgMar w:left="220" w:top="617" w:right="559"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Proceeds from issuance of ordinary shares</w:t>
      </w:r>
    </w:p>
    <w:p>
      <w:pPr>
        <w:sectPr>
          <w:pgSz w:w="11900" w:h="16838" w:orient="portrait"/>
          <w:cols w:equalWidth="0" w:num="1">
            <w:col w:w="11120"/>
          </w:cols>
          <w:pgMar w:left="220" w:top="617" w:right="559"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upon exercise of employee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3,887,419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469,495</w:t>
      </w:r>
    </w:p>
    <w:p>
      <w:pPr>
        <w:spacing w:after="0" w:line="10" w:lineRule="exact"/>
        <w:rPr>
          <w:sz w:val="20"/>
          <w:szCs w:val="20"/>
          <w:color w:val="auto"/>
        </w:rPr>
      </w:pPr>
    </w:p>
    <w:p>
      <w:pPr>
        <w:sectPr>
          <w:pgSz w:w="11900" w:h="16838" w:orient="portrait"/>
          <w:cols w:equalWidth="0" w:num="5">
            <w:col w:w="5500" w:space="720"/>
            <w:col w:w="860" w:space="720"/>
            <w:col w:w="80" w:space="620"/>
            <w:col w:w="940" w:space="720"/>
            <w:col w:w="960"/>
          </w:cols>
          <w:pgMar w:left="220" w:top="617" w:right="559"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Collection of subscriptions receivable for</w:t>
      </w:r>
    </w:p>
    <w:p>
      <w:pPr>
        <w:sectPr>
          <w:pgSz w:w="11900" w:h="16838" w:orient="portrait"/>
          <w:cols w:equalWidth="0" w:num="1">
            <w:col w:w="11120"/>
          </w:cols>
          <w:pgMar w:left="220" w:top="617" w:right="559"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Series B preference shares issued in 2000</w:t>
      </w:r>
    </w:p>
    <w:p>
      <w:pPr>
        <w:spacing w:after="0" w:line="20" w:lineRule="exact"/>
        <w:rPr>
          <w:sz w:val="20"/>
          <w:szCs w:val="20"/>
          <w:color w:val="auto"/>
        </w:rPr>
      </w:pPr>
      <w:r>
        <w:rPr>
          <w:sz w:val="20"/>
          <w:szCs w:val="20"/>
          <w:color w:val="auto"/>
        </w:rPr>
        <w:br w:type="column"/>
      </w:r>
    </w:p>
    <w:p>
      <w:pPr>
        <w:ind w:left="1140"/>
        <w:spacing w:after="0"/>
        <w:tabs>
          <w:tab w:leader="none" w:pos="2000" w:val="left"/>
          <w:tab w:leader="none" w:pos="3400" w:val="left"/>
          <w:tab w:leader="none" w:pos="5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6,289,940</w:t>
      </w:r>
      <w:r>
        <w:rPr>
          <w:sz w:val="20"/>
          <w:szCs w:val="20"/>
          <w:color w:val="auto"/>
        </w:rPr>
        <w:tab/>
      </w:r>
      <w:r>
        <w:rPr>
          <w:rFonts w:ascii="Courier New" w:cs="Courier New" w:eastAsia="Courier New" w:hAnsi="Courier New"/>
          <w:sz w:val="15"/>
          <w:szCs w:val="15"/>
          <w:color w:val="auto"/>
        </w:rPr>
        <w:t>1,986,720</w:t>
      </w:r>
      <w:r>
        <w:rPr>
          <w:sz w:val="20"/>
          <w:szCs w:val="20"/>
          <w:color w:val="auto"/>
        </w:rPr>
        <w:tab/>
      </w:r>
      <w:r>
        <w:rPr>
          <w:rFonts w:ascii="Courier New" w:cs="Courier New" w:eastAsia="Courier New" w:hAnsi="Courier New"/>
          <w:sz w:val="14"/>
          <w:szCs w:val="14"/>
          <w:color w:val="auto"/>
        </w:rPr>
        <w:t>239,942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4360" w:space="720"/>
            <w:col w:w="6040"/>
          </w:cols>
          <w:pgMar w:left="220" w:top="617" w:right="559"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Net cash provided by (used in) financing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activities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exchange rate changes on cash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increase (decrease) in cash</w:t>
      </w:r>
    </w:p>
    <w:p>
      <w:pPr>
        <w:spacing w:after="0" w:line="237" w:lineRule="auto"/>
        <w:rPr>
          <w:sz w:val="20"/>
          <w:szCs w:val="20"/>
          <w:color w:val="auto"/>
        </w:rPr>
      </w:pPr>
      <w:r>
        <w:rPr>
          <w:rFonts w:ascii="Courier New" w:cs="Courier New" w:eastAsia="Courier New" w:hAnsi="Courier New"/>
          <w:sz w:val="15"/>
          <w:szCs w:val="15"/>
          <w:color w:val="auto"/>
        </w:rPr>
        <w:t>(Increase) decrease in restricted cash</w:t>
      </w:r>
    </w:p>
    <w:p>
      <w:pPr>
        <w:spacing w:after="0" w:line="238" w:lineRule="auto"/>
        <w:rPr>
          <w:sz w:val="20"/>
          <w:szCs w:val="20"/>
          <w:color w:val="auto"/>
        </w:rPr>
      </w:pPr>
      <w:r>
        <w:rPr>
          <w:rFonts w:ascii="Courier New" w:cs="Courier New" w:eastAsia="Courier New" w:hAnsi="Courier New"/>
          <w:sz w:val="15"/>
          <w:szCs w:val="15"/>
          <w:color w:val="auto"/>
        </w:rPr>
        <w:t>Cash, beginning of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end of year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60"/>
        <w:spacing w:after="0"/>
        <w:tabs>
          <w:tab w:leader="none" w:pos="1820" w:val="left"/>
          <w:tab w:leader="none" w:pos="3220" w:val="left"/>
          <w:tab w:leader="none" w:pos="4800" w:val="left"/>
        </w:tabs>
        <w:rPr>
          <w:sz w:val="20"/>
          <w:szCs w:val="20"/>
          <w:color w:val="auto"/>
        </w:rPr>
      </w:pPr>
      <w:r>
        <w:rPr>
          <w:rFonts w:ascii="Courier New" w:cs="Courier New" w:eastAsia="Courier New" w:hAnsi="Courier New"/>
          <w:sz w:val="15"/>
          <w:szCs w:val="15"/>
          <w:color w:val="auto"/>
        </w:rPr>
        <w:t>904,853,021</w:t>
      </w:r>
      <w:r>
        <w:rPr>
          <w:sz w:val="20"/>
          <w:szCs w:val="20"/>
          <w:color w:val="auto"/>
        </w:rPr>
        <w:tab/>
      </w:r>
      <w:r>
        <w:rPr>
          <w:rFonts w:ascii="Courier New" w:cs="Courier New" w:eastAsia="Courier New" w:hAnsi="Courier New"/>
          <w:sz w:val="15"/>
          <w:szCs w:val="15"/>
          <w:color w:val="auto"/>
        </w:rPr>
        <w:t>(22,310,060)</w:t>
      </w:r>
      <w:r>
        <w:rPr>
          <w:sz w:val="20"/>
          <w:szCs w:val="20"/>
          <w:color w:val="auto"/>
        </w:rPr>
        <w:tab/>
      </w:r>
      <w:r>
        <w:rPr>
          <w:rFonts w:ascii="Courier New" w:cs="Courier New" w:eastAsia="Courier New" w:hAnsi="Courier New"/>
          <w:sz w:val="15"/>
          <w:szCs w:val="15"/>
          <w:color w:val="auto"/>
        </w:rPr>
        <w:t>(78,125,861)</w:t>
      </w:r>
      <w:r>
        <w:rPr>
          <w:sz w:val="20"/>
          <w:szCs w:val="20"/>
          <w:color w:val="auto"/>
        </w:rPr>
        <w:tab/>
      </w:r>
      <w:r>
        <w:rPr>
          <w:rFonts w:ascii="Courier New" w:cs="Courier New" w:eastAsia="Courier New" w:hAnsi="Courier New"/>
          <w:sz w:val="14"/>
          <w:szCs w:val="14"/>
          <w:color w:val="auto"/>
        </w:rPr>
        <w:t>(9,435,491)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tabs>
          <w:tab w:leader="none" w:pos="2160" w:val="left"/>
          <w:tab w:leader="none" w:pos="3660" w:val="left"/>
          <w:tab w:leader="none" w:pos="5240" w:val="left"/>
        </w:tabs>
        <w:rPr>
          <w:sz w:val="20"/>
          <w:szCs w:val="20"/>
          <w:color w:val="auto"/>
        </w:rPr>
      </w:pPr>
      <w:r>
        <w:rPr>
          <w:rFonts w:ascii="Courier New" w:cs="Courier New" w:eastAsia="Courier New" w:hAnsi="Courier New"/>
          <w:sz w:val="15"/>
          <w:szCs w:val="15"/>
          <w:color w:val="auto"/>
        </w:rPr>
        <w:t>(348,586)</w:t>
      </w:r>
      <w:r>
        <w:rPr>
          <w:sz w:val="20"/>
          <w:szCs w:val="20"/>
          <w:color w:val="auto"/>
        </w:rPr>
        <w:tab/>
      </w:r>
      <w:r>
        <w:rPr>
          <w:rFonts w:ascii="Courier New" w:cs="Courier New" w:eastAsia="Courier New" w:hAnsi="Courier New"/>
          <w:sz w:val="15"/>
          <w:szCs w:val="15"/>
          <w:color w:val="auto"/>
        </w:rPr>
        <w:t>565,913</w:t>
      </w:r>
      <w:r>
        <w:rPr>
          <w:sz w:val="20"/>
          <w:szCs w:val="20"/>
          <w:color w:val="auto"/>
        </w:rPr>
        <w:tab/>
      </w:r>
      <w:r>
        <w:rPr>
          <w:rFonts w:ascii="Courier New" w:cs="Courier New" w:eastAsia="Courier New" w:hAnsi="Courier New"/>
          <w:sz w:val="15"/>
          <w:szCs w:val="15"/>
          <w:color w:val="auto"/>
        </w:rPr>
        <w:t>11,583</w:t>
      </w:r>
      <w:r>
        <w:rPr>
          <w:sz w:val="20"/>
          <w:szCs w:val="20"/>
          <w:color w:val="auto"/>
        </w:rPr>
        <w:tab/>
      </w:r>
      <w:r>
        <w:rPr>
          <w:rFonts w:ascii="Courier New" w:cs="Courier New" w:eastAsia="Courier New" w:hAnsi="Courier New"/>
          <w:sz w:val="14"/>
          <w:szCs w:val="14"/>
          <w:color w:val="auto"/>
        </w:rPr>
        <w:t>1,399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1740" w:val="left"/>
          <w:tab w:leader="none" w:pos="3300" w:val="left"/>
          <w:tab w:leader="none" w:pos="4800" w:val="left"/>
        </w:tabs>
        <w:rPr>
          <w:sz w:val="20"/>
          <w:szCs w:val="20"/>
          <w:color w:val="auto"/>
        </w:rPr>
      </w:pPr>
      <w:r>
        <w:rPr>
          <w:rFonts w:ascii="Courier New" w:cs="Courier New" w:eastAsia="Courier New" w:hAnsi="Courier New"/>
          <w:sz w:val="15"/>
          <w:szCs w:val="15"/>
          <w:color w:val="auto"/>
        </w:rPr>
        <w:t>726,813,621</w:t>
      </w:r>
      <w:r>
        <w:rPr>
          <w:sz w:val="20"/>
          <w:szCs w:val="20"/>
          <w:color w:val="auto"/>
        </w:rPr>
        <w:tab/>
      </w:r>
      <w:r>
        <w:rPr>
          <w:rFonts w:ascii="Courier New" w:cs="Courier New" w:eastAsia="Courier New" w:hAnsi="Courier New"/>
          <w:sz w:val="15"/>
          <w:szCs w:val="15"/>
          <w:color w:val="auto"/>
        </w:rPr>
        <w:t>(274,696,735)</w:t>
      </w:r>
      <w:r>
        <w:rPr>
          <w:sz w:val="20"/>
          <w:szCs w:val="20"/>
          <w:color w:val="auto"/>
        </w:rPr>
        <w:tab/>
      </w:r>
      <w:r>
        <w:rPr>
          <w:rFonts w:ascii="Courier New" w:cs="Courier New" w:eastAsia="Courier New" w:hAnsi="Courier New"/>
          <w:sz w:val="15"/>
          <w:szCs w:val="15"/>
          <w:color w:val="auto"/>
        </w:rPr>
        <w:t>(8,638,966)</w:t>
      </w:r>
      <w:r>
        <w:rPr>
          <w:sz w:val="20"/>
          <w:szCs w:val="20"/>
          <w:color w:val="auto"/>
        </w:rPr>
        <w:tab/>
      </w:r>
      <w:r>
        <w:rPr>
          <w:rFonts w:ascii="Courier New" w:cs="Courier New" w:eastAsia="Courier New" w:hAnsi="Courier New"/>
          <w:sz w:val="14"/>
          <w:szCs w:val="14"/>
          <w:color w:val="auto"/>
        </w:rPr>
        <w:t>(1,043,354)</w:t>
      </w:r>
    </w:p>
    <w:p>
      <w:pPr>
        <w:ind w:left="180"/>
        <w:spacing w:after="0"/>
        <w:tabs>
          <w:tab w:leader="none" w:pos="1900" w:val="left"/>
          <w:tab w:leader="none" w:pos="3300" w:val="left"/>
          <w:tab w:leader="none" w:pos="4800" w:val="left"/>
        </w:tabs>
        <w:rPr>
          <w:sz w:val="20"/>
          <w:szCs w:val="20"/>
          <w:color w:val="auto"/>
        </w:rPr>
      </w:pPr>
      <w:r>
        <w:rPr>
          <w:rFonts w:ascii="Courier New" w:cs="Courier New" w:eastAsia="Courier New" w:hAnsi="Courier New"/>
          <w:sz w:val="15"/>
          <w:szCs w:val="15"/>
          <w:color w:val="auto"/>
        </w:rPr>
        <w:t>(136,052,705)</w:t>
      </w:r>
      <w:r>
        <w:rPr>
          <w:sz w:val="20"/>
          <w:szCs w:val="20"/>
          <w:color w:val="auto"/>
        </w:rPr>
        <w:tab/>
      </w:r>
      <w:r>
        <w:rPr>
          <w:rFonts w:ascii="Courier New" w:cs="Courier New" w:eastAsia="Courier New" w:hAnsi="Courier New"/>
          <w:sz w:val="15"/>
          <w:szCs w:val="15"/>
          <w:color w:val="auto"/>
        </w:rPr>
        <w:t>45,744,257</w:t>
      </w:r>
      <w:r>
        <w:rPr>
          <w:sz w:val="20"/>
          <w:szCs w:val="20"/>
          <w:color w:val="auto"/>
        </w:rPr>
        <w:tab/>
      </w:r>
      <w:r>
        <w:rPr>
          <w:rFonts w:ascii="Courier New" w:cs="Courier New" w:eastAsia="Courier New" w:hAnsi="Courier New"/>
          <w:sz w:val="15"/>
          <w:szCs w:val="15"/>
          <w:color w:val="auto"/>
        </w:rPr>
        <w:t>89,100,143</w:t>
      </w:r>
      <w:r>
        <w:rPr>
          <w:sz w:val="20"/>
          <w:szCs w:val="20"/>
          <w:color w:val="auto"/>
        </w:rPr>
        <w:tab/>
      </w:r>
      <w:r>
        <w:rPr>
          <w:rFonts w:ascii="Courier New" w:cs="Courier New" w:eastAsia="Courier New" w:hAnsi="Courier New"/>
          <w:sz w:val="14"/>
          <w:szCs w:val="14"/>
          <w:color w:val="auto"/>
        </w:rPr>
        <w:t>10,760,887</w:t>
      </w:r>
    </w:p>
    <w:p>
      <w:pPr>
        <w:ind w:left="260"/>
        <w:spacing w:after="0"/>
        <w:tabs>
          <w:tab w:leader="none" w:pos="1820" w:val="left"/>
          <w:tab w:leader="none" w:pos="3220" w:val="left"/>
          <w:tab w:leader="none" w:pos="4800" w:val="left"/>
        </w:tabs>
        <w:rPr>
          <w:sz w:val="20"/>
          <w:szCs w:val="20"/>
          <w:color w:val="auto"/>
        </w:rPr>
      </w:pPr>
      <w:r>
        <w:rPr>
          <w:rFonts w:ascii="Courier New" w:cs="Courier New" w:eastAsia="Courier New" w:hAnsi="Courier New"/>
          <w:sz w:val="15"/>
          <w:szCs w:val="15"/>
          <w:color w:val="auto"/>
        </w:rPr>
        <w:t>117,800,096</w:t>
      </w:r>
      <w:r>
        <w:rPr>
          <w:sz w:val="20"/>
          <w:szCs w:val="20"/>
          <w:color w:val="auto"/>
        </w:rPr>
        <w:tab/>
      </w:r>
      <w:r>
        <w:rPr>
          <w:rFonts w:ascii="Courier New" w:cs="Courier New" w:eastAsia="Courier New" w:hAnsi="Courier New"/>
          <w:sz w:val="15"/>
          <w:szCs w:val="15"/>
          <w:color w:val="auto"/>
        </w:rPr>
        <w:t>708,561,012</w:t>
      </w:r>
      <w:r>
        <w:rPr>
          <w:sz w:val="20"/>
          <w:szCs w:val="20"/>
          <w:color w:val="auto"/>
        </w:rPr>
        <w:tab/>
      </w:r>
      <w:r>
        <w:rPr>
          <w:rFonts w:ascii="Courier New" w:cs="Courier New" w:eastAsia="Courier New" w:hAnsi="Courier New"/>
          <w:sz w:val="15"/>
          <w:szCs w:val="15"/>
          <w:color w:val="auto"/>
        </w:rPr>
        <w:t>479,608,534</w:t>
      </w:r>
      <w:r>
        <w:rPr>
          <w:sz w:val="20"/>
          <w:szCs w:val="20"/>
          <w:color w:val="auto"/>
        </w:rPr>
        <w:tab/>
      </w:r>
      <w:r>
        <w:rPr>
          <w:rFonts w:ascii="Courier New" w:cs="Courier New" w:eastAsia="Courier New" w:hAnsi="Courier New"/>
          <w:sz w:val="14"/>
          <w:szCs w:val="14"/>
          <w:color w:val="auto"/>
        </w:rPr>
        <w:t>57,923,736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1820" w:val="left"/>
          <w:tab w:leader="none" w:pos="3220" w:val="left"/>
          <w:tab w:leader="none" w:pos="4800" w:val="left"/>
        </w:tabs>
        <w:rPr>
          <w:sz w:val="20"/>
          <w:szCs w:val="20"/>
          <w:color w:val="auto"/>
        </w:rPr>
      </w:pPr>
      <w:r>
        <w:rPr>
          <w:rFonts w:ascii="Courier New" w:cs="Courier New" w:eastAsia="Courier New" w:hAnsi="Courier New"/>
          <w:sz w:val="15"/>
          <w:szCs w:val="15"/>
          <w:color w:val="auto"/>
        </w:rPr>
        <w:t>708,561,012</w:t>
      </w:r>
      <w:r>
        <w:rPr>
          <w:sz w:val="20"/>
          <w:szCs w:val="20"/>
          <w:color w:val="auto"/>
        </w:rPr>
        <w:tab/>
      </w:r>
      <w:r>
        <w:rPr>
          <w:rFonts w:ascii="Courier New" w:cs="Courier New" w:eastAsia="Courier New" w:hAnsi="Courier New"/>
          <w:sz w:val="15"/>
          <w:szCs w:val="15"/>
          <w:color w:val="auto"/>
        </w:rPr>
        <w:t>479,608,534</w:t>
      </w:r>
      <w:r>
        <w:rPr>
          <w:sz w:val="20"/>
          <w:szCs w:val="20"/>
          <w:color w:val="auto"/>
        </w:rPr>
        <w:tab/>
      </w:r>
      <w:r>
        <w:rPr>
          <w:rFonts w:ascii="Courier New" w:cs="Courier New" w:eastAsia="Courier New" w:hAnsi="Courier New"/>
          <w:sz w:val="15"/>
          <w:szCs w:val="15"/>
          <w:color w:val="auto"/>
        </w:rPr>
        <w:t>560,069,711</w:t>
      </w:r>
      <w:r>
        <w:rPr>
          <w:sz w:val="20"/>
          <w:szCs w:val="20"/>
          <w:color w:val="auto"/>
        </w:rPr>
        <w:tab/>
      </w:r>
      <w:r>
        <w:rPr>
          <w:rFonts w:ascii="Courier New" w:cs="Courier New" w:eastAsia="Courier New" w:hAnsi="Courier New"/>
          <w:sz w:val="14"/>
          <w:szCs w:val="14"/>
          <w:color w:val="auto"/>
        </w:rPr>
        <w:t>67,641,269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4360" w:space="720"/>
            <w:col w:w="6040"/>
          </w:cols>
          <w:pgMar w:left="220" w:top="617" w:right="55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Supplemental disclosures of cash flow</w:t>
      </w:r>
    </w:p>
    <w:p>
      <w:pPr>
        <w:ind w:left="440"/>
        <w:spacing w:after="0" w:line="237" w:lineRule="auto"/>
        <w:rPr>
          <w:sz w:val="20"/>
          <w:szCs w:val="20"/>
          <w:color w:val="auto"/>
        </w:rPr>
      </w:pPr>
      <w:r>
        <w:rPr>
          <w:rFonts w:ascii="Courier New" w:cs="Courier New" w:eastAsia="Courier New" w:hAnsi="Courier New"/>
          <w:sz w:val="15"/>
          <w:szCs w:val="15"/>
          <w:color w:val="auto"/>
        </w:rPr>
        <w:t>information: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Cash paid during the year for income taxes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paid during the year for interest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140"/>
        <w:spacing w:after="0"/>
        <w:tabs>
          <w:tab w:leader="none" w:pos="2700" w:val="left"/>
          <w:tab w:leader="none" w:pos="4100" w:val="left"/>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tabs>
          <w:tab w:leader="none" w:pos="2000" w:val="left"/>
          <w:tab w:leader="none" w:pos="3400" w:val="left"/>
          <w:tab w:leader="none" w:pos="5060" w:val="left"/>
        </w:tabs>
        <w:rPr>
          <w:sz w:val="20"/>
          <w:szCs w:val="20"/>
          <w:color w:val="auto"/>
        </w:rPr>
      </w:pPr>
      <w:r>
        <w:rPr>
          <w:rFonts w:ascii="Courier New" w:cs="Courier New" w:eastAsia="Courier New" w:hAnsi="Courier New"/>
          <w:sz w:val="15"/>
          <w:szCs w:val="15"/>
          <w:color w:val="auto"/>
        </w:rPr>
        <w:t>1,159,275</w:t>
      </w:r>
      <w:r>
        <w:rPr>
          <w:sz w:val="20"/>
          <w:szCs w:val="20"/>
          <w:color w:val="auto"/>
        </w:rPr>
        <w:tab/>
      </w:r>
      <w:r>
        <w:rPr>
          <w:rFonts w:ascii="Courier New" w:cs="Courier New" w:eastAsia="Courier New" w:hAnsi="Courier New"/>
          <w:sz w:val="15"/>
          <w:szCs w:val="15"/>
          <w:color w:val="auto"/>
        </w:rPr>
        <w:t>8,726,640</w:t>
      </w:r>
      <w:r>
        <w:rPr>
          <w:sz w:val="20"/>
          <w:szCs w:val="20"/>
          <w:color w:val="auto"/>
        </w:rPr>
        <w:tab/>
      </w:r>
      <w:r>
        <w:rPr>
          <w:rFonts w:ascii="Courier New" w:cs="Courier New" w:eastAsia="Courier New" w:hAnsi="Courier New"/>
          <w:sz w:val="15"/>
          <w:szCs w:val="15"/>
          <w:color w:val="auto"/>
        </w:rPr>
        <w:t>1,057,225</w:t>
      </w:r>
      <w:r>
        <w:rPr>
          <w:sz w:val="20"/>
          <w:szCs w:val="20"/>
          <w:color w:val="auto"/>
        </w:rPr>
        <w:tab/>
      </w:r>
      <w:r>
        <w:rPr>
          <w:rFonts w:ascii="Courier New" w:cs="Courier New" w:eastAsia="Courier New" w:hAnsi="Courier New"/>
          <w:sz w:val="14"/>
          <w:szCs w:val="14"/>
          <w:color w:val="auto"/>
        </w:rPr>
        <w:t>127,684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4360" w:space="720"/>
            <w:col w:w="6040"/>
          </w:cols>
          <w:pgMar w:left="220" w:top="617" w:right="559" w:bottom="1440" w:gutter="0" w:footer="0" w:header="0"/>
          <w:type w:val="continuous"/>
        </w:sectPr>
      </w:pPr>
    </w:p>
    <w:p>
      <w:pPr>
        <w:ind w:left="440" w:right="60" w:hanging="436"/>
        <w:spacing w:after="0" w:line="236" w:lineRule="auto"/>
        <w:rPr>
          <w:sz w:val="20"/>
          <w:szCs w:val="20"/>
          <w:color w:val="auto"/>
        </w:rPr>
      </w:pPr>
      <w:r>
        <w:rPr>
          <w:rFonts w:ascii="Courier New" w:cs="Courier New" w:eastAsia="Courier New" w:hAnsi="Courier New"/>
          <w:sz w:val="15"/>
          <w:szCs w:val="15"/>
          <w:color w:val="auto"/>
        </w:rPr>
        <w:t>Supplemental schedule of non-cash investing and financing activities: Compensation costs, arising from transfer of ordinary shares and issuance of stock options in the Company to employees and some non-employees of the Company (see Notes 14 and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line="261" w:lineRule="auto"/>
        <w:rPr>
          <w:sz w:val="20"/>
          <w:szCs w:val="20"/>
          <w:color w:val="auto"/>
        </w:rPr>
      </w:pPr>
      <w:r>
        <w:rPr>
          <w:rFonts w:ascii="Courier New" w:cs="Courier New" w:eastAsia="Courier New" w:hAnsi="Courier New"/>
          <w:sz w:val="14"/>
          <w:szCs w:val="14"/>
          <w:color w:val="auto"/>
        </w:rPr>
        <w:t>13,839,560         2,357,758       3,806,858          459,766 =====================================================================</w:t>
      </w:r>
    </w:p>
    <w:p>
      <w:pPr>
        <w:spacing w:after="0" w:line="200" w:lineRule="exact"/>
        <w:rPr>
          <w:sz w:val="20"/>
          <w:szCs w:val="20"/>
          <w:color w:val="auto"/>
        </w:rPr>
      </w:pPr>
    </w:p>
    <w:p>
      <w:pPr>
        <w:sectPr>
          <w:pgSz w:w="11900" w:h="16838" w:orient="portrait"/>
          <w:cols w:equalWidth="0" w:num="2">
            <w:col w:w="4360" w:space="720"/>
            <w:col w:w="6040"/>
          </w:cols>
          <w:pgMar w:left="220" w:top="617" w:right="55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1120"/>
          </w:cols>
          <w:pgMar w:left="220" w:top="617" w:right="559" w:bottom="1440" w:gutter="0" w:footer="0" w:header="0"/>
          <w:type w:val="continuous"/>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(Amounts expressed in renminbi ("RMB"), unless otherwise stated)</w:t>
      </w:r>
    </w:p>
    <w:p>
      <w:pPr>
        <w:spacing w:after="0" w:line="173" w:lineRule="exact"/>
        <w:rPr>
          <w:sz w:val="20"/>
          <w:szCs w:val="20"/>
          <w:color w:val="auto"/>
        </w:rPr>
      </w:pPr>
    </w:p>
    <w:p>
      <w:pPr>
        <w:ind w:right="6639" w:firstLine="10"/>
        <w:spacing w:after="0" w:line="465" w:lineRule="auto"/>
        <w:tabs>
          <w:tab w:leader="none" w:pos="35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Nature of Operations The Group</w:t>
      </w:r>
    </w:p>
    <w:p>
      <w:pPr>
        <w:spacing w:after="0" w:line="1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include the financial statements of NetEase.com, Inc. (the "Company") and its controlled entities which consist of NetEase Information Technology (Beijing) Co., Ltd. ("NetEase Beijing"), NetEase Information Technology (Shanghai) Co., Ltd. ("NetEase Shanghai"), NetEase (U.S.) Inc. ("NetEase US"), NetEase Interactive Entertainment Limited ("NetEase Interactive") and Guangzhou NetEase Interactive Entertainment Limited ("Guangzhou Interactive"). The Company and these controlled entities are hereinafter collectively referred to as the "Group".</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was incorporated in the Cayman Islands on July 6, 1999. As of December 31, 2002, the Company had four directly wholly owned subsidiaries, NetEase Beijing, NetEase Shanghai, NetEase US and NetEase Interactive. NetEase Beijing and Netease Shanghai were established in the People's Republic of China ("China") by the Company on August 30, 1999 and May 14, 2000, respectively. Netease US was established in the United States of America on September 10, 1999. NetEase Interactive was established in the British Virgin Islands (the "BVI") by the Company on April 12, 2002. Guangzhou Interactive was established in China on October 15, 2002 by NetEase Interactive.</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 is principally engaged in developing and providing Internet-related advertising, e-commerce and other services, and software licensing services. The Group's businesses were previously conducted by Guangzhou NetEase Computer System Co., Ltd. ("Guangzhou NetEase"), a limited liability company established in China controlled by the principal shareholder of the Company. Pursuant to a reorganization under common control transaction which took place in September 1999 and related agreements, NetEase Beijing took over the business previously owned by Guangzhou NetEase.</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Group conducts its business within one industry segment - the business of developing and providing Internet-related advertising, e-commerce and other services, and software licensing services in China. The industry in which the Group operates is subject to a number of industry-specific risk factors, including, but not limited to, rapidly changing technologies; significant numbers of new entrants; dependence on key individuals; competition from similar products from larger companies; customer preferences; the need for the continued successful development, marketing, and selling of its products and services; the need for financing; and the need for positive cash flows from operations.</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Group is currently targeting the Chinese market. The Chinese government regulates Internet access, the distribution of news and other information and the provision of commerce through strict business licensing requirements and other governmental regulations, which include, among others, those restricting foreign ownership in Chinese companies providing Internet access, information and other online Internet services. Management is of the opinion that the Group's businesses comply with existing Chinese laws and regulations. However, the interpretation and application of current or proposed requirements and regulations may have an adverse effect on the Group's businesses, financial condition and results of operations.</w:t>
      </w:r>
    </w:p>
    <w:p>
      <w:pPr>
        <w:spacing w:after="0" w:line="17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Group has a limited operating history and as a result, the Group is subject to risks associated with early stage companies in new and rapidly evolving markets. As of December 31, 2002, the Group had an accumulated deficit of approximately RMB437.8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Agreements with Guangzhou NetEase</w:t>
      </w:r>
    </w:p>
    <w:p>
      <w:pPr>
        <w:spacing w:after="0" w:line="17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The Group entered into a series of agreements with Guangzhou NetEase effective from year 2000. Under these agreements, the Group provides its Internet portal and e-commerce technologies and advertising services to Guangzhou NetEase, and Guangzhou NetEase operates the NetEase Web sites. These services include:</w:t>
      </w:r>
    </w:p>
    <w:p>
      <w:pPr>
        <w:spacing w:after="0" w:line="15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use of domain names;</w:t>
      </w:r>
    </w:p>
    <w:p>
      <w:pPr>
        <w:spacing w:after="0" w:line="237"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use of copyrighted Web page layout;</w:t>
      </w:r>
    </w:p>
    <w:p>
      <w:pPr>
        <w:spacing w:after="0" w:line="238"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use of registered trademarks;</w:t>
      </w:r>
    </w:p>
    <w:p>
      <w:pPr>
        <w:spacing w:after="0" w:line="237"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use of equipment; and</w:t>
      </w:r>
    </w:p>
    <w:p>
      <w:pPr>
        <w:spacing w:after="0" w:line="238"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provision of technical and consulting services.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Under these agreements, substantially all of the income received by Guangzhou NetEase will be paid to NetEase Beijing. In addition, NetEase Beijing agreed to bear the operating costs of Guangzhou NetEase. Guangzhou NetEase is a related party because it is also controlled by the principal shareholder of the Company. The Group's businesses are dependent upon Guangzhou NetEase which operates the NetEase Web sites. Under the agreements with Guangzhou NetEase, the Group is to receive payments from Guangzhou NetEase for the technologies and services it provides. The effect of the accounting is that revenues that the Group records related to transactions with Guangzhou NetEase will not exceed the revenues that Guangzhou NetEase derives from unrelated parties. Transactions with Guangzhou NetEase are disclosed as related party transactions.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with Guangyitong Advertising Co., Ltd. ("Guangyitong Advertising")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NetEase Beijing also entered into a series of agreements with Guangyitong Advertising and the ultimate owners of Guangyitong Advertising effective from year 2000. These agreements include:</w:t>
      </w:r>
    </w:p>
    <w:p>
      <w:pPr>
        <w:spacing w:after="0" w:line="174" w:lineRule="exact"/>
        <w:rPr>
          <w:sz w:val="20"/>
          <w:szCs w:val="20"/>
          <w:color w:val="auto"/>
        </w:rPr>
      </w:pPr>
    </w:p>
    <w:p>
      <w:pPr>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w:t>
        <w:tab/>
        <w:t>a ten-year irrevocable proxy given by the ultimate owners of Guangyitong Advertising which allows NetEase Beijing to exercise all of the shareholder voting rights of Guangyitong Advertising;</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an operating agreement providing for the following:</w:t>
      </w:r>
    </w:p>
    <w:p>
      <w:pPr>
        <w:spacing w:after="0" w:line="173" w:lineRule="exact"/>
        <w:rPr>
          <w:sz w:val="20"/>
          <w:szCs w:val="20"/>
          <w:color w:val="auto"/>
        </w:rPr>
      </w:pPr>
    </w:p>
    <w:p>
      <w:pPr>
        <w:ind w:left="880" w:right="3319" w:hanging="433"/>
        <w:spacing w:after="0" w:line="234"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Guangyitong Advertising will appoint only those individuals nominated by NetEase Beijing as its senior management personnel;</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major decisions of Guangyitong Advertising have to be approved by NetEase Beijing, including those relating to financing; transfer of ownership interests, significant acquisitions, disposals or pledges of assets; and amendment and assignment of contracts;</w:t>
      </w:r>
    </w:p>
    <w:p>
      <w:pPr>
        <w:spacing w:after="0" w:line="175" w:lineRule="exact"/>
        <w:rPr>
          <w:rFonts w:ascii="Courier New" w:cs="Courier New" w:eastAsia="Courier New" w:hAnsi="Courier New"/>
          <w:sz w:val="15"/>
          <w:szCs w:val="15"/>
          <w:color w:val="auto"/>
        </w:rPr>
      </w:pPr>
    </w:p>
    <w:p>
      <w:pPr>
        <w:ind w:left="880" w:right="3239" w:hanging="433"/>
        <w:spacing w:after="0" w:line="258" w:lineRule="auto"/>
        <w:tabs>
          <w:tab w:leader="none" w:pos="8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NetEase Beijing has a commitment to purchase the assets and business of Guangyitong Advertising at their net book value once it obtains the approval from the Chinese Government to do so under Chinese law; and</w:t>
      </w:r>
    </w:p>
    <w:p>
      <w:pPr>
        <w:spacing w:after="0" w:line="161" w:lineRule="exact"/>
        <w:rPr>
          <w:rFonts w:ascii="Courier New" w:cs="Courier New" w:eastAsia="Courier New" w:hAnsi="Courier New"/>
          <w:sz w:val="14"/>
          <w:szCs w:val="14"/>
          <w:color w:val="auto"/>
        </w:rPr>
      </w:pPr>
    </w:p>
    <w:p>
      <w:pPr>
        <w:ind w:left="880" w:right="3399" w:hanging="433"/>
        <w:spacing w:after="0" w:line="235"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NetEase Beijing will issue guarantees for the benefit of Guangyitong Advertising when considered necessary for Guangyitong Advertising's operations;</w:t>
      </w:r>
    </w:p>
    <w:p>
      <w:pPr>
        <w:spacing w:after="0" w:line="174" w:lineRule="exact"/>
        <w:rPr>
          <w:sz w:val="20"/>
          <w:szCs w:val="20"/>
          <w:color w:val="auto"/>
        </w:rPr>
      </w:pPr>
    </w:p>
    <w:p>
      <w:pPr>
        <w:ind w:left="440" w:right="323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w:t>
        <w:tab/>
        <w:t>a ten-year exclusive consulting and technical services agreement providing for the following: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119" w:name="page120"/>
    <w:bookmarkEnd w:id="119"/>
    <w:p>
      <w:pPr>
        <w:ind w:left="880" w:right="3239" w:hanging="433"/>
        <w:spacing w:after="0" w:line="235" w:lineRule="auto"/>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NetEase Beijing is the exclusive provider of technical consulting and related services to Guangyitong Advertising for all the advertisements which Guangyitong Advertising will receive and publish on the NetEase Web sites; and</w:t>
      </w:r>
    </w:p>
    <w:p>
      <w:pPr>
        <w:spacing w:after="0" w:line="175"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NetEase Beijing will charge Guangyitong Advertising a monthly fee for the above services. The service fee may be unilaterally adjusted by NetEase Beijing such that NetEase Beijing may receive all of the profits and cash flows of Guangyitong Advertising;</w:t>
      </w:r>
    </w:p>
    <w:p>
      <w:pPr>
        <w:spacing w:after="0" w:line="175" w:lineRule="exact"/>
        <w:rPr>
          <w:sz w:val="20"/>
          <w:szCs w:val="20"/>
          <w:color w:val="auto"/>
        </w:rPr>
      </w:pPr>
    </w:p>
    <w:p>
      <w:pPr>
        <w:ind w:left="440" w:right="3139" w:hanging="436"/>
        <w:spacing w:after="0" w:line="236" w:lineRule="auto"/>
        <w:tabs>
          <w:tab w:leader="none" w:pos="420" w:val="left"/>
        </w:tabs>
        <w:rPr>
          <w:sz w:val="20"/>
          <w:szCs w:val="20"/>
          <w:color w:val="auto"/>
        </w:rPr>
      </w:pPr>
      <w:r>
        <w:rPr>
          <w:rFonts w:ascii="Courier New" w:cs="Courier New" w:eastAsia="Courier New" w:hAnsi="Courier New"/>
          <w:sz w:val="15"/>
          <w:szCs w:val="15"/>
          <w:color w:val="auto"/>
        </w:rPr>
        <w:t>..</w:t>
        <w:tab/>
        <w:t>an undertaking by the principal shareholder of the Company and the ultimate owners of Guangyitong Advertising that they will not vote in any shareholders' or directors' meetings of the Company on any amendments or supplements to the agreements with Guangyitong Advertising except as directed by the Company's board of directors.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these agreements, Guangyitong Advertising is fully dependent on the technical consulting and other services provided by NetEase Beijing to operate its online advertising business. Substantially all of the net profit earned by Guangyitong Advertising will be paid to NetEase Beijing. Guangyitong Advertising is a related party because it is also 80% owned by the principal shareholder of the Company. The financial statements of Guangyitong Advertising are not consolidated with those of the Group because of the majority equity interest that the principal shareholder of the Company has both in the Company and Guangyitong Advertising. Transactions with Guangyitong Advertising are disclosed as related party transactions.</w:t>
      </w:r>
    </w:p>
    <w:p>
      <w:pPr>
        <w:spacing w:after="0" w:line="179" w:lineRule="exact"/>
        <w:rPr>
          <w:sz w:val="20"/>
          <w:szCs w:val="20"/>
          <w:color w:val="auto"/>
        </w:rPr>
      </w:pPr>
    </w:p>
    <w:p>
      <w:pPr>
        <w:ind w:right="7339" w:firstLine="10"/>
        <w:spacing w:after="0" w:line="465" w:lineRule="auto"/>
        <w:tabs>
          <w:tab w:leader="none" w:pos="35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Accounting Policies Basis of consolidation</w:t>
      </w:r>
    </w:p>
    <w:p>
      <w:pPr>
        <w:spacing w:after="0" w:line="1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financial statements of the Company and its controlled entities. All significant transactions and balances between the Company and its controlled entities have been eliminated upon consolidation.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accompanying consolidated financial statements have been prepared in accordance with generally accepted accounting principles in the United States of America ("US GAAP"). This basis of accounting differs from that used in the statutory accounts of those companies within the Group established in China ("PRC Statutory Accounts"), which are prepared in accordance with accounting principles and the relevant financial regulations applicable to enterprises established in China ("PRC GAAP").</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w:t>
      </w:r>
    </w:p>
    <w:p>
      <w:pPr>
        <w:spacing w:after="0" w:line="16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principal differences between US GAAP and PRC GAAP applicable to the Group include the following:</w:t>
      </w:r>
    </w:p>
    <w:p>
      <w:pPr>
        <w:spacing w:after="0" w:line="173" w:lineRule="exact"/>
        <w:rPr>
          <w:sz w:val="20"/>
          <w:szCs w:val="20"/>
          <w:color w:val="auto"/>
        </w:rPr>
      </w:pPr>
    </w:p>
    <w:p>
      <w:pPr>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w:t>
        <w:tab/>
        <w:t>recognition of compensation costs arising from transfer of ordinary shares in the Company by the principal shareholder to certain members of senior management;</w:t>
      </w:r>
    </w:p>
    <w:p>
      <w:pPr>
        <w:spacing w:after="0" w:line="5" w:lineRule="exact"/>
        <w:rPr>
          <w:sz w:val="20"/>
          <w:szCs w:val="20"/>
          <w:color w:val="auto"/>
        </w:rPr>
      </w:pPr>
    </w:p>
    <w:p>
      <w:pPr>
        <w:ind w:left="440" w:right="331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w:t>
        <w:tab/>
        <w:t>recognition of compensation cost arising from grants of stock options and shares to the Company's employees, directors, consultants and advisory board members;</w:t>
      </w:r>
    </w:p>
    <w:p>
      <w:pPr>
        <w:spacing w:after="0" w:line="238"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basis for revenue recognition;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23" w:right="1440" w:bottom="1440" w:gutter="0" w:footer="0" w:header="0"/>
        </w:sectPr>
      </w:pPr>
    </w:p>
    <w:bookmarkStart w:id="120" w:name="page121"/>
    <w:bookmarkEnd w:id="120"/>
    <w:p>
      <w:pPr>
        <w:jc w:val="both"/>
        <w:ind w:left="440" w:right="339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w:t>
        <w:tab/>
        <w:t>tax effects related to the above adjustments and recognition of deferred tax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Group has adopted the provisions of the Staff Accounting Bulletin 101, "Revenue Recognition", in its accounting policy on revenue recognition.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services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Group derives its advertising services revenues principally from the fees earned from services provided to Guangyitong Advertising, a related party (see Note 6).</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agreements entered into between NetEase Beijing and Guangyitong Advertising (see Note 1) allow NetEase Beijing to unilaterally adjust the amount of fees NetEase Beijing is entitled to from the technical consulting and related services provided to Guangyitong Advertising such that all of the advertising revenues recognized by Guangyitong Advertising based on the recognition policy described below, less all of the accrued expenses incurred by Guangyitong Advertising, will fully accrue to NetEase Beijing. Therefore, the Group recognizes advertising services revenues from Guangyitong Advertising as the service revenues are earned based on the related service agreement (see Note 1) at the same time as Guangyitong Advertising recognizes its advertising revenues.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Guangyitong Advertising derives its advertising fees principally from short-term advertising contracts. Revenues from advertising contracts are generally recognized ratably over the period in which the advertisement is displayed and only if collection of the resulting receivables is probable. Guangyitong Advertising's obligations may also include guarantees of a minimum number of impressions or times that an advertisement appears in pages viewed by users. To the extent that minimum guaranteed impressions are not met within the contractual time period, Guangyitong Advertising defers recognition of the corresponding revenues until the remaining guaranteed impression levels are achieved.</w:t>
      </w:r>
    </w:p>
    <w:p>
      <w:pPr>
        <w:spacing w:after="0" w:line="179"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Revenues from barter transactions primarily relate to advertising services provided in the years ended 2000 and 2001. Effective from January 20, 2000, Guangyitong Advertising has adopted the consensus reached in Emerging Issue Task Force ("EITF") 99-17 to account for barter transactions. According to EITF</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99-17, revenue and expense should be recognized at fair value from a barter transaction involving advertising services provided by Guangyitong Advertising only if the fair value of the advertising services surrendered in the transaction is determinable based on the entity's own historical practice of receiving cash, marketable securities, or other consideration that is readily convertible to a known amount of cash for similar advertising from buyers unrelated to the counterparty in the barter transaction. During the years ended December 31, 2000, 2001 and 2002, the recognized revenues and expenses derived from barter transactions were approximately RMB0.7 million, RMB0.7 million and RMBnil, respectively. During the years ended December 31, 2000, 2001 and 2002, Guangyitong Advertising also engaged in certain advertising barter transactions for which the fair value is not determinable within the limits of EITF 99-17 and therefore no revenues or expenses derived from these barter transactions were recognized. These transactions primarily involved exchanges of advertising services rendered by Guangyitong Advertising for advertising, promotional benefits, information content, consulting services, and software provided by the counterparties.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E-commerce and other services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Group currently derives all its e-commerce and other services revenues from fees earned from services provided to Guangzhou NetEase, a related party (see Note 6). The Company derives e-commerce and other services revenues from technical services provided to Guangzhou NetEase which operates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23" w:right="1440" w:bottom="1440" w:gutter="0" w:footer="0" w:header="0"/>
        </w:sectPr>
      </w:pPr>
    </w:p>
    <w:bookmarkStart w:id="121" w:name="page122"/>
    <w:bookmarkEnd w:id="121"/>
    <w:p>
      <w:pPr>
        <w:ind w:right="3319"/>
        <w:spacing w:after="0" w:line="254" w:lineRule="auto"/>
        <w:rPr>
          <w:sz w:val="20"/>
          <w:szCs w:val="20"/>
          <w:color w:val="auto"/>
        </w:rPr>
      </w:pPr>
      <w:r>
        <w:rPr>
          <w:rFonts w:ascii="Courier New" w:cs="Courier New" w:eastAsia="Courier New" w:hAnsi="Courier New"/>
          <w:sz w:val="14"/>
          <w:szCs w:val="14"/>
          <w:color w:val="auto"/>
        </w:rPr>
        <w:t>NetEase Web sites for transactions conducted through the Internet. The agreements entered into between NetEase Beijing and Guangzhou NetEase (see Note</w:t>
      </w:r>
    </w:p>
    <w:p>
      <w:pPr>
        <w:spacing w:after="0" w:line="1" w:lineRule="exact"/>
        <w:rPr>
          <w:sz w:val="20"/>
          <w:szCs w:val="20"/>
          <w:color w:val="auto"/>
        </w:rPr>
      </w:pPr>
    </w:p>
    <w:p>
      <w:pPr>
        <w:ind w:right="3239" w:firstLine="10"/>
        <w:spacing w:after="0" w:line="236" w:lineRule="auto"/>
        <w:tabs>
          <w:tab w:leader="none" w:pos="26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NetEase Beijing to unilaterally adjust the amount of fees NetEase Beijing is entitled to from the technical services provided to Guangzhou NetEase such that all of the e-commerce and other services revenues recognized by Guangzhou NetEase based on the recognition policy described below will fully accrue to NetEase Beijing.</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substantial portion of the transactions conducted by Guangzhou NetEase for which the Group provides technical services to Guangzhou NetEase represents wireless value-added services which are currently predominantly derived from activities related to short messaging services ("SMS"). Guangzhou Netease derives SMS revenues principally from providing value-added services such as friends matching, news and information services, ring-tone and logo downloads and various other related products to mobile phone users under co-operative arrangements with mobile phone operators. SMS revenues recognized by Guangzhou Netease represent its share of the revenues under these co-operative arrangements net of the amounts retained by the mobile phone operators for their services performed.</w:t>
      </w:r>
    </w:p>
    <w:p>
      <w:pPr>
        <w:spacing w:after="0" w:line="18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transactions conducted by Guangzhou NetEase for which the Group provides technical services to Guangzhou NetEase include online games, dating and friends matching, mail box, online shopping mall, auctions and revenue sharing from co-branded Web sites, etc.</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Guangzhou NetEase recognizes its revenues from e-commerce and other services when the services are provided.</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Group recognizes services revenues from Guangzhou NetEase at the same time as Guangzhou NetEase recognizes its e-commerce and other services revenues.</w:t>
      </w:r>
    </w:p>
    <w:p>
      <w:pPr>
        <w:spacing w:after="0" w:line="16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Services provided to third parties during 2000 also included various short-term service contracts for construction of Web sites and market surveys, etc. Revenue was recognized upon completion of the respective total contract and acceptance by the customer.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and related integration projects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Software and related integration projects include the elements of licensing, services, and postcontract customer support ("PCS"). PCS, generally for one year or less and occasionally beyond one year, are generally in the form of hotline support and may involve unspecified upgrades or enhancements. These unspecified upgrades or enhancements offered during PCS arrangements historically have been and are expected to continue to be minimal and infrequent. The estimated costs of providing PCS are insignificant. Sufficient vendor-specific objective evidence does not exist to allocate the revenues from software and related integration projects to the separate elements of such projects.</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accordance with American Institute of Certified Public Accountants ("AICPA") Statement of Position ("SOP") 97-2, revenues from software licensing and related integration projects under which the Group provides PCS for one year or less are recognized when the following criteria are met:</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persuasive evidence of an arrangement;</w:t>
      </w:r>
    </w:p>
    <w:p>
      <w:pPr>
        <w:spacing w:after="0" w:line="237"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delivery has occurred and services have been performed;</w:t>
      </w:r>
    </w:p>
    <w:p>
      <w:pPr>
        <w:spacing w:after="0" w:line="238"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 sales amount is fixed or determinable; and</w:t>
      </w:r>
    </w:p>
    <w:p>
      <w:pPr>
        <w:spacing w:after="0" w:line="237" w:lineRule="auto"/>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collectibility is probable.</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Revenues from those projects under which the Group provides PCS that extend beyond one year are recognized ratably over the respective terms of the contracts. Warranty on the hardware in the related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24"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integration projects is substantially assumed by the original equipment vendors.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revenue</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Deferred revenue represents prepayments by customers for services yet to be completed as of the balance sheet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Costs of advertising, e-commerce and other services, including cost reimbursements to Guangzhou NetEase under the agreements with Guangzhou NetEase described in Note 1, consist primarily of staff costs of those departments directly involved in providing advertising and e-commerce and other services, depreciation and amortization of computers and software, server custody fees, bandwidth and other direct costs of providing these services. These costs are charged to the statement of operations as incurred.</w:t>
      </w:r>
    </w:p>
    <w:p>
      <w:pPr>
        <w:spacing w:after="0" w:line="16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Material direct costs incurred in the development of platforms for providing these services consist primarily of computer software developed or acquired. They are capitalized and amortized in accordance with AICPA SOP 98-1 and costs incurred prior to the application development stage are expensed as incurred.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Cash represents cash on hand and demand deposits placed with banks or other financial institutions. Included in the cash balance as of December 31, 2001 and 2002 are amounts denominated in United States dollars totaling US$56.3 million and US$50.7 million respectively (equivalent to approximately RMB466.0 million and RMB419.9 million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Temporary cash investments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As of December 31, 2002, there were no temporary cash investments. As of December 31, 2001, temporary cash investments represented time deposits placed with banks or other financial institutions with original maturities over three months.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Financial instruments of the Group primarily consist of temporary cash investments, due from related parties, investment in convertible preference shares, short-term bank loans and accounts payable. As of the balance sheet dates, their estimated fair value approximated their carrying value.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equipment and software</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Computers</w:t>
            </w:r>
          </w:p>
        </w:tc>
        <w:tc>
          <w:tcPr>
            <w:tcW w:w="1000" w:type="dxa"/>
            <w:vAlign w:val="bottom"/>
          </w:tcPr>
          <w:p>
            <w:pPr>
              <w:ind w:left="880"/>
              <w:spacing w:after="0"/>
              <w:rPr>
                <w:sz w:val="20"/>
                <w:szCs w:val="20"/>
                <w:color w:val="auto"/>
              </w:rPr>
            </w:pPr>
            <w:r>
              <w:rPr>
                <w:rFonts w:ascii="Courier New" w:cs="Courier New" w:eastAsia="Courier New" w:hAnsi="Courier New"/>
                <w:sz w:val="15"/>
                <w:szCs w:val="15"/>
                <w:color w:val="auto"/>
              </w:rPr>
              <w:t>3</w:t>
            </w:r>
          </w:p>
        </w:tc>
        <w:tc>
          <w:tcPr>
            <w:tcW w:w="286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office equipment</w:t>
            </w:r>
          </w:p>
        </w:tc>
        <w:tc>
          <w:tcPr>
            <w:tcW w:w="1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w:t>
            </w:r>
          </w:p>
        </w:tc>
        <w:tc>
          <w:tcPr>
            <w:tcW w:w="38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2-3 years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w:t>
            </w:r>
          </w:p>
        </w:tc>
        <w:tc>
          <w:tcPr>
            <w:tcW w:w="1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w:t>
            </w:r>
          </w:p>
        </w:tc>
        <w:tc>
          <w:tcPr>
            <w:tcW w:w="28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38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6"/>
              </w:rPr>
              <w:t>lesser of the term of the lease or</w:t>
            </w:r>
          </w:p>
        </w:tc>
      </w:tr>
      <w:tr>
        <w:trPr>
          <w:trHeight w:val="168"/>
        </w:trPr>
        <w:tc>
          <w:tcPr>
            <w:tcW w:w="2980" w:type="dxa"/>
            <w:vAlign w:val="bottom"/>
          </w:tcPr>
          <w:p>
            <w:pPr>
              <w:spacing w:after="0"/>
              <w:rPr>
                <w:sz w:val="14"/>
                <w:szCs w:val="14"/>
                <w:color w:val="auto"/>
              </w:rPr>
            </w:pPr>
          </w:p>
        </w:tc>
        <w:tc>
          <w:tcPr>
            <w:tcW w:w="38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9"/>
              </w:rPr>
              <w:t>the estimated useful lives of the</w:t>
            </w:r>
          </w:p>
        </w:tc>
      </w:tr>
      <w:tr>
        <w:trPr>
          <w:trHeight w:val="168"/>
        </w:trPr>
        <w:tc>
          <w:tcPr>
            <w:tcW w:w="2980" w:type="dxa"/>
            <w:vAlign w:val="bottom"/>
          </w:tcPr>
          <w:p>
            <w:pPr>
              <w:spacing w:after="0"/>
              <w:rPr>
                <w:sz w:val="14"/>
                <w:szCs w:val="14"/>
                <w:color w:val="auto"/>
              </w:rPr>
            </w:pPr>
          </w:p>
        </w:tc>
        <w:tc>
          <w:tcPr>
            <w:tcW w:w="386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assets</w:t>
            </w:r>
          </w:p>
        </w:tc>
      </w:tr>
      <w:tr>
        <w:trPr>
          <w:trHeight w:val="336"/>
        </w:trPr>
        <w:tc>
          <w:tcPr>
            <w:tcW w:w="298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Courier New" w:cs="Courier New" w:eastAsia="Courier New" w:hAnsi="Courier New"/>
                <w:sz w:val="15"/>
                <w:szCs w:val="15"/>
                <w:color w:val="auto"/>
              </w:rPr>
              <w:t>F-16</w:t>
            </w:r>
          </w:p>
        </w:tc>
        <w:tc>
          <w:tcPr>
            <w:tcW w:w="28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23" w:name="page124"/>
    <w:bookmarkEnd w:id="123"/>
    <w:p>
      <w:pPr>
        <w:ind w:right="3319"/>
        <w:spacing w:after="0" w:line="236" w:lineRule="auto"/>
        <w:rPr>
          <w:sz w:val="20"/>
          <w:szCs w:val="20"/>
          <w:color w:val="auto"/>
        </w:rPr>
      </w:pPr>
      <w:r>
        <w:rPr>
          <w:rFonts w:ascii="Courier New" w:cs="Courier New" w:eastAsia="Courier New" w:hAnsi="Courier New"/>
          <w:sz w:val="15"/>
          <w:szCs w:val="15"/>
          <w:color w:val="auto"/>
        </w:rPr>
        <w:t>Costs of computer software developed or obtained for internal use are accounted for in accordance with AICPA SOP 98-1, under which direct costs incurred to develop the software during the application development stage and to obtain computer software from third parties that can provide future benefits are capitalized.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January 1, 2002, the Group evaluated the recoverability of long-lived assets in accordance with Statement of Financial Accounting Standards ("SFAS") No.121, "Accounting for the Impairment of Long-Lived Assets and for Long-Lived Assets to be Disposed of". As of January 1, 2002, the Group has adopted SFAS No. 144, "Accounting for the Impairment or Disposal of Long-Lived Assets" which addresses the financial accounting and reporting for the recognition and measurement of impairment losses for long-lived assets. In accordance with these standards, the Group recognizes impairment of long-lived assets in the event the net book value of such assets exceeds the future undiscounted cash flows attributable to such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expenses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 recognizes advertising expenses in accordance with AICPA SOP 93-7 "Reporting on Advertising Costs". As such, the Group expenses the costs of producing advertisements at the time production occurs, and expenses the cost of communicating advertising in the period in which the advertising space or airtime is used. Advertising expenses totaled approximately, RMB61.6 million, RMB14.7 million and RMB2.4 million during the years ended December 31, 2000, 2001 and 2002,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functional currency of the Group is RMB. Transactions denominated in currencies other than RMB are translated into RMB at the exchange rates quoted by the People's Bank of China (the "PBOC") prevailing at the dates of the transactions. Monetary assets and liabilities denominated in foreign currencies are translated into RMB using the applicable exchange rates quoted by the PBOC at the balance sheet dates. The resulting exchange differences are included in the determination of income.</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Translations of amounts from RMB into United States dollars ("USD") for the convenience of the reader were calculated at the noon buying rate of US$1.00 = RMB8.2800 on December 31, 2002 in The City of New York for cable transfers of RMB as certified for customs purposes by the Federal Reserve Bank of New York. No representation is made that the RMB amounts could have been, or could be, converted into United States dollars at that rate on December 31, 2002, or at any other certain rate.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accordance with the provisions of SFAS No. 148, "Accounting for Stock-Based Compensation - Transition and Disclosure", the Group has selected the disclosure only provisions related to employee stock options and share purchases and follows the provisions of Accounting Principles Board Opinion No. 25 ("APB 25") in accounting for stock options and shares issued to employees. Under APB 25, compensation expense, if any, is recognized as the difference between the exercise price and the estimated fair value of the ordinary shares on the measurement date, which is typically the date of grant, and is expensed ratably over the service period, which is typically the vesting period.</w:t>
      </w:r>
    </w:p>
    <w:p>
      <w:pPr>
        <w:spacing w:after="0" w:line="16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Stock-based employee compensation cost of RMB13.8 million, RMB2.4 million and RMB3.8 million 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24" w:right="1440" w:bottom="1440" w:gutter="0" w:footer="0" w:header="0"/>
        </w:sectPr>
      </w:pPr>
    </w:p>
    <w:bookmarkStart w:id="124" w:name="page125"/>
    <w:bookmarkEnd w:id="124"/>
    <w:p>
      <w:pPr>
        <w:ind w:right="3319"/>
        <w:spacing w:after="0" w:line="236" w:lineRule="auto"/>
        <w:rPr>
          <w:sz w:val="20"/>
          <w:szCs w:val="20"/>
          <w:color w:val="auto"/>
        </w:rPr>
      </w:pPr>
      <w:r>
        <w:rPr>
          <w:rFonts w:ascii="Courier New" w:cs="Courier New" w:eastAsia="Courier New" w:hAnsi="Courier New"/>
          <w:sz w:val="15"/>
          <w:szCs w:val="15"/>
          <w:color w:val="auto"/>
        </w:rPr>
        <w:t>2000, 2001 and 2002, respectively, is expensed. The following table illustrates the effect on net income and earnings per share if the Group had applied the fair value recognition provisions of the Financial Accounting Standards Board ("FASB") No. 123, "Accounting for Stock-Based Compensation", to stock-based employee compensation.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4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For the year ended December 31,</w:t>
            </w:r>
          </w:p>
        </w:tc>
        <w:tc>
          <w:tcPr>
            <w:tcW w:w="114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54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25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2000</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480" w:type="dxa"/>
            <w:vAlign w:val="bottom"/>
          </w:tcPr>
          <w:p>
            <w:pPr>
              <w:spacing w:after="0"/>
              <w:rPr>
                <w:sz w:val="14"/>
                <w:szCs w:val="14"/>
                <w:color w:val="auto"/>
              </w:rPr>
            </w:pPr>
          </w:p>
        </w:tc>
        <w:tc>
          <w:tcPr>
            <w:tcW w:w="54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(169,268,799)</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(233,163,914)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16,301,638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Additional Stock-based employee</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compensation expense determined</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under fair value based</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method for all awards,</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of related tax effects</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(622,882)</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(8,057,740)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(223,046)</w:t>
            </w:r>
          </w:p>
        </w:tc>
      </w:tr>
      <w:tr>
        <w:trPr>
          <w:trHeight w:val="168"/>
        </w:trPr>
        <w:tc>
          <w:tcPr>
            <w:tcW w:w="4480" w:type="dxa"/>
            <w:vAlign w:val="bottom"/>
          </w:tcPr>
          <w:p>
            <w:pPr>
              <w:spacing w:after="0"/>
              <w:rPr>
                <w:sz w:val="14"/>
                <w:szCs w:val="14"/>
                <w:color w:val="auto"/>
              </w:rPr>
            </w:pPr>
          </w:p>
        </w:tc>
        <w:tc>
          <w:tcPr>
            <w:tcW w:w="54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(169,891,681)</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(241,221,654)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16,078,592</w:t>
            </w:r>
          </w:p>
        </w:tc>
      </w:tr>
      <w:tr>
        <w:trPr>
          <w:trHeight w:val="168"/>
        </w:trPr>
        <w:tc>
          <w:tcPr>
            <w:tcW w:w="4480" w:type="dxa"/>
            <w:vAlign w:val="bottom"/>
          </w:tcPr>
          <w:p>
            <w:pPr>
              <w:spacing w:after="0"/>
              <w:rPr>
                <w:sz w:val="14"/>
                <w:szCs w:val="14"/>
                <w:color w:val="auto"/>
              </w:rPr>
            </w:pPr>
          </w:p>
        </w:tc>
        <w:tc>
          <w:tcPr>
            <w:tcW w:w="54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earnings (loss) per ordinary share:</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reported</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earnings (loss) per ordinary share:</w:t>
            </w:r>
          </w:p>
        </w:tc>
        <w:tc>
          <w:tcPr>
            <w:tcW w:w="2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As reported</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 forma</w:t>
            </w:r>
          </w:p>
        </w:tc>
        <w:tc>
          <w:tcPr>
            <w:tcW w:w="2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(0.07)</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Deferred income taxes are provided using the balance sheet liability method. Under this method, deferred income taxes are recognized for the tax consequences of significant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purposes. The effect on deferred taxes of a change in tax rates is recognized in income in the period that includes the enactment date. A valuation allowance is provided to reduce the amount of deferred tax assets if it is considered more likely than not that some portion of, or all of, the deferred tax assets will not be realized.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earnings (loss) per share ("EPS") and per American Depositary Share ("ADS")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accordance with SFAS No. 128, "Computation of Earnings Per Share," basic EPS is computed by dividing net profit (loss) attributable to ordinary shareholders by the weighted average number of ordinary shares outstanding during the period. Diluted EPS is calculated by dividing net profit (loss) by the weighted average number of ordinary and dilutive ordinary equivalent shares outstanding during the period. Ordinary equivalent shares consist of the ordinary shares issuable upon the conversion of the convertible preference shares (using the if-converted method) and ordinary shares issuable upon the exercise of outstanding stock options (using the treasury stock method). Ordinary equivalent shares in the diluted EPS computation are excluded in net loss periods as their effect would be anti-dilutive. A total of 50,164,600, 66,845,749 and 24,972,000 stock options in 2000, 2001 and 2002, respectively were excluded from the computation of diluted earnings (loss) per share because either (i) the option's exercise price was greater than the average market price of the ordinary shares, or (ii) the inclusion of the options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23" w:right="1440" w:bottom="1440" w:gutter="0" w:footer="0" w:header="0"/>
        </w:sectPr>
      </w:pPr>
    </w:p>
    <w:bookmarkStart w:id="125" w:name="page126"/>
    <w:bookmarkEnd w:id="125"/>
    <w:p>
      <w:pPr>
        <w:ind w:right="3319"/>
        <w:spacing w:after="0" w:line="234" w:lineRule="auto"/>
        <w:rPr>
          <w:sz w:val="20"/>
          <w:szCs w:val="20"/>
          <w:color w:val="auto"/>
        </w:rPr>
      </w:pPr>
      <w:r>
        <w:rPr>
          <w:rFonts w:ascii="Courier New" w:cs="Courier New" w:eastAsia="Courier New" w:hAnsi="Courier New"/>
          <w:sz w:val="15"/>
          <w:szCs w:val="15"/>
          <w:color w:val="auto"/>
        </w:rPr>
        <w:t>would have been anti-dilutive because the Company experienced a net loss during the year.</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Net earnings (loss) per ADS has been computed by multiplying the net earnings (loss) per share by 100, which is the number of shares represented by each ADS.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reserves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accordance with the Regulations on Enterprises with Foreign Investment of China and their articles of association, NetEase Beijing, NetEase Shanghai and Guangzhou Interactive, being foreign invested enterprises established in China, are required to provide for certain statutory reserves namely general reserve, enterprise expansion fund and staff welfare and bonus fund which are appropriated from net profit as reported in their PRC Statutory Accounts. NetEase Beijing, NetEase Shanghai and Guangzhou Interactive, being wholly foreign owned enterprises, are required to allocate at least 10% of their after-tax profit to the general reserve. NetEase Beijing, NetEase Shanghai and Guangzhou Interactive may stop allocations to the general reserve if such reserve has reached 50% of their respective registered capital. Appropriations to the enterprise expansion fund and staff welfare and bonus fund are at the discretion of the board of directors of NetEase Beijing, NetEase Shanghai and Guangzhou Interactive, respectively. These reserves can only be used for specific purposes and are not distributable as cash dividends. Appropriations to the staff welfare and bonus fund will be charged to selling, general and administrative expenses.</w:t>
      </w:r>
    </w:p>
    <w:p>
      <w:pPr>
        <w:spacing w:after="0" w:line="17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NetEase Beijing, NetEase Shanghai and Guangzhou Interactive have been in an accumulated loss position according to their PRC Statutory Accounts and no appropriations to statutory reserves have been made.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parties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common significant influence.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2002, EITF reached a consensus on Issue No. 00-21, "Revenue Arrangements with Multiple Deliverables." EITF Issue No. 00-21 provides guidance on how to account for arrangements that involve the delivery or performance of multiple products, services and/or rights to use assets. The provisions of EITF Issue No. 00-21 will apply to revenue arrangements entered into in fiscal periods beginning after June 15, 2003. The Group believes that the adoption of this standard will have no material impact on its financial statements.</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Transition and Disclosure." SFAS No. 148 provides alternative methods of transition for a voluntary change to the fair value based method of accounting for stock-based employee compensation. SFAS No. 148 also requires that disclosures of the pro forma effect of using the fair value method of accounting for stock-based employee compensation be displayed more prominently and in a tabular format. Additionally, SFAS No. 148 requires disclosure of the pro forma effect in interim financial statements. The transition and annual disclosure requirements of SFAS No. 148 are effective for fiscal years ending after December 15, 2002. The interim disclosure requirements are effective for interim periods beginning after December 15, 2002. The Group has adopted the disclosure provisions of SFAS No.148 as of December 31, 2002.</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24" w:right="1440" w:bottom="1440" w:gutter="0" w:footer="0" w:header="0"/>
        </w:sectPr>
      </w:pPr>
    </w:p>
    <w:bookmarkStart w:id="126" w:name="page127"/>
    <w:bookmarkEnd w:id="126"/>
    <w:p>
      <w:pPr>
        <w:ind w:right="3239"/>
        <w:spacing w:after="0" w:line="237" w:lineRule="auto"/>
        <w:rPr>
          <w:sz w:val="20"/>
          <w:szCs w:val="20"/>
          <w:color w:val="auto"/>
        </w:rPr>
      </w:pPr>
      <w:r>
        <w:rPr>
          <w:rFonts w:ascii="Courier New" w:cs="Courier New" w:eastAsia="Courier New" w:hAnsi="Courier New"/>
          <w:sz w:val="15"/>
          <w:szCs w:val="15"/>
          <w:color w:val="auto"/>
        </w:rPr>
        <w:t>In November 2002, the FASB issued FASB Interpretation No. 45, "Guarantor's Accounting and Disclosure Requirements for Guarantees, including Indirect Guarantees of Indebtedness of Others" ("FIN 45"). FIN 45 elaborates on the disclosures to be made by a guarantor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under FIN 45 are applicable prospectively to guarantees issued or modified after December 31, 2002. The disclosure requirements are effective for interim or annual periods ending after December 15, 2002 and have been included in the consolidated financial statements. The Group believes that the adoption of the related accounting measurement and recognition provisions will not have a material impact on its financial statements.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January 2003, the FASB issued FASB Interpretation No. 46, "Consolidation of Variable Interest Entities, an Interpretation of APB No. 50", ("FIN 46"). FIN 46 provides guidance on the identification of and financial reporting for entities over which control is achieved through means other than voting rights. This Interpretation requires existing unconsolidated variable interest entities to be consolidated by their primary beneficiaries if the entities do not effectively disperse risks among parties involved. The Interpretation applies immediately to variable interest entities created after January 31, 2003, and to variable interest entities in which an enterprise obtains an interest after that date. It applies in the first fiscal year or interim period beginning after June 15, 2003, to variable interest entities in which an enterprise holds a variable interest that it acquired before February 1, 2003. The Group has not yet completed its assessment of the accounting effects from FIN 46 upon adoption. Based upon the Group's initial analysis, it is possible that Guangyitong Advertising and/or Guangzhou Netease may be subject to the requirements of FIN 46, and that the Group may be required to consolidate or disclose information about these entities. Disclosures regarding the nature, purpose, size, and activities of these identified entities, along with the nature of the Group's involvement and when that involvement began, have already been included throughout the footnotes to the consolidated financial statements, particularly in Notes 1 and 6. The Group does not believe that consolidation of these entities will have a material impact on its net income but it is not able to estimate the maximum exposure to loss as a result of its involvement with these entities at present time. Historically, the Group has not incurred any net losses as a result of its involvement in these entities.</w:t>
      </w:r>
    </w:p>
    <w:p>
      <w:pPr>
        <w:spacing w:after="0" w:line="338" w:lineRule="exact"/>
        <w:rPr>
          <w:sz w:val="20"/>
          <w:szCs w:val="20"/>
          <w:color w:val="auto"/>
        </w:rPr>
      </w:pPr>
    </w:p>
    <w:p>
      <w:pPr>
        <w:ind w:left="360" w:hanging="350"/>
        <w:spacing w:after="0"/>
        <w:tabs>
          <w:tab w:leader="none" w:pos="3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mobile phone operators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SMS revenues, which represent a substantial portion of the e-commerce and other services revenue of Guangzhou NetEase, are derived from co-operative arrangements with the two mobile phone operators in China. If the strategic relationship with either mobile phone operator is terminated or scaled-back, or if the mobile phone operators alter the fee sharing percentages, it will be difficult, if not impossible, to find appropriate replacement partners with the requisite licenses and permits, infrastructure and customer base to offer the service, which would adversely affect the Group's businesses.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Bandwidth and server custody service provider</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The Group relies on two telecommunications service providers and their affiliates for bandwidth and server custody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Guangzhou NetEase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Group relies exclusively on Guangzhou NetEase, which has the approval to operate as an Internet content provider, for the operation of the NetEase Web sites.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2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Dependence on Guangyitong Advertising</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All of the Group's advertising services revenues are derived from Guangyitong Advertising which has the approval to operate online advertising.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risk</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Group is principally engaged in developing and providing Internet-related advertising, e-commerce and other services to businesses primarily in China. The Group generally does not require collateral for its accounts receivable.</w:t>
      </w:r>
    </w:p>
    <w:p>
      <w:pPr>
        <w:spacing w:after="0" w:line="167" w:lineRule="exact"/>
        <w:rPr>
          <w:sz w:val="20"/>
          <w:szCs w:val="20"/>
          <w:color w:val="auto"/>
        </w:rPr>
      </w:pPr>
    </w:p>
    <w:p>
      <w:pPr>
        <w:ind w:left="360" w:hanging="350"/>
        <w:spacing w:after="0"/>
        <w:tabs>
          <w:tab w:leader="none" w:pos="36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Cash</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As of December 31, 2002, restricted cash represents USD denominated deposits in the amounts of US$0.1 million pledged as security money for renting office space. As of December 31, 2001, restricted cash represented USD denominated deposits pledged for renting office space and the Group's RMB denominated short-term bank loans of US$0.1 million and US$10.8 million respectively.</w:t>
      </w:r>
    </w:p>
    <w:p>
      <w:pPr>
        <w:spacing w:after="0" w:line="157" w:lineRule="exact"/>
        <w:rPr>
          <w:sz w:val="20"/>
          <w:szCs w:val="20"/>
          <w:color w:val="auto"/>
        </w:rPr>
      </w:pPr>
    </w:p>
    <w:p>
      <w:pPr>
        <w:ind w:left="360" w:hanging="350"/>
        <w:spacing w:after="0"/>
        <w:tabs>
          <w:tab w:leader="none" w:pos="36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Prepayments and Other Current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December 31,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500" w:type="dxa"/>
            <w:vAlign w:val="bottom"/>
          </w:tcPr>
          <w:p>
            <w:pPr>
              <w:spacing w:after="0"/>
              <w:rPr>
                <w:sz w:val="14"/>
                <w:szCs w:val="14"/>
                <w:color w:val="auto"/>
              </w:rPr>
            </w:pP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50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Prepayments</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2,692,651</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2,608,169</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receivable</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2,854,722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352,826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advances</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100,535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375,069</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Low-value consumables</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1,712,813</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884,400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deposits</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636,222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1,657,212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1,139,419</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233,013</w:t>
            </w:r>
          </w:p>
        </w:tc>
      </w:tr>
      <w:tr>
        <w:trPr>
          <w:trHeight w:val="168"/>
        </w:trPr>
        <w:tc>
          <w:tcPr>
            <w:tcW w:w="250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9,136,362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6,110,689</w:t>
            </w:r>
          </w:p>
        </w:tc>
      </w:tr>
      <w:tr>
        <w:trPr>
          <w:trHeight w:val="168"/>
        </w:trPr>
        <w:tc>
          <w:tcPr>
            <w:tcW w:w="250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During the years ended December 31, 2000, 2001 and 2002 the Group derived approximately RMBnil, RMB0.3 million and RMBnil, respectively, of advertising fees from shareholders of the Company.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years ended December 31, 2000, 2001 and 2002, the Group derived approximately RMB30.1 million, RMB14.2 million and RMB34.2 million, respectively, of advertising services revenues from Guangyitong Advertising, a related company which is controlled by the principal shareholder of the Company, for advertising-related technical consulting services performed.</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years ended December 31, 2000, 2001 and 2002, the Group derived approximately RMB1.1 million, RMB14.1 million and RMB197.4 million, respectively, of e-commerce and other services revenues from Guangzhou NetEase, a related company which is controlled by the principal shareholder of the Company.</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the years ended December 31, 2000 and 2001 and 2002, the Group reimbursed Guangzhou NetEase a total of approximately RMB5.2 million, RMB2.7 million and RMB29.6 million, respectively,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128" w:name="page129"/>
    <w:bookmarkEnd w:id="128"/>
    <w:p>
      <w:pPr>
        <w:ind w:right="3319"/>
        <w:spacing w:after="0" w:line="234" w:lineRule="auto"/>
        <w:rPr>
          <w:sz w:val="20"/>
          <w:szCs w:val="20"/>
          <w:color w:val="auto"/>
        </w:rPr>
      </w:pPr>
      <w:r>
        <w:rPr>
          <w:rFonts w:ascii="Courier New" w:cs="Courier New" w:eastAsia="Courier New" w:hAnsi="Courier New"/>
          <w:sz w:val="15"/>
          <w:szCs w:val="15"/>
          <w:color w:val="auto"/>
        </w:rPr>
        <w:t>for the costs of revenue and operating expenses associated with the NetEase Web sites.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Due from related parties represents amounts receivable from Guangyitong Advertising and Guangzhou NetEase for services performed and temporary advances to officers of the Group. The balances with related parties were unsecured, interest-free and repayable on demand. As of December 31, 2001 and 2002, the amounts due from related parties included amounts denominated in USD of US$0.5 million and US$0.2 million respectively (equivalent to approximately RMB3.9 million and RMB1.3 million respectively). All other related party balances are denominated in RMB.</w:t>
      </w:r>
    </w:p>
    <w:p>
      <w:pPr>
        <w:spacing w:after="0" w:line="171" w:lineRule="exact"/>
        <w:rPr>
          <w:sz w:val="20"/>
          <w:szCs w:val="20"/>
          <w:color w:val="auto"/>
        </w:rPr>
      </w:pPr>
    </w:p>
    <w:p>
      <w:pPr>
        <w:ind w:left="360" w:hanging="350"/>
        <w:spacing w:after="0"/>
        <w:tabs>
          <w:tab w:leader="none" w:pos="3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Convertible Preference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560" w:type="dxa"/>
            <w:vAlign w:val="bottom"/>
          </w:tcPr>
          <w:p>
            <w:pPr>
              <w:spacing w:after="0"/>
              <w:rPr>
                <w:sz w:val="14"/>
                <w:szCs w:val="14"/>
                <w:color w:val="auto"/>
              </w:rPr>
            </w:pP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560" w:type="dxa"/>
            <w:vAlign w:val="bottom"/>
          </w:tcPr>
          <w:p>
            <w:pPr>
              <w:spacing w:after="0"/>
              <w:rPr>
                <w:sz w:val="14"/>
                <w:szCs w:val="14"/>
                <w:color w:val="auto"/>
              </w:rPr>
            </w:pP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at cost</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16,556,199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Investment impairment loss</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(6,854,906)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book value</w:t>
            </w: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9,701,293</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2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December 31, 2001, investment in convertible preference shares represented an investment in 705,816 preference shares in a private Internet-based auction company at US$2.8336 per share.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According to a board resolution dated March 14, 2002 and an agreement entered into between the Company and the private auction company dated March 18, 2002, the private auction company repurchased from the Company all of the 705,816 convertible preference shares the Company acquired at a consideration of approximately US$1.2 million which is equivalent to approximately RMB9.7 million. Since the carrying value of the investment had already been written down to its net realizable value as of December 31, 2001, no gain or loss resulted from the disposal.</w:t>
      </w:r>
    </w:p>
    <w:p>
      <w:pPr>
        <w:spacing w:after="0" w:line="177"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Group had entered into a strategic co-operation agreement with the private auction company pursuant to which the Group and the private auction company established a co-branded auction Web site on the NetEase Web sites. According to the agreement, the Group was entitled to (i) a non-refundable upfront fee and</w:t>
      </w:r>
    </w:p>
    <w:p>
      <w:pPr>
        <w:spacing w:after="0" w:line="1" w:lineRule="exact"/>
        <w:rPr>
          <w:sz w:val="20"/>
          <w:szCs w:val="20"/>
          <w:color w:val="auto"/>
        </w:rPr>
      </w:pPr>
    </w:p>
    <w:p>
      <w:pPr>
        <w:ind w:right="3239" w:firstLine="10"/>
        <w:spacing w:after="0" w:line="255" w:lineRule="auto"/>
        <w:tabs>
          <w:tab w:leader="none" w:pos="43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referral fees which are based on the number of click-throughs to the co-branded site with a minimum fee level on a quarterly basis. The agreement was for a term of two years commencing from the date of launch of the co-branded Web site on September 10, 2000. On June 25, 2002, both parties signed an agreement to terminate this strategic co-operation agreement whereby both parties agreed that apart from the non-refundable upfront fee and the four quarterly referral fees that had already been received by the Group, an additional US$38,000 would be paid by the private auction company to the Group.</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623" w:right="1440" w:bottom="1440" w:gutter="0" w:footer="0" w:header="0"/>
        </w:sectPr>
      </w:pPr>
    </w:p>
    <w:bookmarkStart w:id="129" w:name="page130"/>
    <w:bookmarkEnd w:id="129"/>
    <w:p>
      <w:pPr>
        <w:ind w:left="360" w:hanging="350"/>
        <w:spacing w:after="0"/>
        <w:tabs>
          <w:tab w:leader="none" w:pos="3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Equipment and Software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December 31,</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280" w:type="dxa"/>
            <w:vAlign w:val="bottom"/>
          </w:tcPr>
          <w:p>
            <w:pPr>
              <w:spacing w:after="0"/>
              <w:rPr>
                <w:sz w:val="14"/>
                <w:szCs w:val="14"/>
                <w:color w:val="auto"/>
              </w:rPr>
            </w:pP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2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Computers</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43,937,710</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50,163,071</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Furniture and office equipment</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2,262,944</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2,167,062</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12,899,639</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16,200,568</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358,705</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3,782,693</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5,813,941</w:t>
            </w:r>
          </w:p>
        </w:tc>
      </w:tr>
      <w:tr>
        <w:trPr>
          <w:trHeight w:val="168"/>
        </w:trPr>
        <w:tc>
          <w:tcPr>
            <w:tcW w:w="32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62,882,986</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74,703,347</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(26,526,898)</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(48,324,165)</w:t>
            </w:r>
          </w:p>
        </w:tc>
      </w:tr>
      <w:tr>
        <w:trPr>
          <w:trHeight w:val="168"/>
        </w:trPr>
        <w:tc>
          <w:tcPr>
            <w:tcW w:w="32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book value</w:t>
            </w: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36,356,088</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26,379,182</w:t>
            </w:r>
          </w:p>
        </w:tc>
      </w:tr>
      <w:tr>
        <w:trPr>
          <w:trHeight w:val="168"/>
        </w:trPr>
        <w:tc>
          <w:tcPr>
            <w:tcW w:w="3280" w:type="dxa"/>
            <w:vAlign w:val="bottom"/>
          </w:tcPr>
          <w:p>
            <w:pPr>
              <w:spacing w:after="0"/>
              <w:rPr>
                <w:sz w:val="14"/>
                <w:szCs w:val="14"/>
                <w:color w:val="auto"/>
              </w:rPr>
            </w:pPr>
          </w:p>
        </w:tc>
        <w:tc>
          <w:tcPr>
            <w:tcW w:w="21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9.</w:t>
        <w:tab/>
        <w:t>Short-term Bank Loans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As of December 31, 2002, there were no short-term bank loans. As of December 31, 2001, short-term bank loans consisted of:</w:t>
      </w:r>
    </w:p>
    <w:p>
      <w:pPr>
        <w:spacing w:after="0" w:line="200" w:lineRule="exact"/>
        <w:rPr>
          <w:sz w:val="20"/>
          <w:szCs w:val="20"/>
          <w:color w:val="auto"/>
        </w:rPr>
      </w:pPr>
    </w:p>
    <w:p>
      <w:pPr>
        <w:spacing w:after="0" w:line="303" w:lineRule="exact"/>
        <w:rPr>
          <w:sz w:val="20"/>
          <w:szCs w:val="20"/>
          <w:color w:val="auto"/>
        </w:rPr>
      </w:pPr>
    </w:p>
    <w:p>
      <w:pPr>
        <w:ind w:left="5440"/>
        <w:spacing w:after="0"/>
        <w:tabs>
          <w:tab w:leader="none" w:pos="6460" w:val="left"/>
        </w:tabs>
        <w:rPr>
          <w:sz w:val="20"/>
          <w:szCs w:val="20"/>
          <w:color w:val="auto"/>
        </w:rPr>
      </w:pPr>
      <w:r>
        <w:rPr>
          <w:rFonts w:ascii="Courier New" w:cs="Courier New" w:eastAsia="Courier New" w:hAnsi="Courier New"/>
          <w:sz w:val="15"/>
          <w:szCs w:val="15"/>
          <w:color w:val="auto"/>
        </w:rPr>
        <w:t>Annual</w:t>
      </w:r>
      <w:r>
        <w:rPr>
          <w:sz w:val="20"/>
          <w:szCs w:val="20"/>
          <w:color w:val="auto"/>
        </w:rPr>
        <w:tab/>
      </w:r>
      <w:r>
        <w:rPr>
          <w:rFonts w:ascii="Courier New" w:cs="Courier New" w:eastAsia="Courier New" w:hAnsi="Courier New"/>
          <w:sz w:val="15"/>
          <w:szCs w:val="15"/>
          <w:color w:val="auto"/>
        </w:rPr>
        <w:t>Outstanding principal as of</w:t>
      </w:r>
    </w:p>
    <w:p>
      <w:pPr>
        <w:spacing w:after="0"/>
        <w:tabs>
          <w:tab w:leader="none" w:pos="3480" w:val="left"/>
          <w:tab w:leader="none" w:pos="5160" w:val="left"/>
          <w:tab w:leader="none" w:pos="6900" w:val="left"/>
        </w:tabs>
        <w:rPr>
          <w:sz w:val="20"/>
          <w:szCs w:val="20"/>
          <w:color w:val="auto"/>
        </w:rPr>
      </w:pPr>
      <w:r>
        <w:rPr>
          <w:rFonts w:ascii="Courier New" w:cs="Courier New" w:eastAsia="Courier New" w:hAnsi="Courier New"/>
          <w:sz w:val="15"/>
          <w:szCs w:val="15"/>
          <w:color w:val="auto"/>
        </w:rPr>
        <w:t>Lender</w:t>
      </w:r>
      <w:r>
        <w:rPr>
          <w:sz w:val="20"/>
          <w:szCs w:val="20"/>
          <w:color w:val="auto"/>
        </w:rPr>
        <w:tab/>
      </w: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interest rate</w:t>
      </w:r>
      <w:r>
        <w:rPr>
          <w:sz w:val="20"/>
          <w:szCs w:val="20"/>
          <w:color w:val="auto"/>
        </w:rPr>
        <w:tab/>
      </w:r>
      <w:r>
        <w:rPr>
          <w:rFonts w:ascii="Courier New" w:cs="Courier New" w:eastAsia="Courier New" w:hAnsi="Courier New"/>
          <w:sz w:val="14"/>
          <w:szCs w:val="14"/>
          <w:color w:val="auto"/>
        </w:rPr>
        <w:t>December 31,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rPr>
              <w:t>China Merchants Bank-loan A</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March</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March</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5.85%</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24,000,000</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China Merchants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Bank-loan</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April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April</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5.85%</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32,000,000</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China Merchants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Bank-loan</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258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May 2001 to May 2002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5.85%</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28,000,000</w:t>
            </w:r>
          </w:p>
        </w:tc>
      </w:tr>
      <w:tr>
        <w:trPr>
          <w:trHeight w:val="168"/>
        </w:trPr>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84,000,000</w:t>
      </w:r>
    </w:p>
    <w:p>
      <w:pPr>
        <w:jc w:val="right"/>
        <w:ind w:right="129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above loans A and C totaling RMB52.0 million were secured by bank deposits of US$6.5 million, and the loan B of RMB32.0 million was secured by a bank deposit of US$4.3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short-term bank loans were drawn for working capital purposes.</w:t>
      </w:r>
    </w:p>
    <w:p>
      <w:pPr>
        <w:spacing w:after="0" w:line="166" w:lineRule="exact"/>
        <w:rPr>
          <w:sz w:val="20"/>
          <w:szCs w:val="20"/>
          <w:color w:val="auto"/>
        </w:rPr>
      </w:pPr>
    </w:p>
    <w:p>
      <w:pPr>
        <w:ind w:left="440" w:hanging="430"/>
        <w:spacing w:after="0"/>
        <w:tabs>
          <w:tab w:leader="none" w:pos="44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full-time employees of those companies within the Group which are established in China are entitled to staff welfare benefits including medical care, welfare subsidies, unemployment insurance and pension benefits, etc. These companies are required to accrue for these benefits based on certain percentages of the employees' salaries in accordance with the relevant regulations. The total provision for such employee benefits amounted to RMB6.2 million, RMB9.6 million and RMB9.8 million for the years ended December 31, 2000, 2001 and 2002, respectively. These companies are also required to make contributions to the state-sponsored pension and medical plans out of the amounts accrued for medical and pension benefits. These contributions for the years ended December 31, 2000, 2001 and 2002 amounted to approximately RMB3.6 million, RMB6.3 million and RMB8.4 million, respectively.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130" w:name="page131"/>
    <w:bookmarkEnd w:id="130"/>
    <w:p>
      <w:pPr>
        <w:ind w:right="3319"/>
        <w:spacing w:after="0" w:line="234" w:lineRule="auto"/>
        <w:rPr>
          <w:sz w:val="20"/>
          <w:szCs w:val="20"/>
          <w:color w:val="auto"/>
        </w:rPr>
      </w:pPr>
      <w:r>
        <w:rPr>
          <w:rFonts w:ascii="Courier New" w:cs="Courier New" w:eastAsia="Courier New" w:hAnsi="Courier New"/>
          <w:sz w:val="15"/>
          <w:szCs w:val="15"/>
          <w:color w:val="auto"/>
        </w:rPr>
        <w:t>Chinese government is responsible for the medical benefits and ultimate pension liability to these employees.</w:t>
      </w:r>
    </w:p>
    <w:p>
      <w:pPr>
        <w:spacing w:after="0" w:line="167" w:lineRule="exact"/>
        <w:rPr>
          <w:sz w:val="20"/>
          <w:szCs w:val="20"/>
          <w:color w:val="auto"/>
        </w:rPr>
      </w:pPr>
    </w:p>
    <w:p>
      <w:pPr>
        <w:ind w:left="440" w:hanging="430"/>
        <w:spacing w:after="0"/>
        <w:tabs>
          <w:tab w:leader="none" w:pos="44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Taxation</w:t>
      </w:r>
    </w:p>
    <w:p>
      <w:pPr>
        <w:spacing w:after="0" w:line="172" w:lineRule="exact"/>
        <w:rPr>
          <w:rFonts w:ascii="Courier New" w:cs="Courier New" w:eastAsia="Courier New" w:hAnsi="Courier New"/>
          <w:sz w:val="15"/>
          <w:szCs w:val="15"/>
          <w:color w:val="auto"/>
        </w:rPr>
      </w:pPr>
    </w:p>
    <w:p>
      <w:pPr>
        <w:ind w:right="899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Income taxes Cayman Islands</w:t>
      </w:r>
    </w:p>
    <w:p>
      <w:pPr>
        <w:ind w:right="3319"/>
        <w:spacing w:after="0" w:line="258" w:lineRule="auto"/>
        <w:rPr>
          <w:sz w:val="20"/>
          <w:szCs w:val="20"/>
          <w:color w:val="auto"/>
        </w:rPr>
      </w:pPr>
      <w:r>
        <w:rPr>
          <w:rFonts w:ascii="Courier New" w:cs="Courier New" w:eastAsia="Courier New" w:hAnsi="Courier New"/>
          <w:sz w:val="14"/>
          <w:szCs w:val="14"/>
          <w:color w:val="auto"/>
        </w:rPr>
        <w:t>Under the current laws of the Cayman Islands, the Company is not subject to tax on income or capital gain. Additionally, upon payments of dividends by the Company to its shareholders, no Cayman Islands withholding tax will be imposed.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British Virgin Islands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NetEase Interactive is exempted from income tax on its foreign-derived income in the BVI. There are no withholding taxes in the BVI.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China</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accordance with "Income Tax Law of China for Enterprises with Foreign Investment and Foreign Enterprises", foreign invested enterprises are generally subject to enterprise income tax ("EIT") at the rate of 30% plus a local income tax of 3%. NetEase Beijing, being a foreign invested enterprise and located in the New Technology Industrial Development Experimental Zone in Beijing, has been recognized as a "New and High Technology Enterprise". According to an approval granted by the Haidian State Tax Bureau in November 2000, NetEase Beijing is entitled to a reduced EIT rate of 15% commencing from the year 2000. In addition, the approval also granted NetEase Beijing with a full exemption from EIT from 2001 to 2002, a 50% reduction in EIT from 2003 to 2005, and a full exemption from the local income tax from 2000 onwards. Consequently, NetEase Beijing is exempted from EIT and local income tax for each of the years ended December 31, 2000, 2001 and 2002.</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NetEase Shanghai and Guangzhou Interactive are both subject to EIT at the rate of 30% plus a local tax of 3%.</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 reconciliation of the differences between the statutory tax rate and the effective tax rate for EIT is as follows: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23"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7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For the year ended December 31,</w:t>
            </w:r>
          </w:p>
        </w:tc>
      </w:tr>
      <w:tr>
        <w:trPr>
          <w:trHeight w:val="168"/>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gridSpan w:val="2"/>
          </w:tcPr>
          <w:p>
            <w:pPr>
              <w:spacing w:after="0"/>
              <w:rPr>
                <w:sz w:val="20"/>
                <w:szCs w:val="20"/>
                <w:color w:val="auto"/>
              </w:rPr>
            </w:pPr>
            <w:r>
              <w:rPr>
                <w:rFonts w:ascii="Courier New" w:cs="Courier New" w:eastAsia="Courier New" w:hAnsi="Courier New"/>
                <w:sz w:val="15"/>
                <w:szCs w:val="15"/>
                <w:color w:val="auto"/>
              </w:rPr>
              <w:t>EIT statutory rate</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Permanent differences (primarily the expenses</w:t>
            </w: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incurred by the Company which are not</w:t>
            </w: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deductible for EIT purposes)</w:t>
            </w: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Professional fees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Salaries of the Company's senior officers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Class action settlement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87.7%</w:t>
            </w: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Depreciation</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Advertising</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Technical services</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Non-deductible share compensation costs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lower tax rate applicable to hi-tech enterprises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(168.9%)</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tax holidays applicable to hi-tech enterprises</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Additional valuation allowance on tax loss carry-forwards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7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Effective EIT rate</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7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As of December 31, 2001, and 2002, the tax impact of significant temporary differences between the tax and financial statement bases of assets and liabilities that gave rise to deferred tax assets were principally related to the following:</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420" w:type="dxa"/>
            <w:vAlign w:val="bottom"/>
          </w:tcPr>
          <w:p>
            <w:pPr>
              <w:spacing w:after="0"/>
              <w:rPr>
                <w:sz w:val="14"/>
                <w:szCs w:val="14"/>
                <w:color w:val="auto"/>
              </w:rPr>
            </w:pPr>
          </w:p>
        </w:tc>
        <w:tc>
          <w:tcPr>
            <w:tcW w:w="19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420" w:type="dxa"/>
            <w:vAlign w:val="bottom"/>
          </w:tcPr>
          <w:p>
            <w:pPr>
              <w:spacing w:after="0"/>
              <w:rPr>
                <w:sz w:val="14"/>
                <w:szCs w:val="14"/>
                <w:color w:val="auto"/>
              </w:rPr>
            </w:pP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Loss carryforwards</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39,147,456</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19,132,653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(39,147,456)</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(16,736,765)</w:t>
            </w:r>
          </w:p>
        </w:tc>
      </w:tr>
      <w:tr>
        <w:trPr>
          <w:trHeight w:val="168"/>
        </w:trPr>
        <w:tc>
          <w:tcPr>
            <w:tcW w:w="242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2,395,888</w:t>
            </w:r>
          </w:p>
        </w:tc>
      </w:tr>
      <w:tr>
        <w:trPr>
          <w:trHeight w:val="168"/>
        </w:trPr>
        <w:tc>
          <w:tcPr>
            <w:tcW w:w="2420" w:type="dxa"/>
            <w:vAlign w:val="bottom"/>
          </w:tcPr>
          <w:p>
            <w:pPr>
              <w:spacing w:after="0"/>
              <w:rPr>
                <w:sz w:val="14"/>
                <w:szCs w:val="14"/>
                <w:color w:val="auto"/>
              </w:rPr>
            </w:pPr>
          </w:p>
        </w:tc>
        <w:tc>
          <w:tcPr>
            <w:tcW w:w="1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Subject to the approval of the relevant tax authorities, the Group had loss carryforwards of approximately RMB64.8 million as of December 31, 2002 for EIT purposes. Approximately RMB23.2 million, RMB29.5 million and RMB12.1 million of these loss carryforwards will expire in 2005, 2006 and 2007, respectively. A valuation allowance has been provided on the loss carryforwards of the Group due to the uncertainty surrounding the realizability of such assets. There is no assurance that the Group will be able to utilize the loss carryforwards before their expiration.</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tax benefit shown in the consolidated statement of operations for the year ended December 31, 2002 resulted from the recognition of deferred tax assets arising from tax loss carryforwards for which less than full valuation allowance was made because certain of these tax carryforwards are expected to be utilized in the foreseeable future.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953" w:right="1440" w:bottom="1440" w:gutter="0" w:footer="0" w:header="0"/>
        </w:sectPr>
      </w:pPr>
    </w:p>
    <w:bookmarkStart w:id="132" w:name="page133"/>
    <w:bookmarkEnd w:id="132"/>
    <w:p>
      <w:pPr>
        <w:ind w:right="3239"/>
        <w:spacing w:after="0" w:line="236" w:lineRule="auto"/>
        <w:rPr>
          <w:sz w:val="20"/>
          <w:szCs w:val="20"/>
          <w:color w:val="auto"/>
        </w:rPr>
      </w:pPr>
      <w:r>
        <w:rPr>
          <w:rFonts w:ascii="Courier New" w:cs="Courier New" w:eastAsia="Courier New" w:hAnsi="Courier New"/>
          <w:sz w:val="15"/>
          <w:szCs w:val="15"/>
          <w:color w:val="auto"/>
        </w:rPr>
        <w:t>In addition, the preferential EIT treatments that NetEase Beijing obtained may be subject to review by higher authorities. If these preferential tax treatments were not available to NetEase Beijing, NetEase Beijing would be subject to EIT at 30% plus a local tax of 3% and the exemption and reduction described above would not apply.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tax ("BT")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 is subject to BT on the provision of taxable services in China, transfer of intangible assets and the sale of immovable properties in China. The tax rates range from 3% to 20% of the gross receipts, depending on the nature of the revenues. The applicable BT rate for the Group's revenues is generally 5%. In addition, Guangyitong Advertising is subject to a cultural development fee at 3% on its Internet advertising fees, which effectively reduces the revenues the Group derives from Guangyitong Advertising.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payable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December 31,</w:t>
            </w:r>
          </w:p>
        </w:tc>
        <w:tc>
          <w:tcPr>
            <w:tcW w:w="14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BT</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1,313,896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4,337,428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Individual income taxes for employees</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459,035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3,848,253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67,269</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1,772,931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8,252,950</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12. Accrued Liabilities</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73"/>
        </w:trPr>
        <w:tc>
          <w:tcPr>
            <w:tcW w:w="3600" w:type="dxa"/>
            <w:vAlign w:val="bottom"/>
          </w:tcPr>
          <w:p>
            <w:pPr>
              <w:spacing w:after="0"/>
              <w:rPr>
                <w:sz w:val="24"/>
                <w:szCs w:val="2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4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Accrued advertising expenses</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978,027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808,420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information fees</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1,787,468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1,276,551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professional fees</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3,854,513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3,428,678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4,317,942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4,884,736</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10,937,950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10,398,385</w:t>
            </w:r>
          </w:p>
        </w:tc>
      </w:tr>
      <w:tr>
        <w:trPr>
          <w:trHeight w:val="168"/>
        </w:trPr>
        <w:tc>
          <w:tcPr>
            <w:tcW w:w="360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Subscriptions Receivable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Subscriptions receivable represents the amount receivable from a shareholder for subscription for the Company's series B preference shares (see Note 14). During the year ended December 31, 2001, the Company also made an allowance for doubtful subscriptions receivable amounting to approximately RMB6.4 million. Such subscriptions receivable arose from advances to certain shareholders for subscription for the Company's shares in 2000.</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24" w:right="1440" w:bottom="1440" w:gutter="0" w:footer="0" w:header="0"/>
        </w:sectPr>
      </w:pPr>
    </w:p>
    <w:bookmarkStart w:id="133" w:name="page134"/>
    <w:bookmarkEnd w:id="133"/>
    <w:p>
      <w:pPr>
        <w:ind w:right="8399" w:firstLine="10"/>
        <w:spacing w:after="0" w:line="509" w:lineRule="auto"/>
        <w:tabs>
          <w:tab w:leader="none" w:pos="35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Ordinary shares</w:t>
      </w:r>
    </w:p>
    <w:p>
      <w:pPr>
        <w:ind w:right="3239"/>
        <w:spacing w:after="0" w:line="236" w:lineRule="auto"/>
        <w:rPr>
          <w:sz w:val="20"/>
          <w:szCs w:val="20"/>
          <w:color w:val="auto"/>
        </w:rPr>
      </w:pPr>
      <w:r>
        <w:rPr>
          <w:rFonts w:ascii="Courier New" w:cs="Courier New" w:eastAsia="Courier New" w:hAnsi="Courier New"/>
          <w:sz w:val="15"/>
          <w:szCs w:val="15"/>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November 1999, in consideration for certain members of the senior management joining the Group, the principal shareholder of the Company agreed to transfer a total of 26,271,300 of his ordinary shares in the Company for services to be rendered by certain of those individuals over three years starting from January 1, 2000. The total estimated fair value of these shares, valued at US$0.05 per share at the date of grant, is recognized as deferred compensation which is to be amortized over the related vesting periods.</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addition, in March 2000 the principal shareholder of the Company transferred an additional approximately 1,900,000 ordinary shares to certain employees, for which the Company recorded compensation costs of approximately RMB2.5 million in 2000.</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On March 31, 2000, the ordinary shares in the Company were split on a one-hundred-for-one basis. The effects of the share split have been reflected in the financial statements on a retroactive basis for all the periods presented.</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June 2000, the Company sold 4,500,000 ADS, representing 450,000,000 ordinary shares, in an underwritten initial public offering for net proceeds of approximately US$64.9 million, before offering expenses. Simultaneously with the closing of the public offering, all 3,000,000 shares of Series A preference shares and 2,560,556 shares of Series B preference shares were converted to ordinary shares on a basis of 100 ordinary shares for one preference share (see below).</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23, 2001, the Company entered into an agreement whereby the Company acquired certain software for online games, computers and the related intellectual property rights for cash consideration of US$0.2 million from a private technology company. In addition, the Company agreed to issue 7,742,168 ordinary shares in the Company to the founders of the private technology company by installments on a quarterly basis starting from June 23, 2001 through March 23, 2003 for the service to be provided by such individuals as employees of the Company over such period. The total estimated fair value of these shares of approximately RMB0.8 million valued at US$0.0125 per share at the date of agreement is recognized as deferred compensation, which is to be amortized over the related vesting period.</w:t>
      </w:r>
    </w:p>
    <w:p>
      <w:pPr>
        <w:spacing w:after="0" w:line="18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According to an agreement dated September 11, 2001 between the Company and a senior officer of the Company, the Company provided the officer with 25,000,000 ordinary shares by quarterly installments over a period of 18 months. As a result, deferred compensation cost of approximately RMB1.3 million was recorded in 2001, which amount is being amortized over the related vesting period of 18 months.</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According to a board resolution dated January 23, 2002, the Company agreed to provide two newly hired members of senior management of the Company with 12,322,868 ordinary shares in the Company over a period of 7 months. The total estimated fair value of those shares of RMB0.7 million (valued at US$0.006492 per share) at the date of the agreement is recognized as deferred compensation which is being amortized over the related vesting periods.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2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Convertible preference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preference shares</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The Series A preference shares were convertible on a basis of 100 ordinary shares for one preference share. These preference shares were automatically converted upon closing of the public offering of the ordinary shares in the Company in 2000.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Series A preference shares carried certain preferences on dividend payment and return of capital in case of a winding up of the Company. Written consent of the holders of more than 50% of these preference shares had to be obtained for any acquisition, merger, reorganization, substantial disposal of assets, alteration of capital amounts, disposal of interest in any subsidiary or associate company, and liquidation or winding-up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B preference shares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March 23, 2000, the Company entered into a Series B Preference Shares Purchase Agreement pursuant to which the Company issued 2,560,556 Series B preference shares of US$0.01 each at an issuance price of US$15.60 per share for a total consideration of approximately US$40.0 million, of which US$35.0 million was paid up in cash and US$5.0 million was paid up by advertising to be provided by the shareholder of the Series B preference shares and its affiliated companies on their television channels over a period of three years.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Series B preference shares had the same conversion features as the Series A preference shares. The Series B preference shares had an aggregate liquidation preference equal to the total consideration for which they were issued. They carried the same preferences as those of Series A preference shares on dividend payment but had certain preferences over Series A preference shares on return of capital in case of a winding up of the Company. These preference shares were automatically converted upon closing of the public offering of the ordinary shares in the Company in 2000.</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also entered into a strategic co-operation agreement with the shareholder of its Series B preference shares which provided for, among other things, advertising spending of US$5.0 million from the shareholder over the next three years, cross licensing of Internet tools and technologies, licensing of content information, and other co-operative marketing and promotional events on commercial terms to be agreed between the two parties (see Note 19).</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effect of the issuance of Series B preference shares together with the strategic co-operation agreement with the same shareholder is similar to an issuance of shares to the shareholder for cash consideration of US$40.0 million (with US$35.0 million receivable immediately and US$5.0 million receivable over a period of three years from March 2000) and having a barter transaction for advertising between the Company and the shareholder. The accounting for these two transactions in the financial statements reflects this effect.</w:t>
      </w:r>
    </w:p>
    <w:p>
      <w:pPr>
        <w:spacing w:after="0" w:line="166" w:lineRule="exact"/>
        <w:rPr>
          <w:sz w:val="20"/>
          <w:szCs w:val="20"/>
          <w:color w:val="auto"/>
        </w:rPr>
      </w:pPr>
    </w:p>
    <w:p>
      <w:pPr>
        <w:jc w:val="both"/>
        <w:ind w:right="8299" w:firstLine="10"/>
        <w:spacing w:after="0" w:line="509" w:lineRule="auto"/>
        <w:tabs>
          <w:tab w:leader="none" w:pos="35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 1999 Stock Option Plan</w:t>
      </w:r>
    </w:p>
    <w:p>
      <w:pPr>
        <w:ind w:right="3239"/>
        <w:spacing w:after="0" w:line="235" w:lineRule="auto"/>
        <w:rPr>
          <w:sz w:val="20"/>
          <w:szCs w:val="20"/>
          <w:color w:val="auto"/>
        </w:rPr>
      </w:pPr>
      <w:r>
        <w:rPr>
          <w:rFonts w:ascii="Courier New" w:cs="Courier New" w:eastAsia="Courier New" w:hAnsi="Courier New"/>
          <w:sz w:val="15"/>
          <w:szCs w:val="15"/>
          <w:color w:val="auto"/>
        </w:rPr>
        <w:t>In December 1999, the Company adopted an incentive and non-statutory stock option plan for the Company's senior management and employees (the "1999 Stock Option Plan"). The Company has reserved 345,675,000 ordinary shares for issuance under the plan.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617"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Options for the employees vest upon completion of the first full year of service by the respective employees from the date they first joined the Group and expire at the end of the fifth year of their respective service periods.</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Of the 3,735,000 ordinary shares granted to employees in 1999 at an exercise price of US$0.070 per share, options to acquire 740,000, 1,560,000 and 140,000 ordinary shares were cancelled in 2000, 2001 and 2002, respectively, as a result of the resignation of certain employees. Accordingly, options to acquire 1,295,000 ordinary shares remained outstanding as of December 31, 2002.</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management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Options for the members of the Company's senior management become exercisable at the rate of 20% on the vesting commencement date which was September 1, 1999, 20% upon completion of one full year and 30% upon completion of each of the next two full years thereafter. These options will also vest upon the founder of the Group ceasing to be the principal shareholder of the Group.</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the 115,225,000 ordinary shares granted to senior management in 1999 at an exercise price of US$0.065 per share, options to acquire 46,858,200, 52,235,300 and 16,131,500 ordinary shares were cancelled in 2000, 2001 and 2002 respectively, as a result of the resignation of certain members of the Company's senior management. Accordingly, no options remained outstanding as of December 31, 2002.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Advisory board</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Company also granted options to its advisory board members. Twenty percent of these options vested on the date of appointment, which was the end of 1999, and 10% would vest each quarter over the next two years.</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Of the 3,000,000 ordinary shares granted to the advisory board members in 1999 at an exercise price of US$0.065 per share, options to acquire 400,000, 1,600,000 and 1,000,000 ordinary shares were cancelled in 2000, 2001 and 2002, respectively, as a result of the resignation of the advisory board members. Accordingly, no options remained outstanding as of December 31, 2002.</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Stock Option Plan</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According to a resolution of the board of directors of the Company in 2000, the 1999 Stock Option Plan was replaced by the 2000 Stock Option Plan.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According to a resolution of the board of directors and the shareholders of the Company in 2001, the 2000 stock option plan was amended and restated. Under the amended plan, the number of ordinary shares available for issuance was increased from 223,715,000 under the prior plan to 323,715,000. The amended plan also included a mechanism for the automatic increase in the number of ordinary shares available for future issuance. This mechanism, which is known as "Evergreen Provision", provided for a periodic increase so that the number of ordinary shares available under the plan would automatically increase by 3% each year up to a maximum at any given time of 17.5% of the Company's total outstanding ordinary shares, on a fully-diluted basis. These increases would occur on June 1 of 2001 and January 1 of each year thereafter. The "Evergreen Provision" has been suspended pursuant to a resolution of the board of directors dated March 25, 2002.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617"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During the year ended December 31, 2000, the Company granted options to acquire a total of 64,720,000 ordinary shares to the Company's employees at an exercise price ranging from US$0.063 to US$0.156 per share. Options for those employees who joined the Group in 1999 vest over a period of three years beginning with the completion of the second full year of service by the respective employees. Options for other employees vest over a period of four years beginning with the completion of one full year from the date of grant.</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Out of the options granted to employees in 2000, options to acquire 21,755,000, 17,350,000 and 3,838,000 ordinary shares were cancelled in 2000, 2001 and 2002, respectively, as a result of the resignation of certain employees. Options to acquire 21,777,000 ordinary shares remained outstanding as at December 31, 2002.</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year ended December 31, 2001, the Company granted options to acquire a total of 24,059,000 ordinary shares to the Company's employees at an exercise price of approximately US$0.022 per share. These options vest over a period of four years beginning with the completion of one full year from the date of grant.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 of the options granted to employees in 2001, options to acquire 9,366,000 and 1,958,000 ordinary shares were cancelled in 2001 and 2002, respectively, as a result of the resignation of certain employees, and options to acquire 834,200 ordinary shares were exercised in 2002. Options to acquire 11,900,800 ordinary shares remained outstanding as at December 31, 2002.</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year ended December 31, 2002, the Company granted options to acquire a total of 51,510,000 ordinary shares to the Company's employees at exercise prices ranging from US$0.007 to US$0.021 per share. Options for those employees who joined the Company before April 4, 2001 vest over a period of three years beginning with the completion of one full year of service by the respective employees. Options for other employees vest over a period of three years beginning from the date of grant.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 of the options granted to employees in 2002, options to acquire 5,699,000 ordinary shares were cancelled in 2002 as a result of the resignation of certain employees, and options to acquire 5,407,000 ordinary shares were exercised in 2002. Options to acquire 40,404,000 ordinary shares remained outstanding as at December 31,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management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year ended December 31, 2000, the Company granted options to acquire a total of 163,424,300 ordinary shares to certain new members of the Company's senior management at exercise prices ranging from US$0.043 to US$0.156 per share. These options generally vest over a period of three to four years beginning with the completion of one full year from (i) February 1, 2000, (ii) the date of employment or (iii) the date of offer of employment. The compensation costs were calculated based upon the estimated fair value of the Company's ordinary shares ranging from US$0.03 per share to US$0.156 per share during the period from February to December 2000.</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Out of the options granted to senior management in 2000, options to acquire 33,600,000, 92,218,800 and 37,605,500 ordinary shares were cancelled in 2000, 2001 and 2002, respectively, as a result of the resignation of certain members of the Company's senior management. No options remained outstanding as at December 31, 2002.</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During the year ended December 31, 2001, the Company also granted options to acquire a total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617" w:right="1440" w:bottom="1440" w:gutter="0" w:footer="0" w:header="0"/>
        </w:sectPr>
      </w:pPr>
    </w:p>
    <w:bookmarkStart w:id="137" w:name="page138"/>
    <w:bookmarkEnd w:id="137"/>
    <w:p>
      <w:pPr>
        <w:ind w:right="3239"/>
        <w:spacing w:after="0" w:line="234" w:lineRule="auto"/>
        <w:rPr>
          <w:sz w:val="20"/>
          <w:szCs w:val="20"/>
          <w:color w:val="auto"/>
        </w:rPr>
      </w:pPr>
      <w:r>
        <w:rPr>
          <w:rFonts w:ascii="Courier New" w:cs="Courier New" w:eastAsia="Courier New" w:hAnsi="Courier New"/>
          <w:sz w:val="15"/>
          <w:szCs w:val="15"/>
          <w:color w:val="auto"/>
        </w:rPr>
        <w:t>92,225,000 ordinary shares to certain members of the Company's senior management at exercise prices ranging from US$0.006 to US$0.155 per share.</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Out of the options granted to senior management in 2001, options to acquire 54,175,000 and 5,513,100 ordinary shares were cancelled in 2001 and 2002, respectively, as a result of the resignation of certain members of the Company's senior management, and options to acquire 32,536,900 ordinary shares were exercised in 2002. No options remained outstanding as at December 31, 2002.</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ended December 31, 2002, the Company also granted options to acquire a total of 59,000,000 ordinary shares to certain members of the Company's senior management at exercise prices ranging from US$0.007 to US$0.015 per share. Options for those senior management who joined the Company before April 4, 2001 vest over a period of three years beginning with the completion of one full year of service by the respective members. Options for other management members vest over a period of three years beginning from the date of grant.</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Out of the options granted to senior management in 2002, options to acquire 10,000,000 ordinary shares were exercised in 2002. Options to acquire 49,000,000 ordinary shares remained outstanding as at December 31,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consultants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ended December 31, 2000, the Company granted options to acquire a total of 1,200,000 ordinary shares to a director and options to acquire a total of 850,000 ordinary shares to two consultants. These options generally vested over a period of two years beginning on February 1, 2000. The exercise price of these options is US$0.100 per share. Deferred compensation costs related to these option grants to the director and two consultants in 2000 were approximately RMB1.5 million. The estimated fair value of the options granted to the director and the consultants was estimated on the date of grant using the Black-Scholes option pricing model. The following assumptions were used for the grants: risk-free interest rate of 2.97%; estimated fair value of US$0.10 per ordinary share; expected dividend yield of 0% for all periods; expected life of five years; and expected volatility of 155% for all periods.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these grants to the directors and the consultants, options to acquire 1,200,000 and 700,000 ordinary shares, respectively, remained outstanding as at December 31, 2002. Options to acquire 150,000 ordinary shares granted to one consultant were cancelled in 2000 as a result of the resignation of that consultant.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Advisory board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June 2000, the Company granted options to acquire a total of 1,500,000 ordinary shares to a member of the Company's advisory board at an exercise price of US$0.155 per share. These options vested over a two-year period commencing from the date of grant. Deferred compensation costs related to these option grants was approximately RMB1.8 million, estimated on the date of grant using the Black-Scholes option pricing model. The following assumptions were used for the grants: risk-free interest rate of 2.97%; estimated fair value of US$0.155 per ordinary share; expected dividend yield of 0% for all periods; expected life of five years; and expected volatility of 155%. In addition, in August 2000, the Company granted options to acquire a total of 2,000,000 ordinary shares to the same advisory board member at an exercise price of US$0.05 per share to replace the 1,500,000 shares of option granted in June 2000. The terms of the new grants were the same as those of the grants made in June 2000. In this connection, the options to acquire 1,500,000 ordinary shares granted in June 2000 were modified and therefore the modification was subject to an additional compensation cost of approximately RMB0.04 million. Deferred compensation cost related to the remaining newly issued 500,000 share options was approximately RMB0.2 million, estimated on the date of grant using the Black-Scholes option pricing</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623" w:right="1440" w:bottom="1440" w:gutter="0" w:footer="0" w:header="0"/>
        </w:sectPr>
      </w:pPr>
    </w:p>
    <w:bookmarkStart w:id="138" w:name="page139"/>
    <w:bookmarkEnd w:id="138"/>
    <w:p>
      <w:pPr>
        <w:ind w:right="3319"/>
        <w:spacing w:after="0" w:line="235" w:lineRule="auto"/>
        <w:rPr>
          <w:sz w:val="20"/>
          <w:szCs w:val="20"/>
          <w:color w:val="auto"/>
        </w:rPr>
      </w:pPr>
      <w:r>
        <w:rPr>
          <w:rFonts w:ascii="Courier New" w:cs="Courier New" w:eastAsia="Courier New" w:hAnsi="Courier New"/>
          <w:sz w:val="15"/>
          <w:szCs w:val="15"/>
          <w:color w:val="auto"/>
        </w:rPr>
        <w:t>model. The following assumptions were used for the grants: risk-free interest rate of 2.97%; estimated fair value of US$0.05 per ordinary share; expected dividend yield of 0% for all periods; expected life of five years; and expected volatility of 155%.</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the above options were cancelled in 2000 and 2001 (3,250,000 in 2000 and 250,000 in 2001, respectively) as a result of the resignation of the advisory board member.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Costs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connection with all the above option grants to the employees, senior management, directors, consultants, and advisory board members in 2000, the Company recorded deferred share compensation costs of approximately RMB48.5 million in 2000 and RMBnil in 2001 and RMBnil in 2002, which were to be amortized and charged to expense starting from the grant date and through the end of the vesting periods of the underlying options.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2002, approximately RMB2.1 million (2000: RMB13.8 million; 2001: RMB1.5 million) of the deferred compensation costs were amortized and charged to expense and approximately RMB0.1 million (2000: RMB9.8 million; 2001: RMB33.6 million) of the deferred compensation costs were reversed against the additional paid in capital as a result of the resignation of employees, senior management, consultants and advisory board members.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relating to stock options outstanding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1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For the year ended December 31,</w:t>
            </w: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c>
          <w:tcPr>
            <w:tcW w:w="88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8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Weighted</w:t>
            </w:r>
          </w:p>
        </w:tc>
        <w:tc>
          <w:tcPr>
            <w:tcW w:w="1760" w:type="dxa"/>
            <w:vAlign w:val="bottom"/>
          </w:tcPr>
          <w:p>
            <w:pPr>
              <w:spacing w:after="0"/>
              <w:rPr>
                <w:sz w:val="14"/>
                <w:szCs w:val="14"/>
                <w:color w:val="auto"/>
              </w:rPr>
            </w:pP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Weighted</w:t>
            </w:r>
          </w:p>
        </w:tc>
        <w:tc>
          <w:tcPr>
            <w:tcW w:w="148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average</w:t>
            </w:r>
          </w:p>
        </w:tc>
        <w:tc>
          <w:tcPr>
            <w:tcW w:w="1760" w:type="dxa"/>
            <w:vAlign w:val="bottom"/>
          </w:tcPr>
          <w:p>
            <w:pPr>
              <w:spacing w:after="0"/>
              <w:rPr>
                <w:sz w:val="14"/>
                <w:szCs w:val="14"/>
                <w:color w:val="auto"/>
              </w:rPr>
            </w:pP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average</w:t>
            </w:r>
          </w:p>
        </w:tc>
        <w:tc>
          <w:tcPr>
            <w:tcW w:w="148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w:t>
            </w:r>
          </w:p>
        </w:tc>
        <w:tc>
          <w:tcPr>
            <w:tcW w:w="1760" w:type="dxa"/>
            <w:vAlign w:val="bottom"/>
          </w:tcPr>
          <w:p>
            <w:pPr>
              <w:spacing w:after="0"/>
              <w:rPr>
                <w:sz w:val="14"/>
                <w:szCs w:val="14"/>
                <w:color w:val="auto"/>
              </w:rPr>
            </w:pPr>
          </w:p>
        </w:tc>
        <w:tc>
          <w:tcPr>
            <w:tcW w:w="1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Exercise</w:t>
            </w:r>
          </w:p>
        </w:tc>
        <w:tc>
          <w:tcPr>
            <w:tcW w:w="1480" w:type="dxa"/>
            <w:vAlign w:val="bottom"/>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1360" w:type="dxa"/>
            <w:vAlign w:val="bottom"/>
          </w:tcPr>
          <w:p>
            <w:pPr>
              <w:spacing w:after="0"/>
              <w:rPr>
                <w:sz w:val="14"/>
                <w:szCs w:val="14"/>
                <w:color w:val="auto"/>
              </w:rPr>
            </w:pPr>
          </w:p>
        </w:tc>
        <w:tc>
          <w:tcPr>
            <w:tcW w:w="2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Option shares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price</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Option shares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price</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Option shares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1360" w:type="dxa"/>
            <w:vAlign w:val="bottom"/>
          </w:tcPr>
          <w:p>
            <w:pPr>
              <w:spacing w:after="0"/>
              <w:rPr>
                <w:sz w:val="14"/>
                <w:szCs w:val="14"/>
                <w:color w:val="auto"/>
              </w:rPr>
            </w:pPr>
          </w:p>
        </w:tc>
        <w:tc>
          <w:tcPr>
            <w:tcW w:w="8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US$</w:t>
            </w:r>
          </w:p>
        </w:tc>
        <w:tc>
          <w:tcPr>
            <w:tcW w:w="176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US$</w:t>
            </w:r>
          </w:p>
        </w:tc>
        <w:tc>
          <w:tcPr>
            <w:tcW w:w="1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US$</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w:t>
            </w:r>
          </w:p>
        </w:tc>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121,960,000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0.065</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248,901,100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0.091</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136,430,000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233,694,300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0.105</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116,284,000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0.017</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110,510,000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w:t>
            </w: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(106,753,200)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0.091</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(228,755,100)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0.064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(71,885,100)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0.096</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(48,778,100)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0.010</w:t>
            </w:r>
          </w:p>
        </w:tc>
      </w:tr>
      <w:tr>
        <w:trPr>
          <w:trHeight w:val="168"/>
        </w:trPr>
        <w:tc>
          <w:tcPr>
            <w:tcW w:w="1360" w:type="dxa"/>
            <w:vAlign w:val="bottom"/>
          </w:tcPr>
          <w:p>
            <w:pPr>
              <w:spacing w:after="0"/>
              <w:rPr>
                <w:sz w:val="14"/>
                <w:szCs w:val="14"/>
                <w:color w:val="auto"/>
              </w:rPr>
            </w:pPr>
          </w:p>
        </w:tc>
        <w:tc>
          <w:tcPr>
            <w:tcW w:w="8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w:t>
            </w:r>
          </w:p>
        </w:tc>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 end</w:t>
            </w:r>
          </w:p>
        </w:tc>
        <w:tc>
          <w:tcPr>
            <w:tcW w:w="21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248,901,100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0.091</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136,430,000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0.074</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126,276,800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0.028</w:t>
            </w:r>
          </w:p>
        </w:tc>
      </w:tr>
      <w:tr>
        <w:trPr>
          <w:trHeight w:val="168"/>
        </w:trPr>
        <w:tc>
          <w:tcPr>
            <w:tcW w:w="1360" w:type="dxa"/>
            <w:vAlign w:val="bottom"/>
          </w:tcPr>
          <w:p>
            <w:pPr>
              <w:spacing w:after="0"/>
              <w:rPr>
                <w:sz w:val="14"/>
                <w:szCs w:val="14"/>
                <w:color w:val="auto"/>
              </w:rPr>
            </w:pPr>
          </w:p>
        </w:tc>
        <w:tc>
          <w:tcPr>
            <w:tcW w:w="8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December 31, 2002, options to purchase 32,010,775 ordinary shares were exercisable. Under the stock option plans, options to purchase 451,662,024 ordinary shares were available for future grant. The fair value of ordinary shares on the dates of stock option grants was determined by management based on the recent issuance of preference shares, consideration of significant milestones achieved by the Group and other market considerations. Options outstanding and exercisable by price range as of December 31, 2002 were as follows: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623" w:right="144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 Exercisable at</w:t>
            </w:r>
          </w:p>
        </w:tc>
      </w:tr>
      <w:tr>
        <w:trPr>
          <w:trHeight w:val="168"/>
        </w:trPr>
        <w:tc>
          <w:tcPr>
            <w:tcW w:w="1940" w:type="dxa"/>
            <w:vAlign w:val="bottom"/>
          </w:tcPr>
          <w:p>
            <w:pPr>
              <w:spacing w:after="0"/>
              <w:rPr>
                <w:sz w:val="14"/>
                <w:szCs w:val="14"/>
                <w:color w:val="auto"/>
              </w:rPr>
            </w:pPr>
          </w:p>
        </w:tc>
        <w:tc>
          <w:tcPr>
            <w:tcW w:w="4980" w:type="dxa"/>
            <w:vAlign w:val="bottom"/>
            <w:gridSpan w:val="3"/>
          </w:tcPr>
          <w:p>
            <w:pPr>
              <w:ind w:left="1300"/>
              <w:spacing w:after="0" w:line="168" w:lineRule="exact"/>
              <w:rPr>
                <w:sz w:val="20"/>
                <w:szCs w:val="20"/>
                <w:color w:val="auto"/>
              </w:rPr>
            </w:pPr>
            <w:r>
              <w:rPr>
                <w:rFonts w:ascii="Courier New" w:cs="Courier New" w:eastAsia="Courier New" w:hAnsi="Courier New"/>
                <w:sz w:val="15"/>
                <w:szCs w:val="15"/>
                <w:color w:val="auto"/>
              </w:rPr>
              <w:t>Options Outstanding at December 31, 2002</w:t>
            </w:r>
          </w:p>
        </w:tc>
        <w:tc>
          <w:tcPr>
            <w:tcW w:w="2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December 31, 2002</w:t>
            </w:r>
          </w:p>
        </w:tc>
      </w:tr>
      <w:tr>
        <w:trPr>
          <w:trHeight w:val="168"/>
        </w:trPr>
        <w:tc>
          <w:tcPr>
            <w:tcW w:w="1940" w:type="dxa"/>
            <w:vAlign w:val="bottom"/>
          </w:tcPr>
          <w:p>
            <w:pPr>
              <w:spacing w:after="0"/>
              <w:rPr>
                <w:sz w:val="14"/>
                <w:szCs w:val="14"/>
                <w:color w:val="auto"/>
              </w:rPr>
            </w:pPr>
          </w:p>
        </w:tc>
        <w:tc>
          <w:tcPr>
            <w:tcW w:w="73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Weighted</w:t>
            </w:r>
          </w:p>
        </w:tc>
        <w:tc>
          <w:tcPr>
            <w:tcW w:w="1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940" w:type="dxa"/>
            <w:vAlign w:val="bottom"/>
          </w:tcPr>
          <w:p>
            <w:pPr>
              <w:spacing w:after="0"/>
              <w:rPr>
                <w:sz w:val="14"/>
                <w:szCs w:val="14"/>
                <w:color w:val="auto"/>
              </w:rPr>
            </w:pPr>
          </w:p>
        </w:tc>
        <w:tc>
          <w:tcPr>
            <w:tcW w:w="226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Number</w:t>
            </w:r>
          </w:p>
        </w:tc>
        <w:tc>
          <w:tcPr>
            <w:tcW w:w="13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Average</w:t>
            </w: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Number</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w:t>
            </w:r>
          </w:p>
        </w:tc>
        <w:tc>
          <w:tcPr>
            <w:tcW w:w="22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Outstanding</w:t>
            </w:r>
          </w:p>
        </w:tc>
        <w:tc>
          <w:tcPr>
            <w:tcW w:w="13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Life</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Exercise Price</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Exercisable</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40" w:type="dxa"/>
            <w:vAlign w:val="bottom"/>
          </w:tcPr>
          <w:p>
            <w:pPr>
              <w:ind w:left="260"/>
              <w:spacing w:after="0" w:line="169" w:lineRule="exact"/>
              <w:rPr>
                <w:sz w:val="20"/>
                <w:szCs w:val="20"/>
                <w:color w:val="auto"/>
              </w:rPr>
            </w:pPr>
            <w:r>
              <w:rPr>
                <w:rFonts w:ascii="Courier New" w:cs="Courier New" w:eastAsia="Courier New" w:hAnsi="Courier New"/>
                <w:sz w:val="15"/>
                <w:szCs w:val="15"/>
                <w:color w:val="auto"/>
              </w:rPr>
              <w:t>Years</w:t>
            </w:r>
          </w:p>
        </w:tc>
        <w:tc>
          <w:tcPr>
            <w:tcW w:w="1260" w:type="dxa"/>
            <w:vAlign w:val="bottom"/>
          </w:tcPr>
          <w:p>
            <w:pPr>
              <w:jc w:val="center"/>
              <w:spacing w:after="0" w:line="169" w:lineRule="exact"/>
              <w:rPr>
                <w:sz w:val="20"/>
                <w:szCs w:val="20"/>
                <w:color w:val="auto"/>
              </w:rPr>
            </w:pPr>
            <w:r>
              <w:rPr>
                <w:rFonts w:ascii="Courier New" w:cs="Courier New" w:eastAsia="Courier New" w:hAnsi="Courier New"/>
                <w:sz w:val="15"/>
                <w:szCs w:val="15"/>
                <w:color w:val="auto"/>
                <w:w w:val="96"/>
              </w:rPr>
              <w:t>US$</w:t>
            </w:r>
          </w:p>
        </w:tc>
        <w:tc>
          <w:tcPr>
            <w:tcW w:w="1620" w:type="dxa"/>
            <w:vAlign w:val="bottom"/>
          </w:tcPr>
          <w:p>
            <w:pPr>
              <w:spacing w:after="0"/>
              <w:rPr>
                <w:sz w:val="14"/>
                <w:szCs w:val="14"/>
                <w:color w:val="auto"/>
              </w:rPr>
            </w:pPr>
          </w:p>
        </w:tc>
        <w:tc>
          <w:tcPr>
            <w:tcW w:w="8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US$</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US$0.007 - US$0.009</w:t>
            </w:r>
          </w:p>
        </w:tc>
        <w:tc>
          <w:tcPr>
            <w:tcW w:w="2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82,684,000</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3.16</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0.007</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16,908,000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0.007</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US$0.012 - US$0.015</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4,220,000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4.49</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0.015</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US$0.021</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4.39</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0.021</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US$0.022</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11,900,800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4.08</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0.022</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1,738,400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0.022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US$0.070 - US$0.075</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3,295,000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2.82</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0.073</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2,295,000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US$0.100</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17,767,000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3.21</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0.100</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9,505,375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US$0.155 - US$0.156</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3,910,000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3.32</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0.156</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1,564,000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0.156</w:t>
            </w:r>
          </w:p>
        </w:tc>
      </w:tr>
      <w:tr>
        <w:trPr>
          <w:trHeight w:val="168"/>
        </w:trPr>
        <w:tc>
          <w:tcPr>
            <w:tcW w:w="2160" w:type="dxa"/>
            <w:vAlign w:val="bottom"/>
          </w:tcPr>
          <w:p>
            <w:pPr>
              <w:spacing w:after="0"/>
              <w:rPr>
                <w:sz w:val="14"/>
                <w:szCs w:val="14"/>
                <w:color w:val="auto"/>
              </w:rPr>
            </w:pPr>
          </w:p>
        </w:tc>
        <w:tc>
          <w:tcPr>
            <w:tcW w:w="71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126,276,800</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3.32</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0.028</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32,010,775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0.047</w:t>
            </w:r>
          </w:p>
        </w:tc>
      </w:tr>
      <w:tr>
        <w:trPr>
          <w:trHeight w:val="168"/>
        </w:trPr>
        <w:tc>
          <w:tcPr>
            <w:tcW w:w="2160" w:type="dxa"/>
            <w:vAlign w:val="bottom"/>
          </w:tcPr>
          <w:p>
            <w:pPr>
              <w:spacing w:after="0"/>
              <w:rPr>
                <w:sz w:val="14"/>
                <w:szCs w:val="14"/>
                <w:color w:val="auto"/>
              </w:rPr>
            </w:pPr>
          </w:p>
        </w:tc>
        <w:tc>
          <w:tcPr>
            <w:tcW w:w="71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the purposes of SFAS No.123 pro forma disclosures, the estimated fair value of each senior management or employee option grant is estimated on the date of grant using the Black-Scholes option pricing method with the following assumptions: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940" w:type="dxa"/>
            <w:vAlign w:val="bottom"/>
            <w:gridSpan w:val="3"/>
          </w:tcPr>
          <w:p>
            <w:pPr>
              <w:jc w:val="right"/>
              <w:ind w:right="1067"/>
              <w:spacing w:after="0"/>
              <w:rPr>
                <w:sz w:val="20"/>
                <w:szCs w:val="20"/>
                <w:color w:val="auto"/>
              </w:rPr>
            </w:pPr>
            <w:r>
              <w:rPr>
                <w:rFonts w:ascii="Courier New" w:cs="Courier New" w:eastAsia="Courier New" w:hAnsi="Courier New"/>
                <w:sz w:val="15"/>
                <w:szCs w:val="15"/>
                <w:color w:val="auto"/>
                <w:w w:val="99"/>
              </w:rPr>
              <w:t>For the year ended December 31,</w:t>
            </w:r>
          </w:p>
        </w:tc>
      </w:tr>
      <w:tr>
        <w:trPr>
          <w:trHeight w:val="168"/>
        </w:trPr>
        <w:tc>
          <w:tcPr>
            <w:tcW w:w="4300" w:type="dxa"/>
            <w:vAlign w:val="bottom"/>
          </w:tcPr>
          <w:p>
            <w:pPr>
              <w:spacing w:after="0"/>
              <w:rPr>
                <w:sz w:val="14"/>
                <w:szCs w:val="14"/>
                <w:color w:val="auto"/>
              </w:rPr>
            </w:pPr>
          </w:p>
        </w:tc>
        <w:tc>
          <w:tcPr>
            <w:tcW w:w="5500" w:type="dxa"/>
            <w:vAlign w:val="bottom"/>
            <w:gridSpan w:val="4"/>
          </w:tcPr>
          <w:p>
            <w:pPr>
              <w:jc w:val="center"/>
              <w:ind w:left="5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30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14"/>
                <w:szCs w:val="14"/>
                <w:color w:val="auto"/>
              </w:rPr>
            </w:pPr>
          </w:p>
        </w:tc>
        <w:tc>
          <w:tcPr>
            <w:tcW w:w="16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2001</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300" w:type="dxa"/>
            <w:vAlign w:val="bottom"/>
          </w:tcPr>
          <w:p>
            <w:pPr>
              <w:spacing w:after="0"/>
              <w:rPr>
                <w:sz w:val="14"/>
                <w:szCs w:val="14"/>
                <w:color w:val="auto"/>
              </w:rPr>
            </w:pPr>
          </w:p>
        </w:tc>
        <w:tc>
          <w:tcPr>
            <w:tcW w:w="5500" w:type="dxa"/>
            <w:vAlign w:val="bottom"/>
            <w:gridSpan w:val="4"/>
          </w:tcPr>
          <w:p>
            <w:pPr>
              <w:jc w:val="center"/>
              <w:ind w:left="5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2.50% -</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2.97% - 3.30%</w:t>
            </w:r>
          </w:p>
        </w:tc>
        <w:tc>
          <w:tcPr>
            <w:tcW w:w="1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(in years)</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- 10</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5 - 10</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1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Volatility</w:t>
            </w:r>
          </w:p>
        </w:tc>
        <w:tc>
          <w:tcPr>
            <w:tcW w:w="2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142% - 155%</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122% - 155%</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 - 108%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estimated fair value of</w:t>
            </w: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underlying shares on the date of</w:t>
            </w: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 grants (US$)</w:t>
            </w:r>
          </w:p>
        </w:tc>
        <w:tc>
          <w:tcPr>
            <w:tcW w:w="15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0.128</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0.085</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0.008</w:t>
            </w:r>
          </w:p>
        </w:tc>
      </w:tr>
      <w:tr>
        <w:trPr>
          <w:trHeight w:val="505"/>
        </w:trPr>
        <w:tc>
          <w:tcPr>
            <w:tcW w:w="4300" w:type="dxa"/>
            <w:vAlign w:val="bottom"/>
          </w:tcPr>
          <w:p>
            <w:pPr>
              <w:ind w:left="3340"/>
              <w:spacing w:after="0"/>
              <w:rPr>
                <w:sz w:val="20"/>
                <w:szCs w:val="20"/>
                <w:color w:val="auto"/>
              </w:rPr>
            </w:pPr>
            <w:r>
              <w:rPr>
                <w:rFonts w:ascii="Courier New" w:cs="Courier New" w:eastAsia="Courier New" w:hAnsi="Courier New"/>
                <w:sz w:val="15"/>
                <w:szCs w:val="15"/>
                <w:color w:val="auto"/>
              </w:rPr>
              <w:t>F-33</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16. Revenues From E-commerce and Other Services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following is the summarized information of revenues from e-commerce and other services: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940" w:type="dxa"/>
            <w:vAlign w:val="bottom"/>
          </w:tcPr>
          <w:p>
            <w:pPr>
              <w:spacing w:after="0"/>
              <w:rPr>
                <w:sz w:val="14"/>
                <w:szCs w:val="14"/>
                <w:color w:val="auto"/>
              </w:rPr>
            </w:pPr>
          </w:p>
        </w:tc>
        <w:tc>
          <w:tcPr>
            <w:tcW w:w="5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Wireless value-added services and other</w:t>
            </w:r>
          </w:p>
        </w:tc>
        <w:tc>
          <w:tcPr>
            <w:tcW w:w="2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fee-based services</w:t>
            </w:r>
          </w:p>
        </w:tc>
        <w:tc>
          <w:tcPr>
            <w:tcW w:w="2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2,455,834</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14,103,151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160,303,651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Online games</w:t>
            </w:r>
          </w:p>
        </w:tc>
        <w:tc>
          <w:tcPr>
            <w:tcW w:w="2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37,053,416</w:t>
            </w:r>
          </w:p>
        </w:tc>
      </w:tr>
      <w:tr>
        <w:trPr>
          <w:trHeight w:val="168"/>
        </w:trPr>
        <w:tc>
          <w:tcPr>
            <w:tcW w:w="3940" w:type="dxa"/>
            <w:vAlign w:val="bottom"/>
          </w:tcPr>
          <w:p>
            <w:pPr>
              <w:spacing w:after="0"/>
              <w:rPr>
                <w:sz w:val="14"/>
                <w:szCs w:val="14"/>
                <w:color w:val="auto"/>
              </w:rPr>
            </w:pPr>
          </w:p>
        </w:tc>
        <w:tc>
          <w:tcPr>
            <w:tcW w:w="5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2,455,834</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14,103,151</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197,357,067</w:t>
            </w:r>
          </w:p>
        </w:tc>
      </w:tr>
      <w:tr>
        <w:trPr>
          <w:trHeight w:val="168"/>
        </w:trPr>
        <w:tc>
          <w:tcPr>
            <w:tcW w:w="3940" w:type="dxa"/>
            <w:vAlign w:val="bottom"/>
          </w:tcPr>
          <w:p>
            <w:pPr>
              <w:spacing w:after="0"/>
              <w:rPr>
                <w:sz w:val="14"/>
                <w:szCs w:val="14"/>
                <w:color w:val="auto"/>
              </w:rPr>
            </w:pPr>
          </w:p>
        </w:tc>
        <w:tc>
          <w:tcPr>
            <w:tcW w:w="5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from wireless value-added services represents revenue earned by the Group for providing technical services to Guangzhou NetEase in relation to its wireless business. Guangzhou NetEase derives SMS revenues from providing value-added services such as friends matching, news and information services, ring-tone and logo downloads and various other related products to mobile phone users in China.</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from other fee-based services represents revenue earned by the Group for providing technical services to Guangzhou NetEase in relation to various value-added services provided by the NetEase Web sites, including dating and friends matching, mail box, personal homepage hosting and online shopping mall, etc.</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from online games represents revenue earned by the Group for providing technical services to Guangzhou NetEase in relation to its online game business. Guangzhou NetEase operates various online games platforms and derives revenue from providing service to its registered game players.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Net Earnings (Loss) Per Share</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following table sets forth the computation of basic and diluted net earnings (loss) per share for the years ended December 31, 2000, 2001 and 2002:</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profit (loss) attributable to</w:t>
            </w: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ordinary stockholders</w:t>
            </w:r>
          </w:p>
        </w:tc>
        <w:tc>
          <w:tcPr>
            <w:tcW w:w="3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(169,268,799)</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(233,163,914)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16,301,638</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 basic</w:t>
            </w:r>
          </w:p>
        </w:tc>
        <w:tc>
          <w:tcPr>
            <w:tcW w:w="3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2,497,467,200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3,013,419,400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3,051,395,100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effect of employee stock</w:t>
            </w: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3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76,442,800</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3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 diluted</w:t>
            </w:r>
          </w:p>
        </w:tc>
        <w:tc>
          <w:tcPr>
            <w:tcW w:w="3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2,497,467,200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3,013,419,400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3,127,837,900</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Anti-dilutive effect of stock options</w:t>
            </w:r>
          </w:p>
        </w:tc>
        <w:tc>
          <w:tcPr>
            <w:tcW w:w="3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50,164,600</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66,845,749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24,972,000</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per share, basic</w:t>
            </w:r>
          </w:p>
        </w:tc>
        <w:tc>
          <w:tcPr>
            <w:tcW w:w="3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earnings (loss) per share, diluted</w:t>
            </w:r>
          </w:p>
        </w:tc>
        <w:tc>
          <w:tcPr>
            <w:tcW w:w="3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3340" w:type="dxa"/>
            <w:vAlign w:val="bottom"/>
          </w:tcPr>
          <w:p>
            <w:pPr>
              <w:spacing w:after="0"/>
              <w:rPr>
                <w:sz w:val="14"/>
                <w:szCs w:val="14"/>
                <w:color w:val="auto"/>
              </w:rPr>
            </w:pPr>
          </w:p>
        </w:tc>
        <w:tc>
          <w:tcPr>
            <w:tcW w:w="6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3360" w:type="dxa"/>
            <w:vAlign w:val="bottom"/>
          </w:tcPr>
          <w:p>
            <w:pPr>
              <w:jc w:val="right"/>
              <w:ind w:right="2947"/>
              <w:spacing w:after="0"/>
              <w:rPr>
                <w:sz w:val="20"/>
                <w:szCs w:val="20"/>
                <w:color w:val="auto"/>
              </w:rPr>
            </w:pPr>
            <w:r>
              <w:rPr>
                <w:rFonts w:ascii="Courier New" w:cs="Courier New" w:eastAsia="Courier New" w:hAnsi="Courier New"/>
                <w:sz w:val="15"/>
                <w:szCs w:val="15"/>
                <w:color w:val="auto"/>
                <w:w w:val="88"/>
              </w:rPr>
              <w:t>F-34</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1" w:name="page142"/>
    <w:bookmarkEnd w:id="141"/>
    <w:p>
      <w:pPr>
        <w:ind w:right="7339" w:firstLine="10"/>
        <w:spacing w:after="0" w:line="465" w:lineRule="auto"/>
        <w:tabs>
          <w:tab w:leader="none" w:pos="35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Commitments</w:t>
      </w:r>
    </w:p>
    <w:p>
      <w:pPr>
        <w:spacing w:after="0" w:line="1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As of December 31, 2002, future minimum lease and capital commitments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2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Office rental</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Server custody</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060" w:type="dxa"/>
            <w:vAlign w:val="bottom"/>
          </w:tcPr>
          <w:p>
            <w:pPr>
              <w:spacing w:after="0"/>
              <w:rPr>
                <w:sz w:val="14"/>
                <w:szCs w:val="14"/>
                <w:color w:val="auto"/>
              </w:rPr>
            </w:pPr>
          </w:p>
        </w:tc>
        <w:tc>
          <w:tcPr>
            <w:tcW w:w="2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commitments</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fee commitments</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commitments</w:t>
            </w:r>
          </w:p>
        </w:tc>
        <w:tc>
          <w:tcPr>
            <w:tcW w:w="122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0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4,719,333</w:t>
            </w:r>
          </w:p>
        </w:tc>
        <w:tc>
          <w:tcPr>
            <w:tcW w:w="1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10,309,500</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15,478,833</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3,697,039</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3,697,039</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2,365,763</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2,365,763</w:t>
            </w:r>
          </w:p>
        </w:tc>
      </w:tr>
      <w:tr>
        <w:trPr>
          <w:trHeight w:val="168"/>
        </w:trPr>
        <w:tc>
          <w:tcPr>
            <w:tcW w:w="1060" w:type="dxa"/>
            <w:vAlign w:val="bottom"/>
          </w:tcPr>
          <w:p>
            <w:pPr>
              <w:spacing w:after="0"/>
              <w:rPr>
                <w:sz w:val="14"/>
                <w:szCs w:val="14"/>
                <w:color w:val="auto"/>
              </w:rPr>
            </w:pPr>
          </w:p>
        </w:tc>
        <w:tc>
          <w:tcPr>
            <w:tcW w:w="70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10,782,135</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10,309,500</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21,541,635</w:t>
            </w:r>
          </w:p>
        </w:tc>
      </w:tr>
      <w:tr>
        <w:trPr>
          <w:trHeight w:val="168"/>
        </w:trPr>
        <w:tc>
          <w:tcPr>
            <w:tcW w:w="1060" w:type="dxa"/>
            <w:vAlign w:val="bottom"/>
          </w:tcPr>
          <w:p>
            <w:pPr>
              <w:spacing w:after="0"/>
              <w:rPr>
                <w:sz w:val="14"/>
                <w:szCs w:val="14"/>
                <w:color w:val="auto"/>
              </w:rPr>
            </w:pPr>
          </w:p>
        </w:tc>
        <w:tc>
          <w:tcPr>
            <w:tcW w:w="70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years ended December 31, 2000, 2001 and 2002, the Company incurred rental expenses in the amounts of approximately RMB6.9 million, RMB8.8 million, and RMB7.4 million,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coverage</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As of December 31, 2002, the Group had insurance coverage of approximately RMB39.2 million on its property, equipment and software.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of December 31, 2002, the Company also maintained insurance coverage, which is subject to various restrictions and limitations, for certain claims which are brought against the Company, certain subsidiaries, the attorneys and underwriters for the Company's initial public offering and directors, officers and employees of the Company. The aggregate coverage for all the above mentioned parties under this policy is US$10.0 million, and the policy expires on June 15,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Actions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Beginning in October 2001, four substantially identical purported class action complaints alleging violations of the federal securities laws were filed in the United States District Court for the Southern District of New York naming the Company, certain of its current and former officers and directors, and the underwriters of the Company's initial public offering as defendants.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These complaints were subsequently consolidated into a single action. In general, the complaints allege, among other things, that (i) the Company's initial public offering violated the securities laws because the financial statements accompanying the offering's registration statement misstated the Company's revenue; and (ii) the Company committed securities fraud by materially misstating the Company's revenue in its 2000 financial statements.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August 29, 2002, the parties to the above-referenced litigation entered into a memorandum of understanding for the settlement of this litigation. Subsequently, the plaintiffs in this litigation conducted confirmatory discovery to determine if the settlement is fair, reasonable and adequate. The discovery has been completed, and on January 31, 2003, the parties entered into a stipulation and agreement of settlement.</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court preliminarily approved this settlement on February 25, 2003, and all persons who purchased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624" w:right="1440" w:bottom="1440" w:gutter="0" w:footer="0" w:header="0"/>
        </w:sectPr>
      </w:pPr>
    </w:p>
    <w:bookmarkStart w:id="142" w:name="page143"/>
    <w:bookmarkEnd w:id="142"/>
    <w:p>
      <w:pPr>
        <w:ind w:right="3239"/>
        <w:spacing w:after="0" w:line="236" w:lineRule="auto"/>
        <w:rPr>
          <w:sz w:val="20"/>
          <w:szCs w:val="20"/>
          <w:color w:val="auto"/>
        </w:rPr>
      </w:pPr>
      <w:r>
        <w:rPr>
          <w:rFonts w:ascii="Courier New" w:cs="Courier New" w:eastAsia="Courier New" w:hAnsi="Courier New"/>
          <w:sz w:val="15"/>
          <w:szCs w:val="15"/>
          <w:color w:val="auto"/>
        </w:rPr>
        <w:t>Company's ADSs during the period from July 3, 2000 to August 31, 2001 were certified as a single class. Subsequently, notice was sent to the class, and the court will hold a hearing before it gives final approval to the settlement. The aggregate settlement amount for all claims in this litigation is US$4.35 million, which amount has been paid by the Company into an escrow account pending such final court approval and charged to the statement of operations for the year ended December 31, 2002.</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If the settlement is not approved by the court or is otherwise terminated by its terms, then, among other consequences, the parties shall revert to their litigation positions as of August 29, 2002. Potential members of the class no longer have the right to opt out of this settlement and pursue their own claims. The Company cannot predict if this settlement will be given final approval.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 Infringement Lawsuit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2003, Guangzhou NetEase was named in a copyright infringement lawsuit in China and the plaintiffs claimed damages of US$1.0 million. The Group intends to vigorously defend its position. Based on the legal advice it has obtained, the Group believes the ultimate resolution of this matter will not have a material financial impact on the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Subsequent Events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March 2003, the Company entered into a supplemental agreement to the strategic co-operation agreement with the purchaser of its Series B preference shares described in Note 14. Pursuant to the supplemental agreement, the purchaser of Series B preference shares and its affiliates is obligated to spend the US$4.0 million on online advertising on the NetEase Web sites by March 28, 2004. All other aspects of the strategic co-operation agreement terminated in March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May 16, 2003, the court gave its final approval to the definitive settlement agreement entered into between the parties to the litigation referred to in Note 18 - Litigation, Class Actions above which provides for a final settlement amount of US$4.35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23" w:right="1440" w:bottom="1440" w:gutter="0" w:footer="0" w:header="0"/>
        </w:sectPr>
      </w:pPr>
    </w:p>
    <w:bookmarkStart w:id="143" w:name="page144"/>
    <w:bookmarkEnd w:id="143"/>
    <w:p>
      <w:pPr>
        <w:ind w:left="6040"/>
        <w:spacing w:after="0"/>
        <w:rPr>
          <w:sz w:val="20"/>
          <w:szCs w:val="20"/>
          <w:color w:val="auto"/>
        </w:rPr>
      </w:pPr>
      <w:r>
        <w:rPr>
          <w:rFonts w:ascii="Courier New" w:cs="Courier New" w:eastAsia="Courier New" w:hAnsi="Courier New"/>
          <w:sz w:val="14"/>
          <w:szCs w:val="14"/>
          <w:color w:val="auto"/>
        </w:rPr>
        <w:t>Exhibit 1.3</w:t>
      </w:r>
    </w:p>
    <w:p>
      <w:pPr>
        <w:spacing w:after="0" w:line="17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Amendment to Amended and Restated Articles of Association of NetEase.com, Inc.</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Director's Certificate</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I, Lee Ting Bun Denny, a Director of NetEase.com, Inc., a Cayman Islands corporation (the "Company"), hereby certify that: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At the Annual General Meeting of the shareholders of the Company duly convened and held at the Company's principal executive offices located at Suite 1901, Tower E3, The Towers, Oriental Plaza, Dong Cheng District, Beijing, People's Republic of China, commencing at 10:00 a.m., Beijing time, on June 5, 2003.</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IT WAS RESOLVED AS A SPECIAL RESOLUTION THAT:</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articles numbered 114 to 117 (inclusive) in the Company's Article of Association be and are hereby deleted in their entirety."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Dated: June 6, 2003</w:t>
      </w:r>
    </w:p>
    <w:p>
      <w:pPr>
        <w:spacing w:after="0" w:line="200" w:lineRule="exact"/>
        <w:rPr>
          <w:sz w:val="20"/>
          <w:szCs w:val="20"/>
          <w:color w:val="auto"/>
        </w:rPr>
      </w:pPr>
    </w:p>
    <w:p>
      <w:pPr>
        <w:spacing w:after="0" w:line="30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 Denny Lee</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Lee Ting Bun Denny</w:t>
      </w:r>
    </w:p>
    <w:p>
      <w:pPr>
        <w:sectPr>
          <w:pgSz w:w="11900" w:h="16838" w:orient="portrait"/>
          <w:cols w:equalWidth="0" w:num="1">
            <w:col w:w="10239"/>
          </w:cols>
          <w:pgMar w:left="220" w:top="478" w:right="1440" w:bottom="1440" w:gutter="0" w:footer="0" w:header="0"/>
        </w:sectPr>
      </w:pPr>
    </w:p>
    <w:bookmarkStart w:id="144" w:name="page145"/>
    <w:bookmarkEnd w:id="144"/>
    <w:p>
      <w:pPr>
        <w:jc w:val="right"/>
        <w:ind w:right="3239"/>
        <w:spacing w:after="0"/>
        <w:rPr>
          <w:sz w:val="20"/>
          <w:szCs w:val="20"/>
          <w:color w:val="auto"/>
        </w:rPr>
      </w:pPr>
      <w:r>
        <w:rPr>
          <w:rFonts w:ascii="Courier New" w:cs="Courier New" w:eastAsia="Courier New" w:hAnsi="Courier New"/>
          <w:sz w:val="15"/>
          <w:szCs w:val="15"/>
          <w:color w:val="auto"/>
        </w:rPr>
        <w:t>Exhibit 4.4</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Addendum</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Employer:</w:t>
        <w:tab/>
        <w:t>NetEase.com, Inc.</w:t>
      </w:r>
    </w:p>
    <w:p>
      <w:pPr>
        <w:spacing w:after="0" w:line="237" w:lineRule="auto"/>
        <w:tabs>
          <w:tab w:leader="none" w:pos="960" w:val="left"/>
        </w:tabs>
        <w:rPr>
          <w:sz w:val="20"/>
          <w:szCs w:val="20"/>
          <w:color w:val="auto"/>
        </w:rPr>
      </w:pPr>
      <w:r>
        <w:rPr>
          <w:rFonts w:ascii="Courier New" w:cs="Courier New" w:eastAsia="Courier New" w:hAnsi="Courier New"/>
          <w:sz w:val="15"/>
          <w:szCs w:val="15"/>
          <w:color w:val="auto"/>
        </w:rPr>
        <w:t>Employee:</w:t>
        <w:tab/>
        <w:t>William Ding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above parties have agreed that with effect from May 1, 2003, the remuneration a set out in paragraph 4(a) of the original employment agreement (the Agreement) dated August 12, 1999 will be lowered to Rmb1,000. All other terms in the Agreement remain unchanged.</w:t>
      </w:r>
    </w:p>
    <w:p>
      <w:pPr>
        <w:sectPr>
          <w:pgSz w:w="11900" w:h="16838" w:orient="portrait"/>
          <w:cols w:equalWidth="0" w:num="1">
            <w:col w:w="10239"/>
          </w:cols>
          <w:pgMar w:left="220" w:top="471"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/s/William 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Ding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/s/Denny Lee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 NetEase.com, Inc.</w:t>
      </w:r>
    </w:p>
    <w:p>
      <w:pPr>
        <w:sectPr>
          <w:pgSz w:w="11900" w:h="16838" w:orient="portrait"/>
          <w:cols w:equalWidth="0" w:num="2">
            <w:col w:w="2780" w:space="720"/>
            <w:col w:w="6739"/>
          </w:cols>
          <w:pgMar w:left="220" w:top="471" w:right="1440" w:bottom="1440" w:gutter="0" w:footer="0" w:header="0"/>
          <w:type w:val="continuous"/>
        </w:sectPr>
      </w:pPr>
    </w:p>
    <w:bookmarkStart w:id="145" w:name="page146"/>
    <w:bookmarkEnd w:id="145"/>
    <w:p>
      <w:pPr>
        <w:jc w:val="right"/>
        <w:ind w:right="3239"/>
        <w:spacing w:after="0"/>
        <w:rPr>
          <w:sz w:val="20"/>
          <w:szCs w:val="20"/>
          <w:color w:val="auto"/>
        </w:rPr>
      </w:pPr>
      <w:r>
        <w:rPr>
          <w:rFonts w:ascii="Courier New" w:cs="Courier New" w:eastAsia="Courier New" w:hAnsi="Courier New"/>
          <w:sz w:val="15"/>
          <w:szCs w:val="15"/>
          <w:color w:val="auto"/>
        </w:rPr>
        <w:t>Exhibit 4.5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Dated 1 April 2002</w:t>
      </w:r>
    </w:p>
    <w:p>
      <w:pPr>
        <w:ind w:left="11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LEE TING BUN DENNY</w:t>
      </w:r>
    </w:p>
    <w:p>
      <w:pPr>
        <w:spacing w:after="0" w:line="335"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___________________________</w:t>
      </w:r>
    </w:p>
    <w:p>
      <w:pPr>
        <w:spacing w:after="0" w:line="166"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EMPLOYMENT CONTRACT</w:t>
      </w:r>
    </w:p>
    <w:p>
      <w:pPr>
        <w:jc w:val="center"/>
        <w:ind w:right="4339"/>
        <w:spacing w:after="0" w:line="237" w:lineRule="auto"/>
        <w:rPr>
          <w:sz w:val="20"/>
          <w:szCs w:val="20"/>
          <w:color w:val="auto"/>
        </w:rPr>
      </w:pPr>
      <w:r>
        <w:rPr>
          <w:rFonts w:ascii="Courier New" w:cs="Courier New" w:eastAsia="Courier New" w:hAnsi="Courier New"/>
          <w:sz w:val="15"/>
          <w:szCs w:val="15"/>
          <w:color w:val="auto"/>
        </w:rPr>
        <w:t>FOR</w:t>
      </w:r>
    </w:p>
    <w:p>
      <w:pPr>
        <w:jc w:val="center"/>
        <w:ind w:right="4339"/>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16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___________________________</w:t>
      </w:r>
    </w:p>
    <w:p>
      <w:pPr>
        <w:sectPr>
          <w:pgSz w:w="11900" w:h="16838" w:orient="portrait"/>
          <w:cols w:equalWidth="0" w:num="1">
            <w:col w:w="9019"/>
          </w:cols>
          <w:pgMar w:left="1440" w:top="471"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THIS AGREEMENT is made this 1st day of April,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NetEase.com, Inc which registered office is situate at 15/F, North Tower, Kerry Centre, Beijing, PRC (hereinafter called "the Employer") of the one part, and the person whose name and address are set out in the Schedule hereto (hereinafter called "the Employee") of the other part.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IT IS AGREED as follows:</w:t>
      </w:r>
    </w:p>
    <w:p>
      <w:pPr>
        <w:spacing w:after="0" w:line="166" w:lineRule="exact"/>
        <w:rPr>
          <w:sz w:val="20"/>
          <w:szCs w:val="20"/>
          <w:color w:val="auto"/>
        </w:rPr>
      </w:pPr>
    </w:p>
    <w:p>
      <w:pPr>
        <w:ind w:left="440" w:hanging="430"/>
        <w:spacing w:after="0"/>
        <w:tabs>
          <w:tab w:leader="none" w:pos="4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In this Agreement:</w:t>
      </w:r>
    </w:p>
    <w:p>
      <w:pPr>
        <w:spacing w:after="0" w:line="173" w:lineRule="exact"/>
        <w:rPr>
          <w:sz w:val="20"/>
          <w:szCs w:val="20"/>
          <w:color w:val="auto"/>
        </w:rPr>
      </w:pPr>
    </w:p>
    <w:p>
      <w:pPr>
        <w:jc w:val="both"/>
        <w:ind w:left="1140" w:right="3499" w:hanging="693"/>
        <w:spacing w:after="0" w:line="235" w:lineRule="auto"/>
        <w:tabs>
          <w:tab w:leader="none" w:pos="1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words herein denoting one gender include all other genders and words denoting the singular include the plural and vice versa;</w:t>
      </w:r>
    </w:p>
    <w:p>
      <w:pPr>
        <w:spacing w:after="0" w:line="173" w:lineRule="exact"/>
        <w:rPr>
          <w:rFonts w:ascii="Courier New" w:cs="Courier New" w:eastAsia="Courier New" w:hAnsi="Courier New"/>
          <w:sz w:val="15"/>
          <w:szCs w:val="15"/>
          <w:color w:val="auto"/>
        </w:rPr>
      </w:pPr>
    </w:p>
    <w:p>
      <w:pPr>
        <w:ind w:left="1140" w:right="3239" w:hanging="693"/>
        <w:spacing w:after="0" w:line="234" w:lineRule="auto"/>
        <w:tabs>
          <w:tab w:leader="none" w:pos="1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to a statutory provision shall be deemed to include a reference to any modification or re-enactment of it;</w:t>
      </w:r>
    </w:p>
    <w:p>
      <w:pPr>
        <w:spacing w:after="0" w:line="173" w:lineRule="exact"/>
        <w:rPr>
          <w:rFonts w:ascii="Courier New" w:cs="Courier New" w:eastAsia="Courier New" w:hAnsi="Courier New"/>
          <w:sz w:val="15"/>
          <w:szCs w:val="15"/>
          <w:color w:val="auto"/>
        </w:rPr>
      </w:pPr>
    </w:p>
    <w:p>
      <w:pPr>
        <w:jc w:val="both"/>
        <w:ind w:left="1140" w:right="3239" w:hanging="693"/>
        <w:spacing w:after="0" w:line="235" w:lineRule="auto"/>
        <w:tabs>
          <w:tab w:leader="none" w:pos="1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clause headings do not form part of the terms and conditions of this Agreement and shall not be taken into account in construing or interpreting this Agreement;</w:t>
      </w:r>
    </w:p>
    <w:p>
      <w:pPr>
        <w:spacing w:after="0" w:line="173" w:lineRule="exact"/>
        <w:rPr>
          <w:rFonts w:ascii="Courier New" w:cs="Courier New" w:eastAsia="Courier New" w:hAnsi="Courier New"/>
          <w:sz w:val="15"/>
          <w:szCs w:val="15"/>
          <w:color w:val="auto"/>
        </w:rPr>
      </w:pPr>
    </w:p>
    <w:p>
      <w:pPr>
        <w:ind w:left="1140" w:right="3239" w:hanging="693"/>
        <w:spacing w:after="0" w:line="235" w:lineRule="auto"/>
        <w:tabs>
          <w:tab w:leader="none" w:pos="1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in this Agreement to any clause, sub-clause, schedule, exhibit or paragraph without further designation shall be construed as references to the clause, sub-clause, schedule, exhibit or paragraph of this Agreement so numbered; and</w:t>
      </w:r>
    </w:p>
    <w:p>
      <w:pPr>
        <w:spacing w:after="0" w:line="175" w:lineRule="exact"/>
        <w:rPr>
          <w:rFonts w:ascii="Courier New" w:cs="Courier New" w:eastAsia="Courier New" w:hAnsi="Courier New"/>
          <w:sz w:val="15"/>
          <w:szCs w:val="15"/>
          <w:color w:val="auto"/>
        </w:rPr>
      </w:pPr>
    </w:p>
    <w:p>
      <w:pPr>
        <w:ind w:left="1140" w:right="3319" w:hanging="693"/>
        <w:spacing w:after="0" w:line="235" w:lineRule="auto"/>
        <w:tabs>
          <w:tab w:leader="none" w:pos="114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clause that is invalid or unenforceable because of any legislation or ruling of any court of competent jurisdiction shall not render the whole Agreement void but shall only be:</w:t>
      </w:r>
    </w:p>
    <w:p>
      <w:pPr>
        <w:spacing w:after="0" w:line="173" w:lineRule="exact"/>
        <w:rPr>
          <w:rFonts w:ascii="Courier New" w:cs="Courier New" w:eastAsia="Courier New" w:hAnsi="Courier New"/>
          <w:sz w:val="15"/>
          <w:szCs w:val="15"/>
          <w:color w:val="auto"/>
        </w:rPr>
      </w:pPr>
    </w:p>
    <w:p>
      <w:pPr>
        <w:ind w:left="1580" w:right="4199" w:hanging="433"/>
        <w:spacing w:after="0" w:line="261" w:lineRule="auto"/>
        <w:tabs>
          <w:tab w:leader="none" w:pos="1580" w:val="left"/>
        </w:tabs>
        <w:numPr>
          <w:ilvl w:val="2"/>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varied to such an extent so as to make it valid and enforceable without affecting other clauses, or</w:t>
      </w:r>
    </w:p>
    <w:p>
      <w:pPr>
        <w:spacing w:after="0" w:line="159" w:lineRule="exact"/>
        <w:rPr>
          <w:rFonts w:ascii="Courier New" w:cs="Courier New" w:eastAsia="Courier New" w:hAnsi="Courier New"/>
          <w:sz w:val="14"/>
          <w:szCs w:val="14"/>
          <w:color w:val="auto"/>
        </w:rPr>
      </w:pPr>
    </w:p>
    <w:p>
      <w:pPr>
        <w:ind w:left="1580" w:right="3239" w:hanging="433"/>
        <w:spacing w:after="0" w:line="258" w:lineRule="auto"/>
        <w:tabs>
          <w:tab w:leader="none" w:pos="1580" w:val="left"/>
        </w:tabs>
        <w:numPr>
          <w:ilvl w:val="2"/>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variation is impossible, excluded from this Agreement as if it had not existed at the time of signing of this Agreement while the other clauses remain valid and subsisting.</w:t>
      </w:r>
    </w:p>
    <w:p>
      <w:pPr>
        <w:spacing w:after="0" w:line="154"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Job Title and Commencement</w:t>
      </w:r>
    </w:p>
    <w:p>
      <w:pPr>
        <w:spacing w:after="0" w:line="173" w:lineRule="exact"/>
        <w:rPr>
          <w:sz w:val="20"/>
          <w:szCs w:val="20"/>
          <w:color w:val="auto"/>
        </w:rPr>
      </w:pPr>
    </w:p>
    <w:p>
      <w:pPr>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2.1</w:t>
        <w:tab/>
        <w:t>The Employer shall employ the Employee in the capacity and from the date of commencement set out in the Schedule upon the terms and conditions hereinafter set out.</w:t>
      </w:r>
    </w:p>
    <w:p>
      <w:pPr>
        <w:spacing w:after="0" w:line="174" w:lineRule="exact"/>
        <w:rPr>
          <w:sz w:val="20"/>
          <w:szCs w:val="20"/>
          <w:color w:val="auto"/>
        </w:rPr>
      </w:pPr>
    </w:p>
    <w:p>
      <w:pPr>
        <w:ind w:left="440" w:right="339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2.2</w:t>
        <w:tab/>
        <w:t>The Employee shall perform such duties and responsibilities as are normally related to such position in accordance with the standards of the industry and any additional duties now or hereafter assigned to the Employee by the Employer. The Employee shall abide by</w:t>
      </w:r>
    </w:p>
    <w:p>
      <w:pPr>
        <w:sectPr>
          <w:pgSz w:w="11900" w:h="16838" w:orient="portrait"/>
          <w:cols w:equalWidth="0" w:num="1">
            <w:col w:w="10239"/>
          </w:cols>
          <w:pgMar w:left="220" w:top="617" w:right="1440" w:bottom="1440" w:gutter="0" w:footer="0" w:header="0"/>
        </w:sectPr>
      </w:pPr>
    </w:p>
    <w:bookmarkStart w:id="147" w:name="page148"/>
    <w:bookmarkEnd w:id="147"/>
    <w:p>
      <w:pPr>
        <w:ind w:left="790" w:right="3319"/>
        <w:spacing w:after="0" w:line="234" w:lineRule="auto"/>
        <w:rPr>
          <w:sz w:val="20"/>
          <w:szCs w:val="20"/>
          <w:color w:val="auto"/>
        </w:rPr>
      </w:pPr>
      <w:r>
        <w:rPr>
          <w:rFonts w:ascii="Courier New" w:cs="Courier New" w:eastAsia="Courier New" w:hAnsi="Courier New"/>
          <w:sz w:val="15"/>
          <w:szCs w:val="15"/>
          <w:color w:val="auto"/>
        </w:rPr>
        <w:t>the rules, regulations, and practices as adopted or modified from time to time in the Employer's sole discretion.</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Except upon the prior written consent of the Employer, the Employee will not, during the term of this Agreement, (i) accept any other employment, or (ii) engage, directly or indirectly, in any other business activity (whether or not pursued for pecuniary advantage) that might interfere with the Employee's duties and responsibilities hereunder or create a conflict of interest with the Employer.</w:t>
      </w:r>
    </w:p>
    <w:p>
      <w:pPr>
        <w:spacing w:after="0" w:line="175" w:lineRule="exact"/>
        <w:rPr>
          <w:sz w:val="20"/>
          <w:szCs w:val="20"/>
          <w:color w:val="auto"/>
        </w:rPr>
      </w:pPr>
    </w:p>
    <w:p>
      <w:pPr>
        <w:ind w:left="790" w:right="3319" w:hanging="786"/>
        <w:spacing w:after="0" w:line="255" w:lineRule="auto"/>
        <w:tabs>
          <w:tab w:leader="none" w:pos="77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The Employee represents and warrants that the Employee's execution of this Agreement, the Employee's employment with the Employer, and the performance of the Employee's proposed duties under this Agreement shall not violate any obligations the Employee may have to any other employer, person or entity, including any obligations with respect to proprietary or confidential information of any other person or entity.</w:t>
      </w:r>
    </w:p>
    <w:p>
      <w:pPr>
        <w:spacing w:after="0" w:line="160" w:lineRule="exact"/>
        <w:rPr>
          <w:sz w:val="20"/>
          <w:szCs w:val="20"/>
          <w:color w:val="auto"/>
        </w:rPr>
      </w:pPr>
    </w:p>
    <w:p>
      <w:pPr>
        <w:ind w:left="790" w:hanging="790"/>
        <w:spacing w:after="0"/>
        <w:tabs>
          <w:tab w:leader="none" w:pos="79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work</w:t>
      </w:r>
    </w:p>
    <w:p>
      <w:pPr>
        <w:spacing w:after="0" w:line="173" w:lineRule="exact"/>
        <w:rPr>
          <w:sz w:val="20"/>
          <w:szCs w:val="20"/>
          <w:color w:val="auto"/>
        </w:rPr>
      </w:pPr>
    </w:p>
    <w:p>
      <w:pPr>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The normal place of work for the Employee will be the office of the Employer as it may change from time to time; provided, however that the Employee shall travel and work both in Hong Kong and abroad, as may be required for the proper fulfillment of his duties.</w:t>
      </w:r>
    </w:p>
    <w:p>
      <w:pPr>
        <w:spacing w:after="0" w:line="169" w:lineRule="exact"/>
        <w:rPr>
          <w:sz w:val="20"/>
          <w:szCs w:val="20"/>
          <w:color w:val="auto"/>
        </w:rPr>
      </w:pPr>
    </w:p>
    <w:p>
      <w:pPr>
        <w:ind w:left="790" w:hanging="790"/>
        <w:spacing w:after="0"/>
        <w:tabs>
          <w:tab w:leader="none" w:pos="79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of Employment</w:t>
      </w:r>
    </w:p>
    <w:p>
      <w:pPr>
        <w:spacing w:after="0" w:line="173" w:lineRule="exact"/>
        <w:rPr>
          <w:sz w:val="20"/>
          <w:szCs w:val="20"/>
          <w:color w:val="auto"/>
        </w:rPr>
      </w:pPr>
    </w:p>
    <w:p>
      <w:pPr>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The Employee's normal hours of employment shall be the usual office hours of the Employer that the Employer shall from time to time set for each day.</w:t>
      </w:r>
    </w:p>
    <w:p>
      <w:pPr>
        <w:spacing w:after="0" w:line="174" w:lineRule="exact"/>
        <w:rPr>
          <w:sz w:val="20"/>
          <w:szCs w:val="20"/>
          <w:color w:val="auto"/>
        </w:rPr>
      </w:pPr>
    </w:p>
    <w:p>
      <w:pPr>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The Employer can at any time require the Employee to work such hours outside the normal hours of employment as considered by the Employer at its sole discretion to be necessary for the efficient discharge of the duties of the Employee.</w:t>
      </w:r>
    </w:p>
    <w:p>
      <w:pPr>
        <w:spacing w:after="0" w:line="169" w:lineRule="exact"/>
        <w:rPr>
          <w:sz w:val="20"/>
          <w:szCs w:val="20"/>
          <w:color w:val="auto"/>
        </w:rPr>
      </w:pPr>
    </w:p>
    <w:p>
      <w:pPr>
        <w:ind w:left="790" w:hanging="790"/>
        <w:spacing w:after="0"/>
        <w:tabs>
          <w:tab w:leader="none" w:pos="79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Remuneration</w:t>
      </w:r>
    </w:p>
    <w:p>
      <w:pPr>
        <w:spacing w:after="0" w:line="173" w:lineRule="exact"/>
        <w:rPr>
          <w:sz w:val="20"/>
          <w:szCs w:val="20"/>
          <w:color w:val="auto"/>
        </w:rPr>
      </w:pPr>
    </w:p>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The Employer shall pay to the Employee such remuneration set out in the Schedule. The Employee's base remuneration will be reviewed from time to time in accordance with the established procedures of the Employer for adjusting salaries for similarly situated employees and may be adjusted in the sole discretion of the Employer.</w:t>
      </w:r>
    </w:p>
    <w:p>
      <w:pPr>
        <w:spacing w:after="0" w:line="174" w:lineRule="exact"/>
        <w:rPr>
          <w:sz w:val="20"/>
          <w:szCs w:val="20"/>
          <w:color w:val="auto"/>
        </w:rPr>
      </w:pPr>
    </w:p>
    <w:p>
      <w:pPr>
        <w:ind w:left="790" w:right="331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The Employee may also receive a bonus at such time and in such amount that the Employer may at its sole discretion fix. The Employee is only entitled to receive such a bonus when the Employee is in the employ of the Employer at the time when the Employer pays such bonus and the Employee has no right to ask for or demand the Employer to pay any bonus on pro-rata basis.</w:t>
      </w:r>
    </w:p>
    <w:p>
      <w:pPr>
        <w:spacing w:after="0" w:line="175" w:lineRule="exact"/>
        <w:rPr>
          <w:sz w:val="20"/>
          <w:szCs w:val="20"/>
          <w:color w:val="auto"/>
        </w:rPr>
      </w:pPr>
    </w:p>
    <w:p>
      <w:pPr>
        <w:ind w:left="790" w:right="323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The Employee shall be entitled to participate in the benefits made generally available by the Employer to similarly situated employees, in accordance with the benefit plans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3" w:right="1440" w:bottom="1440" w:gutter="0" w:footer="0" w:header="0"/>
        </w:sectPr>
      </w:pPr>
    </w:p>
    <w:bookmarkStart w:id="148" w:name="page149"/>
    <w:bookmarkEnd w:id="148"/>
    <w:p>
      <w:pPr>
        <w:ind w:left="800" w:right="3399"/>
        <w:spacing w:after="0" w:line="234" w:lineRule="auto"/>
        <w:rPr>
          <w:sz w:val="20"/>
          <w:szCs w:val="20"/>
          <w:color w:val="auto"/>
        </w:rPr>
      </w:pPr>
      <w:r>
        <w:rPr>
          <w:rFonts w:ascii="Courier New" w:cs="Courier New" w:eastAsia="Courier New" w:hAnsi="Courier New"/>
          <w:sz w:val="15"/>
          <w:szCs w:val="15"/>
          <w:color w:val="auto"/>
        </w:rPr>
        <w:t>established by the Employer, and as the same may be amended from time to time in the Employer's sole discretion.</w:t>
      </w:r>
    </w:p>
    <w:p>
      <w:pPr>
        <w:spacing w:after="0" w:line="173" w:lineRule="exact"/>
        <w:rPr>
          <w:sz w:val="20"/>
          <w:szCs w:val="20"/>
          <w:color w:val="auto"/>
        </w:rPr>
      </w:pPr>
    </w:p>
    <w:p>
      <w:pPr>
        <w:ind w:left="800" w:right="323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The Employer shall reimburse the Employee for reasonable business expenses incurred in the performance of the Employee's duties hereunder in accordance with the Employer's expense reimbursement guidelines.</w:t>
      </w:r>
    </w:p>
    <w:p>
      <w:pPr>
        <w:spacing w:after="0" w:line="155" w:lineRule="exact"/>
        <w:rPr>
          <w:sz w:val="20"/>
          <w:szCs w:val="20"/>
          <w:color w:val="auto"/>
        </w:rPr>
      </w:pPr>
    </w:p>
    <w:p>
      <w:pPr>
        <w:ind w:left="800" w:hanging="790"/>
        <w:spacing w:after="0"/>
        <w:tabs>
          <w:tab w:leader="none" w:pos="8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Equalization</w:t>
      </w:r>
    </w:p>
    <w:p>
      <w:pPr>
        <w:spacing w:after="0" w:line="173" w:lineRule="exact"/>
        <w:rPr>
          <w:sz w:val="20"/>
          <w:szCs w:val="20"/>
          <w:color w:val="auto"/>
        </w:rPr>
      </w:pPr>
    </w:p>
    <w:p>
      <w:pPr>
        <w:ind w:left="800" w:right="349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The Employer shall provide tax equalization benefit to the Employee. Under the tax equalization arrangements, the Employer will be responsible for the Employee's PRC individual income tax on the Employee's remuneration as set out in section 5 above ("the Remuneration") and the Employee will be responsible for hypothetical Hong Kong Salary Tax attributable to the Remuneration.</w:t>
      </w:r>
    </w:p>
    <w:p>
      <w:pPr>
        <w:spacing w:after="0" w:line="166" w:lineRule="exact"/>
        <w:rPr>
          <w:sz w:val="20"/>
          <w:szCs w:val="20"/>
          <w:color w:val="auto"/>
        </w:rPr>
      </w:pPr>
    </w:p>
    <w:p>
      <w:pPr>
        <w:ind w:left="800" w:right="349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The hypothetical tax is the amount payable by the Employee to the Employer which is equivalent to the amount of Hong Kong Salary Tax attributable to the Remuneration payable by the Employee to the Hong Kong Tax Authorities had the Employee remained in Hong Kong for the Employment.</w:t>
      </w:r>
    </w:p>
    <w:p>
      <w:pPr>
        <w:spacing w:after="0" w:line="174" w:lineRule="exact"/>
        <w:rPr>
          <w:sz w:val="20"/>
          <w:szCs w:val="20"/>
          <w:color w:val="auto"/>
        </w:rPr>
      </w:pPr>
    </w:p>
    <w:p>
      <w:pPr>
        <w:ind w:left="800" w:right="357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The Employer shall be responsible for the appointment of the tax representative for performing the Employee's tax equalization calculations, filing of the relevant tax returns and payment of PRC individual income tax. The Employer shall bear all such related professional fees payable to the tax representative.</w:t>
      </w:r>
    </w:p>
    <w:p>
      <w:pPr>
        <w:spacing w:after="0" w:line="167" w:lineRule="exact"/>
        <w:rPr>
          <w:sz w:val="20"/>
          <w:szCs w:val="20"/>
          <w:color w:val="auto"/>
        </w:rPr>
      </w:pPr>
    </w:p>
    <w:p>
      <w:pPr>
        <w:ind w:left="800" w:hanging="790"/>
        <w:spacing w:after="0"/>
        <w:tabs>
          <w:tab w:leader="none" w:pos="8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Holidays</w:t>
      </w:r>
    </w:p>
    <w:p>
      <w:pPr>
        <w:spacing w:after="0" w:line="173" w:lineRule="exact"/>
        <w:rPr>
          <w:sz w:val="20"/>
          <w:szCs w:val="20"/>
          <w:color w:val="auto"/>
        </w:rPr>
      </w:pPr>
    </w:p>
    <w:p>
      <w:pPr>
        <w:ind w:left="800" w:right="323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The Employee is entitled, in addition to the PRC statutory public holidays, to take the number of working days set out in the Schedule as paid holiday in each holiday year, the holiday year being the period set out in the Schedule.</w:t>
      </w:r>
    </w:p>
    <w:p>
      <w:pPr>
        <w:spacing w:after="0" w:line="175" w:lineRule="exact"/>
        <w:rPr>
          <w:sz w:val="20"/>
          <w:szCs w:val="20"/>
          <w:color w:val="auto"/>
        </w:rPr>
      </w:pPr>
    </w:p>
    <w:p>
      <w:pPr>
        <w:jc w:val="both"/>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If the Employee's employment commences or terminates part way through the holiday year, his entitlement to holidays during that year will be assessed on a pro-rata basis.</w:t>
      </w:r>
    </w:p>
    <w:p>
      <w:pPr>
        <w:spacing w:after="0" w:line="174" w:lineRule="exact"/>
        <w:rPr>
          <w:sz w:val="20"/>
          <w:szCs w:val="20"/>
          <w:color w:val="auto"/>
        </w:rPr>
      </w:pPr>
    </w:p>
    <w:p>
      <w:pPr>
        <w:ind w:left="800" w:right="357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Holidays must be taken at times convenient to the Employer and sufficient notice of intention to take holiday must be given to the Employee's manager.</w:t>
      </w:r>
    </w:p>
    <w:p>
      <w:pPr>
        <w:spacing w:after="0" w:line="174"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Holiday entitlement unused at the end of a holiday year cannot be carried over into the next holiday year.</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Upon termination of employment,</w:t>
      </w:r>
    </w:p>
    <w:p>
      <w:pPr>
        <w:spacing w:after="0" w:line="173" w:lineRule="exact"/>
        <w:rPr>
          <w:sz w:val="20"/>
          <w:szCs w:val="20"/>
          <w:color w:val="auto"/>
        </w:rPr>
      </w:pPr>
    </w:p>
    <w:p>
      <w:pPr>
        <w:ind w:left="1240" w:right="3759" w:hanging="443"/>
        <w:spacing w:after="0" w:line="258" w:lineRule="auto"/>
        <w:tabs>
          <w:tab w:leader="none" w:pos="12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be entitled to make deductions from the Employee's final pay for any holidays taken in excess of the Employee's proportionate annual holiday entitlement; and</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149" w:name="page150"/>
    <w:bookmarkEnd w:id="149"/>
    <w:p>
      <w:pPr>
        <w:ind w:left="1580" w:right="3239" w:hanging="871"/>
        <w:spacing w:after="0" w:line="236" w:lineRule="auto"/>
        <w:tabs>
          <w:tab w:leader="none" w:pos="15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pro rata payment in lieu of any unused annual holiday entitlement provided; however, that the Employer may, in its absolute discretion, require that the Employee take all accrued but unused annual holiday entitlement prior to the termination of the employment.</w:t>
      </w:r>
    </w:p>
    <w:p>
      <w:pPr>
        <w:spacing w:after="0" w:line="174" w:lineRule="exact"/>
        <w:rPr>
          <w:sz w:val="20"/>
          <w:szCs w:val="20"/>
          <w:color w:val="auto"/>
        </w:rPr>
      </w:pPr>
    </w:p>
    <w:p>
      <w:pPr>
        <w:jc w:val="both"/>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A day's holiday pay for the purpose of this clause shall be calculated by dividing 12 months total salary at the monthly rate at the time of calculation by 365 days.</w:t>
      </w:r>
    </w:p>
    <w:p>
      <w:pPr>
        <w:spacing w:after="0" w:line="167" w:lineRule="exact"/>
        <w:rPr>
          <w:sz w:val="20"/>
          <w:szCs w:val="20"/>
          <w:color w:val="auto"/>
        </w:rPr>
      </w:pPr>
    </w:p>
    <w:p>
      <w:pPr>
        <w:ind w:left="800" w:hanging="790"/>
        <w:spacing w:after="0"/>
        <w:tabs>
          <w:tab w:leader="none" w:pos="8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Sickness</w:t>
      </w:r>
    </w:p>
    <w:p>
      <w:pPr>
        <w:spacing w:after="0" w:line="173" w:lineRule="exact"/>
        <w:rPr>
          <w:sz w:val="20"/>
          <w:szCs w:val="20"/>
          <w:color w:val="auto"/>
        </w:rPr>
      </w:pPr>
    </w:p>
    <w:p>
      <w:pPr>
        <w:ind w:left="800" w:right="339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In the event of absence on account of sickness or injury the Employee (or someone on his behalf) must inform the Employer of the reason for the Employee's absence as soon as possible and must do so not later than 10:00 a.m. on the date on which absence first occurs.</w:t>
      </w:r>
    </w:p>
    <w:p>
      <w:pPr>
        <w:spacing w:after="0" w:line="164"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The Employee must produce to the Employer a medical certificate stating the reason for absence on the first day that the Employee resumes working when the sick leave lasts for 3 days or less and within the 4/th/ calendar day of absence when the absence lasts for more than 3 days, and thereafter provide a like certificate each week to cover the subsequent period of absence.</w:t>
      </w:r>
    </w:p>
    <w:p>
      <w:pPr>
        <w:spacing w:after="0" w:line="175"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The Employee will be paid his statutory sick pay for days of absence on account of sickness or injury in accordance with Section 33 of the Employment Ordinance of the Laws of Hong Kong. Entitlement to payment is subject to notification of absence and production of medical certificates in accordance with Clauses 7.1 and 7.2.</w:t>
      </w:r>
    </w:p>
    <w:p>
      <w:pPr>
        <w:spacing w:after="0" w:line="167" w:lineRule="exact"/>
        <w:rPr>
          <w:sz w:val="20"/>
          <w:szCs w:val="20"/>
          <w:color w:val="auto"/>
        </w:rPr>
      </w:pPr>
    </w:p>
    <w:p>
      <w:pPr>
        <w:ind w:left="800" w:hanging="790"/>
        <w:spacing w:after="0"/>
        <w:tabs>
          <w:tab w:leader="none" w:pos="8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The employment of the Employee may be terminated:</w:t>
      </w:r>
    </w:p>
    <w:p>
      <w:pPr>
        <w:spacing w:after="0" w:line="173" w:lineRule="exact"/>
        <w:rPr>
          <w:sz w:val="20"/>
          <w:szCs w:val="20"/>
          <w:color w:val="auto"/>
        </w:rPr>
      </w:pPr>
    </w:p>
    <w:p>
      <w:pPr>
        <w:ind w:left="1580" w:right="3399" w:hanging="783"/>
        <w:spacing w:after="0" w:line="235" w:lineRule="auto"/>
        <w:tabs>
          <w:tab w:leader="none" w:pos="1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Employee on giving to the Employer not less than such period of notice set out in the Schedule written notice of resignation from employment;</w:t>
      </w:r>
    </w:p>
    <w:p>
      <w:pPr>
        <w:spacing w:after="0" w:line="173" w:lineRule="exact"/>
        <w:rPr>
          <w:rFonts w:ascii="Courier New" w:cs="Courier New" w:eastAsia="Courier New" w:hAnsi="Courier New"/>
          <w:sz w:val="15"/>
          <w:szCs w:val="15"/>
          <w:color w:val="auto"/>
        </w:rPr>
      </w:pPr>
    </w:p>
    <w:p>
      <w:pPr>
        <w:ind w:left="1580" w:right="3399" w:hanging="871"/>
        <w:spacing w:after="0" w:line="235" w:lineRule="auto"/>
        <w:tabs>
          <w:tab w:leader="none" w:pos="1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Employer on giving to the Employee written notice, or at the discretion of the Employer payment in lieu of such notice, for such period set out in the Schedule;</w:t>
      </w:r>
    </w:p>
    <w:p>
      <w:pPr>
        <w:spacing w:after="0" w:line="173" w:lineRule="exact"/>
        <w:rPr>
          <w:rFonts w:ascii="Courier New" w:cs="Courier New" w:eastAsia="Courier New" w:hAnsi="Courier New"/>
          <w:sz w:val="15"/>
          <w:szCs w:val="15"/>
          <w:color w:val="auto"/>
        </w:rPr>
      </w:pPr>
    </w:p>
    <w:p>
      <w:pPr>
        <w:ind w:left="1580" w:right="3499" w:hanging="871"/>
        <w:spacing w:after="0" w:line="235" w:lineRule="auto"/>
        <w:tabs>
          <w:tab w:leader="none" w:pos="1580" w:val="left"/>
        </w:tabs>
        <w:numPr>
          <w:ilvl w:val="1"/>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Employer without notice or payment in lieu of notice for the occurrence of any event set out in Section 9 of the Employment Ordinance giving to the Employer a right to terminate the employment without notice.</w:t>
      </w:r>
    </w:p>
    <w:p>
      <w:pPr>
        <w:spacing w:after="0" w:line="175"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Following any termination of employment, the Employee shall cooperate with the Employer in the winding up of pending work on behalf of the Employer and the orderly transfer of work to other employees. The Employee shall also cooperate with the Employer in the defense of any action brought by any third party against the Employer that relates to the Employee's employment by the Employer.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50" w:name="page151"/>
    <w:bookmarkEnd w:id="150"/>
    <w:p>
      <w:pPr>
        <w:ind w:left="790" w:right="3239" w:hanging="786"/>
        <w:spacing w:after="0" w:line="236" w:lineRule="auto"/>
        <w:tabs>
          <w:tab w:leader="none" w:pos="77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Except in situations where the Employee's employment is terminated by death, disability or pursuant to Sub-clause 9.1(iii), in the event the Employer terminates the employment of the Employee at anytime, the Employee will be eligible to receive an amount equal to six months of the then-current Base Remuneration of the Employee payable in the form of salary continuation. The Employee's eligibility for severance may be conditioned on the Employee having first signed a release agreement. The Employee shall not be entitled to any severance payments if the Employee's employment is terminated by death, disability or pursuant to Sub-clause 9.1(iii) or if the Employee's employment is terminated by the Employee.</w:t>
      </w:r>
    </w:p>
    <w:p>
      <w:pPr>
        <w:spacing w:after="0" w:line="174" w:lineRule="exact"/>
        <w:rPr>
          <w:sz w:val="20"/>
          <w:szCs w:val="20"/>
          <w:color w:val="auto"/>
        </w:rPr>
      </w:pPr>
    </w:p>
    <w:p>
      <w:pPr>
        <w:ind w:left="790" w:hanging="790"/>
        <w:spacing w:after="0"/>
        <w:tabs>
          <w:tab w:leader="none" w:pos="79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Allowance</w:t>
      </w:r>
    </w:p>
    <w:p>
      <w:pPr>
        <w:spacing w:after="0" w:line="172"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employment, the Employee is entitled to a cash relocation allowance of the amount specified in the Schedule, provided that the Employee completed one full year service starting from the commencement date of this employment contract, or termination by the Employer.</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3" w:lineRule="exact"/>
        <w:rPr>
          <w:sz w:val="20"/>
          <w:szCs w:val="20"/>
          <w:color w:val="auto"/>
        </w:rPr>
      </w:pPr>
    </w:p>
    <w:p>
      <w:pPr>
        <w:ind w:left="790" w:right="3239" w:hanging="786"/>
        <w:spacing w:after="0" w:line="254" w:lineRule="auto"/>
        <w:tabs>
          <w:tab w:leader="none" w:pos="77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For the period of six months following the termination of the employment, the Employee shall not, either alone or jointly with another or others, whether as principal, agent, consultant, director, partner, shareholder, employee or in any other capacity, whether directly or indirectly through any other person, firm or company, and whether for his own benefit or that of others, save as the beneficial owner of shares or other securities of a body corporate whose shares are quoted on a recognised stock exchange and which when aggregated with shares or securities beneficially owned by his spouse, children, step-children, parents and parents' children total no more than five percent of any single class of shares or securities in such body corporate, be engaged or concerned or interested in or carry on any business conducted in Hong Kong and the PRC which competes with any business carried on by the Employer or its affiliates at the date of such termination and in which the Employee was involved at any time during the last two years of the employment or in relation to which the Employee acquired any confidential information during the course of the employment. For the purposes of this Agreement, a competitive business is any business in the filed of information technology relating to media placement, on-line advertising, e-commerce or internet marketing.</w:t>
      </w:r>
    </w:p>
    <w:p>
      <w:pPr>
        <w:spacing w:after="0" w:line="169" w:lineRule="exact"/>
        <w:rPr>
          <w:sz w:val="20"/>
          <w:szCs w:val="20"/>
          <w:color w:val="auto"/>
        </w:rPr>
      </w:pPr>
    </w:p>
    <w:p>
      <w:pPr>
        <w:ind w:left="790" w:hanging="790"/>
        <w:spacing w:after="0"/>
        <w:tabs>
          <w:tab w:leader="none" w:pos="79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 and Proprietary Information Agreement</w:t>
      </w:r>
    </w:p>
    <w:p>
      <w:pPr>
        <w:spacing w:after="0" w:line="173" w:lineRule="exact"/>
        <w:rPr>
          <w:sz w:val="20"/>
          <w:szCs w:val="20"/>
          <w:color w:val="auto"/>
        </w:rPr>
      </w:pPr>
    </w:p>
    <w:p>
      <w:pPr>
        <w:ind w:left="790" w:right="3579" w:hanging="786"/>
        <w:spacing w:after="0" w:line="258" w:lineRule="auto"/>
        <w:tabs>
          <w:tab w:leader="none" w:pos="77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The Employer agrees to sign and be bound by the terms of the Proprietary Information and Inventions Agreement, which is attached hereto as Exhibit B ("Proprietary Information Agreement").</w:t>
      </w:r>
    </w:p>
    <w:p>
      <w:pPr>
        <w:spacing w:after="0" w:line="155" w:lineRule="exact"/>
        <w:rPr>
          <w:sz w:val="20"/>
          <w:szCs w:val="20"/>
          <w:color w:val="auto"/>
        </w:rPr>
      </w:pPr>
    </w:p>
    <w:p>
      <w:pPr>
        <w:ind w:left="790" w:hanging="790"/>
        <w:spacing w:after="0"/>
        <w:tabs>
          <w:tab w:leader="none" w:pos="79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Interpretation and Waiver</w:t>
      </w:r>
    </w:p>
    <w:p>
      <w:pPr>
        <w:spacing w:after="0" w:line="173" w:lineRule="exact"/>
        <w:rPr>
          <w:sz w:val="20"/>
          <w:szCs w:val="20"/>
          <w:color w:val="auto"/>
        </w:rPr>
      </w:pPr>
    </w:p>
    <w:p>
      <w:pPr>
        <w:jc w:val="both"/>
        <w:ind w:left="790" w:right="3499" w:hanging="786"/>
        <w:spacing w:after="0" w:line="235" w:lineRule="auto"/>
        <w:tabs>
          <w:tab w:leader="none" w:pos="77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This Agreement may be amended only a written agreement signed by the Employee and a duly authorized representative of the Employer. This Agreement has been reviewed by the</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151" w:name="page152"/>
    <w:bookmarkEnd w:id="151"/>
    <w:p>
      <w:pPr>
        <w:ind w:left="800" w:right="3239"/>
        <w:spacing w:after="0" w:line="256" w:lineRule="auto"/>
        <w:rPr>
          <w:sz w:val="20"/>
          <w:szCs w:val="20"/>
          <w:color w:val="auto"/>
        </w:rPr>
      </w:pPr>
      <w:r>
        <w:rPr>
          <w:rFonts w:ascii="Courier New" w:cs="Courier New" w:eastAsia="Courier New" w:hAnsi="Courier New"/>
          <w:sz w:val="14"/>
          <w:szCs w:val="14"/>
          <w:color w:val="auto"/>
        </w:rPr>
        <w:t>Employee and the Employer and shall be deemed to be the product of the parties. The Employee agrees that he intends the literal words of the Agreement and that no parole evidence shall be necessary or appropriate to establish the Employee's actual intentions. Failure to exercise any right under this Agreement shall not constitute a waiver of such right.</w:t>
      </w:r>
    </w:p>
    <w:p>
      <w:pPr>
        <w:spacing w:after="0" w:line="157" w:lineRule="exact"/>
        <w:rPr>
          <w:sz w:val="20"/>
          <w:szCs w:val="20"/>
          <w:color w:val="auto"/>
        </w:rPr>
      </w:pPr>
    </w:p>
    <w:p>
      <w:pPr>
        <w:ind w:left="800" w:hanging="790"/>
        <w:spacing w:after="0"/>
        <w:tabs>
          <w:tab w:leader="none" w:pos="8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and Applicable Law</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4"/>
          <w:szCs w:val="14"/>
          <w:color w:val="auto"/>
        </w:rPr>
        <w:t>This Agreement shall be governed by and construed in accordance with</w:t>
      </w:r>
    </w:p>
    <w:p>
      <w:pPr>
        <w:spacing w:after="0" w:line="5" w:lineRule="exact"/>
        <w:rPr>
          <w:sz w:val="20"/>
          <w:szCs w:val="20"/>
          <w:color w:val="auto"/>
        </w:rPr>
      </w:pPr>
    </w:p>
    <w:p>
      <w:pPr>
        <w:ind w:left="800" w:right="4279"/>
        <w:spacing w:after="0" w:line="234" w:lineRule="auto"/>
        <w:rPr>
          <w:sz w:val="20"/>
          <w:szCs w:val="20"/>
          <w:color w:val="auto"/>
        </w:rPr>
      </w:pPr>
      <w:r>
        <w:rPr>
          <w:rFonts w:ascii="Courier New" w:cs="Courier New" w:eastAsia="Courier New" w:hAnsi="Courier New"/>
          <w:sz w:val="15"/>
          <w:szCs w:val="15"/>
          <w:color w:val="auto"/>
        </w:rPr>
        <w:t>the laws of Hong Kong, and the parties hereto submit to the non-exclusive jurisdiction of the Hong Kong court.</w:t>
      </w:r>
    </w:p>
    <w:p>
      <w:pPr>
        <w:spacing w:after="0" w:line="167" w:lineRule="exact"/>
        <w:rPr>
          <w:sz w:val="20"/>
          <w:szCs w:val="20"/>
          <w:color w:val="auto"/>
        </w:rPr>
      </w:pPr>
    </w:p>
    <w:p>
      <w:pPr>
        <w:ind w:left="800" w:hanging="790"/>
        <w:spacing w:after="0"/>
        <w:tabs>
          <w:tab w:leader="none" w:pos="8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Survive Termination of Employment</w:t>
      </w:r>
    </w:p>
    <w:p>
      <w:pPr>
        <w:spacing w:after="0" w:line="173"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5"/>
          <w:szCs w:val="15"/>
          <w:color w:val="auto"/>
        </w:rPr>
        <w:t>Employee agrees that any and all of Employee's obligations under this agreement which are capable of operation after the termination of employment, including but not limited to those contained in Clauses 10 to 12, shall survive the termination of employment and the termination of this Agreement.</w:t>
      </w:r>
    </w:p>
    <w:p>
      <w:pPr>
        <w:spacing w:after="0" w:line="167" w:lineRule="exact"/>
        <w:rPr>
          <w:sz w:val="20"/>
          <w:szCs w:val="20"/>
          <w:color w:val="auto"/>
        </w:rPr>
      </w:pPr>
    </w:p>
    <w:p>
      <w:pPr>
        <w:ind w:left="800" w:hanging="790"/>
        <w:spacing w:after="0"/>
        <w:tabs>
          <w:tab w:leader="none" w:pos="8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3" w:lineRule="exact"/>
        <w:rPr>
          <w:sz w:val="20"/>
          <w:szCs w:val="20"/>
          <w:color w:val="auto"/>
        </w:rPr>
      </w:pPr>
    </w:p>
    <w:p>
      <w:pPr>
        <w:jc w:val="both"/>
        <w:ind w:left="800" w:right="339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This Agreement may be executed in any number of counterparts, each of which shall be deemed an original of this Agreement, but all of which together shall constitute one and the same instrument.</w:t>
      </w:r>
    </w:p>
    <w:p>
      <w:pPr>
        <w:spacing w:after="0" w:line="167" w:lineRule="exact"/>
        <w:rPr>
          <w:sz w:val="20"/>
          <w:szCs w:val="20"/>
          <w:color w:val="auto"/>
        </w:rPr>
      </w:pPr>
    </w:p>
    <w:p>
      <w:pPr>
        <w:ind w:left="800" w:hanging="790"/>
        <w:spacing w:after="0"/>
        <w:tabs>
          <w:tab w:leader="none" w:pos="8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w:t>
      </w:r>
    </w:p>
    <w:p>
      <w:pPr>
        <w:spacing w:after="0" w:line="173" w:lineRule="exact"/>
        <w:rPr>
          <w:sz w:val="20"/>
          <w:szCs w:val="20"/>
          <w:color w:val="auto"/>
        </w:rPr>
      </w:pPr>
    </w:p>
    <w:p>
      <w:pPr>
        <w:ind w:left="800" w:right="323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4"/>
          <w:szCs w:val="14"/>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157" w:lineRule="exact"/>
        <w:rPr>
          <w:sz w:val="20"/>
          <w:szCs w:val="20"/>
          <w:color w:val="auto"/>
        </w:rPr>
      </w:pPr>
    </w:p>
    <w:p>
      <w:pPr>
        <w:ind w:left="800" w:hanging="790"/>
        <w:spacing w:after="0"/>
        <w:tabs>
          <w:tab w:leader="none" w:pos="8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3" w:lineRule="exact"/>
        <w:rPr>
          <w:sz w:val="20"/>
          <w:szCs w:val="20"/>
          <w:color w:val="auto"/>
        </w:rPr>
      </w:pPr>
    </w:p>
    <w:p>
      <w:pPr>
        <w:ind w:left="800" w:right="3239" w:hanging="786"/>
        <w:spacing w:after="0" w:line="237" w:lineRule="auto"/>
        <w:tabs>
          <w:tab w:leader="none" w:pos="780" w:val="left"/>
        </w:tabs>
        <w:rPr>
          <w:sz w:val="20"/>
          <w:szCs w:val="20"/>
          <w:color w:val="auto"/>
        </w:rPr>
      </w:pPr>
      <w:r>
        <w:rPr>
          <w:rFonts w:ascii="Courier New" w:cs="Courier New" w:eastAsia="Courier New" w:hAnsi="Courier New"/>
          <w:sz w:val="15"/>
          <w:szCs w:val="15"/>
          <w:color w:val="auto"/>
        </w:rPr>
        <w:t>18.1</w:t>
      </w:r>
      <w:r>
        <w:rPr>
          <w:sz w:val="20"/>
          <w:szCs w:val="20"/>
          <w:color w:val="auto"/>
        </w:rPr>
        <w:tab/>
      </w:r>
      <w:r>
        <w:rPr>
          <w:rFonts w:ascii="Courier New" w:cs="Courier New" w:eastAsia="Courier New" w:hAnsi="Courier New"/>
          <w:sz w:val="15"/>
          <w:szCs w:val="15"/>
          <w:color w:val="auto"/>
        </w:rPr>
        <w:t>This Agreement, along with any other agreements specifically referenced herein including the Proprietary Information Agreement, is intended to be the final, complete, and exclusive statement of the terms of Employee's employment by the Employer and may not be contradicted by evidence of any prior or contemporaneous statements or agreements, except for agreements specifically referenced herein. To the extent that the practices, policies or procedures of the Employer, now or in the future, apply to the Employee and are inconsistent with the terms of this Agreement, the provisions of this Agreement shall control. Except as expressly provided in an amendment executed in accordance with Clause 11 above, any subsequent change in Employee's duties, position, or compensation will not affect the validity or scope of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52" w:name="page153"/>
    <w:bookmarkEnd w:id="152"/>
    <w:p>
      <w:pPr>
        <w:spacing w:after="0" w:line="6" w:lineRule="exact"/>
        <w:rPr>
          <w:sz w:val="20"/>
          <w:szCs w:val="20"/>
          <w:color w:val="auto"/>
        </w:rPr>
      </w:pPr>
    </w:p>
    <w:p>
      <w:pPr>
        <w:ind w:right="140"/>
        <w:spacing w:after="0" w:line="465" w:lineRule="auto"/>
        <w:rPr>
          <w:sz w:val="20"/>
          <w:szCs w:val="20"/>
          <w:color w:val="auto"/>
        </w:rPr>
      </w:pPr>
      <w:r>
        <w:rPr>
          <w:rFonts w:ascii="Courier New" w:cs="Courier New" w:eastAsia="Courier New" w:hAnsi="Courier New"/>
          <w:sz w:val="15"/>
          <w:szCs w:val="15"/>
          <w:color w:val="auto"/>
        </w:rPr>
        <w:t>SIGNED for and on behalf of the Employer by its authorized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 Ted Sun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920" w:space="720"/>
            <w:col w:w="5599"/>
          </w:cols>
          <w:pgMar w:left="220" w:top="61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by the Employee 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 Denny Lee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3920" w:space="720"/>
            <w:col w:w="559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617" w:right="1440" w:bottom="1440" w:gutter="0" w:footer="0" w:header="0"/>
          <w:type w:val="continuous"/>
        </w:sectPr>
      </w:pPr>
    </w:p>
    <w:bookmarkStart w:id="153" w:name="page154"/>
    <w:bookmarkEnd w:id="153"/>
    <w:p>
      <w:pPr>
        <w:ind w:left="2800"/>
        <w:spacing w:after="0"/>
        <w:rPr>
          <w:sz w:val="20"/>
          <w:szCs w:val="20"/>
          <w:color w:val="auto"/>
        </w:rPr>
      </w:pPr>
      <w:r>
        <w:rPr>
          <w:rFonts w:ascii="Courier New" w:cs="Courier New" w:eastAsia="Courier New" w:hAnsi="Courier New"/>
          <w:sz w:val="14"/>
          <w:szCs w:val="14"/>
          <w:color w:val="auto"/>
        </w:rPr>
        <w:t>SCHEDULE</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Lee Ting Bun Denny</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Hong Kong</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Job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of Commencement: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 April 2002</w:t>
      </w:r>
    </w:p>
    <w:p>
      <w:pPr>
        <w:spacing w:after="0" w:line="178" w:lineRule="exact"/>
        <w:rPr>
          <w:sz w:val="20"/>
          <w:szCs w:val="20"/>
          <w:color w:val="auto"/>
        </w:rPr>
      </w:pPr>
    </w:p>
    <w:p>
      <w:pPr>
        <w:sectPr>
          <w:pgSz w:w="11900" w:h="16838" w:orient="portrait"/>
          <w:cols w:equalWidth="0" w:num="2">
            <w:col w:w="1840" w:space="44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Travel Allowance:</w:t>
      </w:r>
    </w:p>
    <w:p>
      <w:pPr>
        <w:spacing w:after="0" w:line="20" w:lineRule="exact"/>
        <w:rPr>
          <w:sz w:val="20"/>
          <w:szCs w:val="20"/>
          <w:color w:val="auto"/>
        </w:rPr>
      </w:pPr>
      <w:r>
        <w:rPr>
          <w:sz w:val="20"/>
          <w:szCs w:val="20"/>
          <w:color w:val="auto"/>
        </w:rPr>
        <w:br w:type="column"/>
      </w:r>
    </w:p>
    <w:p>
      <w:pPr>
        <w:ind w:right="3399"/>
        <w:spacing w:after="0" w:line="234" w:lineRule="auto"/>
        <w:rPr>
          <w:sz w:val="20"/>
          <w:szCs w:val="20"/>
          <w:color w:val="auto"/>
        </w:rPr>
      </w:pPr>
      <w:r>
        <w:rPr>
          <w:rFonts w:ascii="Courier New" w:cs="Courier New" w:eastAsia="Courier New" w:hAnsi="Courier New"/>
          <w:sz w:val="15"/>
          <w:szCs w:val="15"/>
          <w:color w:val="auto"/>
        </w:rPr>
        <w:t>One round trip economy air-ticket to Hong Kong every quarter</w:t>
      </w:r>
    </w:p>
    <w:p>
      <w:pPr>
        <w:spacing w:after="0" w:line="173"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Base Remuneration:</w:t>
      </w:r>
    </w:p>
    <w:p>
      <w:pPr>
        <w:spacing w:after="0" w:line="20" w:lineRule="exact"/>
        <w:rPr>
          <w:sz w:val="20"/>
          <w:szCs w:val="20"/>
          <w:color w:val="auto"/>
        </w:rPr>
      </w:pPr>
      <w:r>
        <w:rPr>
          <w:sz w:val="20"/>
          <w:szCs w:val="20"/>
          <w:color w:val="auto"/>
        </w:rPr>
        <w:br w:type="column"/>
      </w:r>
    </w:p>
    <w:p>
      <w:pPr>
        <w:ind w:right="3499"/>
        <w:spacing w:after="0" w:line="235" w:lineRule="auto"/>
        <w:rPr>
          <w:sz w:val="20"/>
          <w:szCs w:val="20"/>
          <w:color w:val="auto"/>
        </w:rPr>
      </w:pPr>
      <w:r>
        <w:rPr>
          <w:rFonts w:ascii="Courier New" w:cs="Courier New" w:eastAsia="Courier New" w:hAnsi="Courier New"/>
          <w:sz w:val="15"/>
          <w:szCs w:val="15"/>
          <w:color w:val="auto"/>
        </w:rPr>
        <w:t>US$158,000 per annum payable by equal monthly installments in arrears at the end of each calendar month</w:t>
      </w:r>
    </w:p>
    <w:p>
      <w:pPr>
        <w:spacing w:after="0" w:line="174" w:lineRule="exact"/>
        <w:rPr>
          <w:sz w:val="20"/>
          <w:szCs w:val="20"/>
          <w:color w:val="auto"/>
        </w:rPr>
      </w:pPr>
    </w:p>
    <w:p>
      <w:pPr>
        <w:sectPr>
          <w:pgSz w:w="11900" w:h="16838" w:orient="portrait"/>
          <w:cols w:equalWidth="0" w:num="2">
            <w:col w:w="1580" w:space="70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Housing Allowance: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 more than US$2,250 per month</w:t>
      </w:r>
    </w:p>
    <w:p>
      <w:pPr>
        <w:spacing w:after="0" w:line="178" w:lineRule="exact"/>
        <w:rPr>
          <w:sz w:val="20"/>
          <w:szCs w:val="20"/>
          <w:color w:val="auto"/>
        </w:rPr>
      </w:pPr>
    </w:p>
    <w:p>
      <w:pPr>
        <w:sectPr>
          <w:pgSz w:w="11900" w:h="16838" w:orient="portrait"/>
          <w:cols w:equalWidth="0" w:num="2">
            <w:col w:w="1580" w:space="70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Allowances:</w:t>
      </w:r>
    </w:p>
    <w:p>
      <w:pPr>
        <w:spacing w:after="0" w:line="20" w:lineRule="exact"/>
        <w:rPr>
          <w:sz w:val="20"/>
          <w:szCs w:val="20"/>
          <w:color w:val="auto"/>
        </w:rPr>
      </w:pPr>
      <w:r>
        <w:rPr>
          <w:sz w:val="20"/>
          <w:szCs w:val="20"/>
          <w:color w:val="auto"/>
        </w:rPr>
        <w:br w:type="column"/>
      </w:r>
    </w:p>
    <w:p>
      <w:pPr>
        <w:ind w:right="3239"/>
        <w:spacing w:after="0" w:line="235" w:lineRule="auto"/>
        <w:rPr>
          <w:sz w:val="20"/>
          <w:szCs w:val="20"/>
          <w:color w:val="auto"/>
        </w:rPr>
      </w:pPr>
      <w:r>
        <w:rPr>
          <w:rFonts w:ascii="Courier New" w:cs="Courier New" w:eastAsia="Courier New" w:hAnsi="Courier New"/>
          <w:sz w:val="15"/>
          <w:szCs w:val="15"/>
          <w:color w:val="auto"/>
        </w:rPr>
        <w:t>Not more than US$19,800 per annum reimbursable by equal monthly installments at the end of each calendar month</w:t>
      </w:r>
    </w:p>
    <w:p>
      <w:pPr>
        <w:spacing w:after="0" w:line="174"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Relocation Allowance: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US$1,500</w:t>
      </w:r>
    </w:p>
    <w:p>
      <w:pPr>
        <w:spacing w:after="0" w:line="178" w:lineRule="exact"/>
        <w:rPr>
          <w:sz w:val="20"/>
          <w:szCs w:val="20"/>
          <w:color w:val="auto"/>
        </w:rPr>
      </w:pPr>
    </w:p>
    <w:p>
      <w:pPr>
        <w:sectPr>
          <w:pgSz w:w="11900" w:h="16838" w:orient="portrait"/>
          <w:cols w:equalWidth="0" w:num="2">
            <w:col w:w="1840" w:space="44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Holiday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from 1/st/ January to 31/st/ December</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ind w:right="160"/>
        <w:spacing w:after="0" w:line="256" w:lineRule="auto"/>
        <w:rPr>
          <w:sz w:val="20"/>
          <w:szCs w:val="20"/>
          <w:color w:val="auto"/>
        </w:rPr>
      </w:pPr>
      <w:r>
        <w:rPr>
          <w:rFonts w:ascii="Courier New" w:cs="Courier New" w:eastAsia="Courier New" w:hAnsi="Courier New"/>
          <w:sz w:val="14"/>
          <w:szCs w:val="14"/>
          <w:color w:val="auto"/>
        </w:rPr>
        <w:t>Number of Paid holidays (in additional to statutory public holidays: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days</w:t>
      </w:r>
    </w:p>
    <w:p>
      <w:pPr>
        <w:spacing w:after="0" w:line="177"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ind w:right="60"/>
        <w:spacing w:after="0" w:line="235" w:lineRule="auto"/>
        <w:rPr>
          <w:sz w:val="20"/>
          <w:szCs w:val="20"/>
          <w:color w:val="auto"/>
        </w:rPr>
      </w:pPr>
      <w:r>
        <w:rPr>
          <w:rFonts w:ascii="Courier New" w:cs="Courier New" w:eastAsia="Courier New" w:hAnsi="Courier New"/>
          <w:sz w:val="15"/>
          <w:szCs w:val="15"/>
          <w:color w:val="auto"/>
        </w:rPr>
        <w:t>Notice Period for termination by Employee: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prior notice in writing.</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ind w:right="60"/>
        <w:spacing w:after="0" w:line="235" w:lineRule="auto"/>
        <w:rPr>
          <w:sz w:val="20"/>
          <w:szCs w:val="20"/>
          <w:color w:val="auto"/>
        </w:rPr>
      </w:pPr>
      <w:r>
        <w:rPr>
          <w:rFonts w:ascii="Courier New" w:cs="Courier New" w:eastAsia="Courier New" w:hAnsi="Courier New"/>
          <w:sz w:val="15"/>
          <w:szCs w:val="15"/>
          <w:color w:val="auto"/>
        </w:rPr>
        <w:t>Notice Period for termination by Employer: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prior notice in writing.</w:t>
      </w:r>
    </w:p>
    <w:p>
      <w:pPr>
        <w:spacing w:after="0" w:line="178"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624" w:right="1440" w:bottom="1440" w:gutter="0" w:footer="0" w:header="0"/>
          <w:type w:val="continuous"/>
        </w:sectPr>
      </w:pPr>
    </w:p>
    <w:bookmarkStart w:id="154" w:name="page155"/>
    <w:bookmarkEnd w:id="154"/>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TERMINATION CERTIFICATE CONCERNING</w:t>
      </w:r>
    </w:p>
    <w:p>
      <w:pPr>
        <w:ind w:left="2200"/>
        <w:spacing w:after="0" w:line="237" w:lineRule="auto"/>
        <w:rPr>
          <w:sz w:val="20"/>
          <w:szCs w:val="20"/>
          <w:color w:val="auto"/>
        </w:rPr>
      </w:pPr>
      <w:r>
        <w:rPr>
          <w:rFonts w:ascii="Courier New" w:cs="Courier New" w:eastAsia="Courier New" w:hAnsi="Courier New"/>
          <w:sz w:val="15"/>
          <w:szCs w:val="15"/>
          <w:color w:val="auto"/>
        </w:rPr>
        <w:t>COMPANY PROPRIETARY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is to certify that I have returned all property of NetEase.com, Inc. (the "Company"), including, without limitation, all source code listings, books, manuals, records, models, drawings, reports, notes, contracts, lists, blueprints, and other documents and materials, Proprietary Information, and equipment furnished to or prepared by me in the course of or incident to my employment with the Company, and that I did not make or distribute any copies of the foregoing.</w:t>
      </w:r>
    </w:p>
    <w:p>
      <w:pPr>
        <w:spacing w:after="0" w:line="176"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 further certify that I have reviewed the Company's Proprietary Information Agreement ("Agreement") signed by me and that I have complied with and will continue to comply with each and all of its terms and conditions, including without limitation: (i) the reporting of any and all ideas, concepts, inventions, discoveries, developments, know-how, structures, designs, formulas, algorithms, methods, products, processes, systems and technologies; any and all patents, patents pending, copyrights, moral rights, trademarks and any other intellectual property rights therein; and any and all improvements, modifications, derivative works from, other rights in and claims related to any of the foregoing under the laws of any jurisdiction, conceived or developed by me alone or with others and covered by the Agreement and (ii) the preservation as confidential all Proprietary Information pertaining to the Company. This certificate in no manner limits my responsibilities or the Company's rights under the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termination of my employment with the Company, I will be employed by</w:t>
      </w:r>
    </w:p>
    <w:p>
      <w:pPr>
        <w:spacing w:after="0" w:line="237" w:lineRule="auto"/>
        <w:rPr>
          <w:sz w:val="20"/>
          <w:szCs w:val="20"/>
          <w:color w:val="auto"/>
        </w:rPr>
      </w:pPr>
      <w:r>
        <w:rPr>
          <w:rFonts w:ascii="Courier New" w:cs="Courier New" w:eastAsia="Courier New" w:hAnsi="Courier New"/>
          <w:sz w:val="15"/>
          <w:szCs w:val="15"/>
          <w:color w:val="auto"/>
        </w:rPr>
        <w:t>_____________________ [Name of New Employer] [in the ______________ division]</w:t>
      </w:r>
    </w:p>
    <w:p>
      <w:pPr>
        <w:spacing w:after="0" w:line="238" w:lineRule="auto"/>
        <w:rPr>
          <w:sz w:val="20"/>
          <w:szCs w:val="20"/>
          <w:color w:val="auto"/>
        </w:rPr>
      </w:pPr>
      <w:r>
        <w:rPr>
          <w:rFonts w:ascii="Courier New" w:cs="Courier New" w:eastAsia="Courier New" w:hAnsi="Courier New"/>
          <w:sz w:val="15"/>
          <w:szCs w:val="15"/>
          <w:color w:val="auto"/>
        </w:rPr>
        <w:t>and I will be working in connection with the following projects: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[generally describe the projects]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 _____________</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___________________________________</w:t>
      </w:r>
    </w:p>
    <w:p>
      <w:pPr>
        <w:ind w:left="3500"/>
        <w:spacing w:after="0" w:line="237" w:lineRule="auto"/>
        <w:rPr>
          <w:sz w:val="20"/>
          <w:szCs w:val="20"/>
          <w:color w:val="auto"/>
        </w:rPr>
      </w:pPr>
      <w:r>
        <w:rPr>
          <w:rFonts w:ascii="Courier New" w:cs="Courier New" w:eastAsia="Courier New" w:hAnsi="Courier New"/>
          <w:sz w:val="15"/>
          <w:szCs w:val="15"/>
          <w:color w:val="auto"/>
        </w:rPr>
        <w:t>Employee Name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___________________________________</w:t>
      </w:r>
    </w:p>
    <w:p>
      <w:pPr>
        <w:ind w:left="3500"/>
        <w:spacing w:after="0" w:line="237" w:lineRule="auto"/>
        <w:rPr>
          <w:sz w:val="20"/>
          <w:szCs w:val="20"/>
          <w:color w:val="auto"/>
        </w:rPr>
      </w:pPr>
      <w:r>
        <w:rPr>
          <w:rFonts w:ascii="Courier New" w:cs="Courier New" w:eastAsia="Courier New" w:hAnsi="Courier New"/>
          <w:sz w:val="15"/>
          <w:szCs w:val="15"/>
          <w:color w:val="auto"/>
        </w:rPr>
        <w:t>Employee Signature</w:t>
      </w:r>
    </w:p>
    <w:p>
      <w:pPr>
        <w:sectPr>
          <w:pgSz w:w="11900" w:h="16838" w:orient="portrait"/>
          <w:cols w:equalWidth="0" w:num="1">
            <w:col w:w="10239"/>
          </w:cols>
          <w:pgMar w:left="220" w:top="617" w:right="1440" w:bottom="1440" w:gutter="0" w:footer="0" w:header="0"/>
        </w:sectPr>
      </w:pPr>
    </w:p>
    <w:bookmarkStart w:id="155" w:name="page156"/>
    <w:bookmarkEnd w:id="155"/>
    <w:p>
      <w:pPr>
        <w:jc w:val="center"/>
        <w:ind w:right="313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PROPRIETARY INFORMATION AGREEMENT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consideration of my employment by NetEase.com, Inc., a Cayman Island incorporated company (the "Company"), I hereby agree to the following restrictions and obligations placed on my use and development of information, technology, ideas, inventions and other materials:</w:t>
      </w:r>
    </w:p>
    <w:p>
      <w:pPr>
        <w:spacing w:after="0" w:line="169" w:lineRule="exact"/>
        <w:rPr>
          <w:sz w:val="20"/>
          <w:szCs w:val="20"/>
          <w:color w:val="auto"/>
        </w:rPr>
      </w:pPr>
    </w:p>
    <w:p>
      <w:pPr>
        <w:ind w:left="800" w:hanging="790"/>
        <w:spacing w:after="0"/>
        <w:tabs>
          <w:tab w:leader="none" w:pos="8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Information</w:t>
      </w:r>
    </w:p>
    <w:p>
      <w:pPr>
        <w:spacing w:after="0" w:line="173" w:lineRule="exact"/>
        <w:rPr>
          <w:sz w:val="20"/>
          <w:szCs w:val="20"/>
          <w:color w:val="auto"/>
        </w:rPr>
      </w:pPr>
    </w:p>
    <w:p>
      <w:pPr>
        <w:ind w:left="800" w:right="3239" w:hanging="786"/>
        <w:spacing w:after="0" w:line="254" w:lineRule="auto"/>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Restrictions on Proprietary Information. I agree that, during my employment and at all times thereafter, I will hold the Proprietary Information of the Company in strict confidence and will neither use the information nor disclose it to anyone, except to the extent necessary to carry out my responsibilities as an employee of the Company or as specifically authorized in writing by a duly authorized officer of the Company other than me. I understand that "Proprietary Information" means all information pertaining in any manner to the business of the Company or its affiliates, consultants, customers, business associates or members, unless (i) the information is or becomes generally known to the public through lawful means and through no fault of mine; (ii) the information was part of my general knowledge prior to the initial disclosure of the information by the Company or any person under a duty of confidentiality; or (iii) the information is disclosed to me without restriction by a third party who rightfully possesses the information and is under no duty of confidentiality. This definition of "Proprietary Information" includes but is not limited to any and all (a) technical or engineering information, know-how, computer codes, programs, tools, data, designs, diagrams, plans, specifications, trade secrets, inventions, concepts, structures, improvements, products, patents pending, prototypes, processes, formulas, algorithms, methods, techniques, works in process, systems, technologies or applications; (b) financial and other information about costs, profits, markets, sales, customers, subscribers, members, and bids; (c) plans for business, marketing, future development and new product concepts; and (d) employee personnel files and information about employee compensation and benefits; in any form and whether or not labeled or identified as confidential or proprietary. I agree that I will have the burden of proving the applicability of any of the foregoing exceptions.</w:t>
      </w:r>
    </w:p>
    <w:p>
      <w:pPr>
        <w:spacing w:after="0" w:line="346"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Location and Reproduction. I agree to maintain at my work station and/or any other place under my control only such Proprietary Information as I have a current "need to know." I agree to return to the appropriate person or location or otherwise properly dispose of Proprietary Information once that need to know no longer exists. I also agree not to make copies or otherwise reproduce Proprietary Information unless there is a legitimate business need for reproduction.</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Prior Actions and Knowledge. Except as disclosed on Exhibit B-1 to this</w:t>
      </w:r>
    </w:p>
    <w:p>
      <w:pPr>
        <w:spacing w:after="0" w:line="5"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Agreement, I have no knowledge about the Company's business or Proprietary Information, other than information I have learned from the Company in the course of being hired and employed.</w:t>
      </w:r>
    </w:p>
    <w:p>
      <w:pPr>
        <w:spacing w:after="0" w:line="174" w:lineRule="exact"/>
        <w:rPr>
          <w:sz w:val="20"/>
          <w:szCs w:val="20"/>
          <w:color w:val="auto"/>
        </w:rPr>
      </w:pPr>
    </w:p>
    <w:p>
      <w:pPr>
        <w:ind w:left="800" w:right="331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Third Party Information. I recognize that the Company has received and will receive confidential or proprietary information from third parties. I will hold all such information in the strictest confidence and will not use the information or disclose it to anyone (except</w:t>
      </w:r>
    </w:p>
    <w:p>
      <w:pPr>
        <w:spacing w:after="0" w:line="15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156" w:name="page157"/>
    <w:bookmarkEnd w:id="156"/>
    <w:p>
      <w:pPr>
        <w:ind w:left="800" w:right="3499"/>
        <w:spacing w:after="0" w:line="234" w:lineRule="auto"/>
        <w:rPr>
          <w:sz w:val="20"/>
          <w:szCs w:val="20"/>
          <w:color w:val="auto"/>
        </w:rPr>
      </w:pPr>
      <w:r>
        <w:rPr>
          <w:rFonts w:ascii="Courier New" w:cs="Courier New" w:eastAsia="Courier New" w:hAnsi="Courier New"/>
          <w:sz w:val="15"/>
          <w:szCs w:val="15"/>
          <w:color w:val="auto"/>
        </w:rPr>
        <w:t>as necessary in carrying out my work for the Company consistent with the Company's agreement with such third party).</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Interference with Business. I acknowledge that because of my position in the Company, I will have access to the Company's confidential information and trade secrets. I agree that during my employment with the Company and for a period of one (1) year after termination of my employment with the Company, I shall not directly or indirectly (i) divert or attempt to divert from the Company (or any affiliate) any business of any kind, including without limitation the solicitation of or interference with any of its customers, clients, members, business partners or suppliers or (ii) solicit, induce, recruit or encourage any person employed by the Company to terminate his or her employment.</w:t>
      </w:r>
    </w:p>
    <w:p>
      <w:pPr>
        <w:spacing w:after="0" w:line="159" w:lineRule="exact"/>
        <w:rPr>
          <w:sz w:val="20"/>
          <w:szCs w:val="20"/>
          <w:color w:val="auto"/>
        </w:rPr>
      </w:pPr>
    </w:p>
    <w:p>
      <w:pPr>
        <w:ind w:left="800" w:hanging="790"/>
        <w:spacing w:after="0"/>
        <w:tabs>
          <w:tab w:leader="none" w:pos="80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Assignment of Inventions. I agree to assign and transfer to the Company, without further consideration, my entire right, title and interest (throughout Hong Kong, the United States and in all other countries or jurisdictions), free and clear of all liens and encumbrances, in and to all Inventions. Such assignment and transfer to the Company shall be continuous during my employment as of the relevant time of development of each such Invention. The Company may, in its sole discretion, agree to provide consideration for certain Inventions through a written agreement between the Company and the undersigned which specifically provides for such consideration; in all other cases, no consideration shall be paid. The Inventions shall be the sole property of the Company, whether or not copyrightable or patentable or in a commercial stage of development. In addition, I agree to maintain adequate and current written records on the development of all Inventions, which shall also remain the sole property of the Company.</w:t>
      </w:r>
    </w:p>
    <w:p>
      <w:pPr>
        <w:spacing w:after="0" w:line="16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Inventions. "Inventions" collectively means any and all ideas, concepts, inventions, discoveries, developments, know-how, structures, designs, formulas, algorithms, methods, products, processes, systems and technologies in any stage of development that are conceived, developed or reduced to practice by me alone or with others; any and all patents, patents pending, copyrights, moral rights, trademarks and any other intellectual property rights therein; and any and all improvements, modifications, derivative works from, other rights in and claims related to any of the foregoing under the laws of any jurisdiction; except Inventions excluded in Exhibit B-1.</w:t>
      </w:r>
    </w:p>
    <w:p>
      <w:pPr>
        <w:spacing w:after="0" w:line="165"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Moral Rights. To the extent allowed by law, this assignment of inventions includes all rights of paternity, integrity, disclosure and withdrawal and any other rights that may be known as or referred to as "moral rights," "artist's rights," "droit moral," or the like (collectively "Moral Rights"). To the extent I retain any such Moral Rights under applicable law, I hereby ratify and consent to any action that may be taken with respect to such Moral Rights by or authorized by the Company and agree not to assert any Moral Rights with respect thereto. I will confirm any such ratifications, consents and agreements from time to time as requested by the Company.</w:t>
      </w:r>
    </w:p>
    <w:p>
      <w:pPr>
        <w:spacing w:after="0" w:line="165" w:lineRule="exact"/>
        <w:rPr>
          <w:sz w:val="20"/>
          <w:szCs w:val="20"/>
          <w:color w:val="auto"/>
        </w:rPr>
      </w:pPr>
    </w:p>
    <w:p>
      <w:pPr>
        <w:jc w:val="both"/>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License for Other Inventions. If, in the course of my employment with the Company, I incorporate into Company property an invention owned by me or in which I have an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24" w:right="1440" w:bottom="1440" w:gutter="0" w:footer="0" w:header="0"/>
        </w:sectPr>
      </w:pPr>
    </w:p>
    <w:bookmarkStart w:id="157" w:name="page158"/>
    <w:bookmarkEnd w:id="157"/>
    <w:p>
      <w:pPr>
        <w:ind w:left="800" w:right="3239"/>
        <w:spacing w:after="0" w:line="236" w:lineRule="auto"/>
        <w:rPr>
          <w:sz w:val="20"/>
          <w:szCs w:val="20"/>
          <w:color w:val="auto"/>
        </w:rPr>
      </w:pPr>
      <w:r>
        <w:rPr>
          <w:rFonts w:ascii="Courier New" w:cs="Courier New" w:eastAsia="Courier New" w:hAnsi="Courier New"/>
          <w:sz w:val="15"/>
          <w:szCs w:val="15"/>
          <w:color w:val="auto"/>
        </w:rPr>
        <w:t>interest, the Company is hereby granted a nonexclusive, royalty-free, irrevocable, perpetual and transferable license throughout the universe to make, use, import, sell, copy, distribute, display, perform (whether or not publicly) such invention as part of and in connection with the Company property.</w:t>
      </w:r>
    </w:p>
    <w:p>
      <w:pPr>
        <w:spacing w:after="0" w:line="174"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4"/>
          <w:szCs w:val="14"/>
          <w:color w:val="auto"/>
        </w:rPr>
        <w:t>Assist With Registration. In the event any Invention shall be deemed by the Company to be copyrightable or patentable or otherwise registrable, I will assist the Company (at its expense) in obtaining and maintaining letters patent or other applicable registrations and in vesting the Company with full title. Should the Company be unable to secure my signature on any document necessary to apply for, prosecute, obtain, or enforce any patent, copyright, or other right or protection relating to any Invention, due to my incapacity or any other cause, I hereby irrevocably designate and appoint the Company and each of its duly authorized officers and agents as my agent and attorney-in-fact to do all lawfully permitted acts to further the prosecution, issuance, and enforcement of patents, copyrights, or other rights or protection with the same force and effect as if executed and delivered by me.</w:t>
      </w:r>
    </w:p>
    <w:p>
      <w:pPr>
        <w:spacing w:after="0" w:line="164" w:lineRule="exact"/>
        <w:rPr>
          <w:sz w:val="20"/>
          <w:szCs w:val="20"/>
          <w:color w:val="auto"/>
        </w:rPr>
      </w:pPr>
    </w:p>
    <w:p>
      <w:pPr>
        <w:ind w:left="800" w:right="331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Disclosure. I agree to disclose promptly to the Company all Inventions and relevant records. I further agree to promptly disclose to the Company any idea that I do not believe to be an Invention, but is conceived, developed, or reduced to practice by me (alone or with others) while I am employed by the Company or during the one-year period following termination of my employment. I will disclose the idea, along with all information and records pertaining to the idea, and the Company will examine the disclosure in confidence to determine if in fact it is an Invention subject to this Agreement.</w:t>
      </w:r>
    </w:p>
    <w:p>
      <w:pPr>
        <w:spacing w:after="0" w:line="165" w:lineRule="exact"/>
        <w:rPr>
          <w:sz w:val="20"/>
          <w:szCs w:val="20"/>
          <w:color w:val="auto"/>
        </w:rPr>
      </w:pPr>
    </w:p>
    <w:p>
      <w:pPr>
        <w:ind w:left="800" w:right="331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Post-Termination Period. I agree that any idea, invention, writing, discovery, patent, copyright, or trademark or similar item, or improvement shall be presumed to be an Invention if it is conceived, developed, used, sold, exploited, or reduced to practice by me or with my aid within one (1) year after my termination of employment with the Company. I can rebut the above presumption if I prove that the idea, invention, writing, discovery, patent, copyright, or trademark or similar item, or improvement is not an Invention covered by this Agreement.</w:t>
      </w:r>
    </w:p>
    <w:p>
      <w:pPr>
        <w:spacing w:after="0" w:line="172" w:lineRule="exact"/>
        <w:rPr>
          <w:sz w:val="20"/>
          <w:szCs w:val="20"/>
          <w:color w:val="auto"/>
        </w:rPr>
      </w:pPr>
    </w:p>
    <w:p>
      <w:pPr>
        <w:ind w:left="800" w:hanging="790"/>
        <w:spacing w:after="0"/>
        <w:tabs>
          <w:tab w:leader="none" w:pos="8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Former or Conflicting Agreements</w:t>
      </w:r>
    </w:p>
    <w:p>
      <w:pPr>
        <w:spacing w:after="0" w:line="173"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Former Agreements. I represent and warrant that my performance of the terms of this Agreement will not breach any agreement to keep in confidence proprietary information acquired by me prior to my employment by the Company. I have listed in Exhibit B-1 all other agreements concerning proprietary information or inventions to which I am a party and attached copies of any agreements in my possession. To the best of my knowledge, there is no other contract between me and any other person or entity that is in conflict with this Agreement or concerns proprietary information, inventions or assignment of ideas.</w:t>
      </w:r>
    </w:p>
    <w:p>
      <w:pPr>
        <w:spacing w:after="0" w:line="165"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Prohibition on Use of Third Party Information. I represent and warrant and covenant that I will not disclose to the Company, or use, or induce the Company to use, any proprietary information or trade secrets of any former employer, if any. I acknowledge and agree that any violation of this provision shall be grounds for my immediate termination and could subject me to substantial civil liabilities and criminal penalties. I further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24" w:right="1440" w:bottom="1440" w:gutter="0" w:footer="0" w:header="0"/>
        </w:sectPr>
      </w:pPr>
    </w:p>
    <w:bookmarkStart w:id="158" w:name="page159"/>
    <w:bookmarkEnd w:id="158"/>
    <w:p>
      <w:pPr>
        <w:ind w:left="800" w:right="3399"/>
        <w:spacing w:after="0" w:line="235" w:lineRule="auto"/>
        <w:rPr>
          <w:sz w:val="20"/>
          <w:szCs w:val="20"/>
          <w:color w:val="auto"/>
        </w:rPr>
      </w:pPr>
      <w:r>
        <w:rPr>
          <w:rFonts w:ascii="Courier New" w:cs="Courier New" w:eastAsia="Courier New" w:hAnsi="Courier New"/>
          <w:sz w:val="15"/>
          <w:szCs w:val="15"/>
          <w:color w:val="auto"/>
        </w:rPr>
        <w:t>specifically and expressly acknowledge that no officer or other employee or representative of the Company has requested or instructed me to disclose or use any such third party proprietary information or trade secrets.</w:t>
      </w:r>
    </w:p>
    <w:p>
      <w:pPr>
        <w:spacing w:after="0" w:line="169" w:lineRule="exact"/>
        <w:rPr>
          <w:sz w:val="20"/>
          <w:szCs w:val="20"/>
          <w:color w:val="auto"/>
        </w:rPr>
      </w:pPr>
    </w:p>
    <w:p>
      <w:pPr>
        <w:ind w:left="800" w:hanging="790"/>
        <w:spacing w:after="0"/>
        <w:tabs>
          <w:tab w:leader="none" w:pos="8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left="800" w:right="331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Return of the Company's Property. I agree to promptly return to the Company upon termination of my employment all Proprietary Information and all personal property furnished to or prepared by me in the course of or incident to my employment. Following my termination, I will not retain any written or other tangible material containing any Proprietary Information or information pertaining to any Invention.</w:t>
      </w:r>
    </w:p>
    <w:p>
      <w:pPr>
        <w:spacing w:after="0" w:line="166" w:lineRule="exact"/>
        <w:rPr>
          <w:sz w:val="20"/>
          <w:szCs w:val="20"/>
          <w:color w:val="auto"/>
        </w:rPr>
      </w:pPr>
    </w:p>
    <w:p>
      <w:pPr>
        <w:ind w:left="800" w:right="3319" w:hanging="786"/>
        <w:spacing w:after="0" w:line="235"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Termination Certificate. In the event of the termination of my employment, I agree, if requested by the Company, to sign and deliver the Termination Certificate attached as to the Employment Contract for Executives as Exhibit A.</w:t>
      </w:r>
    </w:p>
    <w:p>
      <w:pPr>
        <w:spacing w:after="0" w:line="175" w:lineRule="exact"/>
        <w:rPr>
          <w:sz w:val="20"/>
          <w:szCs w:val="20"/>
          <w:color w:val="auto"/>
        </w:rPr>
      </w:pPr>
    </w:p>
    <w:p>
      <w:pPr>
        <w:ind w:left="800" w:right="3319" w:hanging="786"/>
        <w:spacing w:after="0" w:line="256"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Subsequent Employers. I agree that after the termination of my employment with the Company, I will not enter into any agreement that conflicts with my obligations under this Agreement and will inform any subsequent employers of my obligations under this Agreement.</w:t>
      </w:r>
    </w:p>
    <w:p>
      <w:pPr>
        <w:spacing w:after="0" w:line="158" w:lineRule="exact"/>
        <w:rPr>
          <w:sz w:val="20"/>
          <w:szCs w:val="20"/>
          <w:color w:val="auto"/>
        </w:rPr>
      </w:pPr>
    </w:p>
    <w:p>
      <w:pPr>
        <w:ind w:left="800" w:hanging="790"/>
        <w:spacing w:after="0"/>
        <w:tabs>
          <w:tab w:leader="none" w:pos="8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Employment Rights</w:t>
      </w:r>
    </w:p>
    <w:p>
      <w:pPr>
        <w:spacing w:after="0" w:line="172" w:lineRule="exact"/>
        <w:rPr>
          <w:rFonts w:ascii="Courier New" w:cs="Courier New" w:eastAsia="Courier New" w:hAnsi="Courier New"/>
          <w:sz w:val="15"/>
          <w:szCs w:val="15"/>
          <w:color w:val="auto"/>
        </w:rPr>
      </w:pPr>
    </w:p>
    <w:p>
      <w:pPr>
        <w:ind w:left="80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recognize that nothing in this Agreement shall be construed to imply that my employment is guaranteed for any period of time. Unless stated in a written agreement signed by a duly authorized officer of the Company, my employment is for an indefinite duration and at-will, and either the Company or I can terminate our employment relationship at any time, without notice and for any reason or no reason, with or without cause.</w:t>
      </w:r>
    </w:p>
    <w:p>
      <w:pPr>
        <w:spacing w:after="0" w:line="169"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w:t>
      </w:r>
    </w:p>
    <w:p>
      <w:pPr>
        <w:spacing w:after="0" w:line="172" w:lineRule="exact"/>
        <w:rPr>
          <w:rFonts w:ascii="Courier New" w:cs="Courier New" w:eastAsia="Courier New" w:hAnsi="Courier New"/>
          <w:sz w:val="15"/>
          <w:szCs w:val="15"/>
          <w:color w:val="auto"/>
        </w:rPr>
      </w:pPr>
    </w:p>
    <w:p>
      <w:pPr>
        <w:ind w:left="80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recognize that nothing in this Agreement is intended to limit any remedy of the Company under any law concerning trade secrets. I recognize that my violation of this Agreement could cause the Company irreparable harm and agree that the Company shall have the right to apply to any court of competent jurisdiction for an order restraining any breach or threatened breach of this Agreement.</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2" w:lineRule="exact"/>
        <w:rPr>
          <w:rFonts w:ascii="Courier New" w:cs="Courier New" w:eastAsia="Courier New" w:hAnsi="Courier New"/>
          <w:sz w:val="15"/>
          <w:szCs w:val="15"/>
          <w:color w:val="auto"/>
        </w:rPr>
      </w:pPr>
    </w:p>
    <w:p>
      <w:pPr>
        <w:ind w:left="80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acknowledge and agree that my performance is personal hereunder, and that I shall have no right to assign and shall not assign or purport to assign any rights or obligations under this Agreement. This Agreement may be assigned or transferred by the Company.</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and Applicable Law</w:t>
      </w:r>
    </w:p>
    <w:p>
      <w:pPr>
        <w:spacing w:after="0" w:line="172" w:lineRule="exact"/>
        <w:rPr>
          <w:rFonts w:ascii="Courier New" w:cs="Courier New" w:eastAsia="Courier New" w:hAnsi="Courier New"/>
          <w:sz w:val="15"/>
          <w:szCs w:val="15"/>
          <w:color w:val="auto"/>
        </w:rPr>
      </w:pPr>
    </w:p>
    <w:p>
      <w:pPr>
        <w:ind w:left="80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Hong Kong, and the parties hereto submit to the non-exclusive jurisdiction of the Hong Kong court.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624" w:right="1440" w:bottom="1440" w:gutter="0" w:footer="0" w:header="0"/>
        </w:sectPr>
      </w:pPr>
    </w:p>
    <w:bookmarkStart w:id="159" w:name="page160"/>
    <w:bookmarkEnd w:id="159"/>
    <w:p>
      <w:pPr>
        <w:ind w:left="800" w:hanging="790"/>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72" w:lineRule="exact"/>
        <w:rPr>
          <w:rFonts w:ascii="Courier New" w:cs="Courier New" w:eastAsia="Courier New" w:hAnsi="Courier New"/>
          <w:sz w:val="15"/>
          <w:szCs w:val="15"/>
          <w:color w:val="auto"/>
        </w:rPr>
      </w:pPr>
    </w:p>
    <w:p>
      <w:pPr>
        <w:ind w:left="80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this Agreement that is invalid or unenforceable because of any legislation or ruling of any court of competent jurisdiction shall not render the whole Agreement void but shall only be:</w:t>
      </w:r>
    </w:p>
    <w:p>
      <w:pPr>
        <w:spacing w:after="0" w:line="175" w:lineRule="exact"/>
        <w:rPr>
          <w:rFonts w:ascii="Courier New" w:cs="Courier New" w:eastAsia="Courier New" w:hAnsi="Courier New"/>
          <w:sz w:val="15"/>
          <w:szCs w:val="15"/>
          <w:color w:val="auto"/>
        </w:rPr>
      </w:pPr>
    </w:p>
    <w:p>
      <w:pPr>
        <w:ind w:left="1320" w:right="3399" w:hanging="523"/>
        <w:spacing w:after="0" w:line="234" w:lineRule="auto"/>
        <w:tabs>
          <w:tab w:leader="none" w:pos="132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varied to such an extent so as to make it valid and enforceable without affecting other provisions, or</w:t>
      </w:r>
    </w:p>
    <w:p>
      <w:pPr>
        <w:spacing w:after="0" w:line="173" w:lineRule="exact"/>
        <w:rPr>
          <w:rFonts w:ascii="Courier New" w:cs="Courier New" w:eastAsia="Courier New" w:hAnsi="Courier New"/>
          <w:sz w:val="15"/>
          <w:szCs w:val="15"/>
          <w:color w:val="auto"/>
        </w:rPr>
      </w:pPr>
    </w:p>
    <w:p>
      <w:pPr>
        <w:ind w:left="1320" w:right="3239" w:hanging="523"/>
        <w:spacing w:after="0" w:line="235" w:lineRule="auto"/>
        <w:tabs>
          <w:tab w:leader="none" w:pos="1320"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variation is impossible, excluded from this Agreement as if it had not existed at the time of signing of this Agreement while the other provisions remain valid and subsisting.</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2" w:lineRule="exact"/>
        <w:rPr>
          <w:rFonts w:ascii="Courier New" w:cs="Courier New" w:eastAsia="Courier New" w:hAnsi="Courier New"/>
          <w:sz w:val="15"/>
          <w:szCs w:val="15"/>
          <w:color w:val="auto"/>
        </w:rPr>
      </w:pPr>
    </w:p>
    <w:p>
      <w:pPr>
        <w:ind w:left="8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along with any other agreements specifically referenced herein including the Employment Contract, is intended to be the final, complete, and exclusive statement of the terms of my employment by the Company and may not be contradicted by evidence of any prior or contemporaneous statements or agreements, except for agreements specifically referenced herein. To the extent that the practices, policies or procedures of the Company, now or in the future, apply to me and are inconsistent with the terms of this Agreement, the provisions of this Agreement shall control. The termination of any employment or other agreement between the Company and me shall not terminate this Agreement and each and all of the terms and conditions hereof shall survive and remain in full force and effect.</w:t>
      </w:r>
    </w:p>
    <w:p>
      <w:pPr>
        <w:spacing w:after="0" w:line="15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Waivers</w:t>
      </w:r>
    </w:p>
    <w:p>
      <w:pPr>
        <w:spacing w:after="0" w:line="172" w:lineRule="exact"/>
        <w:rPr>
          <w:rFonts w:ascii="Courier New" w:cs="Courier New" w:eastAsia="Courier New" w:hAnsi="Courier New"/>
          <w:sz w:val="15"/>
          <w:szCs w:val="15"/>
          <w:color w:val="auto"/>
        </w:rPr>
      </w:pPr>
    </w:p>
    <w:p>
      <w:pPr>
        <w:ind w:left="80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may be amended only a written agreement signed by me and a duly authorized representative of the Company other than me. This Agreement has been reviewed by me and the Company and shall be deemed to be the product of the parties. Failure to exercise any right under this Agreement shall not constitute a waiver of such right.</w:t>
      </w:r>
    </w:p>
    <w:p>
      <w:pPr>
        <w:spacing w:after="0" w:line="15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2"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construed as a whole, according to its fair meaning, and not in favor of or against any party. Sections and section headings contained in this Agreement are for reference purposes only, and shall not affect in any manner the meaning of interpretation of this Agreement. Whenever the context requires, references to the singular shall include the plural and the plural the singular and any gender shall include any other gender.</w:t>
      </w:r>
    </w:p>
    <w:p>
      <w:pPr>
        <w:spacing w:after="0" w:line="169"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w:t>
      </w:r>
    </w:p>
    <w:p>
      <w:pPr>
        <w:spacing w:after="0" w:line="172" w:lineRule="exact"/>
        <w:rPr>
          <w:rFonts w:ascii="Courier New" w:cs="Courier New" w:eastAsia="Courier New" w:hAnsi="Courier New"/>
          <w:sz w:val="15"/>
          <w:szCs w:val="15"/>
          <w:color w:val="auto"/>
        </w:rPr>
      </w:pPr>
    </w:p>
    <w:p>
      <w:pPr>
        <w:ind w:left="80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foregoing restrictions on assignment, this Agreement shall inure to the benefit of the Company and its affiliates, officers, directors, agents, successors and assigns;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617" w:right="1440" w:bottom="1440" w:gutter="0" w:footer="0" w:header="0"/>
        </w:sectPr>
      </w:pPr>
    </w:p>
    <w:bookmarkStart w:id="160" w:name="page161"/>
    <w:bookmarkEnd w:id="160"/>
    <w:p>
      <w:pPr>
        <w:ind w:left="800" w:right="3579"/>
        <w:spacing w:after="0" w:line="234" w:lineRule="auto"/>
        <w:rPr>
          <w:sz w:val="20"/>
          <w:szCs w:val="20"/>
          <w:color w:val="auto"/>
        </w:rPr>
      </w:pPr>
      <w:r>
        <w:rPr>
          <w:rFonts w:ascii="Courier New" w:cs="Courier New" w:eastAsia="Courier New" w:hAnsi="Courier New"/>
          <w:sz w:val="15"/>
          <w:szCs w:val="15"/>
          <w:color w:val="auto"/>
        </w:rPr>
        <w:t>and shall be binding on me and my heirs, devisees, spouses, agents, legal representatives and successors.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 HAVE READ THIS AGREEMENT CAREFULLY AND UNDERSTAND ITS TERMS. I HAVE COMPLETELY NOTED ON EXHIBIT B-1 TO THIS AGREEMENT ANY PROPRIETARY INFORMATION, IDEAS, PROCESSES, INVENTIONS, TECHNOLOGY, WRITINGS, PROGRAMS, DESIGNS, FORMULAS, DISCOVERIES, PATENTS, COPYRIGHTS, OR TRADEMARKS, OR IMPROVEMENTS, RIGHTS, OR CLAIMS RELATING TO THE FOREGOING, THAT I DESIRE TO EXCLUDE FROM THIS AGREEMENT.</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Date: 1/4/02</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Lee Ting Bun Denny</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Employee Name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/s/Denny Lee</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Employee Signature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624" w:right="1440" w:bottom="1440" w:gutter="0" w:footer="0" w:header="0"/>
        </w:sectPr>
      </w:pPr>
    </w:p>
    <w:bookmarkStart w:id="161" w:name="page162"/>
    <w:bookmarkEnd w:id="161"/>
    <w:p>
      <w:pPr>
        <w:jc w:val="center"/>
        <w:ind w:right="3139"/>
        <w:spacing w:after="0"/>
        <w:rPr>
          <w:sz w:val="20"/>
          <w:szCs w:val="20"/>
          <w:color w:val="auto"/>
        </w:rPr>
      </w:pPr>
      <w:r>
        <w:rPr>
          <w:rFonts w:ascii="Courier New" w:cs="Courier New" w:eastAsia="Courier New" w:hAnsi="Courier New"/>
          <w:sz w:val="15"/>
          <w:szCs w:val="15"/>
          <w:color w:val="auto"/>
        </w:rPr>
        <w:t>EXHIBIT B-1</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EMPLOYEE'S DISCLOSURE</w:t>
      </w:r>
    </w:p>
    <w:p>
      <w:pPr>
        <w:spacing w:after="0" w:line="173" w:lineRule="exact"/>
        <w:rPr>
          <w:sz w:val="20"/>
          <w:szCs w:val="20"/>
          <w:color w:val="auto"/>
        </w:rPr>
      </w:pPr>
    </w:p>
    <w:p>
      <w:pPr>
        <w:ind w:left="800" w:right="3239" w:hanging="790"/>
        <w:spacing w:after="0" w:line="254" w:lineRule="auto"/>
        <w:tabs>
          <w:tab w:leader="none" w:pos="80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Proprietary Information. Except as set forth below, I acknowledge that at this time I know nothing about the business or Proprietary Information of Company (the "Company"), other than information I have learned from the Company in the course of being hired: ________________</w:t>
      </w:r>
    </w:p>
    <w:p>
      <w:pPr>
        <w:spacing w:after="0" w:line="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4"/>
          <w:szCs w:val="14"/>
          <w:color w:val="auto"/>
        </w:rPr>
      </w:pPr>
    </w:p>
    <w:p>
      <w:pPr>
        <w:ind w:left="800" w:right="3239" w:hanging="790"/>
        <w:spacing w:after="0" w:line="254" w:lineRule="auto"/>
        <w:tabs>
          <w:tab w:leader="none" w:pos="80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Inventions. Except as set forth below, there are no ideas, concepts, inventions, discoveries, developments, know-how, structures, designs, formulas, algorithms, methods, products, processes, systems and technologies in any stage of development that are conceived, developed or reduced to practice by me alone or with others; any patents, patents pending, copyrights, moral rights, trademarks and any other intellectual property rights therein; or any improvements, modifications, derivative works from, other rights in and claims related to any of the foregoing under the laws of any jurisdiction, that I wish to exclude from the operation of this Agreement: __________</w:t>
      </w:r>
    </w:p>
    <w:p>
      <w:pPr>
        <w:spacing w:after="0" w:line="3"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4"/>
          <w:szCs w:val="14"/>
          <w:color w:val="auto"/>
        </w:rPr>
      </w:pPr>
    </w:p>
    <w:p>
      <w:pPr>
        <w:ind w:left="800" w:right="3319" w:hanging="790"/>
        <w:spacing w:after="0" w:line="235" w:lineRule="auto"/>
        <w:tabs>
          <w:tab w:leader="none" w:pos="8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Agreements. Except as set forth below, I am aware of no prior agreements between me and any other person or entity concerning proprietary information or inventions (attach copies of all agreements in your possession):</w:t>
      </w:r>
    </w:p>
    <w:p>
      <w:pPr>
        <w:spacing w:after="0" w:line="7"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9"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9"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9"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1/4/02</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Lee Ting Bun Denny</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Employee Name</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/s/Denny Lee</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Employee Signature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39"/>
          </w:cols>
          <w:pgMar w:left="220" w:top="617" w:right="1440" w:bottom="1440" w:gutter="0" w:footer="0" w:header="0"/>
        </w:sectPr>
      </w:pPr>
    </w:p>
    <w:bookmarkStart w:id="162" w:name="page163"/>
    <w:bookmarkEnd w:id="162"/>
    <w:p>
      <w:pPr>
        <w:jc w:val="right"/>
        <w:ind w:right="3239"/>
        <w:spacing w:after="0"/>
        <w:rPr>
          <w:sz w:val="20"/>
          <w:szCs w:val="20"/>
          <w:color w:val="auto"/>
        </w:rPr>
      </w:pPr>
      <w:r>
        <w:rPr>
          <w:rFonts w:ascii="Courier New" w:cs="Courier New" w:eastAsia="Courier New" w:hAnsi="Courier New"/>
          <w:sz w:val="15"/>
          <w:szCs w:val="15"/>
          <w:color w:val="auto"/>
        </w:rPr>
        <w:t>Exhibit 4.7</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Dated 25 June 2002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MICHAEL TONG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EMPLOYMENT CONTRACT</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EXECUTIVE DIRECTOR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99"/>
          </w:cols>
          <w:pgMar w:left="1360" w:top="808"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THIS AGREEMENT is made this 25th day of June,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NetEase.com, Inc which business address is 1901, Tower E3, Oriental Plaza, Beijing, PRC 100738 (hereinafter called "the Employer") of the one part, and the person whose name and address are set out in the Schedule hereto (hereinafter called "the Employee") of the other part.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IT IS AGREED as follows:</w:t>
      </w:r>
    </w:p>
    <w:p>
      <w:pPr>
        <w:spacing w:after="0" w:line="166" w:lineRule="exact"/>
        <w:rPr>
          <w:sz w:val="20"/>
          <w:szCs w:val="20"/>
          <w:color w:val="auto"/>
        </w:rPr>
      </w:pPr>
    </w:p>
    <w:p>
      <w:pPr>
        <w:ind w:left="440" w:hanging="430"/>
        <w:spacing w:after="0"/>
        <w:tabs>
          <w:tab w:leader="none" w:pos="44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In this Agreement:</w:t>
      </w:r>
    </w:p>
    <w:p>
      <w:pPr>
        <w:spacing w:after="0" w:line="173" w:lineRule="exact"/>
        <w:rPr>
          <w:sz w:val="20"/>
          <w:szCs w:val="20"/>
          <w:color w:val="auto"/>
        </w:rPr>
      </w:pPr>
    </w:p>
    <w:p>
      <w:pPr>
        <w:jc w:val="both"/>
        <w:ind w:left="980" w:right="3679" w:hanging="533"/>
        <w:spacing w:after="0" w:line="235" w:lineRule="auto"/>
        <w:tabs>
          <w:tab w:leader="none" w:pos="98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words herein denoting one gender include all other genders and words denoting the singular include the plural and vice versa;</w:t>
      </w:r>
    </w:p>
    <w:p>
      <w:pPr>
        <w:spacing w:after="0" w:line="173" w:lineRule="exact"/>
        <w:rPr>
          <w:rFonts w:ascii="Courier New" w:cs="Courier New" w:eastAsia="Courier New" w:hAnsi="Courier New"/>
          <w:sz w:val="15"/>
          <w:szCs w:val="15"/>
          <w:color w:val="auto"/>
        </w:rPr>
      </w:pPr>
    </w:p>
    <w:p>
      <w:pPr>
        <w:ind w:left="980" w:right="3399" w:hanging="533"/>
        <w:spacing w:after="0" w:line="234" w:lineRule="auto"/>
        <w:tabs>
          <w:tab w:leader="none" w:pos="98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to a statutory provision shall be deemed to include a reference to any modification or re-enactment of it;</w:t>
      </w:r>
    </w:p>
    <w:p>
      <w:pPr>
        <w:spacing w:after="0" w:line="173" w:lineRule="exact"/>
        <w:rPr>
          <w:rFonts w:ascii="Courier New" w:cs="Courier New" w:eastAsia="Courier New" w:hAnsi="Courier New"/>
          <w:sz w:val="15"/>
          <w:szCs w:val="15"/>
          <w:color w:val="auto"/>
        </w:rPr>
      </w:pPr>
    </w:p>
    <w:p>
      <w:pPr>
        <w:jc w:val="both"/>
        <w:ind w:left="980" w:right="3399" w:hanging="533"/>
        <w:spacing w:after="0" w:line="235" w:lineRule="auto"/>
        <w:tabs>
          <w:tab w:leader="none" w:pos="98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clause headings do not form part of the terms and conditions of this Agreement and shall not be taken into account in construing or interpreting this Agreement;</w:t>
      </w:r>
    </w:p>
    <w:p>
      <w:pPr>
        <w:spacing w:after="0" w:line="173" w:lineRule="exact"/>
        <w:rPr>
          <w:rFonts w:ascii="Courier New" w:cs="Courier New" w:eastAsia="Courier New" w:hAnsi="Courier New"/>
          <w:sz w:val="15"/>
          <w:szCs w:val="15"/>
          <w:color w:val="auto"/>
        </w:rPr>
      </w:pPr>
    </w:p>
    <w:p>
      <w:pPr>
        <w:ind w:left="980" w:right="3399" w:hanging="533"/>
        <w:spacing w:after="0" w:line="235" w:lineRule="auto"/>
        <w:tabs>
          <w:tab w:leader="none" w:pos="98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in this Agreement to any clause, sub-clause, schedule, exhibit or paragraph without further designation shall be construed as references to the clause, sub-clause, schedule, exhibit or paragraph of this Agreement so numbered; and</w:t>
      </w:r>
    </w:p>
    <w:p>
      <w:pPr>
        <w:spacing w:after="0" w:line="175" w:lineRule="exact"/>
        <w:rPr>
          <w:rFonts w:ascii="Courier New" w:cs="Courier New" w:eastAsia="Courier New" w:hAnsi="Courier New"/>
          <w:sz w:val="15"/>
          <w:szCs w:val="15"/>
          <w:color w:val="auto"/>
        </w:rPr>
      </w:pPr>
    </w:p>
    <w:p>
      <w:pPr>
        <w:ind w:left="980" w:right="3499" w:hanging="533"/>
        <w:spacing w:after="0" w:line="235" w:lineRule="auto"/>
        <w:tabs>
          <w:tab w:leader="none" w:pos="98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clause that is invalid or unenforceable because of any legislation or ruling of any court of competent jurisdiction shall not render the whole Agreement void but shall only be:</w:t>
      </w:r>
    </w:p>
    <w:p>
      <w:pPr>
        <w:spacing w:after="0" w:line="173" w:lineRule="exact"/>
        <w:rPr>
          <w:rFonts w:ascii="Courier New" w:cs="Courier New" w:eastAsia="Courier New" w:hAnsi="Courier New"/>
          <w:sz w:val="15"/>
          <w:szCs w:val="15"/>
          <w:color w:val="auto"/>
        </w:rPr>
      </w:pPr>
    </w:p>
    <w:p>
      <w:pPr>
        <w:ind w:left="1320" w:right="3399" w:hanging="436"/>
        <w:spacing w:after="0" w:line="234" w:lineRule="auto"/>
        <w:tabs>
          <w:tab w:leader="none" w:pos="1320"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varied to such an extent so as to make it valid and enforceable without affecting other clauses, or</w:t>
      </w:r>
    </w:p>
    <w:p>
      <w:pPr>
        <w:spacing w:after="0" w:line="173"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variation is impossible, excluded from this Agreement as if it had not existed at the time of signing of this Agreement while the other clauses remain valid and subsisting.</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Job Title and Commencement</w:t>
      </w:r>
    </w:p>
    <w:p>
      <w:pPr>
        <w:spacing w:after="0" w:line="173" w:lineRule="exact"/>
        <w:rPr>
          <w:sz w:val="20"/>
          <w:szCs w:val="20"/>
          <w:color w:val="auto"/>
        </w:rPr>
      </w:pPr>
    </w:p>
    <w:p>
      <w:pPr>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2.1</w:t>
        <w:tab/>
        <w:t>The Employer shall employ the Employee in the capacity and from the date of commencement set out in the Schedule upon the terms and conditions hereinafter set out.</w:t>
      </w:r>
    </w:p>
    <w:p>
      <w:pPr>
        <w:spacing w:after="0" w:line="174" w:lineRule="exact"/>
        <w:rPr>
          <w:sz w:val="20"/>
          <w:szCs w:val="20"/>
          <w:color w:val="auto"/>
        </w:rPr>
      </w:pPr>
    </w:p>
    <w:p>
      <w:pPr>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2.2</w:t>
        <w:tab/>
        <w:t>The Employee shall perform such duties and responsibilities as are normally related to such position in accordance with the standards of the industry and any additional duties now or hereafter assigned to the Employee by the Employer. The Employee shall abide by</w:t>
      </w:r>
    </w:p>
    <w:p>
      <w:pPr>
        <w:sectPr>
          <w:pgSz w:w="11900" w:h="16838" w:orient="portrait"/>
          <w:cols w:equalWidth="0" w:num="1">
            <w:col w:w="10239"/>
          </w:cols>
          <w:pgMar w:left="220" w:top="617" w:right="1440" w:bottom="1440" w:gutter="0" w:footer="0" w:header="0"/>
        </w:sectPr>
      </w:pPr>
    </w:p>
    <w:bookmarkStart w:id="164" w:name="page165"/>
    <w:bookmarkEnd w:id="164"/>
    <w:p>
      <w:pPr>
        <w:ind w:left="430" w:right="3679"/>
        <w:spacing w:after="0" w:line="234" w:lineRule="auto"/>
        <w:rPr>
          <w:sz w:val="20"/>
          <w:szCs w:val="20"/>
          <w:color w:val="auto"/>
        </w:rPr>
      </w:pPr>
      <w:r>
        <w:rPr>
          <w:rFonts w:ascii="Courier New" w:cs="Courier New" w:eastAsia="Courier New" w:hAnsi="Courier New"/>
          <w:sz w:val="15"/>
          <w:szCs w:val="15"/>
          <w:color w:val="auto"/>
        </w:rPr>
        <w:t>the rules, regulations, and practices as adopted or modified from time to time in the Employer's sole discretion.</w:t>
      </w:r>
    </w:p>
    <w:p>
      <w:pPr>
        <w:spacing w:after="0" w:line="173" w:lineRule="exact"/>
        <w:rPr>
          <w:sz w:val="20"/>
          <w:szCs w:val="20"/>
          <w:color w:val="auto"/>
        </w:rPr>
      </w:pPr>
    </w:p>
    <w:p>
      <w:pPr>
        <w:ind w:left="430" w:right="3239" w:hanging="436"/>
        <w:spacing w:after="0" w:line="254" w:lineRule="auto"/>
        <w:tabs>
          <w:tab w:leader="none" w:pos="41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Except upon the prior written consent of the Employer, the Employee will not, during the term of this Agreement, (i) accept any other employment, or</w:t>
      </w:r>
    </w:p>
    <w:p>
      <w:pPr>
        <w:spacing w:after="0" w:line="1" w:lineRule="exact"/>
        <w:rPr>
          <w:sz w:val="20"/>
          <w:szCs w:val="20"/>
          <w:color w:val="auto"/>
        </w:rPr>
      </w:pPr>
    </w:p>
    <w:p>
      <w:pPr>
        <w:ind w:left="430" w:right="3319" w:firstLine="7"/>
        <w:spacing w:after="0" w:line="235" w:lineRule="auto"/>
        <w:tabs>
          <w:tab w:leader="none" w:pos="86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directly or indirectly, in any other business activity (whether or not pursued for pecuniary advantage) that might interfere with the Employee's duties and responsibilities hereunder or create a conflict of interest with the Employer.</w:t>
      </w:r>
    </w:p>
    <w:p>
      <w:pPr>
        <w:spacing w:after="0" w:line="175"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2.4</w:t>
        <w:tab/>
        <w:t>The Employee represents and warrants that the Employee's execution of this Agreement, the Employee's employment with the Employer, and the performance of the Employee's proposed duties under this Agreement shall not violate any obligations the Employee may have to any other employer, person or entity, including any obligations with respect to proprietary or confidential information of any other person or entity.</w:t>
      </w:r>
    </w:p>
    <w:p>
      <w:pPr>
        <w:spacing w:after="0" w:line="168" w:lineRule="exact"/>
        <w:rPr>
          <w:sz w:val="20"/>
          <w:szCs w:val="20"/>
          <w:color w:val="auto"/>
        </w:rPr>
      </w:pPr>
    </w:p>
    <w:p>
      <w:pPr>
        <w:ind w:left="430" w:hanging="430"/>
        <w:spacing w:after="0"/>
        <w:tabs>
          <w:tab w:leader="none" w:pos="43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Work</w:t>
      </w:r>
    </w:p>
    <w:p>
      <w:pPr>
        <w:spacing w:after="0" w:line="173" w:lineRule="exact"/>
        <w:rPr>
          <w:sz w:val="20"/>
          <w:szCs w:val="20"/>
          <w:color w:val="auto"/>
        </w:rPr>
      </w:pPr>
    </w:p>
    <w:p>
      <w:pPr>
        <w:ind w:left="430" w:right="357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3.1</w:t>
        <w:tab/>
        <w:t>The normal place of work for the Employee will be the office of the Employer as it may change from time to time; provided, however that the Employee shall travel and work both in Hong Kong and abroad, as may be required for the proper fulfillment of his duties.</w:t>
      </w:r>
    </w:p>
    <w:p>
      <w:pPr>
        <w:spacing w:after="0" w:line="169" w:lineRule="exact"/>
        <w:rPr>
          <w:sz w:val="20"/>
          <w:szCs w:val="20"/>
          <w:color w:val="auto"/>
        </w:rPr>
      </w:pPr>
    </w:p>
    <w:p>
      <w:pPr>
        <w:ind w:left="430" w:hanging="430"/>
        <w:spacing w:after="0"/>
        <w:tabs>
          <w:tab w:leader="none" w:pos="43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of Employment</w:t>
      </w:r>
    </w:p>
    <w:p>
      <w:pPr>
        <w:spacing w:after="0" w:line="173" w:lineRule="exact"/>
        <w:rPr>
          <w:sz w:val="20"/>
          <w:szCs w:val="20"/>
          <w:color w:val="auto"/>
        </w:rPr>
      </w:pPr>
    </w:p>
    <w:p>
      <w:pPr>
        <w:ind w:left="430" w:right="3239" w:hanging="436"/>
        <w:spacing w:after="0" w:line="261" w:lineRule="auto"/>
        <w:tabs>
          <w:tab w:leader="none" w:pos="41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The Employee's normal hours of employment shall be the usual office hours of the Employer that the Employer shall from time to time set for each day.</w:t>
      </w:r>
    </w:p>
    <w:p>
      <w:pPr>
        <w:spacing w:after="0" w:line="160" w:lineRule="exact"/>
        <w:rPr>
          <w:sz w:val="20"/>
          <w:szCs w:val="20"/>
          <w:color w:val="auto"/>
        </w:rPr>
      </w:pPr>
    </w:p>
    <w:p>
      <w:pPr>
        <w:ind w:left="430" w:right="323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4.2</w:t>
        <w:tab/>
        <w:t>The Employer can at any time require the Employee to work such hours outside the normal hours of employment as considered by the Employer at its sole discretion to be necessary for the efficient discharge of the duties of the Employee.</w:t>
      </w:r>
    </w:p>
    <w:p>
      <w:pPr>
        <w:spacing w:after="0" w:line="169" w:lineRule="exact"/>
        <w:rPr>
          <w:sz w:val="20"/>
          <w:szCs w:val="20"/>
          <w:color w:val="auto"/>
        </w:rPr>
      </w:pPr>
    </w:p>
    <w:p>
      <w:pPr>
        <w:ind w:left="430" w:hanging="430"/>
        <w:spacing w:after="0"/>
        <w:tabs>
          <w:tab w:leader="none" w:pos="43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Remuneration</w:t>
      </w:r>
    </w:p>
    <w:p>
      <w:pPr>
        <w:spacing w:after="0" w:line="173" w:lineRule="exact"/>
        <w:rPr>
          <w:sz w:val="20"/>
          <w:szCs w:val="20"/>
          <w:color w:val="auto"/>
        </w:rPr>
      </w:pPr>
    </w:p>
    <w:p>
      <w:pPr>
        <w:ind w:left="430" w:right="331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5.1</w:t>
        <w:tab/>
        <w:t>The Employer shall pay to the Employee such remuneration set out in the Schedule. The Employee's base remuneration will be reviewed from time to time in accordance with the established procedures of the Employer for adjusting salaries for similarly situated employees and may be adjusted in the sole discretion of the Employer.</w:t>
      </w:r>
    </w:p>
    <w:p>
      <w:pPr>
        <w:spacing w:after="0" w:line="174" w:lineRule="exact"/>
        <w:rPr>
          <w:sz w:val="20"/>
          <w:szCs w:val="20"/>
          <w:color w:val="auto"/>
        </w:rPr>
      </w:pPr>
    </w:p>
    <w:p>
      <w:pPr>
        <w:jc w:val="both"/>
        <w:ind w:left="430" w:right="3239" w:hanging="436"/>
        <w:spacing w:after="0" w:line="256" w:lineRule="auto"/>
        <w:tabs>
          <w:tab w:leader="none" w:pos="41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The Employee may also receive a bonus at such time and in such amount that the Employer may at its sole discretion fix. The Employee is only entitled to receive such a bonus when the Employee is in the employ of the Employer at the time when the Employer pays such bonus and the Employee has no right to ask for or demand the Employer to pay any bonus on pro-rata basis.</w:t>
      </w:r>
    </w:p>
    <w:p>
      <w:pPr>
        <w:spacing w:after="0" w:line="163" w:lineRule="exact"/>
        <w:rPr>
          <w:sz w:val="20"/>
          <w:szCs w:val="20"/>
          <w:color w:val="auto"/>
        </w:rPr>
      </w:pPr>
    </w:p>
    <w:p>
      <w:pPr>
        <w:ind w:left="430" w:right="357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5.3</w:t>
        <w:tab/>
        <w:t>The Employee shall be entitled to participate in the benefits made generally available by the Employer to similarly situated employees, in accordance with the benefit plans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165" w:name="page166"/>
    <w:bookmarkEnd w:id="165"/>
    <w:p>
      <w:pPr>
        <w:ind w:left="430" w:right="3499"/>
        <w:spacing w:after="0" w:line="234" w:lineRule="auto"/>
        <w:rPr>
          <w:sz w:val="20"/>
          <w:szCs w:val="20"/>
          <w:color w:val="auto"/>
        </w:rPr>
      </w:pPr>
      <w:r>
        <w:rPr>
          <w:rFonts w:ascii="Courier New" w:cs="Courier New" w:eastAsia="Courier New" w:hAnsi="Courier New"/>
          <w:sz w:val="15"/>
          <w:szCs w:val="15"/>
          <w:color w:val="auto"/>
        </w:rPr>
        <w:t>established by the Employer, and as the same may be amended from time to time in the Employer's sole discretion.</w:t>
      </w:r>
    </w:p>
    <w:p>
      <w:pPr>
        <w:spacing w:after="0" w:line="173" w:lineRule="exact"/>
        <w:rPr>
          <w:sz w:val="20"/>
          <w:szCs w:val="20"/>
          <w:color w:val="auto"/>
        </w:rPr>
      </w:pPr>
    </w:p>
    <w:p>
      <w:pPr>
        <w:ind w:left="430" w:right="331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5.4</w:t>
        <w:tab/>
        <w:t>The Employer shall reimburse the Employee for reasonable business expenses incurred in the performance of the Employee's duties hereunder in accordance with the Employer's expense reimbursement guidelines.</w:t>
      </w:r>
    </w:p>
    <w:p>
      <w:pPr>
        <w:spacing w:after="0" w:line="167" w:lineRule="exact"/>
        <w:rPr>
          <w:sz w:val="20"/>
          <w:szCs w:val="20"/>
          <w:color w:val="auto"/>
        </w:rPr>
      </w:pPr>
    </w:p>
    <w:p>
      <w:pPr>
        <w:ind w:left="430" w:hanging="430"/>
        <w:spacing w:after="0"/>
        <w:tabs>
          <w:tab w:leader="none" w:pos="43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Equalization</w:t>
      </w:r>
    </w:p>
    <w:p>
      <w:pPr>
        <w:spacing w:after="0" w:line="173"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6.1</w:t>
        <w:tab/>
        <w:t>The Employer shall provide tax equalization benefit to the Employee. Under the tax equalization arrangements, the Employer will be responsible for the Employee's PRC individual income tax on the Employee's base remuneration and the Employee will be responsible for a hypothetical Hong Kong Salary Tax attributable to the base remuneration.</w:t>
      </w:r>
    </w:p>
    <w:p>
      <w:pPr>
        <w:spacing w:after="0" w:line="174" w:lineRule="exact"/>
        <w:rPr>
          <w:sz w:val="20"/>
          <w:szCs w:val="20"/>
          <w:color w:val="auto"/>
        </w:rPr>
      </w:pPr>
    </w:p>
    <w:p>
      <w:pPr>
        <w:ind w:left="430" w:right="323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The hypothetical tax is the amount payable by the Employee to the Employer which is equivalent to the amount of the Hong Kong Salary Tax attributable to the Remuneration payable by the Employee to the Hong Kong Tax Authority had the Employee remained in Hong Kong for the Employment. The tax rate for calculating the hypothetical tax is fixed at 15%, which is equal to the Hong Kong Salaries Tax Standard Rate at the time when both parties signed the Employment Contract. The hypothetical tax rate will not change with any subsequent amendments in the Hong Kong Salary Tax Standard Rate.</w:t>
      </w:r>
    </w:p>
    <w:p>
      <w:pPr>
        <w:spacing w:after="0" w:line="166" w:lineRule="exact"/>
        <w:rPr>
          <w:sz w:val="20"/>
          <w:szCs w:val="20"/>
          <w:color w:val="auto"/>
        </w:rPr>
      </w:pPr>
    </w:p>
    <w:p>
      <w:pPr>
        <w:ind w:left="430" w:right="3319" w:hanging="436"/>
        <w:spacing w:after="0" w:line="258" w:lineRule="auto"/>
        <w:tabs>
          <w:tab w:leader="none" w:pos="41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The Employee is fully responsible for the Employee's PRC individual income tax on all share based compensation, including all related benefits of shares options and share grants, which have a vesting schedule.</w:t>
      </w:r>
    </w:p>
    <w:p>
      <w:pPr>
        <w:spacing w:after="0" w:line="161" w:lineRule="exact"/>
        <w:rPr>
          <w:sz w:val="20"/>
          <w:szCs w:val="20"/>
          <w:color w:val="auto"/>
        </w:rPr>
      </w:pPr>
    </w:p>
    <w:p>
      <w:pPr>
        <w:ind w:left="430" w:right="3319" w:hanging="436"/>
        <w:spacing w:after="0" w:line="256" w:lineRule="auto"/>
        <w:tabs>
          <w:tab w:leader="none" w:pos="41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The Employer is fully responsible for the Employee's PRC individual income tax on the Employee's other cash remuneration. For the avoidance of doubt, the Employee's other cash remuneration includes year-end bonus, special bonus, incentive payments, cash and living allowances and commissions.</w:t>
      </w:r>
    </w:p>
    <w:p>
      <w:pPr>
        <w:spacing w:after="0" w:line="158" w:lineRule="exact"/>
        <w:rPr>
          <w:sz w:val="20"/>
          <w:szCs w:val="20"/>
          <w:color w:val="auto"/>
        </w:rPr>
      </w:pPr>
    </w:p>
    <w:p>
      <w:pPr>
        <w:ind w:left="430" w:hanging="430"/>
        <w:spacing w:after="0"/>
        <w:tabs>
          <w:tab w:leader="none" w:pos="43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Holidays</w:t>
      </w:r>
    </w:p>
    <w:p>
      <w:pPr>
        <w:spacing w:after="0" w:line="173" w:lineRule="exact"/>
        <w:rPr>
          <w:sz w:val="20"/>
          <w:szCs w:val="20"/>
          <w:color w:val="auto"/>
        </w:rPr>
      </w:pPr>
    </w:p>
    <w:p>
      <w:pPr>
        <w:ind w:left="430" w:right="323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7.1</w:t>
        <w:tab/>
        <w:t>The Employee is entitled, in addition to the PRC statutory public holidays, to take the number of working days set out in the Schedule as paid holiday in each holiday year, the holiday year being the period set out in the Schedule.</w:t>
      </w:r>
    </w:p>
    <w:p>
      <w:pPr>
        <w:spacing w:after="0" w:line="175" w:lineRule="exact"/>
        <w:rPr>
          <w:sz w:val="20"/>
          <w:szCs w:val="20"/>
          <w:color w:val="auto"/>
        </w:rPr>
      </w:pPr>
    </w:p>
    <w:p>
      <w:pPr>
        <w:ind w:left="430" w:right="323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7.2</w:t>
        <w:tab/>
        <w:t>If the Employee's employment commences or terminates part way through the holiday year, his entitlement to holidays during that year will be assessed on a pro-rata basis.</w:t>
      </w:r>
    </w:p>
    <w:p>
      <w:pPr>
        <w:spacing w:after="0" w:line="174" w:lineRule="exact"/>
        <w:rPr>
          <w:sz w:val="20"/>
          <w:szCs w:val="20"/>
          <w:color w:val="auto"/>
        </w:rPr>
      </w:pPr>
    </w:p>
    <w:p>
      <w:pPr>
        <w:ind w:left="430" w:right="339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7.3</w:t>
        <w:tab/>
        <w:t>Holidays must be taken at times convenient to the Employer and sufficient notice of intention to take holiday must be given to the Employee's manager.</w:t>
      </w:r>
    </w:p>
    <w:p>
      <w:pPr>
        <w:spacing w:after="0" w:line="174" w:lineRule="exact"/>
        <w:rPr>
          <w:sz w:val="20"/>
          <w:szCs w:val="20"/>
          <w:color w:val="auto"/>
        </w:rPr>
      </w:pPr>
    </w:p>
    <w:p>
      <w:pPr>
        <w:ind w:left="430" w:right="3399" w:hanging="436"/>
        <w:spacing w:after="0" w:line="234" w:lineRule="auto"/>
        <w:tabs>
          <w:tab w:leader="none" w:pos="410" w:val="left"/>
        </w:tabs>
        <w:rPr>
          <w:sz w:val="20"/>
          <w:szCs w:val="20"/>
          <w:color w:val="auto"/>
        </w:rPr>
      </w:pPr>
      <w:r>
        <w:rPr>
          <w:rFonts w:ascii="Courier New" w:cs="Courier New" w:eastAsia="Courier New" w:hAnsi="Courier New"/>
          <w:sz w:val="15"/>
          <w:szCs w:val="15"/>
          <w:color w:val="auto"/>
        </w:rPr>
        <w:t>7.4</w:t>
        <w:tab/>
        <w:t>Holiday entitlement unused at the end of a holiday year cannot be carried over into the next holiday year.</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166" w:name="page167"/>
    <w:bookmarkEnd w:id="166"/>
    <w:p>
      <w:pPr>
        <w:spacing w:after="0"/>
        <w:tabs>
          <w:tab w:leader="none" w:pos="42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Upon termination of employment,</w:t>
      </w:r>
    </w:p>
    <w:p>
      <w:pPr>
        <w:spacing w:after="0" w:line="173" w:lineRule="exact"/>
        <w:rPr>
          <w:sz w:val="20"/>
          <w:szCs w:val="20"/>
          <w:color w:val="auto"/>
        </w:rPr>
      </w:pPr>
    </w:p>
    <w:p>
      <w:pPr>
        <w:ind w:left="880" w:right="3319" w:hanging="433"/>
        <w:spacing w:after="0" w:line="235" w:lineRule="auto"/>
        <w:tabs>
          <w:tab w:leader="none" w:pos="88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shall be entitled to make deductions from the Employee's final pay for any holidays taken in excess of the Employee's proportionate annual holiday entitlement; and</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pro rata payment in lieu of any unused annual holiday entitlement provided; however, that the Employer may, in its absolute discretion, require that the Employee take all accrued but unused annual holiday entitlement prior to the termination of the employment.</w:t>
      </w:r>
    </w:p>
    <w:p>
      <w:pPr>
        <w:spacing w:after="0" w:line="174" w:lineRule="exact"/>
        <w:rPr>
          <w:sz w:val="20"/>
          <w:szCs w:val="20"/>
          <w:color w:val="auto"/>
        </w:rPr>
      </w:pPr>
    </w:p>
    <w:p>
      <w:pPr>
        <w:ind w:left="440" w:right="339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7.6</w:t>
        <w:tab/>
        <w:t>A day's holiday pay for the purpose of this clause shall be calculated by dividing 12 months total salary at the monthly rate at the time of calculation by 365 days.</w:t>
      </w:r>
    </w:p>
    <w:p>
      <w:pPr>
        <w:spacing w:after="0" w:line="167" w:lineRule="exact"/>
        <w:rPr>
          <w:sz w:val="20"/>
          <w:szCs w:val="20"/>
          <w:color w:val="auto"/>
        </w:rPr>
      </w:pPr>
    </w:p>
    <w:p>
      <w:pPr>
        <w:ind w:left="440" w:hanging="430"/>
        <w:spacing w:after="0"/>
        <w:tabs>
          <w:tab w:leader="none" w:pos="44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Sickness</w:t>
      </w:r>
    </w:p>
    <w:p>
      <w:pPr>
        <w:spacing w:after="0" w:line="173" w:lineRule="exact"/>
        <w:rPr>
          <w:sz w:val="20"/>
          <w:szCs w:val="20"/>
          <w:color w:val="auto"/>
        </w:rPr>
      </w:pPr>
    </w:p>
    <w:p>
      <w:pPr>
        <w:ind w:left="440" w:right="331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8.1</w:t>
        <w:tab/>
        <w:t>In the event of absence on account of sickness or injury the Employee (or someone on his behalf) must inform the Employer of the reason for the Employee's absence as soon as possible and must do so not later than 10:00 a.m. on the date on which absence first occurs.</w:t>
      </w:r>
    </w:p>
    <w:p>
      <w:pPr>
        <w:spacing w:after="0" w:line="175" w:lineRule="exact"/>
        <w:rPr>
          <w:sz w:val="20"/>
          <w:szCs w:val="20"/>
          <w:color w:val="auto"/>
        </w:rPr>
      </w:pPr>
    </w:p>
    <w:p>
      <w:pPr>
        <w:jc w:val="both"/>
        <w:ind w:left="440" w:right="3239" w:hanging="436"/>
        <w:spacing w:after="0" w:line="256" w:lineRule="auto"/>
        <w:tabs>
          <w:tab w:leader="none" w:pos="42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The Employee must produce to the Employer a medical certificate stating the reason for absence on the first day that the Employee resumes working when the sick leave lasts for 3 days or less and within the 4th calendar day of absence when the absence lasts for more than 3 days, and thereafter provide a like certificate each week to cover the subsequent period of absence.</w:t>
      </w:r>
    </w:p>
    <w:p>
      <w:pPr>
        <w:spacing w:after="0" w:line="157" w:lineRule="exact"/>
        <w:rPr>
          <w:sz w:val="20"/>
          <w:szCs w:val="20"/>
          <w:color w:val="auto"/>
        </w:rPr>
      </w:pPr>
    </w:p>
    <w:p>
      <w:pPr>
        <w:jc w:val="center"/>
        <w:ind w:right="3579"/>
        <w:spacing w:after="0"/>
        <w:tabs>
          <w:tab w:leader="none" w:pos="14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The Employee will be paid his statutory sick pay for days of absence on</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account of sickness or injury in accordance with Section 33 of the Employment Ordinance of the Laws of Hong Kong. Entitlement to payment is subject to notification of absence and production of medical certificates in accordance with Clauses 8.1 and 8.2.</w:t>
      </w:r>
    </w:p>
    <w:p>
      <w:pPr>
        <w:spacing w:after="0" w:line="169" w:lineRule="exact"/>
        <w:rPr>
          <w:sz w:val="20"/>
          <w:szCs w:val="20"/>
          <w:color w:val="auto"/>
        </w:rPr>
      </w:pPr>
    </w:p>
    <w:p>
      <w:pPr>
        <w:ind w:left="440" w:hanging="430"/>
        <w:spacing w:after="0"/>
        <w:tabs>
          <w:tab w:leader="none" w:pos="44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The employment of the Employee may be terminated:</w:t>
      </w:r>
    </w:p>
    <w:p>
      <w:pPr>
        <w:spacing w:after="0" w:line="173" w:lineRule="exact"/>
        <w:rPr>
          <w:sz w:val="20"/>
          <w:szCs w:val="20"/>
          <w:color w:val="auto"/>
        </w:rPr>
      </w:pPr>
    </w:p>
    <w:p>
      <w:pPr>
        <w:ind w:left="980" w:right="3319" w:hanging="533"/>
        <w:spacing w:after="0" w:line="235" w:lineRule="auto"/>
        <w:tabs>
          <w:tab w:leader="none" w:pos="98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Employee on giving to the Employer not less than such period of notice set out in the Schedule written notice of resignation from employment;</w:t>
      </w:r>
    </w:p>
    <w:p>
      <w:pPr>
        <w:spacing w:after="0" w:line="173" w:lineRule="exact"/>
        <w:rPr>
          <w:rFonts w:ascii="Courier New" w:cs="Courier New" w:eastAsia="Courier New" w:hAnsi="Courier New"/>
          <w:sz w:val="15"/>
          <w:szCs w:val="15"/>
          <w:color w:val="auto"/>
        </w:rPr>
      </w:pPr>
    </w:p>
    <w:p>
      <w:pPr>
        <w:jc w:val="both"/>
        <w:ind w:left="980" w:right="3399" w:hanging="533"/>
        <w:spacing w:after="0" w:line="235" w:lineRule="auto"/>
        <w:tabs>
          <w:tab w:leader="none" w:pos="98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Employer on giving to the Employee written notice, or at the discretion of the Employer payment in lieu of such notice, for such period set out in the Schedule;</w:t>
      </w:r>
    </w:p>
    <w:p>
      <w:pPr>
        <w:spacing w:after="0" w:line="173" w:lineRule="exact"/>
        <w:rPr>
          <w:rFonts w:ascii="Courier New" w:cs="Courier New" w:eastAsia="Courier New" w:hAnsi="Courier New"/>
          <w:sz w:val="15"/>
          <w:szCs w:val="15"/>
          <w:color w:val="auto"/>
        </w:rPr>
      </w:pPr>
    </w:p>
    <w:p>
      <w:pPr>
        <w:ind w:left="980" w:right="3319" w:hanging="533"/>
        <w:spacing w:after="0" w:line="235" w:lineRule="auto"/>
        <w:tabs>
          <w:tab w:leader="none" w:pos="98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Employer without notice or payment in lieu of notice for the occurrence of any event set out in Section 9 of the Employment Ordinance giving to the Employer a right to terminate the employment without notice.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67" w:name="page168"/>
    <w:bookmarkEnd w:id="167"/>
    <w:p>
      <w:pPr>
        <w:ind w:left="430" w:right="331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9.2</w:t>
        <w:tab/>
        <w:t>Following any termination of employment, the Employee shall cooperate with the Employer in the winding up of pending work on behalf of the Employer and the orderly transfer of work to other employees. The Employee shall also cooperate with the Employer in the defense of any action brought by any third party against the Employer that relates to the Employee's employment by the Employer.</w:t>
      </w:r>
    </w:p>
    <w:p>
      <w:pPr>
        <w:spacing w:after="0" w:line="175" w:lineRule="exact"/>
        <w:rPr>
          <w:sz w:val="20"/>
          <w:szCs w:val="20"/>
          <w:color w:val="auto"/>
        </w:rPr>
      </w:pPr>
    </w:p>
    <w:p>
      <w:pPr>
        <w:ind w:left="430" w:right="323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Except in situations where the Employee's employment is terminated by death, disability or pursuant to Sub-clause 9.1(iii), in the event the Employer terminates the employment of the Employee at anytime, the Employee will be eligible to receive an amount equal to 3 months of the then-current Base Remuneration of the Employee payable in the form of salary continuation. The Employee's eligibility for severance may be conditioned on the Employee having first signed a release agreement. The Employee shall not be entitled to any severance payments if the Employee's employment is terminated by death, disability or pursuant to Sub-clause 9.1(iii) or if the Employee's employment is terminated by the Employee.</w:t>
      </w:r>
    </w:p>
    <w:p>
      <w:pPr>
        <w:spacing w:after="0" w:line="159" w:lineRule="exact"/>
        <w:rPr>
          <w:sz w:val="20"/>
          <w:szCs w:val="20"/>
          <w:color w:val="auto"/>
        </w:rPr>
      </w:pPr>
    </w:p>
    <w:p>
      <w:pPr>
        <w:ind w:left="430" w:hanging="430"/>
        <w:spacing w:after="0"/>
        <w:tabs>
          <w:tab w:leader="none" w:pos="43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Allowance</w:t>
      </w:r>
    </w:p>
    <w:p>
      <w:pPr>
        <w:spacing w:after="0" w:line="172" w:lineRule="exact"/>
        <w:rPr>
          <w:rFonts w:ascii="Courier New" w:cs="Courier New" w:eastAsia="Courier New" w:hAnsi="Courier New"/>
          <w:sz w:val="15"/>
          <w:szCs w:val="15"/>
          <w:color w:val="auto"/>
        </w:rPr>
      </w:pPr>
    </w:p>
    <w:p>
      <w:pPr>
        <w:ind w:left="4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Upon termination of employment, the Employee is entitled to a cash relocation allowance of the amount specified in the Schedule, provided that the Employee completed one full year service starting from the commencement date of this employment contract, or termination by Employer.</w:t>
      </w:r>
    </w:p>
    <w:p>
      <w:pPr>
        <w:spacing w:after="0" w:line="15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3" w:lineRule="exact"/>
        <w:rPr>
          <w:sz w:val="20"/>
          <w:szCs w:val="20"/>
          <w:color w:val="auto"/>
        </w:rPr>
      </w:pPr>
    </w:p>
    <w:p>
      <w:pPr>
        <w:ind w:left="430" w:right="3239" w:hanging="436"/>
        <w:spacing w:after="0" w:line="254" w:lineRule="auto"/>
        <w:rPr>
          <w:sz w:val="20"/>
          <w:szCs w:val="20"/>
          <w:color w:val="auto"/>
        </w:rPr>
      </w:pPr>
      <w:r>
        <w:rPr>
          <w:rFonts w:ascii="Courier New" w:cs="Courier New" w:eastAsia="Courier New" w:hAnsi="Courier New"/>
          <w:sz w:val="14"/>
          <w:szCs w:val="14"/>
          <w:color w:val="auto"/>
        </w:rPr>
        <w:t>11.1 For the period of six months following the termination of the employment, the Employee shall not, either alone or jointly with another or others, whether as principal, agent, consultant, director, partner, shareholder, employee or in any other capacity, whether directly or indirectly through any other person, firm or company, and whether for his own benefit or that of others, save as the beneficial owner of shares or other securities of a body corporate whose shares are quoted on a recognized stock exchange and which when aggregated with shares or securities beneficially owned by his spouse, children, step-children, parents and parents' children total no more than five percent of any single class of shares or securities in such body corporate, be engaged or concerned or interested in or carry on any business conducted in Hong Kong and the PRC which competes with any business carried on by the Employer or its affiliates at the date of such termination and in which the Employee was involved at any time during the last two years of the employment or in relation to which the Employee acquired any confidential information during the course of the employment. For the purposes of this Agreement, a competitive business is any business in the filed of information technology relating to media placement, on-line advertising, e-commerce, wireless value-added services, online games or internet marketing.</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168" w:name="page169"/>
    <w:bookmarkEnd w:id="168"/>
    <w:p>
      <w:pPr>
        <w:ind w:left="430" w:hanging="430"/>
        <w:spacing w:after="0"/>
        <w:tabs>
          <w:tab w:leader="none" w:pos="43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 and Proprietary Information Agreement</w:t>
      </w:r>
    </w:p>
    <w:p>
      <w:pPr>
        <w:spacing w:after="0" w:line="173" w:lineRule="exact"/>
        <w:rPr>
          <w:sz w:val="20"/>
          <w:szCs w:val="20"/>
          <w:color w:val="auto"/>
        </w:rPr>
      </w:pPr>
    </w:p>
    <w:p>
      <w:pPr>
        <w:ind w:left="430" w:right="3239" w:hanging="436"/>
        <w:spacing w:after="0" w:line="235" w:lineRule="auto"/>
        <w:rPr>
          <w:sz w:val="20"/>
          <w:szCs w:val="20"/>
          <w:color w:val="auto"/>
        </w:rPr>
      </w:pPr>
      <w:r>
        <w:rPr>
          <w:rFonts w:ascii="Courier New" w:cs="Courier New" w:eastAsia="Courier New" w:hAnsi="Courier New"/>
          <w:sz w:val="15"/>
          <w:szCs w:val="15"/>
          <w:color w:val="auto"/>
        </w:rPr>
        <w:t>12.1 The Employee agrees to sign and be bound by the terms of the Proprietary Information and Inventions Agreement, which is attached hereto as Exhibit B ("Proprietary Information Agreement").</w:t>
      </w:r>
    </w:p>
    <w:p>
      <w:pPr>
        <w:spacing w:after="0" w:line="167" w:lineRule="exact"/>
        <w:rPr>
          <w:sz w:val="20"/>
          <w:szCs w:val="20"/>
          <w:color w:val="auto"/>
        </w:rPr>
      </w:pPr>
    </w:p>
    <w:p>
      <w:pPr>
        <w:ind w:left="430" w:hanging="430"/>
        <w:spacing w:after="0"/>
        <w:tabs>
          <w:tab w:leader="none" w:pos="43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Interpretation and Waiver</w:t>
      </w:r>
    </w:p>
    <w:p>
      <w:pPr>
        <w:spacing w:after="0" w:line="173" w:lineRule="exact"/>
        <w:rPr>
          <w:sz w:val="20"/>
          <w:szCs w:val="20"/>
          <w:color w:val="auto"/>
        </w:rPr>
      </w:pPr>
    </w:p>
    <w:p>
      <w:pPr>
        <w:ind w:left="430" w:right="3399" w:hanging="436"/>
        <w:spacing w:after="0" w:line="236" w:lineRule="auto"/>
        <w:rPr>
          <w:sz w:val="20"/>
          <w:szCs w:val="20"/>
          <w:color w:val="auto"/>
        </w:rPr>
      </w:pPr>
      <w:r>
        <w:rPr>
          <w:rFonts w:ascii="Courier New" w:cs="Courier New" w:eastAsia="Courier New" w:hAnsi="Courier New"/>
          <w:sz w:val="15"/>
          <w:szCs w:val="15"/>
          <w:color w:val="auto"/>
        </w:rPr>
        <w:t>13.1 This Agreement may be amended only a written agreement signed by the Employee and a duly authorized representative of the Employer. This Agreement has been reviewed by the Employee and the Employer and shall be deemed to be the product of the parties. The Employee agrees that he intends the literal words of the Agreement and that no parole evidence shall be necessary or appropriate to establish the Employee's actual intentions. Failure to exercise any right under this Agreement shall not constitute a waiver of such right.</w:t>
      </w:r>
    </w:p>
    <w:p>
      <w:pPr>
        <w:spacing w:after="0" w:line="171" w:lineRule="exact"/>
        <w:rPr>
          <w:sz w:val="20"/>
          <w:szCs w:val="20"/>
          <w:color w:val="auto"/>
        </w:rPr>
      </w:pPr>
    </w:p>
    <w:p>
      <w:pPr>
        <w:ind w:left="430" w:hanging="430"/>
        <w:spacing w:after="0"/>
        <w:tabs>
          <w:tab w:leader="none" w:pos="43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and Applicable Law</w:t>
      </w:r>
    </w:p>
    <w:p>
      <w:pPr>
        <w:spacing w:after="0" w:line="173" w:lineRule="exact"/>
        <w:rPr>
          <w:sz w:val="20"/>
          <w:szCs w:val="20"/>
          <w:color w:val="auto"/>
        </w:rPr>
      </w:pPr>
    </w:p>
    <w:p>
      <w:pPr>
        <w:ind w:left="430" w:right="3499" w:hanging="436"/>
        <w:spacing w:after="0" w:line="235" w:lineRule="auto"/>
        <w:rPr>
          <w:sz w:val="20"/>
          <w:szCs w:val="20"/>
          <w:color w:val="auto"/>
        </w:rPr>
      </w:pPr>
      <w:r>
        <w:rPr>
          <w:rFonts w:ascii="Courier New" w:cs="Courier New" w:eastAsia="Courier New" w:hAnsi="Courier New"/>
          <w:sz w:val="15"/>
          <w:szCs w:val="15"/>
          <w:color w:val="auto"/>
        </w:rPr>
        <w:t>14.1 This Agreement shall be governed by and construed in accordance with the laws of Hong Kong, and the parties hereto submit to the non-exclusive jurisdiction of the Hong Kong court.</w:t>
      </w:r>
    </w:p>
    <w:p>
      <w:pPr>
        <w:spacing w:after="0" w:line="167" w:lineRule="exact"/>
        <w:rPr>
          <w:sz w:val="20"/>
          <w:szCs w:val="20"/>
          <w:color w:val="auto"/>
        </w:rPr>
      </w:pPr>
    </w:p>
    <w:p>
      <w:pPr>
        <w:ind w:left="430" w:hanging="430"/>
        <w:spacing w:after="0"/>
        <w:tabs>
          <w:tab w:leader="none" w:pos="43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Survive Termination of Employment</w:t>
      </w:r>
    </w:p>
    <w:p>
      <w:pPr>
        <w:spacing w:after="0" w:line="173" w:lineRule="exact"/>
        <w:rPr>
          <w:sz w:val="20"/>
          <w:szCs w:val="20"/>
          <w:color w:val="auto"/>
        </w:rPr>
      </w:pPr>
    </w:p>
    <w:p>
      <w:pPr>
        <w:ind w:left="430" w:right="3239" w:hanging="436"/>
        <w:spacing w:after="0" w:line="236" w:lineRule="auto"/>
        <w:rPr>
          <w:sz w:val="20"/>
          <w:szCs w:val="20"/>
          <w:color w:val="auto"/>
        </w:rPr>
      </w:pPr>
      <w:r>
        <w:rPr>
          <w:rFonts w:ascii="Courier New" w:cs="Courier New" w:eastAsia="Courier New" w:hAnsi="Courier New"/>
          <w:sz w:val="15"/>
          <w:szCs w:val="15"/>
          <w:color w:val="auto"/>
        </w:rPr>
        <w:t>15.1 Employee agrees that any and all of Employee's obligations under this agreement which are capable of operation after the termination of employment, including but not limited to those contained in Clauses 10 to 12, shall survive the termination of employment and the termination of this Agreement.</w:t>
      </w:r>
    </w:p>
    <w:p>
      <w:pPr>
        <w:spacing w:after="0" w:line="167" w:lineRule="exact"/>
        <w:rPr>
          <w:sz w:val="20"/>
          <w:szCs w:val="20"/>
          <w:color w:val="auto"/>
        </w:rPr>
      </w:pPr>
    </w:p>
    <w:p>
      <w:pPr>
        <w:ind w:left="430" w:hanging="430"/>
        <w:spacing w:after="0"/>
        <w:tabs>
          <w:tab w:leader="none" w:pos="43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3" w:lineRule="exact"/>
        <w:rPr>
          <w:sz w:val="20"/>
          <w:szCs w:val="20"/>
          <w:color w:val="auto"/>
        </w:rPr>
      </w:pPr>
    </w:p>
    <w:p>
      <w:pPr>
        <w:ind w:left="430" w:right="3239" w:hanging="436"/>
        <w:spacing w:after="0" w:line="235" w:lineRule="auto"/>
        <w:rPr>
          <w:sz w:val="20"/>
          <w:szCs w:val="20"/>
          <w:color w:val="auto"/>
        </w:rPr>
      </w:pPr>
      <w:r>
        <w:rPr>
          <w:rFonts w:ascii="Courier New" w:cs="Courier New" w:eastAsia="Courier New" w:hAnsi="Courier New"/>
          <w:sz w:val="15"/>
          <w:szCs w:val="15"/>
          <w:color w:val="auto"/>
        </w:rPr>
        <w:t>16.1 This Agreement may be executed in any number of counterparts, each of which shall be deemed an original of this Agreement, but all of which together shall constitute one and the same instrument.</w:t>
      </w:r>
    </w:p>
    <w:p>
      <w:pPr>
        <w:spacing w:after="0" w:line="167" w:lineRule="exact"/>
        <w:rPr>
          <w:sz w:val="20"/>
          <w:szCs w:val="20"/>
          <w:color w:val="auto"/>
        </w:rPr>
      </w:pPr>
    </w:p>
    <w:p>
      <w:pPr>
        <w:ind w:left="430" w:hanging="430"/>
        <w:spacing w:after="0"/>
        <w:tabs>
          <w:tab w:leader="none" w:pos="43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w:t>
      </w:r>
    </w:p>
    <w:p>
      <w:pPr>
        <w:spacing w:after="0" w:line="173" w:lineRule="exact"/>
        <w:rPr>
          <w:sz w:val="20"/>
          <w:szCs w:val="20"/>
          <w:color w:val="auto"/>
        </w:rPr>
      </w:pPr>
    </w:p>
    <w:p>
      <w:pPr>
        <w:ind w:left="430" w:right="3239" w:hanging="436"/>
        <w:spacing w:after="0" w:line="236" w:lineRule="auto"/>
        <w:rPr>
          <w:sz w:val="20"/>
          <w:szCs w:val="20"/>
          <w:color w:val="auto"/>
        </w:rPr>
      </w:pPr>
      <w:r>
        <w:rPr>
          <w:rFonts w:ascii="Courier New" w:cs="Courier New" w:eastAsia="Courier New" w:hAnsi="Courier New"/>
          <w:sz w:val="15"/>
          <w:szCs w:val="15"/>
          <w:color w:val="auto"/>
        </w:rPr>
        <w:t>17.1 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167" w:lineRule="exact"/>
        <w:rPr>
          <w:sz w:val="20"/>
          <w:szCs w:val="20"/>
          <w:color w:val="auto"/>
        </w:rPr>
      </w:pPr>
    </w:p>
    <w:p>
      <w:pPr>
        <w:ind w:left="430" w:hanging="430"/>
        <w:spacing w:after="0"/>
        <w:tabs>
          <w:tab w:leader="none" w:pos="43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3" w:lineRule="exact"/>
        <w:rPr>
          <w:sz w:val="20"/>
          <w:szCs w:val="20"/>
          <w:color w:val="auto"/>
        </w:rPr>
      </w:pPr>
    </w:p>
    <w:p>
      <w:pPr>
        <w:ind w:left="430" w:right="3399" w:hanging="436"/>
        <w:spacing w:after="0" w:line="235" w:lineRule="auto"/>
        <w:rPr>
          <w:sz w:val="20"/>
          <w:szCs w:val="20"/>
          <w:color w:val="auto"/>
        </w:rPr>
      </w:pPr>
      <w:r>
        <w:rPr>
          <w:rFonts w:ascii="Courier New" w:cs="Courier New" w:eastAsia="Courier New" w:hAnsi="Courier New"/>
          <w:sz w:val="15"/>
          <w:szCs w:val="15"/>
          <w:color w:val="auto"/>
        </w:rPr>
        <w:t>18.1 This Agreement, along with any other agreements specifically referenced herein including the Proprietary Information Agreement, is intended to be the final, complete, and exclusive</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17" w:right="1440" w:bottom="1440" w:gutter="0" w:footer="0" w:header="0"/>
        </w:sectPr>
      </w:pPr>
    </w:p>
    <w:bookmarkStart w:id="169" w:name="page170"/>
    <w:bookmarkEnd w:id="169"/>
    <w:p>
      <w:pPr>
        <w:ind w:left="440" w:right="3239"/>
        <w:spacing w:after="0" w:line="255" w:lineRule="auto"/>
        <w:rPr>
          <w:sz w:val="20"/>
          <w:szCs w:val="20"/>
          <w:color w:val="auto"/>
        </w:rPr>
      </w:pPr>
      <w:r>
        <w:rPr>
          <w:rFonts w:ascii="Courier New" w:cs="Courier New" w:eastAsia="Courier New" w:hAnsi="Courier New"/>
          <w:sz w:val="14"/>
          <w:szCs w:val="14"/>
          <w:color w:val="auto"/>
        </w:rPr>
        <w:t>statement of the terms of Employee's employment by the Employer and may not be contradicted by evidence of any prior or contemporaneous statements or agreements, except for agreements specifically referenced herein. To the extent that the practices, policies or procedures of the Employer, now or in the future, apply to the Employee and are inconsistent with the terms of this Agreement, the provisions of this Agreement shall control. Except as expressly provided in an amendment executed in accordance with Clause 13 above, any subsequent change in Employee's duties, position, or compensation will not affect the validity or scope of this Agreement.</w:t>
      </w:r>
    </w:p>
    <w:p>
      <w:pPr>
        <w:sectPr>
          <w:pgSz w:w="11900" w:h="16838" w:orient="portrait"/>
          <w:cols w:equalWidth="0" w:num="1">
            <w:col w:w="10239"/>
          </w:cols>
          <w:pgMar w:left="220" w:top="624" w:right="1440" w:bottom="1440" w:gutter="0" w:footer="0" w:header="0"/>
        </w:sectPr>
      </w:pPr>
    </w:p>
    <w:p>
      <w:pPr>
        <w:spacing w:after="0" w:line="334" w:lineRule="exact"/>
        <w:rPr>
          <w:sz w:val="20"/>
          <w:szCs w:val="20"/>
          <w:color w:val="auto"/>
        </w:rPr>
      </w:pPr>
    </w:p>
    <w:p>
      <w:pPr>
        <w:ind w:right="320"/>
        <w:spacing w:after="0" w:line="465" w:lineRule="auto"/>
        <w:rPr>
          <w:sz w:val="20"/>
          <w:szCs w:val="20"/>
          <w:color w:val="auto"/>
        </w:rPr>
      </w:pPr>
      <w:r>
        <w:rPr>
          <w:rFonts w:ascii="Courier New" w:cs="Courier New" w:eastAsia="Courier New" w:hAnsi="Courier New"/>
          <w:sz w:val="15"/>
          <w:szCs w:val="15"/>
          <w:color w:val="auto"/>
        </w:rPr>
        <w:t>SIGNED for and on behalf of the Employer by its authorized representative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Ted Sun</w:t>
      </w:r>
    </w:p>
    <w:p>
      <w:pPr>
        <w:spacing w:after="0" w:line="513" w:lineRule="exact"/>
        <w:rPr>
          <w:sz w:val="20"/>
          <w:szCs w:val="20"/>
          <w:color w:val="auto"/>
        </w:rPr>
      </w:pPr>
    </w:p>
    <w:p>
      <w:pPr>
        <w:sectPr>
          <w:pgSz w:w="11900" w:h="16838" w:orient="portrait"/>
          <w:cols w:equalWidth="0" w:num="3">
            <w:col w:w="4100" w:space="720"/>
            <w:col w:w="80" w:space="440"/>
            <w:col w:w="4899"/>
          </w:cols>
          <w:pgMar w:left="220" w:top="624" w:right="1440" w:bottom="1440" w:gutter="0" w:footer="0" w:header="0"/>
          <w:type w:val="continuous"/>
        </w:sect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by the Employee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 Michael Tong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4100" w:space="720"/>
            <w:col w:w="541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39"/>
          </w:cols>
          <w:pgMar w:left="220" w:top="624" w:right="1440" w:bottom="1440" w:gutter="0" w:footer="0" w:header="0"/>
          <w:type w:val="continuous"/>
        </w:sectPr>
      </w:pPr>
    </w:p>
    <w:bookmarkStart w:id="170" w:name="page171"/>
    <w:bookmarkEnd w:id="170"/>
    <w:p>
      <w:pPr>
        <w:ind w:left="3160"/>
        <w:spacing w:after="0"/>
        <w:rPr>
          <w:sz w:val="20"/>
          <w:szCs w:val="20"/>
          <w:color w:val="auto"/>
        </w:rPr>
      </w:pPr>
      <w:r>
        <w:rPr>
          <w:rFonts w:ascii="Courier New" w:cs="Courier New" w:eastAsia="Courier New" w:hAnsi="Courier New"/>
          <w:sz w:val="14"/>
          <w:szCs w:val="14"/>
          <w:color w:val="auto"/>
        </w:rPr>
        <w:t>SCHEDULE</w:t>
      </w:r>
    </w:p>
    <w:p>
      <w:pPr>
        <w:sectPr>
          <w:pgSz w:w="11900" w:h="16838" w:orient="portrait"/>
          <w:cols w:equalWidth="0" w:num="1">
            <w:col w:w="10239"/>
          </w:cols>
          <w:pgMar w:left="220" w:top="624"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Michael Tong</w:t>
      </w:r>
    </w:p>
    <w:p>
      <w:pPr>
        <w:spacing w:after="0" w:line="177" w:lineRule="exact"/>
        <w:rPr>
          <w:sz w:val="20"/>
          <w:szCs w:val="20"/>
          <w:color w:val="auto"/>
        </w:rPr>
      </w:pPr>
    </w:p>
    <w:p>
      <w:pPr>
        <w:sectPr>
          <w:pgSz w:w="11900" w:h="16838" w:orient="portrait"/>
          <w:cols w:equalWidth="0" w:num="2">
            <w:col w:w="1380" w:space="720"/>
            <w:col w:w="81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4B Linden Height, 11 Boyce Road, Hong Kong</w:t>
      </w:r>
    </w:p>
    <w:p>
      <w:pPr>
        <w:spacing w:after="0" w:line="178" w:lineRule="exact"/>
        <w:rPr>
          <w:sz w:val="20"/>
          <w:szCs w:val="20"/>
          <w:color w:val="auto"/>
        </w:rPr>
      </w:pPr>
    </w:p>
    <w:p>
      <w:pPr>
        <w:sectPr>
          <w:pgSz w:w="11900" w:h="16838" w:orient="portrait"/>
          <w:cols w:equalWidth="0" w:num="2">
            <w:col w:w="1380" w:space="720"/>
            <w:col w:w="81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Job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Executive Director</w:t>
      </w:r>
    </w:p>
    <w:p>
      <w:pPr>
        <w:spacing w:after="0" w:line="171" w:lineRule="exact"/>
        <w:rPr>
          <w:sz w:val="20"/>
          <w:szCs w:val="20"/>
          <w:color w:val="auto"/>
        </w:rPr>
      </w:pPr>
    </w:p>
    <w:p>
      <w:pPr>
        <w:sectPr>
          <w:pgSz w:w="11900" w:h="16838" w:orient="portrait"/>
          <w:cols w:equalWidth="0" w:num="2">
            <w:col w:w="1380" w:space="720"/>
            <w:col w:w="81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25 June 2003</w:t>
      </w:r>
    </w:p>
    <w:p>
      <w:pPr>
        <w:spacing w:after="0" w:line="346" w:lineRule="exact"/>
        <w:rPr>
          <w:sz w:val="20"/>
          <w:szCs w:val="20"/>
          <w:color w:val="auto"/>
        </w:rPr>
      </w:pPr>
    </w:p>
    <w:p>
      <w:pPr>
        <w:sectPr>
          <w:pgSz w:w="11900" w:h="16838" w:orient="portrait"/>
          <w:cols w:equalWidth="0" w:num="2">
            <w:col w:w="1380" w:space="720"/>
            <w:col w:w="81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Base Remuneration</w:t>
      </w:r>
    </w:p>
    <w:p>
      <w:pPr>
        <w:spacing w:after="0" w:line="20" w:lineRule="exact"/>
        <w:rPr>
          <w:sz w:val="20"/>
          <w:szCs w:val="20"/>
          <w:color w:val="auto"/>
        </w:rPr>
      </w:pPr>
      <w:r>
        <w:rPr>
          <w:sz w:val="20"/>
          <w:szCs w:val="20"/>
          <w:color w:val="auto"/>
        </w:rPr>
        <w:br w:type="column"/>
      </w:r>
    </w:p>
    <w:p>
      <w:pPr>
        <w:ind w:right="3399" w:hanging="179"/>
        <w:spacing w:after="0" w:line="234" w:lineRule="auto"/>
        <w:rPr>
          <w:sz w:val="20"/>
          <w:szCs w:val="20"/>
          <w:color w:val="auto"/>
        </w:rPr>
      </w:pPr>
      <w:r>
        <w:rPr>
          <w:rFonts w:ascii="Courier New" w:cs="Courier New" w:eastAsia="Courier New" w:hAnsi="Courier New"/>
          <w:sz w:val="15"/>
          <w:szCs w:val="15"/>
          <w:color w:val="auto"/>
        </w:rPr>
        <w:t>:</w:t>
      </w:r>
      <w:r>
        <w:rPr>
          <w:sz w:val="20"/>
          <w:szCs w:val="20"/>
          <w:color w:val="auto"/>
        </w:rPr>
        <w:t xml:space="preserve"> </w:t>
      </w:r>
      <w:r>
        <w:rPr>
          <w:rFonts w:ascii="Courier New" w:cs="Courier New" w:eastAsia="Courier New" w:hAnsi="Courier New"/>
          <w:sz w:val="15"/>
          <w:szCs w:val="15"/>
          <w:color w:val="auto"/>
        </w:rPr>
        <w:t>US$14,000 per month payable in arrears at the end of each calendar month</w:t>
      </w:r>
    </w:p>
    <w:p>
      <w:pPr>
        <w:spacing w:after="0" w:line="173" w:lineRule="exact"/>
        <w:rPr>
          <w:sz w:val="20"/>
          <w:szCs w:val="20"/>
          <w:color w:val="auto"/>
        </w:rPr>
      </w:pPr>
    </w:p>
    <w:p>
      <w:pPr>
        <w:sectPr>
          <w:pgSz w:w="11900" w:h="16838" w:orient="portrait"/>
          <w:cols w:equalWidth="0" w:num="2">
            <w:col w:w="156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ind w:right="3319" w:hanging="179"/>
        <w:spacing w:after="0" w:line="236" w:lineRule="auto"/>
        <w:rPr>
          <w:sz w:val="20"/>
          <w:szCs w:val="20"/>
          <w:color w:val="auto"/>
        </w:rPr>
      </w:pPr>
      <w:r>
        <w:rPr>
          <w:rFonts w:ascii="Courier New" w:cs="Courier New" w:eastAsia="Courier New" w:hAnsi="Courier New"/>
          <w:sz w:val="15"/>
          <w:szCs w:val="15"/>
          <w:color w:val="auto"/>
        </w:rPr>
        <w:t>:</w:t>
      </w:r>
      <w:r>
        <w:rPr>
          <w:sz w:val="20"/>
          <w:szCs w:val="20"/>
          <w:color w:val="auto"/>
        </w:rPr>
        <w:t xml:space="preserve"> </w:t>
      </w:r>
      <w:r>
        <w:rPr>
          <w:rFonts w:ascii="Courier New" w:cs="Courier New" w:eastAsia="Courier New" w:hAnsi="Courier New"/>
          <w:sz w:val="15"/>
          <w:szCs w:val="15"/>
          <w:color w:val="auto"/>
        </w:rPr>
        <w:t>The Employee will be granted options to purchase 100,000 ADRs the exercise price equals to the closing price of the actual joining date and the vesting period is over 4 years period at 25% each year commencing from the joining date</w:t>
      </w:r>
    </w:p>
    <w:p>
      <w:pPr>
        <w:spacing w:after="0" w:line="174" w:lineRule="exact"/>
        <w:rPr>
          <w:sz w:val="20"/>
          <w:szCs w:val="20"/>
          <w:color w:val="auto"/>
        </w:rPr>
      </w:pPr>
    </w:p>
    <w:p>
      <w:pPr>
        <w:sectPr>
          <w:pgSz w:w="11900" w:h="16838" w:orient="portrait"/>
          <w:cols w:equalWidth="0" w:num="3">
            <w:col w:w="440" w:space="180"/>
            <w:col w:w="940" w:space="720"/>
            <w:col w:w="795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Housing Allowance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Not more than US$2,500 per month (on an actual basis)</w:t>
      </w:r>
    </w:p>
    <w:p>
      <w:pPr>
        <w:spacing w:after="0" w:line="178" w:lineRule="exact"/>
        <w:rPr>
          <w:sz w:val="20"/>
          <w:szCs w:val="20"/>
          <w:color w:val="auto"/>
        </w:rPr>
      </w:pPr>
    </w:p>
    <w:p>
      <w:pPr>
        <w:sectPr>
          <w:pgSz w:w="11900" w:h="16838" w:orient="portrait"/>
          <w:cols w:equalWidth="0" w:num="2">
            <w:col w:w="1500" w:space="600"/>
            <w:col w:w="81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Holiday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from 1st January to 31st December</w:t>
      </w:r>
    </w:p>
    <w:p>
      <w:pPr>
        <w:spacing w:after="0" w:line="178" w:lineRule="exact"/>
        <w:rPr>
          <w:sz w:val="20"/>
          <w:szCs w:val="20"/>
          <w:color w:val="auto"/>
        </w:rPr>
      </w:pPr>
    </w:p>
    <w:p>
      <w:pPr>
        <w:sectPr>
          <w:pgSz w:w="11900" w:h="16838" w:orient="portrait"/>
          <w:cols w:equalWidth="0" w:num="2">
            <w:col w:w="1380" w:space="720"/>
            <w:col w:w="8139"/>
          </w:cols>
          <w:pgMar w:left="220" w:top="624" w:right="1440" w:bottom="1440" w:gutter="0" w:footer="0" w:header="0"/>
          <w:type w:val="continuous"/>
        </w:sectPr>
      </w:pPr>
    </w:p>
    <w:p>
      <w:pPr>
        <w:spacing w:after="0" w:line="236" w:lineRule="auto"/>
        <w:rPr>
          <w:sz w:val="20"/>
          <w:szCs w:val="20"/>
          <w:color w:val="auto"/>
        </w:rPr>
      </w:pPr>
      <w:r>
        <w:rPr>
          <w:rFonts w:ascii="Courier New" w:cs="Courier New" w:eastAsia="Courier New" w:hAnsi="Courier New"/>
          <w:sz w:val="15"/>
          <w:szCs w:val="15"/>
          <w:color w:val="auto"/>
        </w:rPr>
        <w:t>Number of Paid holidays (in additional to the PRC statutory public holidays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 days</w:t>
      </w:r>
    </w:p>
    <w:p>
      <w:pPr>
        <w:spacing w:after="0" w:line="850" w:lineRule="exact"/>
        <w:rPr>
          <w:sz w:val="20"/>
          <w:szCs w:val="20"/>
          <w:color w:val="auto"/>
        </w:rPr>
      </w:pPr>
    </w:p>
    <w:p>
      <w:pPr>
        <w:sectPr>
          <w:pgSz w:w="11900" w:h="16838" w:orient="portrait"/>
          <w:cols w:equalWidth="0" w:num="2">
            <w:col w:w="1840" w:space="260"/>
            <w:col w:w="8139"/>
          </w:cols>
          <w:pgMar w:left="220" w:top="624" w:right="1440" w:bottom="1440" w:gutter="0" w:footer="0" w:header="0"/>
          <w:type w:val="continuous"/>
        </w:sectPr>
      </w:pPr>
    </w:p>
    <w:p>
      <w:pPr>
        <w:spacing w:after="0" w:line="235" w:lineRule="auto"/>
        <w:rPr>
          <w:sz w:val="20"/>
          <w:szCs w:val="20"/>
          <w:color w:val="auto"/>
        </w:rPr>
      </w:pPr>
      <w:r>
        <w:rPr>
          <w:rFonts w:ascii="Courier New" w:cs="Courier New" w:eastAsia="Courier New" w:hAnsi="Courier New"/>
          <w:sz w:val="15"/>
          <w:szCs w:val="15"/>
          <w:color w:val="auto"/>
        </w:rPr>
        <w:t>Notice Period for termination by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 month's prior notice in writing</w:t>
      </w:r>
    </w:p>
    <w:p>
      <w:pPr>
        <w:spacing w:after="0" w:line="514" w:lineRule="exact"/>
        <w:rPr>
          <w:sz w:val="20"/>
          <w:szCs w:val="20"/>
          <w:color w:val="auto"/>
        </w:rPr>
      </w:pPr>
    </w:p>
    <w:p>
      <w:pPr>
        <w:sectPr>
          <w:pgSz w:w="11900" w:h="16838" w:orient="portrait"/>
          <w:cols w:equalWidth="0" w:num="2">
            <w:col w:w="1500" w:space="600"/>
            <w:col w:w="8139"/>
          </w:cols>
          <w:pgMar w:left="220" w:top="624" w:right="1440" w:bottom="1440" w:gutter="0" w:footer="0" w:header="0"/>
          <w:type w:val="continuous"/>
        </w:sectPr>
      </w:pPr>
    </w:p>
    <w:p>
      <w:pPr>
        <w:spacing w:after="0" w:line="235" w:lineRule="auto"/>
        <w:rPr>
          <w:sz w:val="20"/>
          <w:szCs w:val="20"/>
          <w:color w:val="auto"/>
        </w:rPr>
      </w:pPr>
      <w:r>
        <w:rPr>
          <w:rFonts w:ascii="Courier New" w:cs="Courier New" w:eastAsia="Courier New" w:hAnsi="Courier New"/>
          <w:sz w:val="15"/>
          <w:szCs w:val="15"/>
          <w:color w:val="auto"/>
        </w:rPr>
        <w:t>Notice Period for termination by Employer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 month's prior notice in writing.</w:t>
      </w:r>
    </w:p>
    <w:p>
      <w:pPr>
        <w:spacing w:after="0" w:line="514" w:lineRule="exact"/>
        <w:rPr>
          <w:sz w:val="20"/>
          <w:szCs w:val="20"/>
          <w:color w:val="auto"/>
        </w:rPr>
      </w:pPr>
    </w:p>
    <w:p>
      <w:pPr>
        <w:sectPr>
          <w:pgSz w:w="11900" w:h="16838" w:orient="portrait"/>
          <w:cols w:equalWidth="0" w:num="2">
            <w:col w:w="1500" w:space="600"/>
            <w:col w:w="813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624" w:right="1440" w:bottom="1440" w:gutter="0" w:footer="0" w:header="0"/>
          <w:type w:val="continuous"/>
        </w:sectPr>
      </w:pPr>
    </w:p>
    <w:bookmarkStart w:id="171" w:name="page172"/>
    <w:bookmarkEnd w:id="171"/>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TERMINATION CERTIFICATE CONCERNING</w:t>
      </w:r>
    </w:p>
    <w:p>
      <w:pPr>
        <w:ind w:left="2200"/>
        <w:spacing w:after="0" w:line="237" w:lineRule="auto"/>
        <w:rPr>
          <w:sz w:val="20"/>
          <w:szCs w:val="20"/>
          <w:color w:val="auto"/>
        </w:rPr>
      </w:pPr>
      <w:r>
        <w:rPr>
          <w:rFonts w:ascii="Courier New" w:cs="Courier New" w:eastAsia="Courier New" w:hAnsi="Courier New"/>
          <w:sz w:val="15"/>
          <w:szCs w:val="15"/>
          <w:color w:val="auto"/>
        </w:rPr>
        <w:t>COMPANY PROPRIETARY INFORMATION</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This is to certify that I have returned all property of NetEase.com, Inc. (the "Company"), including, without limitation, all source code listings, books, manuals, records, models, drawings, reports, notes, contracts, lists, blueprints, and other documents and materials, Proprietary Information, and equipment furnished to or prepared by me in the course of or incident to my employment with the Company, and that I did not make or distribute any copies of the foregoing.</w:t>
      </w:r>
    </w:p>
    <w:p>
      <w:pPr>
        <w:spacing w:after="0" w:line="17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I further certify that I have reviewed the Company's Proprietary Information Agreement ("Agreement") signed by me and that I have complied with and will continue to comply with each and all of its terms and conditions, including without limitation: (i) the reporting of any and all ideas, concepts, inventions, discoveries, developments, know-how, structures, designs, formulas, algorithms, methods, products, processes, systems and technologies; any and all patents, patents pending, copyrights, moral rights, trademarks and any other intellectual property rights therein; and any and all improvements, modifications, derivative works from, other rights in and claims related to any of the foregoing under the laws of any jurisdiction, conceived or developed by me alone or with others and covered by the Agreement and (ii) the preservation as confidential all Proprietary Information pertaining to the Company. This certificate in no manner limits my responsibilities or the Company's rights under the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termination of my employment with the Company, I will be employed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 [Name of New Employer] [in the ______________ division]</w:t>
      </w:r>
    </w:p>
    <w:p>
      <w:pPr>
        <w:spacing w:after="0" w:line="237" w:lineRule="auto"/>
        <w:rPr>
          <w:sz w:val="20"/>
          <w:szCs w:val="20"/>
          <w:color w:val="auto"/>
        </w:rPr>
      </w:pPr>
      <w:r>
        <w:rPr>
          <w:rFonts w:ascii="Courier New" w:cs="Courier New" w:eastAsia="Courier New" w:hAnsi="Courier New"/>
          <w:sz w:val="15"/>
          <w:szCs w:val="15"/>
          <w:color w:val="auto"/>
        </w:rPr>
        <w:t>and I will be working in connection with the following projects: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[generally describe the projects]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Date:____________</w:t>
      </w:r>
    </w:p>
    <w:p>
      <w:pPr>
        <w:spacing w:after="0" w:line="341"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Employee Name</w:t>
      </w:r>
    </w:p>
    <w:p>
      <w:pPr>
        <w:spacing w:after="0" w:line="341"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Employee Signature</w:t>
      </w:r>
    </w:p>
    <w:p>
      <w:pPr>
        <w:sectPr>
          <w:pgSz w:w="11900" w:h="16838" w:orient="portrait"/>
          <w:cols w:equalWidth="0" w:num="1">
            <w:col w:w="10239"/>
          </w:cols>
          <w:pgMar w:left="220" w:top="617" w:right="1440" w:bottom="1440" w:gutter="0" w:footer="0" w:header="0"/>
        </w:sectPr>
      </w:pPr>
    </w:p>
    <w:bookmarkStart w:id="172" w:name="page173"/>
    <w:bookmarkEnd w:id="172"/>
    <w:p>
      <w:pPr>
        <w:jc w:val="center"/>
        <w:ind w:right="313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PROPRIETARY INFORMATION AGREEMENT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consideration of my employment by NetEase.com, Inc., a Cayman Island incorporated company, (the "Company"), I hereby agree to the following restrictions and obligations placed on my use and development of information, technology, ideas, inventions and other materials:</w:t>
      </w:r>
    </w:p>
    <w:p>
      <w:pPr>
        <w:spacing w:after="0" w:line="169" w:lineRule="exact"/>
        <w:rPr>
          <w:sz w:val="20"/>
          <w:szCs w:val="20"/>
          <w:color w:val="auto"/>
        </w:rPr>
      </w:pPr>
    </w:p>
    <w:p>
      <w:pPr>
        <w:ind w:left="440" w:hanging="430"/>
        <w:spacing w:after="0"/>
        <w:tabs>
          <w:tab w:leader="none" w:pos="44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Information</w:t>
      </w:r>
    </w:p>
    <w:p>
      <w:pPr>
        <w:spacing w:after="0" w:line="173" w:lineRule="exact"/>
        <w:rPr>
          <w:sz w:val="20"/>
          <w:szCs w:val="20"/>
          <w:color w:val="auto"/>
        </w:rPr>
      </w:pPr>
    </w:p>
    <w:p>
      <w:pPr>
        <w:ind w:left="440" w:right="3239" w:hanging="436"/>
        <w:spacing w:after="0" w:line="254" w:lineRule="auto"/>
        <w:tabs>
          <w:tab w:leader="none" w:pos="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Restrictions on Proprietary Information. I agree that, during my employment and at all times thereafter, I will hold the Proprietary Information of the Company in strict confidence and will neither use the information nor disclose it to anyone, except to the extent necessary to carry out my responsibilities as an employee of the Company or as specifically authorized in writing by a duly authorized officer of the Company other than me. I understand that "Proprietary Information" means all information pertaining in any manner to the business of the Company or its affiliates, consultants, customers, business associates or members, unless (i) the information is or becomes generally known to the public through lawful means and through no fault of mine; (ii) the information was part of my general knowledge prior to the initial disclosure of the information by the Company or any person under a duty of confidentiality; or (iii) the information is disclosed to me without restriction by a third party who rightfully possesses the information and is under no duty of confidentiality. This definition of "Proprietary Information" includes but is not limited to any and all (a) technical or engineering information, know-how, computer codes, programs, tools, data, designs, diagrams, plans, specifications, trade secrets, inventions, concepts, structures, improvements, products, patents pending, prototypes, processes, formulas, algorithms, methods, techniques, works in process, systems, technologies or applications; (b) financial and other information about costs, profits, markets, sales, customers, subscribers, members, and bids; (c) plans for business, marketing, future development and new product concepts; and (d) employee personnel files and information about employee compensation and benefits; in any form and whether or not labeled or identified as confidential or proprietary. I agree that I will have the burden of proving the applicability of any of the foregoing exceptions.</w:t>
      </w:r>
    </w:p>
    <w:p>
      <w:pPr>
        <w:spacing w:after="0" w:line="346" w:lineRule="exact"/>
        <w:rPr>
          <w:sz w:val="20"/>
          <w:szCs w:val="20"/>
          <w:color w:val="auto"/>
        </w:rPr>
      </w:pPr>
    </w:p>
    <w:p>
      <w:pPr>
        <w:ind w:left="440" w:right="3319" w:hanging="436"/>
        <w:spacing w:after="0" w:line="236" w:lineRule="auto"/>
        <w:tabs>
          <w:tab w:leader="none" w:pos="420" w:val="left"/>
        </w:tabs>
        <w:rPr>
          <w:sz w:val="20"/>
          <w:szCs w:val="20"/>
          <w:color w:val="auto"/>
        </w:rPr>
      </w:pPr>
      <w:r>
        <w:rPr>
          <w:rFonts w:ascii="Courier New" w:cs="Courier New" w:eastAsia="Courier New" w:hAnsi="Courier New"/>
          <w:sz w:val="15"/>
          <w:szCs w:val="15"/>
          <w:color w:val="auto"/>
        </w:rPr>
        <w:t>1.2</w:t>
        <w:tab/>
        <w:t>Location and Reproduction. I agree to maintain at my work station and/or any other place under my control only such Proprietary Information as I have a current "need to know." I agree to return to the appropriate person or location or otherwise properly dispose of Proprietary Information once that need to know no longer exists. I also agree not to make copies or otherwise reproduce Proprietary Information unless there is a legitimate business need for reproduction.</w:t>
      </w:r>
    </w:p>
    <w:p>
      <w:pPr>
        <w:spacing w:after="0" w:line="176" w:lineRule="exact"/>
        <w:rPr>
          <w:sz w:val="20"/>
          <w:szCs w:val="20"/>
          <w:color w:val="auto"/>
        </w:rPr>
      </w:pPr>
    </w:p>
    <w:p>
      <w:pPr>
        <w:ind w:left="440" w:right="331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1.3</w:t>
        <w:tab/>
        <w:t>Prior Actions and Knowledge. Except as disclosed on Exhibit B-1 to this Agreement, I have no knowledge about the Company's business or Proprietary Information, other than information I have learned from the Company in the course of being hired and employed.</w:t>
      </w:r>
    </w:p>
    <w:p>
      <w:pPr>
        <w:spacing w:after="0" w:line="175" w:lineRule="exact"/>
        <w:rPr>
          <w:sz w:val="20"/>
          <w:szCs w:val="20"/>
          <w:color w:val="auto"/>
        </w:rPr>
      </w:pPr>
    </w:p>
    <w:p>
      <w:pPr>
        <w:jc w:val="both"/>
        <w:ind w:left="440" w:right="3239" w:hanging="436"/>
        <w:spacing w:after="0" w:line="235" w:lineRule="auto"/>
        <w:tabs>
          <w:tab w:leader="none" w:pos="420" w:val="left"/>
        </w:tabs>
        <w:rPr>
          <w:sz w:val="20"/>
          <w:szCs w:val="20"/>
          <w:color w:val="auto"/>
        </w:rPr>
      </w:pPr>
      <w:r>
        <w:rPr>
          <w:rFonts w:ascii="Courier New" w:cs="Courier New" w:eastAsia="Courier New" w:hAnsi="Courier New"/>
          <w:sz w:val="15"/>
          <w:szCs w:val="15"/>
          <w:color w:val="auto"/>
        </w:rPr>
        <w:t>1.4</w:t>
        <w:tab/>
        <w:t>Third Party Information. I recognize that the Company has received and will receive confidential or proprietary information from third parties. I will hold all such information in the strictest confidence and will not use the information or disclose it to anyone (except</w:t>
      </w:r>
    </w:p>
    <w:p>
      <w:pPr>
        <w:sectPr>
          <w:pgSz w:w="11900" w:h="16838" w:orient="portrait"/>
          <w:cols w:equalWidth="0" w:num="1">
            <w:col w:w="10239"/>
          </w:cols>
          <w:pgMar w:left="220" w:top="617" w:right="1440" w:bottom="1440" w:gutter="0" w:footer="0" w:header="0"/>
        </w:sectPr>
      </w:pPr>
    </w:p>
    <w:bookmarkStart w:id="173" w:name="page174"/>
    <w:bookmarkEnd w:id="173"/>
    <w:p>
      <w:pPr>
        <w:ind w:left="430" w:right="3499"/>
        <w:spacing w:after="0" w:line="234" w:lineRule="auto"/>
        <w:rPr>
          <w:sz w:val="20"/>
          <w:szCs w:val="20"/>
          <w:color w:val="auto"/>
        </w:rPr>
      </w:pPr>
      <w:r>
        <w:rPr>
          <w:rFonts w:ascii="Courier New" w:cs="Courier New" w:eastAsia="Courier New" w:hAnsi="Courier New"/>
          <w:sz w:val="15"/>
          <w:szCs w:val="15"/>
          <w:color w:val="auto"/>
        </w:rPr>
        <w:t>as necessary in carrying out my work for the Company consistent with the Company's agreement with such third party).</w:t>
      </w:r>
    </w:p>
    <w:p>
      <w:pPr>
        <w:spacing w:after="0" w:line="173"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1.5</w:t>
        <w:tab/>
        <w:t>Interference with Business. I acknowledge that because of my position in the Company, I will have access to the Company's confidential information and trade secrets. I agree that during my employment with the Company and for a period of one (1) year after termination of my employment with the Company, I shall not directly or indirectly (i) divert or attempt to divert from the Company (or any affiliate) any business of any kind, including without limitation the solicitation of or interference with any of its customers, clients, members, business partners or suppliers or (ii) solicit, induce, recruit or encourage any person employed by the Company to terminate his or her employment.</w:t>
      </w:r>
    </w:p>
    <w:p>
      <w:pPr>
        <w:spacing w:after="0" w:line="173" w:lineRule="exact"/>
        <w:rPr>
          <w:sz w:val="20"/>
          <w:szCs w:val="20"/>
          <w:color w:val="auto"/>
        </w:rPr>
      </w:pPr>
    </w:p>
    <w:p>
      <w:pPr>
        <w:ind w:left="430" w:hanging="430"/>
        <w:spacing w:after="0"/>
        <w:tabs>
          <w:tab w:leader="none" w:pos="43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w:t>
      </w:r>
    </w:p>
    <w:p>
      <w:pPr>
        <w:spacing w:after="0" w:line="173" w:lineRule="exact"/>
        <w:rPr>
          <w:sz w:val="20"/>
          <w:szCs w:val="20"/>
          <w:color w:val="auto"/>
        </w:rPr>
      </w:pPr>
    </w:p>
    <w:p>
      <w:pPr>
        <w:ind w:left="430" w:right="3239" w:hanging="436"/>
        <w:spacing w:after="0" w:line="237" w:lineRule="auto"/>
        <w:tabs>
          <w:tab w:leader="none" w:pos="410" w:val="left"/>
        </w:tabs>
        <w:rPr>
          <w:sz w:val="20"/>
          <w:szCs w:val="20"/>
          <w:color w:val="auto"/>
        </w:rPr>
      </w:pPr>
      <w:r>
        <w:rPr>
          <w:rFonts w:ascii="Courier New" w:cs="Courier New" w:eastAsia="Courier New" w:hAnsi="Courier New"/>
          <w:sz w:val="15"/>
          <w:szCs w:val="15"/>
          <w:color w:val="auto"/>
        </w:rPr>
        <w:t>2.1</w:t>
        <w:tab/>
        <w:t>Assignment of Inventions. I agree to assign and transfer to the Company, without further consideration, my entire right, title and interest (throughout Hong Kong, the United States and in all other countries or jurisdictions), free and clear of all liens and encumbrances, in and to all Inventions. Such assignment and transfer to the Company shall be continuous during my employment as of the relevant time of development of each such Invention. The Company may, in its sole discretion, agree to provide consideration for certain Inventions through a written agreement between the Company and the undersigned which specifically provides for such consideration; in all other cases, no consideration shall be paid. The Inventions shall be the sole property of the Company, whether or not copyrightable or patentable or in a commercial stage of development. In addition, I agree to maintain adequate and current written records on the development of all Inventions, which shall also remain the sole property of the Company.</w:t>
      </w:r>
    </w:p>
    <w:p>
      <w:pPr>
        <w:spacing w:after="0" w:line="174"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2.2</w:t>
        <w:tab/>
        <w:t>Inventions. "Inventions" collectively means any and all ideas, concepts, inventions, discoveries, developments, know-how, structures, designs, formulas, algorithms, methods, products, processes, systems and technologies in any stage of development that are conceived, developed or reduced to practice by me alone or with others; any and all patents, patents pending, copyrights, moral rights, trademarks and any other intellectual property rights therein; and any and all improvements, modifications, derivative works from, other rights in and claims related to any of the foregoing under the laws of any jurisdiction; except Inventions excluded in Exhibit B-1.</w:t>
      </w:r>
    </w:p>
    <w:p>
      <w:pPr>
        <w:spacing w:after="0" w:line="179" w:lineRule="exact"/>
        <w:rPr>
          <w:sz w:val="20"/>
          <w:szCs w:val="20"/>
          <w:color w:val="auto"/>
        </w:rPr>
      </w:pPr>
    </w:p>
    <w:p>
      <w:pPr>
        <w:jc w:val="both"/>
        <w:ind w:left="430" w:right="3319" w:hanging="436"/>
        <w:spacing w:after="0" w:line="254" w:lineRule="auto"/>
        <w:tabs>
          <w:tab w:leader="none" w:pos="41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Moral Rights. To the extent allowed by law, this assignment of inventions includes all rights of paternity, integrity, disclosure and withdrawal and any other rights that may be known as or referred to as "moral rights,"</w:t>
      </w:r>
    </w:p>
    <w:p>
      <w:pPr>
        <w:spacing w:after="0" w:line="1"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"artist's rights," "droit moral," or the like (collectively "Moral Rights"). To the extent I retain any such Moral Rights under applicable law, I hereby ratify and consent to any action that may be taken with respect to such Moral Rights by or authorized by the Company and agree not to assert any Moral Rights with respect thereto. I will confirm any such ratifications, consents and agreements from time to time as requested by the Company.</w:t>
      </w:r>
    </w:p>
    <w:p>
      <w:pPr>
        <w:spacing w:after="0" w:line="176" w:lineRule="exact"/>
        <w:rPr>
          <w:sz w:val="20"/>
          <w:szCs w:val="20"/>
          <w:color w:val="auto"/>
        </w:rPr>
      </w:pPr>
    </w:p>
    <w:p>
      <w:pPr>
        <w:ind w:left="430" w:right="323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2.4</w:t>
        <w:tab/>
        <w:t>License for Other Inventions. If, in the course of my employment with the Company, I incorporate into Company property an invention owned by me or in which I have an</w:t>
      </w:r>
    </w:p>
    <w:p>
      <w:pPr>
        <w:sectPr>
          <w:pgSz w:w="11900" w:h="16838" w:orient="portrait"/>
          <w:cols w:equalWidth="0" w:num="1">
            <w:col w:w="10229"/>
          </w:cols>
          <w:pgMar w:left="230" w:top="624" w:right="1440" w:bottom="1440" w:gutter="0" w:footer="0" w:header="0"/>
        </w:sectPr>
      </w:pPr>
    </w:p>
    <w:bookmarkStart w:id="174" w:name="page175"/>
    <w:bookmarkEnd w:id="174"/>
    <w:p>
      <w:pPr>
        <w:ind w:left="430" w:right="3239"/>
        <w:spacing w:after="0" w:line="236" w:lineRule="auto"/>
        <w:rPr>
          <w:sz w:val="20"/>
          <w:szCs w:val="20"/>
          <w:color w:val="auto"/>
        </w:rPr>
      </w:pPr>
      <w:r>
        <w:rPr>
          <w:rFonts w:ascii="Courier New" w:cs="Courier New" w:eastAsia="Courier New" w:hAnsi="Courier New"/>
          <w:sz w:val="15"/>
          <w:szCs w:val="15"/>
          <w:color w:val="auto"/>
        </w:rPr>
        <w:t>interest, the Company is hereby granted a nonexclusive, royalty-free, irrevocable, perpetual and transferable license throughout the universe to make, use, import, sell, copy, distribute, display, perform (whether or not publicly) such invention as part of and in connection with the Company property.</w:t>
      </w:r>
    </w:p>
    <w:p>
      <w:pPr>
        <w:spacing w:after="0" w:line="174" w:lineRule="exact"/>
        <w:rPr>
          <w:sz w:val="20"/>
          <w:szCs w:val="20"/>
          <w:color w:val="auto"/>
        </w:rPr>
      </w:pPr>
    </w:p>
    <w:p>
      <w:pPr>
        <w:ind w:left="430" w:right="3239" w:hanging="436"/>
        <w:spacing w:after="0" w:line="237" w:lineRule="auto"/>
        <w:tabs>
          <w:tab w:leader="none" w:pos="410" w:val="left"/>
        </w:tabs>
        <w:rPr>
          <w:sz w:val="20"/>
          <w:szCs w:val="20"/>
          <w:color w:val="auto"/>
        </w:rPr>
      </w:pPr>
      <w:r>
        <w:rPr>
          <w:rFonts w:ascii="Courier New" w:cs="Courier New" w:eastAsia="Courier New" w:hAnsi="Courier New"/>
          <w:sz w:val="15"/>
          <w:szCs w:val="15"/>
          <w:color w:val="auto"/>
        </w:rPr>
        <w:t>2.5</w:t>
        <w:tab/>
        <w:t>Assist With Registration. In the event any Invention shall be deemed by the Company to be copyrightable or patentable or otherwise registrable, I will assist the Company (at its expense) in obtaining and maintaining letters patent or other applicable registrations and in vesting the Company with full title. Should the Company be unable to secure my signature on any document necessary to apply for, prosecute, obtain, or enforce any patent, copyright, or other right or protection relating to any Invention, due to my in capacity or any other cause, I hereby irrevocably designate and appoint the Company and each of its duly authorized officers and agents as my agent and attorney-in-fact to do all lawfully permitted acts to further the prosecution, issuance, and enforcement of patents, copyrights, or other rights or protection with the same force and effect as if executed and delivered by me.</w:t>
      </w:r>
    </w:p>
    <w:p>
      <w:pPr>
        <w:spacing w:after="0" w:line="173"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2.6</w:t>
        <w:tab/>
        <w:t>Disclosure. I agree to disclose promptly to the Company all Inventions and relevant records. I further agree to promptly disclose to the Company any idea that I do not believe to be an Invention, but is conceived, developed, or reduced to practice by me (alone or with others) while I am employed by the Company or during the one-year period following termination of my employment. I will disclose the idea, along with all information and records pertaining to the idea, and the Company will examine the disclosure in confidence to determine if in fact it is an Invention subject to this Agreement.</w:t>
      </w:r>
    </w:p>
    <w:p>
      <w:pPr>
        <w:spacing w:after="0" w:line="178" w:lineRule="exact"/>
        <w:rPr>
          <w:sz w:val="20"/>
          <w:szCs w:val="20"/>
          <w:color w:val="auto"/>
        </w:rPr>
      </w:pPr>
    </w:p>
    <w:p>
      <w:pPr>
        <w:ind w:left="430" w:right="323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Post-Termination Period. I agree that any idea, invention, writing, discovery, patent, copyright, or trademark or similar item, or improvement shall be presumed to be an Invention if it is conceived, developed, used, sold, exploited, or reduced to practice by me or with my aid within one (1) year after my termination of employment with the Company. I can rebut the above presumption if I prove that the idea, invention, writing, discovery, patent, copyright, or trademark or similar item, or improvement is not an Invention covered by this Agreement.</w:t>
      </w:r>
    </w:p>
    <w:p>
      <w:pPr>
        <w:spacing w:after="0" w:line="159" w:lineRule="exact"/>
        <w:rPr>
          <w:sz w:val="20"/>
          <w:szCs w:val="20"/>
          <w:color w:val="auto"/>
        </w:rPr>
      </w:pPr>
    </w:p>
    <w:p>
      <w:pPr>
        <w:ind w:left="430" w:hanging="430"/>
        <w:spacing w:after="0"/>
        <w:tabs>
          <w:tab w:leader="none" w:pos="43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Former or Conflicting Agreements</w:t>
      </w:r>
    </w:p>
    <w:p>
      <w:pPr>
        <w:spacing w:after="0" w:line="173"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3.1</w:t>
        <w:tab/>
        <w:t>Former Agreements. I represent and warrant that my performance of the terms of this Agreement will not breach any agreement to keep in confidence proprietary information acquired by me prior to my employment by the Company. I have listed in Exhibit B-1 all other agreements concerning proprietary information or inventions to which I am a party and attached copies of any agreements in my possession. To the best of my knowledge, there is no other contract between me and any other person or entity that is in conflict with this Agreement or concerns proprietary information, inventions or assignment of ideas.</w:t>
      </w:r>
    </w:p>
    <w:p>
      <w:pPr>
        <w:spacing w:after="0" w:line="178" w:lineRule="exact"/>
        <w:rPr>
          <w:sz w:val="20"/>
          <w:szCs w:val="20"/>
          <w:color w:val="auto"/>
        </w:rPr>
      </w:pPr>
    </w:p>
    <w:p>
      <w:pPr>
        <w:ind w:left="430" w:right="3239" w:hanging="436"/>
        <w:spacing w:after="0" w:line="255" w:lineRule="auto"/>
        <w:tabs>
          <w:tab w:leader="none" w:pos="41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Prohibition on Use of Third Party Information. I represent and warrant and covenant that I will not disclose to the Company, or use, or induce the Company to use, any proprietary information or trade secrets of others at any time, including but not limited to any proprietary information or trade secrets of any former employer, if any. I acknowledge and agree that any violation of this provision shall be grounds for my immediate</w:t>
      </w:r>
    </w:p>
    <w:p>
      <w:pPr>
        <w:sectPr>
          <w:pgSz w:w="11900" w:h="16838" w:orient="portrait"/>
          <w:cols w:equalWidth="0" w:num="1">
            <w:col w:w="10229"/>
          </w:cols>
          <w:pgMar w:left="230" w:top="624" w:right="1440" w:bottom="1440" w:gutter="0" w:footer="0" w:header="0"/>
        </w:sectPr>
      </w:pPr>
    </w:p>
    <w:bookmarkStart w:id="175" w:name="page176"/>
    <w:bookmarkEnd w:id="175"/>
    <w:p>
      <w:pPr>
        <w:ind w:left="430" w:right="3239"/>
        <w:spacing w:after="0" w:line="236" w:lineRule="auto"/>
        <w:rPr>
          <w:sz w:val="20"/>
          <w:szCs w:val="20"/>
          <w:color w:val="auto"/>
        </w:rPr>
      </w:pPr>
      <w:r>
        <w:rPr>
          <w:rFonts w:ascii="Courier New" w:cs="Courier New" w:eastAsia="Courier New" w:hAnsi="Courier New"/>
          <w:sz w:val="15"/>
          <w:szCs w:val="15"/>
          <w:color w:val="auto"/>
        </w:rPr>
        <w:t>termination and could subject me to substantial civil liabilities and criminal penalties. I further specifically and expressly acknowledge that no officer or other employee or representative of the Company has requested or instructed me to disclose or use any such third party proprietary information or trade secrets.</w:t>
      </w:r>
    </w:p>
    <w:p>
      <w:pPr>
        <w:spacing w:after="0" w:line="167" w:lineRule="exact"/>
        <w:rPr>
          <w:sz w:val="20"/>
          <w:szCs w:val="20"/>
          <w:color w:val="auto"/>
        </w:rPr>
      </w:pPr>
    </w:p>
    <w:p>
      <w:pPr>
        <w:ind w:left="430" w:hanging="430"/>
        <w:spacing w:after="0"/>
        <w:tabs>
          <w:tab w:leader="none" w:pos="43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left="430" w:right="3239" w:hanging="436"/>
        <w:spacing w:after="0" w:line="236" w:lineRule="auto"/>
        <w:tabs>
          <w:tab w:leader="none" w:pos="410" w:val="left"/>
        </w:tabs>
        <w:rPr>
          <w:sz w:val="20"/>
          <w:szCs w:val="20"/>
          <w:color w:val="auto"/>
        </w:rPr>
      </w:pPr>
      <w:r>
        <w:rPr>
          <w:rFonts w:ascii="Courier New" w:cs="Courier New" w:eastAsia="Courier New" w:hAnsi="Courier New"/>
          <w:sz w:val="15"/>
          <w:szCs w:val="15"/>
          <w:color w:val="auto"/>
        </w:rPr>
        <w:t>4.1</w:t>
        <w:tab/>
        <w:t>Return of the Company's Property. I agree to promptly return to the Company upon termination of my employment all Proprietary Information and all personal property furnished to or prepared by me in the course of or incident to my employment. Following my termination, I will not retain any written or other tangible material containing any Proprietary Information or information pertaining to any Invention.</w:t>
      </w:r>
    </w:p>
    <w:p>
      <w:pPr>
        <w:spacing w:after="0" w:line="175" w:lineRule="exact"/>
        <w:rPr>
          <w:sz w:val="20"/>
          <w:szCs w:val="20"/>
          <w:color w:val="auto"/>
        </w:rPr>
      </w:pPr>
    </w:p>
    <w:p>
      <w:pPr>
        <w:ind w:left="430" w:right="331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4.2</w:t>
        <w:tab/>
        <w:t>Termination Certificate. In the event of the termination of my employment, I agree, if requested by the Company, to sign and deliver the Termination Certificate attached as to the Employment Contract for Executives as Exhibit A.</w:t>
      </w:r>
    </w:p>
    <w:p>
      <w:pPr>
        <w:spacing w:after="0" w:line="175" w:lineRule="exact"/>
        <w:rPr>
          <w:sz w:val="20"/>
          <w:szCs w:val="20"/>
          <w:color w:val="auto"/>
        </w:rPr>
      </w:pPr>
    </w:p>
    <w:p>
      <w:pPr>
        <w:ind w:left="430" w:right="3399" w:hanging="436"/>
        <w:spacing w:after="0" w:line="235" w:lineRule="auto"/>
        <w:tabs>
          <w:tab w:leader="none" w:pos="410" w:val="left"/>
        </w:tabs>
        <w:rPr>
          <w:sz w:val="20"/>
          <w:szCs w:val="20"/>
          <w:color w:val="auto"/>
        </w:rPr>
      </w:pPr>
      <w:r>
        <w:rPr>
          <w:rFonts w:ascii="Courier New" w:cs="Courier New" w:eastAsia="Courier New" w:hAnsi="Courier New"/>
          <w:sz w:val="15"/>
          <w:szCs w:val="15"/>
          <w:color w:val="auto"/>
        </w:rPr>
        <w:t>4.3</w:t>
        <w:tab/>
        <w:t>Subsequent Employers. I agree that after the termination of my employment with the Company, I will not enter into any agreement that conflicts with my obligations under this Agreement and will inform any subsequent employers of my obligations under this Agreement.</w:t>
      </w:r>
    </w:p>
    <w:p>
      <w:pPr>
        <w:spacing w:after="0" w:line="169" w:lineRule="exact"/>
        <w:rPr>
          <w:sz w:val="20"/>
          <w:szCs w:val="20"/>
          <w:color w:val="auto"/>
        </w:rPr>
      </w:pPr>
    </w:p>
    <w:p>
      <w:pPr>
        <w:ind w:left="430" w:hanging="430"/>
        <w:spacing w:after="0"/>
        <w:tabs>
          <w:tab w:leader="none" w:pos="43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Employment Rights</w:t>
      </w:r>
    </w:p>
    <w:p>
      <w:pPr>
        <w:spacing w:after="0" w:line="172"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 recognize that nothing in this Agreement shall be construed to imply that my employment is guaranteed for any period of time. Unless stated in a written agreement signed by a duly authorized officer of the Company, my employment is for an indefinite duration and at-will, and either the Company or I can terminate our employment relationship at any time, without notice and for any reason or no reason, with or without cause.</w:t>
      </w:r>
    </w:p>
    <w:p>
      <w:pPr>
        <w:spacing w:after="0" w:line="159"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recognize that nothing in this Agreement is intended to limit any remedy of the Company under any law concerning trade secrets. I recognize that my violation of this Agreement could cause the Company irreparable harm and agree that the Company shall have the right to apply to any court of competent jurisdiction for an order restraining any breach or threatened breach of this Agreement.</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2"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acknowledge and agree that my performance is personal hereunder, and that I shall have no right to assign and shall not assign or purport to assign any rights or obligations under this Agreement. This Agreement may be assigned or transferred by the Company.</w:t>
      </w:r>
    </w:p>
    <w:p>
      <w:pPr>
        <w:sectPr>
          <w:pgSz w:w="11900" w:h="16838" w:orient="portrait"/>
          <w:cols w:equalWidth="0" w:num="1">
            <w:col w:w="10229"/>
          </w:cols>
          <w:pgMar w:left="230" w:top="624" w:right="1440" w:bottom="1440" w:gutter="0" w:footer="0" w:header="0"/>
        </w:sectPr>
      </w:pPr>
    </w:p>
    <w:bookmarkStart w:id="176" w:name="page177"/>
    <w:bookmarkEnd w:id="176"/>
    <w:p>
      <w:pPr>
        <w:ind w:left="430" w:hanging="430"/>
        <w:spacing w:after="0"/>
        <w:tabs>
          <w:tab w:leader="none" w:pos="43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and Applicable Law</w:t>
      </w:r>
    </w:p>
    <w:p>
      <w:pPr>
        <w:spacing w:after="0" w:line="172" w:lineRule="exact"/>
        <w:rPr>
          <w:rFonts w:ascii="Courier New" w:cs="Courier New" w:eastAsia="Courier New" w:hAnsi="Courier New"/>
          <w:sz w:val="15"/>
          <w:szCs w:val="15"/>
          <w:color w:val="auto"/>
        </w:rPr>
      </w:pPr>
    </w:p>
    <w:p>
      <w:pPr>
        <w:ind w:left="43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Hong Kong, and the parties hereto submit to the non-exclusive jurisdiction of the Hong Kong court.</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72"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this Agreement that is invalid or unenforceable because of any legislation or ruling of any court of competent jurisdiction shall not render the whole Agreement void but shall only be:</w:t>
      </w:r>
    </w:p>
    <w:p>
      <w:pPr>
        <w:spacing w:after="0" w:line="173" w:lineRule="exact"/>
        <w:rPr>
          <w:rFonts w:ascii="Courier New" w:cs="Courier New" w:eastAsia="Courier New" w:hAnsi="Courier New"/>
          <w:sz w:val="15"/>
          <w:szCs w:val="15"/>
          <w:color w:val="auto"/>
        </w:rPr>
      </w:pPr>
    </w:p>
    <w:p>
      <w:pPr>
        <w:ind w:left="870" w:right="3839" w:hanging="433"/>
        <w:spacing w:after="0" w:line="234" w:lineRule="auto"/>
        <w:tabs>
          <w:tab w:leader="none" w:pos="87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varied to such an extent so as to make it valid and enforceable without affecting other provisions, or</w:t>
      </w:r>
    </w:p>
    <w:p>
      <w:pPr>
        <w:spacing w:after="0" w:line="173" w:lineRule="exact"/>
        <w:rPr>
          <w:rFonts w:ascii="Courier New" w:cs="Courier New" w:eastAsia="Courier New" w:hAnsi="Courier New"/>
          <w:sz w:val="15"/>
          <w:szCs w:val="15"/>
          <w:color w:val="auto"/>
        </w:rPr>
      </w:pPr>
    </w:p>
    <w:p>
      <w:pPr>
        <w:ind w:left="870" w:right="3319" w:hanging="433"/>
        <w:spacing w:after="0" w:line="235" w:lineRule="auto"/>
        <w:tabs>
          <w:tab w:leader="none" w:pos="87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variation is impossible, excluded from this Agreement as if it had not existed at the time of signing of this Agreement while the other provisions remain valid and subsisting.</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2"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along with any other agreements specifically referenced herein including the Employment Contract, is intended to be the final, complete, and exclusive statement of the terms of my employment by the Company and may not be contradicted by evidence of any prior or contemporaneous statements or agreements, except for agreements specifically referenced herein. To the extent that the practices, policies or procedures of the Company, now or in the future, apply to me and are inconsistent with the terms of this Agreement, the provisions of this Agreement shall control. The termination of any employment or other agreement between the Company and me shall not terminate this Agreement and each and all of the terms and conditions hereof shall survive and remain in full force and effect.</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Waivers</w:t>
      </w:r>
    </w:p>
    <w:p>
      <w:pPr>
        <w:spacing w:after="0" w:line="172"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amended only a written agreement signed by me and a duly authorized representative of the Company other than me. This Agreement has been reviewed by me and the Company and shall be deemed to be the product of the parties. Failure to exercise any right under this Agreement shall not constitute a waiver of such right.</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2"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construed as a whole, according to its fair meaning, and not in favor of or against any party. Sections and section headings contained in this Agreement are for reference purposes only, and shall not affect in any manner the meaning of interpretation of this Agreement. Whenever the context requires, references to the singular shall include the plural and the plural the singular and any gender shall include any other gender.</w:t>
      </w:r>
    </w:p>
    <w:p>
      <w:pPr>
        <w:sectPr>
          <w:pgSz w:w="11900" w:h="16838" w:orient="portrait"/>
          <w:cols w:equalWidth="0" w:num="1">
            <w:col w:w="10229"/>
          </w:cols>
          <w:pgMar w:left="230" w:top="617" w:right="1440" w:bottom="1440" w:gutter="0" w:footer="0" w:header="0"/>
        </w:sectPr>
      </w:pPr>
    </w:p>
    <w:bookmarkStart w:id="177" w:name="page178"/>
    <w:bookmarkEnd w:id="177"/>
    <w:p>
      <w:pPr>
        <w:ind w:left="440" w:hanging="430"/>
        <w:spacing w:after="0"/>
        <w:tabs>
          <w:tab w:leader="none" w:pos="44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w:t>
      </w:r>
    </w:p>
    <w:p>
      <w:pPr>
        <w:spacing w:after="0" w:line="172" w:lineRule="exact"/>
        <w:rPr>
          <w:rFonts w:ascii="Courier New" w:cs="Courier New" w:eastAsia="Courier New" w:hAnsi="Courier New"/>
          <w:sz w:val="15"/>
          <w:szCs w:val="15"/>
          <w:color w:val="auto"/>
        </w:rPr>
      </w:pPr>
    </w:p>
    <w:p>
      <w:pPr>
        <w:ind w:left="44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Subject to the foregoing restrictions on assignment, this Agreement shall inure to the benefit of the Company and its affiliates, officers, directors, agents, successors and assigns; and shall be binding on me and my heirs, devisees, spouses, agents, legal representatives and successors.</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 HAVE READ THIS AGREEMENT CAREFULLY AND UNDERSTAND ITS TERMS. I HAVE COMPLETELY NOTED ON EXHIBIT B-1 TO THIS AGREEMENT ANY PROPRIETARY INFORMATION, IDEAS, PROCESSES, INVENTIONS, TECHNOLOGY, WRITINGS, PROGRAMS, DESIGNS, FORMULAS, DISCOVERIES, PATENTS, COPYRIGHTS, OR TRADEMARKS, OR IMPROVEMENTS, RIGHTS, OR CLAIMS RELATING TO THE FOREGOING, THAT I DESIRE TO EXCLUDE FROM THIS AGREEMENT.</w:t>
      </w:r>
    </w:p>
    <w:p>
      <w:pPr>
        <w:spacing w:after="0" w:line="3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 June 25, 2003</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Michael Tong</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Employee Name</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Michael Tong</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Employee Signature</w:t>
      </w:r>
    </w:p>
    <w:p>
      <w:pPr>
        <w:sectPr>
          <w:pgSz w:w="11900" w:h="16838" w:orient="portrait"/>
          <w:cols w:equalWidth="0" w:num="1">
            <w:col w:w="10239"/>
          </w:cols>
          <w:pgMar w:left="220" w:top="617" w:right="1440" w:bottom="1440" w:gutter="0" w:footer="0" w:header="0"/>
        </w:sectPr>
      </w:pPr>
    </w:p>
    <w:bookmarkStart w:id="178" w:name="page179"/>
    <w:bookmarkEnd w:id="178"/>
    <w:p>
      <w:pPr>
        <w:jc w:val="center"/>
        <w:ind w:right="3149"/>
        <w:spacing w:after="0"/>
        <w:rPr>
          <w:sz w:val="20"/>
          <w:szCs w:val="20"/>
          <w:color w:val="auto"/>
        </w:rPr>
      </w:pPr>
      <w:r>
        <w:rPr>
          <w:rFonts w:ascii="Courier New" w:cs="Courier New" w:eastAsia="Courier New" w:hAnsi="Courier New"/>
          <w:sz w:val="15"/>
          <w:szCs w:val="15"/>
          <w:color w:val="auto"/>
        </w:rPr>
        <w:t>EXHIBIT B-1</w:t>
      </w:r>
    </w:p>
    <w:p>
      <w:pPr>
        <w:spacing w:after="0" w:line="166" w:lineRule="exact"/>
        <w:rPr>
          <w:sz w:val="20"/>
          <w:szCs w:val="20"/>
          <w:color w:val="auto"/>
        </w:rPr>
      </w:pPr>
    </w:p>
    <w:p>
      <w:pPr>
        <w:ind w:left="2630"/>
        <w:spacing w:after="0"/>
        <w:rPr>
          <w:sz w:val="20"/>
          <w:szCs w:val="20"/>
          <w:color w:val="auto"/>
        </w:rPr>
      </w:pPr>
      <w:r>
        <w:rPr>
          <w:rFonts w:ascii="Courier New" w:cs="Courier New" w:eastAsia="Courier New" w:hAnsi="Courier New"/>
          <w:sz w:val="15"/>
          <w:szCs w:val="15"/>
          <w:color w:val="auto"/>
        </w:rPr>
        <w:t>EMPLOYEE'S DISCLOSURE</w:t>
      </w:r>
    </w:p>
    <w:p>
      <w:pPr>
        <w:ind w:left="263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30" w:right="3239" w:hanging="430"/>
        <w:spacing w:after="0" w:line="254" w:lineRule="auto"/>
        <w:tabs>
          <w:tab w:leader="none" w:pos="43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Proprietary Information. Except as set forth below, I acknowledge that at this time I know nothing about the business or Proprietary Information of Company (the "Company"), other than information I have learned from the Company in the course of being hired: _____________________________________</w:t>
      </w:r>
    </w:p>
    <w:p>
      <w:pPr>
        <w:spacing w:after="0" w:line="1" w:lineRule="exact"/>
        <w:rPr>
          <w:rFonts w:ascii="Courier New" w:cs="Courier New" w:eastAsia="Courier New" w:hAnsi="Courier New"/>
          <w:sz w:val="14"/>
          <w:szCs w:val="14"/>
          <w:color w:val="auto"/>
        </w:rPr>
      </w:pPr>
    </w:p>
    <w:p>
      <w:pPr>
        <w:ind w:left="4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430" w:right="3239" w:hanging="430"/>
        <w:spacing w:after="0" w:line="254" w:lineRule="auto"/>
        <w:tabs>
          <w:tab w:leader="none" w:pos="43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Inventions. Except as set forth below, there are no ideas, concepts, inventions, discoveries, developments, know-how, structures, designs, formulas, algorithms, methods, products, processes, systems and technologies in any stage of development that are conceived, developed or reduced to practice by me alone or with others; any patents, patents pending, copyrights, moral rights, trademarks and any other intellectual property rights therein; or any improvements, modifications, derivative works from, other rights in and claims related to any of the foregoing under the laws of any jurisdiction, that I wish to exclude from the operation of this Agreement: ______________________________________________</w:t>
      </w:r>
    </w:p>
    <w:p>
      <w:pPr>
        <w:spacing w:after="0" w:line="3" w:lineRule="exact"/>
        <w:rPr>
          <w:rFonts w:ascii="Courier New" w:cs="Courier New" w:eastAsia="Courier New" w:hAnsi="Courier New"/>
          <w:sz w:val="14"/>
          <w:szCs w:val="14"/>
          <w:color w:val="auto"/>
        </w:rPr>
      </w:pPr>
    </w:p>
    <w:p>
      <w:pPr>
        <w:ind w:left="4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9" w:lineRule="exact"/>
        <w:rPr>
          <w:rFonts w:ascii="Courier New" w:cs="Courier New" w:eastAsia="Courier New" w:hAnsi="Courier New"/>
          <w:sz w:val="14"/>
          <w:szCs w:val="14"/>
          <w:color w:val="auto"/>
        </w:rPr>
      </w:pPr>
    </w:p>
    <w:p>
      <w:pPr>
        <w:ind w:left="4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9" w:lineRule="exact"/>
        <w:rPr>
          <w:rFonts w:ascii="Courier New" w:cs="Courier New" w:eastAsia="Courier New" w:hAnsi="Courier New"/>
          <w:sz w:val="14"/>
          <w:szCs w:val="14"/>
          <w:color w:val="auto"/>
        </w:rPr>
      </w:pPr>
    </w:p>
    <w:p>
      <w:pPr>
        <w:ind w:left="4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9" w:lineRule="exact"/>
        <w:rPr>
          <w:rFonts w:ascii="Courier New" w:cs="Courier New" w:eastAsia="Courier New" w:hAnsi="Courier New"/>
          <w:sz w:val="14"/>
          <w:szCs w:val="14"/>
          <w:color w:val="auto"/>
        </w:rPr>
      </w:pPr>
    </w:p>
    <w:p>
      <w:pPr>
        <w:ind w:left="4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w:t>
      </w:r>
    </w:p>
    <w:p>
      <w:pPr>
        <w:spacing w:after="0" w:line="345" w:lineRule="exact"/>
        <w:rPr>
          <w:rFonts w:ascii="Courier New" w:cs="Courier New" w:eastAsia="Courier New" w:hAnsi="Courier New"/>
          <w:sz w:val="14"/>
          <w:szCs w:val="14"/>
          <w:color w:val="auto"/>
        </w:rPr>
      </w:pPr>
    </w:p>
    <w:p>
      <w:pPr>
        <w:ind w:left="430" w:right="3239" w:hanging="430"/>
        <w:spacing w:after="0" w:line="235" w:lineRule="auto"/>
        <w:tabs>
          <w:tab w:leader="none" w:pos="43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Agreements. Except as set forth below, I am aware of no prior agreements between me and any other person or entity concerning proprietary information or inventions (attach copies of all agreements in your possession):</w:t>
      </w:r>
    </w:p>
    <w:p>
      <w:pPr>
        <w:spacing w:after="0" w:line="175"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w:t>
      </w:r>
    </w:p>
    <w:p>
      <w:pPr>
        <w:spacing w:after="0" w:line="9"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w:t>
      </w:r>
    </w:p>
    <w:p>
      <w:pPr>
        <w:spacing w:after="0" w:line="9"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w:t>
      </w:r>
    </w:p>
    <w:p>
      <w:pPr>
        <w:spacing w:after="0" w:line="9"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___________________________________________________________________________</w:t>
      </w:r>
    </w:p>
    <w:p>
      <w:pPr>
        <w:spacing w:after="0" w:line="171"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June 25, 2003</w:t>
      </w:r>
    </w:p>
    <w:p>
      <w:pPr>
        <w:spacing w:after="0" w:line="166" w:lineRule="exact"/>
        <w:rPr>
          <w:sz w:val="20"/>
          <w:szCs w:val="20"/>
          <w:color w:val="auto"/>
        </w:rPr>
      </w:pPr>
    </w:p>
    <w:p>
      <w:pPr>
        <w:ind w:left="3850"/>
        <w:spacing w:after="0"/>
        <w:rPr>
          <w:sz w:val="20"/>
          <w:szCs w:val="20"/>
          <w:color w:val="auto"/>
        </w:rPr>
      </w:pPr>
      <w:r>
        <w:rPr>
          <w:rFonts w:ascii="Courier New" w:cs="Courier New" w:eastAsia="Courier New" w:hAnsi="Courier New"/>
          <w:sz w:val="15"/>
          <w:szCs w:val="15"/>
          <w:color w:val="auto"/>
        </w:rPr>
        <w:t>Michael Tong</w:t>
      </w:r>
    </w:p>
    <w:p>
      <w:pPr>
        <w:spacing w:after="0" w:line="5" w:lineRule="exact"/>
        <w:rPr>
          <w:sz w:val="20"/>
          <w:szCs w:val="20"/>
          <w:color w:val="auto"/>
        </w:rPr>
      </w:pPr>
    </w:p>
    <w:p>
      <w:pPr>
        <w:ind w:left="385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50"/>
        <w:spacing w:after="0"/>
        <w:rPr>
          <w:sz w:val="20"/>
          <w:szCs w:val="20"/>
          <w:color w:val="auto"/>
        </w:rPr>
      </w:pPr>
      <w:r>
        <w:rPr>
          <w:rFonts w:ascii="Courier New" w:cs="Courier New" w:eastAsia="Courier New" w:hAnsi="Courier New"/>
          <w:sz w:val="15"/>
          <w:szCs w:val="15"/>
          <w:color w:val="auto"/>
        </w:rPr>
        <w:t>Employee Name</w:t>
      </w:r>
    </w:p>
    <w:p>
      <w:pPr>
        <w:spacing w:after="0" w:line="166" w:lineRule="exact"/>
        <w:rPr>
          <w:sz w:val="20"/>
          <w:szCs w:val="20"/>
          <w:color w:val="auto"/>
        </w:rPr>
      </w:pPr>
    </w:p>
    <w:p>
      <w:pPr>
        <w:ind w:left="3850"/>
        <w:spacing w:after="0"/>
        <w:rPr>
          <w:sz w:val="20"/>
          <w:szCs w:val="20"/>
          <w:color w:val="auto"/>
        </w:rPr>
      </w:pPr>
      <w:r>
        <w:rPr>
          <w:rFonts w:ascii="Courier New" w:cs="Courier New" w:eastAsia="Courier New" w:hAnsi="Courier New"/>
          <w:sz w:val="15"/>
          <w:szCs w:val="15"/>
          <w:color w:val="auto"/>
        </w:rPr>
        <w:t>/s/ Michael Tong</w:t>
      </w:r>
    </w:p>
    <w:p>
      <w:pPr>
        <w:spacing w:after="0" w:line="5" w:lineRule="exact"/>
        <w:rPr>
          <w:sz w:val="20"/>
          <w:szCs w:val="20"/>
          <w:color w:val="auto"/>
        </w:rPr>
      </w:pPr>
    </w:p>
    <w:p>
      <w:pPr>
        <w:ind w:left="385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50"/>
        <w:spacing w:after="0"/>
        <w:rPr>
          <w:sz w:val="20"/>
          <w:szCs w:val="20"/>
          <w:color w:val="auto"/>
        </w:rPr>
      </w:pPr>
      <w:r>
        <w:rPr>
          <w:rFonts w:ascii="Courier New" w:cs="Courier New" w:eastAsia="Courier New" w:hAnsi="Courier New"/>
          <w:sz w:val="15"/>
          <w:szCs w:val="15"/>
          <w:color w:val="auto"/>
        </w:rPr>
        <w:t>Employee Signature</w:t>
      </w:r>
    </w:p>
    <w:p>
      <w:pPr>
        <w:sectPr>
          <w:pgSz w:w="11900" w:h="16838" w:orient="portrait"/>
          <w:cols w:equalWidth="0" w:num="1">
            <w:col w:w="10229"/>
          </w:cols>
          <w:pgMar w:left="230" w:top="617" w:right="1440" w:bottom="1440" w:gutter="0" w:footer="0" w:header="0"/>
        </w:sectPr>
      </w:pPr>
    </w:p>
    <w:bookmarkStart w:id="179" w:name="page180"/>
    <w:bookmarkEnd w:id="179"/>
    <w:p>
      <w:pPr>
        <w:jc w:val="right"/>
        <w:ind w:right="3239"/>
        <w:spacing w:after="0"/>
        <w:rPr>
          <w:sz w:val="20"/>
          <w:szCs w:val="20"/>
          <w:color w:val="auto"/>
        </w:rPr>
      </w:pPr>
      <w:r>
        <w:rPr>
          <w:rFonts w:ascii="Courier New" w:cs="Courier New" w:eastAsia="Courier New" w:hAnsi="Courier New"/>
          <w:sz w:val="15"/>
          <w:szCs w:val="15"/>
          <w:color w:val="auto"/>
        </w:rPr>
        <w:t>Exhibit 4.24</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Dated the 31st day of Oct. 2002</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Beijing Oriental Plaza Co., Ltd.</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[Chinese Company Name]</w:t>
      </w:r>
    </w:p>
    <w:p>
      <w:pPr>
        <w:spacing w:after="0" w:line="16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and</w:t>
      </w:r>
    </w:p>
    <w:p>
      <w:pPr>
        <w:spacing w:after="0" w:line="17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Netease Information Technology (Beijing) Co. Ltd.</w:t>
      </w:r>
    </w:p>
    <w:p>
      <w:pPr>
        <w:spacing w:after="0" w:line="171"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[Chinese Company Name]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_________________________________________________</w:t>
      </w:r>
    </w:p>
    <w:p>
      <w:pPr>
        <w:spacing w:after="0" w:line="166"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TENANCY AGREEMENT</w:t>
      </w:r>
    </w:p>
    <w:p>
      <w:pPr>
        <w:jc w:val="center"/>
        <w:ind w:right="4359"/>
        <w:spacing w:after="0" w:line="237" w:lineRule="auto"/>
        <w:rPr>
          <w:sz w:val="20"/>
          <w:szCs w:val="20"/>
          <w:color w:val="auto"/>
        </w:rPr>
      </w:pPr>
      <w:r>
        <w:rPr>
          <w:rFonts w:ascii="Courier New" w:cs="Courier New" w:eastAsia="Courier New" w:hAnsi="Courier New"/>
          <w:sz w:val="15"/>
          <w:szCs w:val="15"/>
          <w:color w:val="auto"/>
        </w:rPr>
        <w:t>in respect of</w:t>
      </w:r>
    </w:p>
    <w:p>
      <w:pPr>
        <w:spacing w:after="0" w:line="16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Units 1-6 on Level 19, Office Tower E3,</w:t>
      </w:r>
    </w:p>
    <w:p>
      <w:pPr>
        <w:jc w:val="center"/>
        <w:ind w:right="4359"/>
        <w:spacing w:after="0" w:line="237" w:lineRule="auto"/>
        <w:rPr>
          <w:sz w:val="20"/>
          <w:szCs w:val="20"/>
          <w:color w:val="auto"/>
        </w:rPr>
      </w:pPr>
      <w:r>
        <w:rPr>
          <w:rFonts w:ascii="Courier New" w:cs="Courier New" w:eastAsia="Courier New" w:hAnsi="Courier New"/>
          <w:sz w:val="15"/>
          <w:szCs w:val="15"/>
          <w:color w:val="auto"/>
        </w:rPr>
        <w:t>The Towers, Oriental Plaza,</w:t>
      </w:r>
    </w:p>
    <w:p>
      <w:pPr>
        <w:jc w:val="center"/>
        <w:ind w:right="4359"/>
        <w:spacing w:after="0" w:line="238" w:lineRule="auto"/>
        <w:rPr>
          <w:sz w:val="20"/>
          <w:szCs w:val="20"/>
          <w:color w:val="auto"/>
        </w:rPr>
      </w:pPr>
      <w:r>
        <w:rPr>
          <w:rFonts w:ascii="Courier New" w:cs="Courier New" w:eastAsia="Courier New" w:hAnsi="Courier New"/>
          <w:sz w:val="15"/>
          <w:szCs w:val="15"/>
          <w:color w:val="auto"/>
        </w:rPr>
        <w:t>No. 1 East Chang An Avenue,</w:t>
      </w:r>
    </w:p>
    <w:p>
      <w:pPr>
        <w:jc w:val="center"/>
        <w:ind w:right="4359"/>
        <w:spacing w:after="0" w:line="237" w:lineRule="auto"/>
        <w:rPr>
          <w:sz w:val="20"/>
          <w:szCs w:val="20"/>
          <w:color w:val="auto"/>
        </w:rPr>
      </w:pPr>
      <w:r>
        <w:rPr>
          <w:rFonts w:ascii="Courier New" w:cs="Courier New" w:eastAsia="Courier New" w:hAnsi="Courier New"/>
          <w:sz w:val="15"/>
          <w:szCs w:val="15"/>
          <w:color w:val="auto"/>
        </w:rPr>
        <w:t>Dong Cheng District, Beijing, 100738, China</w:t>
      </w:r>
    </w:p>
    <w:p>
      <w:pPr>
        <w:ind w:left="18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w:t>
      </w:r>
    </w:p>
    <w:p>
      <w:pPr>
        <w:sectPr>
          <w:pgSz w:w="11900" w:h="16838" w:orient="portrait"/>
          <w:cols w:equalWidth="0" w:num="1">
            <w:col w:w="9019"/>
          </w:cols>
          <w:pgMar w:left="1440" w:top="471" w:right="1440" w:bottom="1440" w:gutter="0" w:footer="0" w:header="0"/>
        </w:sectPr>
      </w:pPr>
    </w:p>
    <w:bookmarkStart w:id="180" w:name="page181"/>
    <w:bookmarkEnd w:id="180"/>
    <w:p>
      <w:pPr>
        <w:spacing w:after="0"/>
        <w:tabs>
          <w:tab w:leader="none" w:pos="3140" w:val="left"/>
          <w:tab w:leader="none" w:pos="5420" w:val="left"/>
        </w:tabs>
        <w:rPr>
          <w:sz w:val="20"/>
          <w:szCs w:val="20"/>
          <w:color w:val="auto"/>
        </w:rPr>
      </w:pPr>
      <w:r>
        <w:rPr>
          <w:rFonts w:ascii="Courier New" w:cs="Courier New" w:eastAsia="Courier New" w:hAnsi="Courier New"/>
          <w:sz w:val="15"/>
          <w:szCs w:val="15"/>
          <w:color w:val="auto"/>
        </w:rPr>
        <w:t>THIS TENANCY AGREEMENT made this</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4"/>
          <w:szCs w:val="14"/>
          <w:color w:val="auto"/>
        </w:rPr>
        <w:t>Two Thousand and</w:t>
      </w:r>
    </w:p>
    <w:p>
      <w:pPr>
        <w:spacing w:after="0" w:line="173"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BETWEEN the party named and described as the Landlord in Part 1 of the Schedule hereto ("Landlord" which expression shall where the context admits include its successors and assignees) of the one part and the party named and described as Tenant in Part 1 of the Schedule hereto ("Tenant") of the other part.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WHEREBY IT IS AGREED as follows:</w:t>
      </w:r>
    </w:p>
    <w:p>
      <w:pPr>
        <w:spacing w:after="0" w:line="173" w:lineRule="exact"/>
        <w:rPr>
          <w:sz w:val="20"/>
          <w:szCs w:val="20"/>
          <w:color w:val="auto"/>
        </w:rPr>
      </w:pPr>
    </w:p>
    <w:p>
      <w:pPr>
        <w:ind w:right="3239" w:firstLine="10"/>
        <w:spacing w:after="0" w:line="236" w:lineRule="auto"/>
        <w:tabs>
          <w:tab w:leader="none" w:pos="26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Landlord shall let and the Tenant shall take All Those premises ("Premises") which form part of the building ("Building") set out in Part 2 of the Schedule hereto of the development known as ORIENTAL PLAZA [Chinese Building Name] ("Development") situate at No. l East Chang An Avenue, Dong Cheng District, Beijing, the People's Republic of China Together with all those fixtures fittings furniture or any other articles or things provided by the Landlord as set out in the Appendix hereto (if any) ("Fixtures and Fittings") for the term defined in Part 3 of the Schedule hereto ("Term") YIELDING AND PAYING therefor throughout the Term the rent ("Rent") and management fees ("Management Fees") as are set out in Part 4 of the Schedule hereto and subject to the terms and conditions hereinafter contained.</w:t>
      </w:r>
    </w:p>
    <w:p>
      <w:pPr>
        <w:spacing w:after="0" w:line="180" w:lineRule="exact"/>
        <w:rPr>
          <w:rFonts w:ascii="Courier New" w:cs="Courier New" w:eastAsia="Courier New" w:hAnsi="Courier New"/>
          <w:sz w:val="15"/>
          <w:szCs w:val="15"/>
          <w:color w:val="auto"/>
        </w:rPr>
      </w:pPr>
    </w:p>
    <w:p>
      <w:pPr>
        <w:ind w:right="3499" w:firstLine="10"/>
        <w:spacing w:after="0" w:line="236" w:lineRule="auto"/>
        <w:tabs>
          <w:tab w:leader="none" w:pos="262"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Schedule hereto together with the Standard Conditions of the Tenancy Agreement ("Standard Conditions") set out in Appendix One hereto as varied and/or modified by the Special Conditions ("Special Conditions") specified in Appendix Two hereto and other Appendices expressly annexed hereto shall form part of this Tenancy Agreement and shall be incorporated into this Tenancy Agreement.</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ABOVE REFERRED TO</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This Schedule sets out the details and particulars of this Tenancy Agreement and unless the context otherwise requires the terms specified in this Schedule shall have the meanings therein ascribed to them.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1 - the Parties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 Beijing Oriental Plaza Co., Ltd. [Chinese Company Name]</w:t>
      </w:r>
    </w:p>
    <w:p>
      <w:pPr>
        <w:spacing w:after="0" w:line="5" w:lineRule="exact"/>
        <w:rPr>
          <w:sz w:val="20"/>
          <w:szCs w:val="20"/>
          <w:color w:val="auto"/>
        </w:rPr>
      </w:pPr>
    </w:p>
    <w:p>
      <w:pPr>
        <w:jc w:val="both"/>
        <w:ind w:left="880" w:right="3239" w:hanging="879"/>
        <w:spacing w:after="0" w:line="234" w:lineRule="auto"/>
        <w:tabs>
          <w:tab w:leader="none" w:pos="860" w:val="left"/>
        </w:tabs>
        <w:rPr>
          <w:sz w:val="20"/>
          <w:szCs w:val="20"/>
          <w:color w:val="auto"/>
        </w:rPr>
      </w:pPr>
      <w:r>
        <w:rPr>
          <w:rFonts w:ascii="Courier New" w:cs="Courier New" w:eastAsia="Courier New" w:hAnsi="Courier New"/>
          <w:sz w:val="15"/>
          <w:szCs w:val="15"/>
          <w:color w:val="auto"/>
        </w:rPr>
        <w:t>Address:</w:t>
        <w:tab/>
        <w:t>No.l, East Chang An Avenue, Dong Cheng District, Beijing, the People's Republic of China (P C. No.:100738)</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Tenant:</w:t>
        <w:tab/>
        <w:t>Netease Information Technology (Beijing) Co. Ltd.</w:t>
      </w:r>
    </w:p>
    <w:p>
      <w:pPr>
        <w:ind w:left="880"/>
        <w:spacing w:after="0" w:line="237" w:lineRule="auto"/>
        <w:rPr>
          <w:sz w:val="20"/>
          <w:szCs w:val="20"/>
          <w:color w:val="auto"/>
        </w:rPr>
      </w:pPr>
      <w:r>
        <w:rPr>
          <w:rFonts w:ascii="Courier New" w:cs="Courier New" w:eastAsia="Courier New" w:hAnsi="Courier New"/>
          <w:sz w:val="15"/>
          <w:szCs w:val="15"/>
          <w:color w:val="auto"/>
        </w:rPr>
        <w:t>[Chinese Company Name]</w:t>
      </w:r>
    </w:p>
    <w:p>
      <w:pPr>
        <w:spacing w:after="0" w:line="238" w:lineRule="auto"/>
        <w:tabs>
          <w:tab w:leader="none" w:pos="860" w:val="left"/>
        </w:tabs>
        <w:rPr>
          <w:sz w:val="20"/>
          <w:szCs w:val="20"/>
          <w:color w:val="auto"/>
        </w:rPr>
      </w:pPr>
      <w:r>
        <w:rPr>
          <w:rFonts w:ascii="Courier New" w:cs="Courier New" w:eastAsia="Courier New" w:hAnsi="Courier New"/>
          <w:sz w:val="15"/>
          <w:szCs w:val="15"/>
          <w:color w:val="auto"/>
        </w:rPr>
        <w:t>Address:</w:t>
        <w:tab/>
        <w:t>[Chinese Address]</w:t>
      </w:r>
    </w:p>
    <w:p>
      <w:pPr>
        <w:sectPr>
          <w:pgSz w:w="11900" w:h="16838" w:orient="portrait"/>
          <w:cols w:equalWidth="0" w:num="1">
            <w:col w:w="10239"/>
          </w:cols>
          <w:pgMar w:left="220" w:top="617"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4"/>
          <w:szCs w:val="14"/>
          <w:color w:val="auto"/>
        </w:rPr>
        <w:t>Part 2 - the Premises</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Units 1-6 on Level 19 of the Building (as shown for identification purposes only coloured Red on the plan(s) annexed hereto as Appendix Three)</w:t>
      </w:r>
    </w:p>
    <w:p>
      <w:pPr>
        <w:spacing w:after="0" w:line="174" w:lineRule="exact"/>
        <w:rPr>
          <w:sz w:val="20"/>
          <w:szCs w:val="20"/>
          <w:color w:val="auto"/>
        </w:rPr>
      </w:pPr>
    </w:p>
    <w:p>
      <w:pPr>
        <w:sectPr>
          <w:pgSz w:w="11900" w:h="16838" w:orient="portrait"/>
          <w:cols w:equalWidth="0" w:num="2">
            <w:col w:w="1040" w:space="720"/>
            <w:col w:w="84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Office Tower E3 of the Towers at Oriental Plaza</w:t>
      </w:r>
    </w:p>
    <w:p>
      <w:pPr>
        <w:spacing w:after="0" w:line="178" w:lineRule="exact"/>
        <w:rPr>
          <w:sz w:val="20"/>
          <w:szCs w:val="20"/>
          <w:color w:val="auto"/>
        </w:rPr>
      </w:pPr>
    </w:p>
    <w:p>
      <w:pPr>
        <w:sectPr>
          <w:pgSz w:w="11900" w:h="16838" w:orient="portrait"/>
          <w:cols w:equalWidth="0" w:num="2">
            <w:col w:w="1040" w:space="720"/>
            <w:col w:w="8479"/>
          </w:cols>
          <w:pgMar w:left="220" w:top="624" w:right="1440" w:bottom="1440" w:gutter="0" w:footer="0" w:header="0"/>
          <w:type w:val="continuous"/>
        </w:sectPr>
      </w:pPr>
    </w:p>
    <w:p>
      <w:pPr>
        <w:ind w:left="1760" w:right="3319" w:hanging="1748"/>
        <w:spacing w:after="0" w:line="236" w:lineRule="auto"/>
        <w:tabs>
          <w:tab w:leader="none" w:pos="1740" w:val="left"/>
        </w:tabs>
        <w:rPr>
          <w:sz w:val="20"/>
          <w:szCs w:val="20"/>
          <w:color w:val="auto"/>
        </w:rPr>
      </w:pPr>
      <w:r>
        <w:rPr>
          <w:rFonts w:ascii="Courier New" w:cs="Courier New" w:eastAsia="Courier New" w:hAnsi="Courier New"/>
          <w:sz w:val="15"/>
          <w:szCs w:val="15"/>
          <w:color w:val="auto"/>
        </w:rPr>
        <w:t>Gross Floor Area.:</w:t>
        <w:tab/>
        <w:t>Approx.1,592 square metres (the gross floor area is for reference only and it includes the usable space of the Premises and a pro-rata share of the enclosing structural elements and the mechanical and electrical installation areas and common facilities for the day-to-day operation of the Building)</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3 - the Term</w:t>
      </w:r>
    </w:p>
    <w:p>
      <w:pPr>
        <w:sectPr>
          <w:pgSz w:w="11900" w:h="16838" w:orient="portrait"/>
          <w:cols w:equalWidth="0" w:num="1">
            <w:col w:w="10239"/>
          </w:cols>
          <w:pgMar w:left="220" w:top="624"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36 months (Inclusive of the Commencement Date and Expiry Date)</w:t>
      </w:r>
    </w:p>
    <w:p>
      <w:pPr>
        <w:spacing w:after="0" w:line="173" w:lineRule="exact"/>
        <w:rPr>
          <w:sz w:val="20"/>
          <w:szCs w:val="20"/>
          <w:color w:val="auto"/>
        </w:rPr>
      </w:pPr>
    </w:p>
    <w:p>
      <w:pPr>
        <w:sectPr>
          <w:pgSz w:w="11900" w:h="16838" w:orient="portrait"/>
          <w:cols w:equalWidth="0" w:num="2">
            <w:col w:w="1040" w:space="720"/>
            <w:col w:w="84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1, 2003</w:t>
      </w:r>
    </w:p>
    <w:p>
      <w:pPr>
        <w:spacing w:after="0" w:line="178" w:lineRule="exact"/>
        <w:rPr>
          <w:sz w:val="20"/>
          <w:szCs w:val="20"/>
          <w:color w:val="auto"/>
        </w:rPr>
      </w:pPr>
    </w:p>
    <w:p>
      <w:pPr>
        <w:sectPr>
          <w:pgSz w:w="11900" w:h="16838" w:orient="portrait"/>
          <w:cols w:equalWidth="0" w:num="2">
            <w:col w:w="1580" w:space="180"/>
            <w:col w:w="84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Expiry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May 31, 2006</w:t>
      </w:r>
    </w:p>
    <w:p>
      <w:pPr>
        <w:spacing w:after="0" w:line="178" w:lineRule="exact"/>
        <w:rPr>
          <w:sz w:val="20"/>
          <w:szCs w:val="20"/>
          <w:color w:val="auto"/>
        </w:rPr>
      </w:pPr>
    </w:p>
    <w:p>
      <w:pPr>
        <w:sectPr>
          <w:pgSz w:w="11900" w:h="16838" w:orient="portrait"/>
          <w:cols w:equalWidth="0" w:num="2">
            <w:col w:w="1060" w:space="700"/>
            <w:col w:w="84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Part 4 - the Rent and the Management Fees</w:t>
      </w:r>
    </w:p>
    <w:p>
      <w:pPr>
        <w:sectPr>
          <w:pgSz w:w="11900" w:h="16838" w:orient="portrait"/>
          <w:cols w:equalWidth="0" w:num="1">
            <w:col w:w="10239"/>
          </w:cols>
          <w:pgMar w:left="220" w:top="624"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United States Dollars USD 34,705.60 per calendar month and payable in Renminbi according to the terms hereof</w:t>
      </w:r>
    </w:p>
    <w:p>
      <w:pPr>
        <w:spacing w:after="0" w:line="200" w:lineRule="exact"/>
        <w:rPr>
          <w:sz w:val="20"/>
          <w:szCs w:val="20"/>
          <w:color w:val="auto"/>
        </w:rPr>
      </w:pPr>
    </w:p>
    <w:p>
      <w:pPr>
        <w:sectPr>
          <w:pgSz w:w="11900" w:h="16838" w:orient="portrait"/>
          <w:cols w:equalWidth="0" w:num="2">
            <w:col w:w="1040" w:space="720"/>
            <w:col w:w="8479"/>
          </w:cols>
          <w:pgMar w:left="220" w:top="624" w:right="1440" w:bottom="1440" w:gutter="0" w:footer="0" w:header="0"/>
          <w:type w:val="continuous"/>
        </w:sectPr>
      </w:pPr>
    </w:p>
    <w:p>
      <w:pPr>
        <w:spacing w:after="0" w:line="141" w:lineRule="exact"/>
        <w:rPr>
          <w:sz w:val="20"/>
          <w:szCs w:val="20"/>
          <w:color w:val="auto"/>
        </w:rPr>
      </w:pPr>
    </w:p>
    <w:p>
      <w:pPr>
        <w:ind w:left="1760" w:right="3499" w:hanging="1748"/>
        <w:spacing w:after="0" w:line="234" w:lineRule="auto"/>
        <w:tabs>
          <w:tab w:leader="none" w:pos="1740" w:val="left"/>
        </w:tabs>
        <w:rPr>
          <w:sz w:val="20"/>
          <w:szCs w:val="20"/>
          <w:color w:val="auto"/>
        </w:rPr>
      </w:pPr>
      <w:r>
        <w:rPr>
          <w:rFonts w:ascii="Courier New" w:cs="Courier New" w:eastAsia="Courier New" w:hAnsi="Courier New"/>
          <w:sz w:val="15"/>
          <w:szCs w:val="15"/>
          <w:color w:val="auto"/>
        </w:rPr>
        <w:t>Management Fees:</w:t>
      </w:r>
      <w:r>
        <w:rPr>
          <w:sz w:val="20"/>
          <w:szCs w:val="20"/>
          <w:color w:val="auto"/>
        </w:rPr>
        <w:tab/>
      </w:r>
      <w:r>
        <w:rPr>
          <w:rFonts w:ascii="Courier New" w:cs="Courier New" w:eastAsia="Courier New" w:hAnsi="Courier New"/>
          <w:sz w:val="15"/>
          <w:szCs w:val="15"/>
          <w:color w:val="auto"/>
        </w:rPr>
        <w:t>United States Dollars USD 5,572.00 per calendar month and payable in Renminbi according to the terms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5 - the Deposit and Advance Pavement</w:t>
      </w:r>
    </w:p>
    <w:p>
      <w:pPr>
        <w:spacing w:after="0" w:line="17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4"/>
          <w:szCs w:val="14"/>
          <w:color w:val="auto"/>
        </w:rPr>
        <w:t>Deposit:</w:t>
      </w:r>
      <w:r>
        <w:rPr>
          <w:sz w:val="20"/>
          <w:szCs w:val="20"/>
          <w:color w:val="auto"/>
        </w:rPr>
        <w:tab/>
      </w:r>
      <w:r>
        <w:rPr>
          <w:rFonts w:ascii="Courier New" w:cs="Courier New" w:eastAsia="Courier New" w:hAnsi="Courier New"/>
          <w:sz w:val="14"/>
          <w:szCs w:val="14"/>
          <w:color w:val="auto"/>
        </w:rPr>
        <w:t>An amount in Renminbi 1,002,912.00 by way of cash security</w:t>
      </w:r>
    </w:p>
    <w:p>
      <w:pPr>
        <w:spacing w:after="0" w:line="178" w:lineRule="exact"/>
        <w:rPr>
          <w:sz w:val="20"/>
          <w:szCs w:val="20"/>
          <w:color w:val="auto"/>
        </w:rPr>
      </w:pPr>
    </w:p>
    <w:p>
      <w:pPr>
        <w:ind w:left="1760" w:right="3319" w:hanging="1748"/>
        <w:spacing w:after="0" w:line="235" w:lineRule="auto"/>
        <w:tabs>
          <w:tab w:leader="none" w:pos="1740" w:val="left"/>
        </w:tabs>
        <w:rPr>
          <w:sz w:val="20"/>
          <w:szCs w:val="20"/>
          <w:color w:val="auto"/>
        </w:rPr>
      </w:pPr>
      <w:r>
        <w:rPr>
          <w:rFonts w:ascii="Courier New" w:cs="Courier New" w:eastAsia="Courier New" w:hAnsi="Courier New"/>
          <w:sz w:val="15"/>
          <w:szCs w:val="15"/>
          <w:color w:val="auto"/>
        </w:rPr>
        <w:t>Advance Payment:</w:t>
      </w:r>
      <w:r>
        <w:rPr>
          <w:sz w:val="20"/>
          <w:szCs w:val="20"/>
          <w:color w:val="auto"/>
        </w:rPr>
        <w:tab/>
      </w:r>
      <w:r>
        <w:rPr>
          <w:rFonts w:ascii="Courier New" w:cs="Courier New" w:eastAsia="Courier New" w:hAnsi="Courier New"/>
          <w:sz w:val="15"/>
          <w:szCs w:val="15"/>
          <w:color w:val="auto"/>
        </w:rPr>
        <w:t>United States Dollars USD 40,277.60 and payable in Renminbi for the Rent and the Management Fees from June 1, 2003 to June 30, 2003</w:t>
      </w:r>
    </w:p>
    <w:p>
      <w:pPr>
        <w:sectPr>
          <w:pgSz w:w="11900" w:h="16838" w:orient="portrait"/>
          <w:cols w:equalWidth="0" w:num="1">
            <w:col w:w="10239"/>
          </w:cols>
          <w:pgMar w:left="220" w:top="624" w:right="1440" w:bottom="144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Landlord:</w:t>
            </w:r>
          </w:p>
        </w:tc>
        <w:tc>
          <w:tcPr>
            <w:tcW w:w="35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Beijing Oriental Plaza Co., Ltd.</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(company chop)</w:t>
            </w:r>
          </w:p>
        </w:tc>
      </w:tr>
      <w:tr>
        <w:trPr>
          <w:trHeight w:val="168"/>
        </w:trPr>
        <w:tc>
          <w:tcPr>
            <w:tcW w:w="1980" w:type="dxa"/>
            <w:vAlign w:val="bottom"/>
          </w:tcPr>
          <w:p>
            <w:pPr>
              <w:spacing w:after="0"/>
              <w:rPr>
                <w:sz w:val="14"/>
                <w:szCs w:val="14"/>
                <w:color w:val="auto"/>
              </w:rPr>
            </w:pPr>
          </w:p>
        </w:tc>
        <w:tc>
          <w:tcPr>
            <w:tcW w:w="35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Representative:</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Kam Hin Lam</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35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spacing w:after="0"/>
              <w:rPr>
                <w:sz w:val="14"/>
                <w:szCs w:val="14"/>
                <w:color w:val="auto"/>
              </w:rPr>
            </w:pPr>
          </w:p>
        </w:tc>
      </w:tr>
      <w:tr>
        <w:trPr>
          <w:trHeight w:val="336"/>
        </w:trPr>
        <w:tc>
          <w:tcPr>
            <w:tcW w:w="1980" w:type="dxa"/>
            <w:vAlign w:val="bottom"/>
          </w:tcPr>
          <w:p>
            <w:pPr>
              <w:spacing w:after="0"/>
              <w:rPr>
                <w:sz w:val="24"/>
                <w:szCs w:val="24"/>
                <w:color w:val="auto"/>
              </w:rPr>
            </w:pPr>
          </w:p>
        </w:tc>
        <w:tc>
          <w:tcPr>
            <w:tcW w:w="50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_______________________________________(signature)</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Office Address:</w:t>
            </w:r>
          </w:p>
        </w:tc>
        <w:tc>
          <w:tcPr>
            <w:tcW w:w="50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Level 12, Tower W2, The Towers, Oriental Plaza,</w:t>
            </w: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No.1 East Chang An Avenue, Dongcheng District, Beijing</w:t>
            </w: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8518 6688</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8518 6019</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Postal Code:</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100738</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rPr>
              <w:t>Tenant:</w:t>
            </w:r>
          </w:p>
        </w:tc>
        <w:tc>
          <w:tcPr>
            <w:tcW w:w="50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Netease Information Technology (Beijing) Co. Ltd.</w:t>
            </w: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[Chinese Company Name]</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 chop)</w:t>
            </w:r>
          </w:p>
        </w:tc>
      </w:tr>
      <w:tr>
        <w:trPr>
          <w:trHeight w:val="168"/>
        </w:trPr>
        <w:tc>
          <w:tcPr>
            <w:tcW w:w="198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Representative:</w:t>
            </w: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[Chinese Company Name]</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1980" w:type="dxa"/>
            <w:vAlign w:val="bottom"/>
          </w:tcPr>
          <w:p>
            <w:pPr>
              <w:spacing w:after="0"/>
              <w:rPr>
                <w:sz w:val="24"/>
                <w:szCs w:val="24"/>
                <w:color w:val="auto"/>
              </w:rPr>
            </w:pPr>
          </w:p>
        </w:tc>
        <w:tc>
          <w:tcPr>
            <w:tcW w:w="2840" w:type="dxa"/>
            <w:vAlign w:val="bottom"/>
          </w:tcPr>
          <w:p>
            <w:pPr>
              <w:ind w:left="300"/>
              <w:spacing w:after="0"/>
              <w:rPr>
                <w:sz w:val="20"/>
                <w:szCs w:val="20"/>
                <w:color w:val="auto"/>
              </w:rPr>
            </w:pPr>
            <w:r>
              <w:rPr>
                <w:rFonts w:ascii="Courier New" w:cs="Courier New" w:eastAsia="Courier New" w:hAnsi="Courier New"/>
                <w:sz w:val="15"/>
                <w:szCs w:val="15"/>
                <w:color w:val="auto"/>
              </w:rPr>
              <w:t>/s/ Ted Sun</w:t>
            </w:r>
          </w:p>
        </w:tc>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(signature)</w:t>
            </w:r>
          </w:p>
        </w:tc>
      </w:tr>
      <w:tr>
        <w:trPr>
          <w:trHeight w:val="168"/>
        </w:trPr>
        <w:tc>
          <w:tcPr>
            <w:tcW w:w="1980" w:type="dxa"/>
            <w:vAlign w:val="bottom"/>
          </w:tcPr>
          <w:p>
            <w:pPr>
              <w:spacing w:after="0"/>
              <w:rPr>
                <w:sz w:val="14"/>
                <w:szCs w:val="14"/>
                <w:color w:val="auto"/>
              </w:rPr>
            </w:pPr>
          </w:p>
        </w:tc>
        <w:tc>
          <w:tcPr>
            <w:tcW w:w="2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Office Address:</w:t>
            </w:r>
          </w:p>
        </w:tc>
        <w:tc>
          <w:tcPr>
            <w:tcW w:w="2840" w:type="dxa"/>
            <w:vAlign w:val="bottom"/>
          </w:tcPr>
          <w:p>
            <w:pPr>
              <w:ind w:left="120"/>
              <w:spacing w:after="0"/>
              <w:rPr>
                <w:sz w:val="20"/>
                <w:szCs w:val="20"/>
                <w:color w:val="auto"/>
              </w:rPr>
            </w:pPr>
            <w:r>
              <w:rPr>
                <w:rFonts w:ascii="Courier New" w:cs="Courier New" w:eastAsia="Courier New" w:hAnsi="Courier New"/>
                <w:sz w:val="15"/>
                <w:szCs w:val="15"/>
                <w:color w:val="auto"/>
              </w:rPr>
              <w:t>[Chinese Address]</w:t>
            </w: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Postal Code:</w:t>
            </w:r>
          </w:p>
        </w:tc>
        <w:tc>
          <w:tcPr>
            <w:tcW w:w="5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Appendices</w:t>
      </w:r>
    </w:p>
    <w:p>
      <w:pPr>
        <w:spacing w:after="0" w:line="166" w:lineRule="exact"/>
        <w:rPr>
          <w:sz w:val="20"/>
          <w:szCs w:val="20"/>
          <w:color w:val="auto"/>
        </w:rPr>
      </w:pPr>
    </w:p>
    <w:p>
      <w:pPr>
        <w:ind w:left="280" w:hanging="270"/>
        <w:spacing w:after="0"/>
        <w:tabs>
          <w:tab w:leader="none" w:pos="28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One:   Standard Conditions</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Two:   Special Conditions</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Three: Coloured Floor Plan(s)</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Four:  Fixtures and Fittings</w:t>
      </w:r>
    </w:p>
    <w:p>
      <w:pPr>
        <w:sectPr>
          <w:pgSz w:w="11900" w:h="16838" w:orient="portrait"/>
          <w:cols w:equalWidth="0" w:num="1">
            <w:col w:w="10239"/>
          </w:cols>
          <w:pgMar w:left="220" w:top="617" w:right="1440" w:bottom="1440" w:gutter="0" w:footer="0" w:header="0"/>
        </w:sectPr>
      </w:pPr>
    </w:p>
    <w:bookmarkStart w:id="183" w:name="page184"/>
    <w:bookmarkEnd w:id="183"/>
    <w:p>
      <w:pPr>
        <w:ind w:left="1240"/>
        <w:spacing w:after="0"/>
        <w:rPr>
          <w:sz w:val="20"/>
          <w:szCs w:val="20"/>
          <w:color w:val="auto"/>
        </w:rPr>
      </w:pPr>
      <w:r>
        <w:rPr>
          <w:rFonts w:ascii="Courier New" w:cs="Courier New" w:eastAsia="Courier New" w:hAnsi="Courier New"/>
          <w:sz w:val="15"/>
          <w:szCs w:val="15"/>
          <w:color w:val="auto"/>
        </w:rPr>
        <w:t>APPENDIX ONE ABOVE REFERRED TO - STANDARD CONDITIONS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Clause 1- Rent and Management Fees etc.</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Tenant to the intent that obligations hereunder shall continue throughout the Term hereby undertakes and agrees with the Landlord as follows:</w:t>
      </w:r>
    </w:p>
    <w:p>
      <w:pPr>
        <w:spacing w:after="0" w:line="16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1.1 (Rent and Management Fees) To pay the Rent and the Management Fees on the first working day of each and every calendar month and in the manner provided in the Schedule hereto in advance clear of all deduction, set-off or withholding by way of cheques of immediate value drawn in favour of "Beijing Oriental Plaza Co., Ltd." or "[Chinese Company Name]" or by remittance or bank transfer to the bank account of the Landlord provided in this Tenancy Agreement or otherwise designated by the Landlord in writing from time to time. The first and last payments shall be made proportionately (if applicable) according to the number of days included in the first and last months of the Term. The Management Fees shall include without limitation all contributions towards the cost of the Landlord and/or its property manager of the Building (the "Property Manager") for and in providing central air-conditioning and heating, maintaining environmental hygiene of the Building including garbage disposal (excluding business or trade wastes of the Tenant), installing and maintaining common facilities, providing water, electricity and communication services for use in the common areas, public liability insurance, fire insurance and such other insurance necessary against risks for managing the common areas of the Building, remuneration and other benefits for security guards and other property management personnel (including consultation fees payable to professionals where necessary) and administration cost (including the remuneration of the Property Manager) and any other building services provided by the Landlord and/or the Property Manager. The Landlord shall be entitled to prepare or revise the budget for the Management Fees periodically, provided that the percentage of any such readjustment shall apply equally to all tenants in the Office Towers of Oriental Plaza and any readjustment of the Management Fees, if any, shall be notified in writing to the Tenant and shall take effect from the date specified in such notice.</w:t>
      </w:r>
    </w:p>
    <w:p>
      <w:pPr>
        <w:spacing w:after="0" w:line="34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1.2 (Advance Payment) Upon signing this Tenancy Agreement, the Tenant shall pay to the Landlord the sum set out in Part 5 of the Schedule hereto ("Advance Payment") which is equivalent to the aggregate of (i) one (1) month's Rent and Management Fees as advance payment thereof; and (ii) the prorated monthly Rent and Management Fees according to the number of days included in the month of the Term for which the Rent and the Management are first payable respectively under this Tenancy Agreement.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1.3 (Occupation Taxes) To pay and discharge all taxes charges impositions and other outgoings of an annual or recurring nature (Land Use Fee and Building Property Tax excepted) now or hereafter to be imposed and charged by all lawful authorities upon the Premises and responsible by the tenant or upon the tenant or occupier thereof under the relevant laws and regulations and to produce to the Landlord such receipts or other evidence of any of the payments aforesaid as the Landlord may from time to time reasonably require.</w:t>
      </w:r>
    </w:p>
    <w:p>
      <w:pPr>
        <w:sectPr>
          <w:pgSz w:w="11900" w:h="16838" w:orient="portrait"/>
          <w:cols w:equalWidth="0" w:num="1">
            <w:col w:w="10239"/>
          </w:cols>
          <w:pgMar w:left="220" w:top="617" w:right="1440" w:bottom="1440" w:gutter="0" w:footer="0" w:header="0"/>
        </w:sectPr>
      </w:pPr>
    </w:p>
    <w:bookmarkStart w:id="184" w:name="page185"/>
    <w:bookmarkEnd w:id="184"/>
    <w:p>
      <w:pPr>
        <w:ind w:right="3239"/>
        <w:spacing w:after="0" w:line="235" w:lineRule="auto"/>
        <w:rPr>
          <w:sz w:val="20"/>
          <w:szCs w:val="20"/>
          <w:color w:val="auto"/>
        </w:rPr>
      </w:pPr>
      <w:r>
        <w:rPr>
          <w:rFonts w:ascii="Courier New" w:cs="Courier New" w:eastAsia="Courier New" w:hAnsi="Courier New"/>
          <w:sz w:val="15"/>
          <w:szCs w:val="15"/>
          <w:color w:val="auto"/>
        </w:rPr>
        <w:t>1.4 (Charges) To discharge all outgoings or charges for telephone services, internet, telecommunication services, electricity and other services consumed in the Premises and all necessary connection fees and deposits (if any) for such services.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1.5 (Currency Conversion) The Tenant shall pay the Rent, the Management Fees and all other amounts due and payable to the Landlord under this Tenancy Agreement in Renminbi in accordance with the applicable laws and regulations of the People's Republic of China. The conversion rate of the United States Dollar to Renminbi applicable to any payment(s) demanded pursuant hereto for any month shall be the USD/RMB basis exchange rate as published by the People's Bank of China on the first working day of the previous month.</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Clause 2 - Tenant's Obligations</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Tenant to the intent that obligations hereunder shall continue throughout the Term hereby undertakes and agrees with the Landlord as follows:</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2.1 (Compliance with regulations by-laws rules) To observe and comply with and to indemnify the Landlord against the breach of any legislation law regulation by-law rule and requirement of any government or other competent authorities relating to the use and occupation of the Premises or to any other act deed or thing done suffered or omitted therein or thereon by the Tenant or any employee agent contractor invitee customer or visitor of the Tenant and without prejudice to the foregoing to obtain such licence approval or permit required by any government or other competent authorities in connection with the Tenant's use or occupation of the Premises prior to the commencement of the Tenant's business and to maintain the same in force and to notify the Landlord forthwith in writing of any notice received from any government or public authority concerning or in respect of the Premises or any services supplied thereto.</w:t>
      </w:r>
    </w:p>
    <w:p>
      <w:pPr>
        <w:spacing w:after="0" w:line="16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2.2 (Obligation to take possession of property etc.) To take possession of the Premises upon the Commencement Date by following all steps and procedures required by the Landlord, failing which possession shall be deemed to have been taken and the Term shall be deemed to have commenced on the Commencement Date without prejudice to other rights and remedies of the Landlord provided herein.</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2.3 (Internal Fitting-out Works) To fit out the Premises at the Tenant's own cost and expenses in accordance with such plans and specifications as shall have been first approved in writing by the Landlord (such approval not to be unreasonably withheld), in a good and proper workmanlike manner and in all respects in a style and manner appropriate to a first class office building and upon payment of the fitting-out deposit reserved in the Regulations and so to maintain the same throughout the Term in good repair and condition. Delays in any event in the submission or resubmission of fitting-out plans and specifications shall not affect the commencement of the Term and the payment of the Rent the Management Fees and other amounts payable by the Tenant in accordance with the provisions hereof. The Tenant shall not cause suffer or permit any variation to the approved fitting-out plans and specifications or to the interior design or layout of the Premises without the prior approval in writing of the Landlord (such approval not to be unreasonably withheld) and in the event of such approval being requested it shall be a condition precedent to the granting thereof that the Tenant shall pay to the</w:t>
      </w:r>
    </w:p>
    <w:p>
      <w:pPr>
        <w:sectPr>
          <w:pgSz w:w="11900" w:h="16838" w:orient="portrait"/>
          <w:cols w:equalWidth="0" w:num="1">
            <w:col w:w="10239"/>
          </w:cols>
          <w:pgMar w:left="220" w:top="624" w:right="1440" w:bottom="1440" w:gutter="0" w:footer="0" w:header="0"/>
        </w:sectPr>
      </w:pPr>
    </w:p>
    <w:bookmarkStart w:id="185" w:name="page186"/>
    <w:bookmarkEnd w:id="185"/>
    <w:p>
      <w:pPr>
        <w:ind w:right="3759"/>
        <w:spacing w:after="0" w:line="261" w:lineRule="auto"/>
        <w:rPr>
          <w:sz w:val="20"/>
          <w:szCs w:val="20"/>
          <w:color w:val="auto"/>
        </w:rPr>
      </w:pPr>
      <w:r>
        <w:rPr>
          <w:rFonts w:ascii="Courier New" w:cs="Courier New" w:eastAsia="Courier New" w:hAnsi="Courier New"/>
          <w:sz w:val="14"/>
          <w:szCs w:val="14"/>
          <w:color w:val="auto"/>
        </w:rPr>
        <w:t>Landlord all special deposit(s) reserved in the Regulations hereinafter described. For the avoidance of doubt, it is hereby expressly agreed that:</w:t>
      </w:r>
    </w:p>
    <w:p>
      <w:pPr>
        <w:spacing w:after="0" w:line="160" w:lineRule="exact"/>
        <w:rPr>
          <w:sz w:val="20"/>
          <w:szCs w:val="20"/>
          <w:color w:val="auto"/>
        </w:rPr>
      </w:pPr>
    </w:p>
    <w:p>
      <w:pPr>
        <w:ind w:left="440" w:right="3239" w:hanging="430"/>
        <w:spacing w:after="0" w:line="256"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Landlord approving the Tenant's fitting-out plans and specifications as above shall not exonerate the Tenant from its obligation to seek at its own costs the appropriate approval(s) from all relevant competent government authorities in Beijing to the fitting-out plans and specifications that the Landlord has approved before commencing the fitting-out works; and</w:t>
      </w:r>
    </w:p>
    <w:p>
      <w:pPr>
        <w:spacing w:after="0" w:line="163" w:lineRule="exact"/>
        <w:rPr>
          <w:rFonts w:ascii="Courier New" w:cs="Courier New" w:eastAsia="Courier New" w:hAnsi="Courier New"/>
          <w:sz w:val="14"/>
          <w:szCs w:val="14"/>
          <w:color w:val="auto"/>
        </w:rPr>
      </w:pPr>
    </w:p>
    <w:p>
      <w:pPr>
        <w:ind w:left="440" w:right="3319" w:hanging="430"/>
        <w:spacing w:after="0" w:line="258"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Landlord shall not be responsible for any consequence resulting from the Tenant's non-compliance with any requirement stipulated and/or imposed by the said relevant competent government authorities in Beijing.</w:t>
      </w:r>
    </w:p>
    <w:p>
      <w:pPr>
        <w:spacing w:after="0" w:line="16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2.4 (Repair obligations) To keep all the interior non-structural parts of the Premises including flooring and interior plaster or other finishes or rendering to walls floors and ceilings the Landlord's fixtures and fittings therein and all additions thereto including but not limited to all doors windows electrical installations wiring ducting and piping therein in good clean tenantable and proper repair and condition and properly preserved and painted.</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2.5 (Injury and damage to property, indemnity and insurance) To be wholly responsible for and to indemnify the Landlord against all claims, demands, suits, proceedings, judgments, damages, costs and expenses of any nature whatsoever which the Landlord may suffer or incur in connection with any loss of life, personal injury and/or loss or damage to property arising from or out of any activity or occurrence in, upon or at the Premises or the use of the Premises or any part thereof or through the defective or damaged condition of any part of the interior of the Premises or any fixtures fittings wiring or piping therein for the repair of which the Tenant is responsible hereunder or in any way owing to the spread of fire or smoke or the overflow of water or the escape of any substance or anything from the Premises or any part thereof or the act default or neglect of the Tenant or the Tenant's employees agents contractors licensees invitees customers or visitors. The Tenant shall effect insurance cover in respect of the above risks with a reputable insurance company to the satisfaction of the Landlord. The policy of such insurance shall be in the name of the Tenant and endorsed to show the Landlord as the registered owner of the Building and shall be in such amount as the Landlord may from time to time stipulate and shall contain a clause to the effect that the insurance cover thereby effected and the terms and conditions thereof shall not be cancelled modified or restricted without the prior written consent of the Landlord and the Tenant shall provide to the Landlord a copy of such policy and the receipt for the current premium or a letter of confirmation from the Tenant's insurer containing sufficient information to satisfy the Landlord as to the adequacy of such insurance.</w:t>
      </w:r>
    </w:p>
    <w:p>
      <w:pPr>
        <w:spacing w:after="0" w:line="34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2.6 (Replacement of windows or curtain wall) To reimburse to the Landlord the cost of replacing all broken and damaged windows and glass or curtain wall if the same be broken or damaged by the act or neglect of the Tenant its employees agents contractors invitees customers or visitors.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2.7 (Entry by Landlord) To permit the Landlord and all persons authorised by it at all reasonable times upon notice to enter and view the state of repair of the Premises to take</w:t>
      </w:r>
    </w:p>
    <w:p>
      <w:pPr>
        <w:sectPr>
          <w:pgSz w:w="11900" w:h="16838" w:orient="portrait"/>
          <w:cols w:equalWidth="0" w:num="1">
            <w:col w:w="10239"/>
          </w:cols>
          <w:pgMar w:left="220" w:top="623" w:right="1440" w:bottom="1440" w:gutter="0" w:footer="0" w:header="0"/>
        </w:sectPr>
      </w:pPr>
    </w:p>
    <w:bookmarkStart w:id="186" w:name="page187"/>
    <w:bookmarkEnd w:id="186"/>
    <w:p>
      <w:pPr>
        <w:ind w:right="3239"/>
        <w:spacing w:after="0" w:line="236" w:lineRule="auto"/>
        <w:rPr>
          <w:sz w:val="20"/>
          <w:szCs w:val="20"/>
          <w:color w:val="auto"/>
        </w:rPr>
      </w:pPr>
      <w:r>
        <w:rPr>
          <w:rFonts w:ascii="Courier New" w:cs="Courier New" w:eastAsia="Courier New" w:hAnsi="Courier New"/>
          <w:sz w:val="15"/>
          <w:szCs w:val="15"/>
          <w:color w:val="auto"/>
        </w:rPr>
        <w:t>inventories of the fixtures therein and to carry out any works repairs or maintenance to the Premises and/or the Building provided that in the event of an emergency the Landlord its employees or agents may enter without notice and forcibly if need be and for this purpose, the Tenant shall inform the Landlord as to the presence and nature of any security system of the Tenant installed in the Premises.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2.8 (Notice of repair) On receipt of any notice from the Landlord or its authorised representative specifying any repairs which are required to be done and which are the responsibility of the Tenant hereunder forthwith to put in hand and execute the same without delay. Failure by the Tenant so to do will entitle the Landlord or its employees or agents to enter upon the Premises and forcibly if need be to carry out any such works or repairs at the expense of the Tenant.</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2.9 (Inform Landlord of damage) To give notice in writing to the Landlord of any injury to person occurred in and any damage that may be suffered to the Premises and of any accident to or defects in the water pipes electrical wiring or fittings fixtures or other facilities provided by the Landlord.</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2.10 (Directory boards) To pay the Landlord immediately upon demand the cost of affixing repairing altering or replacing as necessary the Tenant's name in lettering to the directory boards provided by the Landlord.</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2.11 (Viewing Advertising and Reletting) To permit at all reasonable times upon prior notice during the three calendar months immediately preceding the expiration of the Term prospective tenants or occupiers to inspect the Premises and every part thereof.</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2.12 (Regulations) To observe and perform and not to contravene any of the provisions contained in the Regulations as may from time to time be adopted by the Landlord pursuant to Clause 9.1 hereof.</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2.13 (Deeming acts and defaults) To be responsible to the Landlord for any breach non-observance non-performance of the terms conditions agreements or stipulations by and the acts neglects omissions and defaults of all employees agents contractors invitees customers or visitors of the Tenant as if they were the breach non-observance non-performance of the terms conditions agreements or stipulations by and the acts neglects omissions and defaults of the Tenant itself.</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2.14 (Delivery of Premises and handover) To deliver to the Landlord the Fixtures and Fittings and the Premises together with all fixtures fittings and additions therein and thereto at the expiration or sooner determination of this tenancy in good clean and tenantable repair and condition in accordance with the stipulations herein contained and the Tenant shall not be entitled to claim any compensation or damages from the Landlord in respect of any fixtures fittings or additions made by the Tenant to the Premises PROVIDED THAT all personal property fixtures and fittings and additions therein shall if so required by the Landlord be removed by and at the expense of the Tenant at the expiration or sooner determination of this tenancy and in such event the Tenant shall make good in a proper and workmanlike manner to the satisfaction of the Landlord all damage caused by such removal AND thereupon to surrender</w:t>
      </w:r>
    </w:p>
    <w:p>
      <w:pPr>
        <w:sectPr>
          <w:pgSz w:w="11900" w:h="16838" w:orient="portrait"/>
          <w:cols w:equalWidth="0" w:num="1">
            <w:col w:w="10239"/>
          </w:cols>
          <w:pgMar w:left="220" w:top="624" w:right="1440" w:bottom="1440" w:gutter="0" w:footer="0" w:header="0"/>
        </w:sectPr>
      </w:pPr>
    </w:p>
    <w:bookmarkStart w:id="187" w:name="page188"/>
    <w:bookmarkEnd w:id="187"/>
    <w:p>
      <w:pPr>
        <w:ind w:right="3319"/>
        <w:spacing w:after="0" w:line="236" w:lineRule="auto"/>
        <w:rPr>
          <w:sz w:val="20"/>
          <w:szCs w:val="20"/>
          <w:color w:val="auto"/>
        </w:rPr>
      </w:pPr>
      <w:r>
        <w:rPr>
          <w:rFonts w:ascii="Courier New" w:cs="Courier New" w:eastAsia="Courier New" w:hAnsi="Courier New"/>
          <w:sz w:val="15"/>
          <w:szCs w:val="15"/>
          <w:color w:val="auto"/>
        </w:rPr>
        <w:t>to the landlord all keys giving access to all parts of the Premises held by the Tenant and to permit the Landlord to remove at the Tenant's expense all lettering and characters in respect of the Tenant from the directory boards and from all the doors walls or windows of the Premises and to make good any damage caused by such removal AND that if there are articles things fixtures or fittings remained or left in or at the Premises upon the expiration or sooner determination of this tenancy, the Landlord shall be entitled (but not obliged to) to dispose of or deal with the same at the expense of the Tenant without further notice to the Tenant and shall not be accountable to the Tenant or any other persons for any loss or damage in respect of such disposal or any other treatment thereof.</w:t>
      </w:r>
    </w:p>
    <w:p>
      <w:pPr>
        <w:spacing w:after="0" w:line="180"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2.15 (Repair of electrical installations piping and ducting) To repair and replace any electrical installation wiring ducting or piping installed by the Tenant if the same becomes dangerous or unsafe or if so reasonably required by the Landlord or by the relevant utilities company and the Tenant shall use the Landlord's nominated contractor for the fire-service, air-conditioning and the wiring (from the meter room to the Tenant's main switch) works and shall only use a contractor approved by the Landlord in writing for the internal wiring work within the Premises (such approval not to be unreasonably withheld). The Tenant shall permit the Landlord or its agents to test the fire-service, air-conditioning and wiring ducting or piping installed by the Tenant in the Premises at any reasonable time upon request being made.</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2.16 (Cleaning and cleaning contractors) To keep the Premises including where the Tenant occupies the entire floor(s) the lift lobbies on the floor(s) of the Building occupied by the Tenant at all times in a clean and sanitary state and condition and for the better observance hereof the Tenant shall only employ as cleaners of the Premises such persons or firms as may be nominated or approved by the Landlord (such approval shall not be unreasonably withheld). Such cleaners shall be employed at the expense of the Tenant.</w:t>
      </w:r>
    </w:p>
    <w:p>
      <w:pPr>
        <w:spacing w:after="0" w:line="16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2.17 (Cleaning of drains) To pay to the Landlord on demand all costs incurred by the Landlord in clearing repairing or replacing any of the drains pipes or sanitary or plumbing apparatus choked or stopped up owing to the careless or improper use or neglect by the Tenant or any employee agent contractor invitee guest or visitor of the Tenant and to indemnify the Landlord against any cost claim or damage caused thereby or arising therefrom.</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2.18 (Protection from bad weather) To take all reasonable precautions to protect the interior of the Premises against damage by storm heavy rainfall heavy snowfall or the like and in particular to ensure that all exterior doors and windows are securely fastened upon the threat of such adverse weather conditions.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2.19 (Outside windows and doors) To keep all outside windows and doors closed and in the event of a breach of this Clause the Landlord shall have the right to send a representative to close any open door or doors or window or windows should the Tenant fail to forthwith comply with the Landlord's request to close the same.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2.20 (Service entrances and lifts) To load and unload goods only at such times and through such service entrances and by such service lifts as shall be designated by the Landlord for this purpose from time to time.</w:t>
      </w:r>
    </w:p>
    <w:p>
      <w:pPr>
        <w:sectPr>
          <w:pgSz w:w="11900" w:h="16838" w:orient="portrait"/>
          <w:cols w:equalWidth="0" w:num="1">
            <w:col w:w="10239"/>
          </w:cols>
          <w:pgMar w:left="220" w:top="624" w:right="1440" w:bottom="1440" w:gutter="0" w:footer="0" w:header="0"/>
        </w:sectPr>
      </w:pPr>
    </w:p>
    <w:bookmarkStart w:id="188" w:name="page189"/>
    <w:bookmarkEnd w:id="188"/>
    <w:p>
      <w:pPr>
        <w:ind w:right="3239"/>
        <w:spacing w:after="0" w:line="236" w:lineRule="auto"/>
        <w:rPr>
          <w:sz w:val="20"/>
          <w:szCs w:val="20"/>
          <w:color w:val="auto"/>
        </w:rPr>
      </w:pPr>
      <w:r>
        <w:rPr>
          <w:rFonts w:ascii="Courier New" w:cs="Courier New" w:eastAsia="Courier New" w:hAnsi="Courier New"/>
          <w:sz w:val="15"/>
          <w:szCs w:val="15"/>
          <w:color w:val="auto"/>
        </w:rPr>
        <w:t>2.21 (Refuse and garbage removal) To be responsible for the removal of garbage and refuse from the Premises and to dispose of such garbage and refuse only in those areas in the Building as shall be designated by the Landlord from time to time. In the event that the Tenant requires collection service for garbage and refuse from the Premises to such designated areas and the Landlord provides such service, the same shall be used by the Tenant to the exclusion of any other similar service and the use of such service provided by the Landlord shall be at the sole cost of the Tenant.</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2.22 (Conducting of business) To conduct the business of the Tenant so as not to prejudice the goodwill and reputation of the Building as a first class office building.</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2.23 (Indemnity against breach) To keep the Landlord fully indemnified from and against all actions claims losses damages expenses and legal costs which the Landlord may suffer or incur as a result of or arising from any of the Tenant's breach non-observance or non-performance of any term condition agreement or stipulation contained in this Tenancy Agreement or out of any works carried out by the Tenant at any time during the Term to the Premises or out of anything affixed and/or installed by the Tenant now or during the Term attached to or projecting from the Premises or arising from any act neglect or default of the Tenant.</w:t>
      </w:r>
    </w:p>
    <w:p>
      <w:pPr>
        <w:spacing w:after="0" w:line="17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Clause 3 -Landlord's Obligations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Landlord agrees with the Tenant as follows: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3.1 (Quiet enjoyment) Subject to the Tenant paying the Rent, the Management Fees and other amounts hereby agreed to be paid at the time and in the manner herein provided for payment of the same and observing and performing the terms conditions agreements and stipulations contained in this Tenancy Agreement and to be observed and performed by the Tenant to permit the Tenant to peacefully hold and enjoy the Premises during the Term without any interruption by the Landlord or any person lawfully claiming through the Landlord provided that the Tenant acknowledges that the Landlord or the Property Manager shall have the right to carry out renovation alteration and/or repair works within, outside and/or above the Building and that fitting-out works may be carried out by the Landlord and/or other tenants of the Building. The Landlord shall use its best endeavours to minimise any disturbance caused by all such fit-out works to the Tenant.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3.2 (Land Use Fee) To pay the Land Use Fee payable in respect of the land upon which the Building is erected and the Building Property Tax payable in respect of the Building.</w:t>
      </w:r>
    </w:p>
    <w:p>
      <w:pPr>
        <w:spacing w:after="0" w:line="17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3.3 (Roof and main structure) To keep the main structural parts of the Building in a proper state of repair.</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3.4 (Decoration) To carry out all necessary decoration to the common areas of the Building as and when the Landlord shall decide the same is necessary.</w:t>
      </w:r>
    </w:p>
    <w:p>
      <w:pPr>
        <w:sectPr>
          <w:pgSz w:w="11900" w:h="16838" w:orient="portrait"/>
          <w:cols w:equalWidth="0" w:num="1">
            <w:col w:w="10239"/>
          </w:cols>
          <w:pgMar w:left="220" w:top="624" w:right="1440" w:bottom="1440" w:gutter="0" w:footer="0" w:header="0"/>
        </w:sectPr>
      </w:pPr>
    </w:p>
    <w:bookmarkStart w:id="189" w:name="page190"/>
    <w:bookmarkEnd w:id="189"/>
    <w:p>
      <w:pPr>
        <w:ind w:right="3579"/>
        <w:spacing w:after="0" w:line="234" w:lineRule="auto"/>
        <w:rPr>
          <w:sz w:val="20"/>
          <w:szCs w:val="20"/>
          <w:color w:val="auto"/>
        </w:rPr>
      </w:pPr>
      <w:r>
        <w:rPr>
          <w:rFonts w:ascii="Courier New" w:cs="Courier New" w:eastAsia="Courier New" w:hAnsi="Courier New"/>
          <w:sz w:val="15"/>
          <w:szCs w:val="15"/>
          <w:color w:val="auto"/>
        </w:rPr>
        <w:t>3.5 (Cleaning) To keep the common areas and toilets and other parts of the Building for common use clean and in proper condition.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3.6 (Common Facilities) To maintain any lifts escalators fire and security services equipment air-conditioning plant and other common service facilities of the Building in proper working order.</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3.7 (Directory boards) To supply standard directory boards and to allot space thereon for the Tenant's name to be affixed thereon in such uniform lettering or characters as shall be designated by the Landlord.</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3.8 (Air-conditioning) To provide air-conditioning services to the Premises daily from Monday to Friday from 7:30 a.m. until 8:00 p.m. (other than the public holidays) or within such hours as shall from time to time be specified by the Landlord. No air-conditioning services will be provided on Saturday, Sunday and public holidays. However, the Landlord will provide extra fresh air [Chinese Technical Term] to the Premises free of charge from 10:00 a.m. to 12:00 noon for Saturday only in June, July and August every year of the Term. If the Tenant shall require air-conditioning services outside the hours specified by the Landlord as aforesaid the Landlord may provide the same to the Tenant on receiving reasonable advance notice of the Tenant's requirement. The charges for such additional air-conditioning shall be determined by the Landlord and notified to the Tenant from time to time and the Tenant shall forthwith pay the charges thereof on receipt of the demand note therefor.</w:t>
      </w:r>
    </w:p>
    <w:p>
      <w:pPr>
        <w:spacing w:after="0" w:line="15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Clause 4 - Restrictions and Prohibitions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Tenant hereby agrees with the Landlord as follows: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4.1 (Installation and alteration) Not without the prior written consent of the Landlord (such consent not to be unreasonably withheld) to erect install or alter any fixtures partitioning or other erection or installation in the Premises or any part thereof or to make or permit or suffer to be made any installations in or additions to the electrical wiring piping ducting and any other installations or to install or permit or suffer to be installed any equipment apparatus or machinery which imposes a weight on any part of the flooring in excess of that for which it is designed or which requires any additional electrical wiring piping or ducting or which consumes electricity not metered through the Tenant's separate meter. The Landlord shall be entitled to prescribe the maximum weight and permitted location of safes and other heavy equipment and to require that the same stand on supports of such dimensions and material to distribute the weight as the Landlord may deem necessary and that in carrying out any approved work hereunder the Tenant and its employees agents contractors and workmen shall cooperate fully with the Landlord and all the employees agents contractors and workmen of the Landlord and with other tenants or contractors carrying out any work in the Building. The Tenant its employees agents contractors and workmen shall obey and comply with all instructions and directions which may be given by the Landlord or its representative in connection with the carrying out of such work.</w:t>
      </w:r>
    </w:p>
    <w:p>
      <w:pPr>
        <w:spacing w:after="0" w:line="17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4.2 (Criteria for commencing business) Not to use occupy the Premises to commence business or operation (whether temporarily or otherwise) unless and until (i) having obtained all</w:t>
      </w:r>
    </w:p>
    <w:p>
      <w:pPr>
        <w:sectPr>
          <w:pgSz w:w="11900" w:h="16838" w:orient="portrait"/>
          <w:cols w:equalWidth="0" w:num="1">
            <w:col w:w="10239"/>
          </w:cols>
          <w:pgMar w:left="220" w:top="624" w:right="1440" w:bottom="1440" w:gutter="0" w:footer="0" w:header="0"/>
        </w:sectPr>
      </w:pPr>
    </w:p>
    <w:bookmarkStart w:id="190" w:name="page191"/>
    <w:bookmarkEnd w:id="190"/>
    <w:p>
      <w:pPr>
        <w:ind w:right="3239"/>
        <w:spacing w:after="0" w:line="236" w:lineRule="auto"/>
        <w:rPr>
          <w:sz w:val="20"/>
          <w:szCs w:val="20"/>
          <w:color w:val="auto"/>
        </w:rPr>
      </w:pPr>
      <w:r>
        <w:rPr>
          <w:rFonts w:ascii="Courier New" w:cs="Courier New" w:eastAsia="Courier New" w:hAnsi="Courier New"/>
          <w:sz w:val="15"/>
          <w:szCs w:val="15"/>
          <w:color w:val="auto"/>
        </w:rPr>
        <w:t>necessary unconditional completion/approval certificate(s) duly issued by the competent authorities in respect of all works and installation to the Premises which shall be legally required for commencing business or operation at or in the Premises; and (ii) having deposited with the Landlord at all times during the Term copies of the relevant valid completion/approval certificate(s) therefor; failing which the Landlord may at its discretion refuse to provide the necessary facilities and services to the Premises including the electricity supply and air-conditioning facility.</w:t>
      </w:r>
    </w:p>
    <w:p>
      <w:pPr>
        <w:spacing w:after="0" w:line="177" w:lineRule="exact"/>
        <w:rPr>
          <w:sz w:val="20"/>
          <w:szCs w:val="20"/>
          <w:color w:val="auto"/>
        </w:rPr>
      </w:pPr>
    </w:p>
    <w:p>
      <w:pPr>
        <w:ind w:right="3759"/>
        <w:spacing w:after="0" w:line="256" w:lineRule="auto"/>
        <w:rPr>
          <w:sz w:val="20"/>
          <w:szCs w:val="20"/>
          <w:color w:val="auto"/>
        </w:rPr>
      </w:pPr>
      <w:r>
        <w:rPr>
          <w:rFonts w:ascii="Courier New" w:cs="Courier New" w:eastAsia="Courier New" w:hAnsi="Courier New"/>
          <w:sz w:val="14"/>
          <w:szCs w:val="14"/>
          <w:color w:val="auto"/>
        </w:rPr>
        <w:t>4.3 (Signs) Not to affix or display or permit or suffer to be affixed or displayed within or outside the Premises any signboard sign decoration advertising matter or other device whether illuminated or not which may be visible from outside the Premises and the Landlord shall have the right to remove the same at the cost and expense of the Tenant Provided that:</w:t>
      </w:r>
    </w:p>
    <w:p>
      <w:pPr>
        <w:spacing w:after="0" w:line="163" w:lineRule="exact"/>
        <w:rPr>
          <w:sz w:val="20"/>
          <w:szCs w:val="20"/>
          <w:color w:val="auto"/>
        </w:rPr>
      </w:pPr>
    </w:p>
    <w:p>
      <w:pPr>
        <w:ind w:left="440" w:right="3239" w:hanging="430"/>
        <w:spacing w:after="0" w:line="236" w:lineRule="auto"/>
        <w:tabs>
          <w:tab w:leader="none" w:pos="4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Tenant shall be entitled to have its name displayed in English and Chinese in uniform lettering and/or characters designated by the Landlord on the directory boards, such lettering and characters and any additions or alterations thereto will be placed thereon by the Landlord at the Tenant's expense; and</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Tenant shall be entitled at its own expense to have its name affixed in lettering and/or characters of dimensions approved by the Landlord on the Tenant's main entrance door.</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Save as provided in (i) and (ii) above, the Tenant shall not do or permit or suffer any act which may alter or otherwise adversely affect the appearance of the Premises or the Building.</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4.4 (User) Not to use or permit or suffer the Premises to be used for any purpose other than as an office under the name of the Tenant only.</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4.5 (Illegal or immoral use) Not to use or permit or suffer the Premises to be used for any illegal immoral or improper purpose.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4.6 (No touting) Not to permit any touting or soliciting for business or the distributing of any pamphlets notice or advertising matter outside the Premises or anywhere within or near the vicinity of the Building by any of the Tenant's employees or agents.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4.7 (Auction and Exhibition) Not to hold or permit or suffer to be held in the Premises any exhibition auction or similar sale of things or properties of any kind.</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4.8 (Sleeping or domestic use) Not to use or permit or suffer the Premises or any part thereof to be used as sleeping quarters.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4.9 (Manufacture or storage of goods) Not to use or permit or suffer the Premises to be used for the production manufacture or working of goods or merchandise nor for the storage of goods and merchandise other than samples and exhibits in small quantities reasonably required in connection with the Tenant's business carried on therein.</w:t>
      </w:r>
    </w:p>
    <w:p>
      <w:pPr>
        <w:sectPr>
          <w:pgSz w:w="11900" w:h="16838" w:orient="portrait"/>
          <w:cols w:equalWidth="0" w:num="1">
            <w:col w:w="10239"/>
          </w:cols>
          <w:pgMar w:left="220" w:top="624" w:right="1440" w:bottom="1440" w:gutter="0" w:footer="0" w:header="0"/>
        </w:sectPr>
      </w:pPr>
    </w:p>
    <w:bookmarkStart w:id="191" w:name="page192"/>
    <w:bookmarkEnd w:id="191"/>
    <w:p>
      <w:pPr>
        <w:ind w:right="3239"/>
        <w:spacing w:after="0" w:line="236" w:lineRule="auto"/>
        <w:rPr>
          <w:sz w:val="20"/>
          <w:szCs w:val="20"/>
          <w:color w:val="auto"/>
        </w:rPr>
      </w:pPr>
      <w:r>
        <w:rPr>
          <w:rFonts w:ascii="Courier New" w:cs="Courier New" w:eastAsia="Courier New" w:hAnsi="Courier New"/>
          <w:sz w:val="15"/>
          <w:szCs w:val="15"/>
          <w:color w:val="auto"/>
        </w:rPr>
        <w:t>4.10 (Combustible or dangerous goods) Not to keep or store or permit or suffer to be kept or stored in the Premises any arms ammunition gun-powder salt-petre kerosene or other explosive or combustible substance or hazardous or unlawful goods and not at any time during the Term to allow the Premises or any part thereof to be used in any way entailing a fine forfeiture or penalty against the Landlord under any laws for the time being in force in the People's Republic of China.</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4.11 (Obstruction to Passages) Not to encumber or obstruct or permit or suffer to be encumbered or obstructed with any boxes packaging rubbish or other articles or obstruction of any kind or nature any of the entrances exits staircases landing passages escalators lift lobbies or other parts of the Building in common use and the Landlord shall be entitled without notice and at the Tenant's expense to remove and dispose of any such boxes packaging rubbish or other articles or obstruction as it sees fit without incurring any liability therefor.</w:t>
      </w:r>
    </w:p>
    <w:p>
      <w:pPr>
        <w:spacing w:after="0" w:line="177"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4.12 (Articles in common area) Not to lay install affix or attach any wiring cables or other articles or things at in or upon any of the entrances exits staircases landings passages lobbies or other parts of the Building in common use without having obtained the Landlord's prior written consent.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4.13 (Sub-letting assigning) Not to assign underlet or otherwise part with the possession of or transfer the Premises or any part thereof or any interests therein nor permit or suffer any arrangement or transaction whereby any person who is not a party to the Tenancy Agreement obtains the use possession occupation or enjoyment of the Premises or any part thereof irrespective of whether any rental or other consideration is give therefor. For the avoidance of doubts, it is expressly agreed by the Tenant that this Tenancy Agreement shall be personal to the Tenant.</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4.14 (Breach of insurance policy) Not to do or permit or suffer to be done any act deed matter or thing whatsoever whereby the insurance policies on the Building and/or the Premises against loss or damage by fire and/or other insurable perils and/or claims by third parties for the time being in force may become void or voidable or whereby the rate of premium or premiums thereon may be increased Provided that if as the result of any act deed matter or thing done permitted or suffered to be done by the Tenant the rate of premium on any such policy of insurance shall be increased the Landlord shall be entitled without prejudice to any other remedy hereunder to recover from the Tenant the amount of any such increase.</w:t>
      </w:r>
    </w:p>
    <w:p>
      <w:pPr>
        <w:spacing w:after="0" w:line="17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4.15 (Air-conditioning) Not to install air-conditioning facilities in addition to such facilities as are provided by the Landlord.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4.16 (Parking) Not to park in obstruct or otherwise use nor permit any employee agent customer invitee or visitor of the Tenant to park in obstruct or otherwise use those areas of the Building allocated to the parking or movement of or access for vehicles or designated as loading/unloading areas otherwise than in accordance with the Regulations made by the Landlord pursuant to Clause 9 hereof.</w:t>
      </w:r>
    </w:p>
    <w:p>
      <w:pPr>
        <w:sectPr>
          <w:pgSz w:w="11900" w:h="16838" w:orient="portrait"/>
          <w:cols w:equalWidth="0" w:num="1">
            <w:col w:w="10239"/>
          </w:cols>
          <w:pgMar w:left="220" w:top="624" w:right="1440" w:bottom="1440" w:gutter="0" w:footer="0" w:header="0"/>
        </w:sectPr>
      </w:pPr>
    </w:p>
    <w:bookmarkStart w:id="192" w:name="page193"/>
    <w:bookmarkEnd w:id="192"/>
    <w:p>
      <w:pPr>
        <w:ind w:right="3239"/>
        <w:spacing w:after="0" w:line="236" w:lineRule="auto"/>
        <w:rPr>
          <w:sz w:val="20"/>
          <w:szCs w:val="20"/>
          <w:color w:val="auto"/>
        </w:rPr>
      </w:pPr>
      <w:r>
        <w:rPr>
          <w:rFonts w:ascii="Courier New" w:cs="Courier New" w:eastAsia="Courier New" w:hAnsi="Courier New"/>
          <w:sz w:val="15"/>
          <w:szCs w:val="15"/>
          <w:color w:val="auto"/>
        </w:rPr>
        <w:t>4.17 (Use of building name) Not without the prior written consent of the Landlord to use or permit to be used the name/logo or any part of the name/logo of the Landlord or of the Building or any picture representation or likeness of the whole or any part of such name/logo or of the Building or of the Premises in connection with the business or operations of the Tenant or for any purpose whatsoever other than to indicate the address and place of business of the Tenant only.</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4.18 (Injury to walls and ceiling etc.) Not without the prior written consent of the Landlord to cut maim injure drill nail or screw into mark or deface or permit or suffer to be cut maimed injured drilled into marked or defaced any doors windows walls beams structural members or any part of the fabric of the Premises or any of the plumbing or sanitary or air-conditioning apparatus or installations therein, nor without such consent of the Landlord to do any other thing which may damage or penetrate the existing floor screed or slab.</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4.19 (Damage to common areas) Not to damage injure or deface any part of the common areas of the Building including without limitation the fabric decorative features the stairs lifts escalators any trees plants or shrubs therein or thereabout.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4.20 (Nuisance or annoyance) Not to do or permit or suffer to be done any act or thing which may be or become a nuisance or annoyance to the Landlord or to the tenants or occupiers of other premises in the Building.</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4.21 (Noise) Not to cause produce or permit or suffer to be produced at any time in the Premises any disturbing or irritating noise or any music sound or noise (including sound produced by broadcasting or any apparatus or equipment capable of producing reproducing receiving or recording sound) which may be audible outside the Premises.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4.22 (Toilet facilities) Not to use or permit or suffer to be used the toilet facilities provided by the Landlord in the Premises or in the common areas of the Building for any purpose other than that for which they are intended and not to throw or permit or suffer to be thrown therein any substance or object incompatible with their intended use and the Tenant shall pay to the Landlord on demand the whole expense of any breakage blockage or damage resulting from a violation of this Clause.</w:t>
      </w:r>
    </w:p>
    <w:p>
      <w:pPr>
        <w:spacing w:after="0" w:line="176" w:lineRule="exact"/>
        <w:rPr>
          <w:sz w:val="20"/>
          <w:szCs w:val="20"/>
          <w:color w:val="auto"/>
        </w:rPr>
      </w:pPr>
    </w:p>
    <w:p>
      <w:pPr>
        <w:jc w:val="both"/>
        <w:ind w:right="3319"/>
        <w:spacing w:after="0" w:line="256" w:lineRule="auto"/>
        <w:rPr>
          <w:sz w:val="20"/>
          <w:szCs w:val="20"/>
          <w:color w:val="auto"/>
        </w:rPr>
      </w:pPr>
      <w:r>
        <w:rPr>
          <w:rFonts w:ascii="Courier New" w:cs="Courier New" w:eastAsia="Courier New" w:hAnsi="Courier New"/>
          <w:sz w:val="14"/>
          <w:szCs w:val="14"/>
          <w:color w:val="auto"/>
        </w:rPr>
        <w:t>4.23 (Animals pets and infestation) Not to keep or permit or suffer to be kept any animals or pets inside the Premises and at the Tenant's expense to take all such steps and precautions as shall be required by the Landlord to prevent the Premises or any part thereof from becoming infested by pests or vermin.</w:t>
      </w:r>
    </w:p>
    <w:p>
      <w:pPr>
        <w:spacing w:after="0" w:line="16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4.24 (Preparation of food and prevention of odours) Not to cook or prepare or permit or suffer to be cooked or prepared any food in the Premises or to cause or permit any offensive or unusual odours to be produced upon or emanated from the Premises.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4.25 (Aerials) Not to erect any aerial on the roof or walls of the Building or on the ceiling or walls of the Premises and not to interfere with remove dismantle or alter those common aerials (if any) provided by the Landlord.</w:t>
      </w:r>
    </w:p>
    <w:p>
      <w:pPr>
        <w:sectPr>
          <w:pgSz w:w="11900" w:h="16838" w:orient="portrait"/>
          <w:cols w:equalWidth="0" w:num="1">
            <w:col w:w="10239"/>
          </w:cols>
          <w:pgMar w:left="220" w:top="624" w:right="1440" w:bottom="1440" w:gutter="0" w:footer="0" w:header="0"/>
        </w:sectPr>
      </w:pPr>
    </w:p>
    <w:bookmarkStart w:id="193" w:name="page194"/>
    <w:bookmarkEnd w:id="193"/>
    <w:p>
      <w:pPr>
        <w:ind w:left="2640"/>
        <w:spacing w:after="0"/>
        <w:rPr>
          <w:sz w:val="20"/>
          <w:szCs w:val="20"/>
          <w:color w:val="auto"/>
        </w:rPr>
      </w:pPr>
      <w:r>
        <w:rPr>
          <w:rFonts w:ascii="Courier New" w:cs="Courier New" w:eastAsia="Courier New" w:hAnsi="Courier New"/>
          <w:sz w:val="15"/>
          <w:szCs w:val="15"/>
          <w:color w:val="auto"/>
        </w:rPr>
        <w:t>Clause 5 - Exclusions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Unless caused through the negligence of the Landlord its employees or agents, the Landlord shall not be liable to the Tenant occupier or any other person whomsoever: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5.1 (Lift escalators air-conditioning etc.) In respect of any injury loss damage or death to person or property sustained by the Tenant occupier or any such other person caused by or through or in any way owing to any defect in or breakdown of any of the lifts escalators fire and security services equipment air-conditioning plant telecommunication services or any other facilities of and in the Premises or the Building; or</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5.2 (Electricity/water supply) In respect of any injury loss damage or death to person or property sustained by the Tenant occupier or any such other person caused by or through or in any way owing to any failure malfunction explosion or suspension of the electricity or water supply to the Building or the Premises; or</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5.3 (Fire and overflow of water and vermin) In respect of any injury loss damage or death to person or property sustained by the Tenant occupier or any such other person caused by or through or in any way owing to fire or the escape of fumes smoke odours or any substance or thing or the overflow or leakage of water from anywhere within the Building or the influx of rain water or storm water into the Building or the Premises or the activity of rats or other vermin in the Building; or</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5.4 (Security) For the security or safekeeping of the Premises or any persons or contents therein and in particular but without prejudice to the generality of the foregoing the provision (if any) by the Landlord or the Property Manager of watchmen and caretakers or any mechanical or electrical systems of alarm of whatever nature shall not create any obligation on the part of the Landlord or the Property Manager as to the security of the Premises or any contents therein and the responsibility for the safety of the Premises and the contents thereof shall at all times rest with the Tenant; or</w:t>
      </w:r>
    </w:p>
    <w:p>
      <w:pPr>
        <w:spacing w:after="0" w:line="17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5.5 (Non-enforcement of the Regulations) In respect of any injury loss damage or death however caused by or arising from any non-enforcement of the Regulations under Clause 9 or non-observance thereof by any party; or</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Nor shall the Rent or the Management Fees payable by the Tenant hereunder or any part thereof be abated or cease to be payable on account of any of the foregoing circumstances.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Clause 6 - Abatement of Rent and Management Fees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the Premises or any part thereof shall be destroyed or so damaged by fire bad weather Act of God force majeure or other cause not attributable directly or indirectly to any act or default of the Tenant as to render the Premises unfit for use and occupation the Rent hereby agreed to be paid or a part thereof proportionate to the nature and extent of the damage sustained shall cease to be payable until the Premises shall have been restored or reinstated Provided Always that the</w:t>
      </w:r>
    </w:p>
    <w:p>
      <w:pPr>
        <w:sectPr>
          <w:pgSz w:w="11900" w:h="16838" w:orient="portrait"/>
          <w:cols w:equalWidth="0" w:num="1">
            <w:col w:w="10239"/>
          </w:cols>
          <w:pgMar w:left="220" w:top="617" w:right="1440" w:bottom="1440" w:gutter="0" w:footer="0" w:header="0"/>
        </w:sectPr>
      </w:pPr>
    </w:p>
    <w:bookmarkStart w:id="194" w:name="page195"/>
    <w:bookmarkEnd w:id="194"/>
    <w:p>
      <w:pPr>
        <w:ind w:right="3239"/>
        <w:spacing w:after="0" w:line="237" w:lineRule="auto"/>
        <w:rPr>
          <w:sz w:val="20"/>
          <w:szCs w:val="20"/>
          <w:color w:val="auto"/>
        </w:rPr>
      </w:pPr>
      <w:r>
        <w:rPr>
          <w:rFonts w:ascii="Courier New" w:cs="Courier New" w:eastAsia="Courier New" w:hAnsi="Courier New"/>
          <w:sz w:val="15"/>
          <w:szCs w:val="15"/>
          <w:color w:val="auto"/>
        </w:rPr>
        <w:t>Landlord shall be under no obligation to repair or reinstate the Premises if in its opinion it is not reasonably economical or practicable so to do and Provided Further that if the whole or substantially the whole of the Premises which have been destroyed or rendered unfit for use and occupation shall not have: been repaired and reinstated within six months of the occurrence of the destruction or damage either party hereto shall be entitled at any time before the same are so repaired and reinstated to terminate this Agreement by notice in writing to the other but without prejudice to the rights and remedies of either party against the other in respect of any antecedent claim or breach of the agreements terms and conditions herein contained or of the Landlord in respect of the Rent the Management Fees and other charges payable hereunder prior to the coming into effect of the cessation.</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Clause 7 - Default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hereby further expressly agreed and declared as follows:</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(Default) Entirely without prejudice to the provisions of Clause 8.1, if</w:t>
      </w:r>
    </w:p>
    <w:p>
      <w:pPr>
        <w:spacing w:after="0" w:line="5" w:lineRule="exact"/>
        <w:rPr>
          <w:sz w:val="20"/>
          <w:szCs w:val="20"/>
          <w:color w:val="auto"/>
        </w:rPr>
      </w:pPr>
    </w:p>
    <w:p>
      <w:pPr>
        <w:ind w:right="3239" w:firstLine="10"/>
        <w:spacing w:after="0" w:line="254" w:lineRule="auto"/>
        <w:tabs>
          <w:tab w:leader="none" w:pos="35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Rent, the Management Fees and/or other amounts payable by the Tenant under this Tenancy Agreement or any part thereof shall be unpaid for fourteen (14) days after the same shall have become payable (whether the Tenant has been demanded to pay or not); or (ii) any breach non- observanc or non-performance by the Tenant of any of the terms agreements stipulations or conditions hereof; or</w:t>
      </w:r>
    </w:p>
    <w:p>
      <w:pPr>
        <w:spacing w:after="0" w:line="1" w:lineRule="exact"/>
        <w:rPr>
          <w:rFonts w:ascii="Courier New" w:cs="Courier New" w:eastAsia="Courier New" w:hAnsi="Courier New"/>
          <w:sz w:val="14"/>
          <w:szCs w:val="14"/>
          <w:color w:val="auto"/>
        </w:rPr>
      </w:pPr>
    </w:p>
    <w:p>
      <w:pPr>
        <w:ind w:right="3239" w:firstLine="10"/>
        <w:spacing w:after="0" w:line="237" w:lineRule="auto"/>
        <w:tabs>
          <w:tab w:leader="none" w:pos="52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assets of the Tenant has been seized or distrainted by the People's Court or any competent authority; or (iv) the Tenant shall become bankrupt or being a corporation shall go into liquidation; or (v) any petition shall be filed for the bankruptcy or winding up of the Tenant; or (vi) the Tenant shall otherwise become insolvent or make any composition or arrangement with its creditors or shall suffer any execution to be levied on the Premises (each such case a "Default"), THEN the Landlord may EITHER disconnect all electricity, air-conditioning, water, telephone, internet, other utility services and/or supplies to the Premises provided that a three (3) days' prior notice has been given to the Tenant of the Landlord's intention so to do OR exercise all of the following rights (the "Remedial Rights") if such Default(s) has/have not been remedied within seven (7) days after a written notice has been served by the Landlord to the Tenant:</w:t>
      </w:r>
    </w:p>
    <w:p>
      <w:pPr>
        <w:spacing w:after="0" w:line="173" w:lineRule="exact"/>
        <w:rPr>
          <w:sz w:val="20"/>
          <w:szCs w:val="20"/>
          <w:color w:val="auto"/>
        </w:rPr>
      </w:pPr>
    </w:p>
    <w:p>
      <w:pPr>
        <w:ind w:left="620" w:right="3399" w:hanging="610"/>
        <w:spacing w:after="0" w:line="234" w:lineRule="auto"/>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enter or re-enter on the Premises or any part thereof in the name of the whole;</w:t>
      </w:r>
    </w:p>
    <w:p>
      <w:pPr>
        <w:spacing w:after="0" w:line="173"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terminate this Tenancy Agreement absolutely but without prejudice to any right of action of the Landlord in respect of any outstanding breach or non-observance or non-performance by the Tenant of any of the agreements stipulations and conditions herein contained;</w:t>
      </w:r>
    </w:p>
    <w:p>
      <w:pPr>
        <w:spacing w:after="0" w:line="175" w:lineRule="exact"/>
        <w:rPr>
          <w:rFonts w:ascii="Courier New" w:cs="Courier New" w:eastAsia="Courier New" w:hAnsi="Courier New"/>
          <w:sz w:val="15"/>
          <w:szCs w:val="15"/>
          <w:color w:val="auto"/>
        </w:rPr>
      </w:pPr>
    </w:p>
    <w:p>
      <w:pPr>
        <w:ind w:left="620" w:right="3319" w:hanging="610"/>
        <w:spacing w:after="0" w:line="235" w:lineRule="auto"/>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forfeit the Deposit and other deposits paid by the Tenant without prejudice to the Landlord's right of deduction in accordance with Clause 8 and claim for further compensation; and</w:t>
      </w:r>
    </w:p>
    <w:p>
      <w:pPr>
        <w:spacing w:after="0" w:line="173" w:lineRule="exact"/>
        <w:rPr>
          <w:rFonts w:ascii="Courier New" w:cs="Courier New" w:eastAsia="Courier New" w:hAnsi="Courier New"/>
          <w:sz w:val="15"/>
          <w:szCs w:val="15"/>
          <w:color w:val="auto"/>
        </w:rPr>
      </w:pPr>
    </w:p>
    <w:p>
      <w:pPr>
        <w:jc w:val="both"/>
        <w:ind w:left="620" w:right="3759" w:hanging="610"/>
        <w:spacing w:after="0" w:line="261" w:lineRule="auto"/>
        <w:tabs>
          <w:tab w:leader="none" w:pos="6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do all lawful things and/or to take all lawful actions which the Landlord considers necessary or desirable to remedy the Default(s).</w:t>
      </w:r>
    </w:p>
    <w:p>
      <w:pPr>
        <w:sectPr>
          <w:pgSz w:w="11900" w:h="16838" w:orient="portrait"/>
          <w:cols w:equalWidth="0" w:num="1">
            <w:col w:w="10239"/>
          </w:cols>
          <w:pgMar w:left="220" w:top="624" w:right="1440" w:bottom="1440" w:gutter="0" w:footer="0" w:header="0"/>
        </w:sectPr>
      </w:pPr>
    </w:p>
    <w:bookmarkStart w:id="195" w:name="page196"/>
    <w:bookmarkEnd w:id="195"/>
    <w:p>
      <w:pPr>
        <w:ind w:right="3239"/>
        <w:spacing w:after="0" w:line="236" w:lineRule="auto"/>
        <w:rPr>
          <w:sz w:val="20"/>
          <w:szCs w:val="20"/>
          <w:color w:val="auto"/>
        </w:rPr>
      </w:pPr>
      <w:r>
        <w:rPr>
          <w:rFonts w:ascii="Courier New" w:cs="Courier New" w:eastAsia="Courier New" w:hAnsi="Courier New"/>
          <w:sz w:val="15"/>
          <w:szCs w:val="15"/>
          <w:color w:val="auto"/>
        </w:rPr>
        <w:t>All relevant costs and expenses incurred by the Landlord in connection with the disconnection and the subsequent re-connection of the electricity air-conditioning, water, telephone, internet, other utility services and/or supplies to the Premises shall be paid by the Tenant and shall be recoverable from the Tenant as a debt or be deductible by the Landlord from the Deposit paid by the Tenant in accordance with Clause 8 hereof.</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7.2 (Exercise of right) A written notice served by the Landlord on the Tenant in manner hereinafter mentioned to the effect that the Landlord thereby exercises the power of re-entry and determination of the Tenancy Agreement herein contained shall be a full and sufficient exercise of such power without physical entry on the part of the Landlord. Upon dispatch of the written notice of re-entry, the Premises shall be deemed to have been repossessed by the Landlord and the Tenant shall be deemed evicted. Thereafter, the Landlord shall be entitled to dispose of the Premises and any items or chattels left on the Premises in such manner as it wishes and it shall not incur any liability to the Tenant therefor.</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7.3 (Acceptance of Rent and Management Fees) Acceptance of the Rent and/or the Management Fees and/or other amounts by the Landlord shall not be deemed to operate as a waiver by the Landlord of any right to proceed against the Tenant in respect of any breach non-observance or non-performance by the Tenant of any of the agreements stipulations and conditions herein contained and on the Tenant's part to be observed and performed.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7.4 (Payment Order) The Rent payable in respect of the Premises shall be and be deemed to be in arrears if not paid in advance at the times and in the manner hereinbefore provided for payment thereof. In such a case, the Landlord may apply for Payment Order issued by the People's Court in accordance with the Article 189 of the "PRC Civil Procedure Law" and all costs and expenses thus incurred shall be borne by the Tenant.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7.5 (Interest) Without prejudice to the Landlord's other rights and remedies on such default, if the Rent, the Management Fees or any other charges payable by the Tenant under this Tenancy Agreement or any part thereof shall not be paid in the manner and at the time specified in Clause 1 hereof, then interest shall be payable by the Tenant at the rate of 0.1% per day calculated on daily basis from the due date up to the date of actual payment (both inclusive).</w:t>
      </w:r>
    </w:p>
    <w:p>
      <w:pPr>
        <w:spacing w:after="0" w:line="16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Clause 8 - Deposit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8.1 (The Deposit) The Tenant shall on the signing hereof deposit with the Landlord the Deposit in Renminbi specified in Part 5 of the Schedule to this Tenancy Agreement to secure the due observance and performance by the Tenant of the terms conditions agreements and stipulations contained in this Tenancy Agreement and to be observed and performed by the Tenant. The Deposit shall be retained by the Landlord throughout the Term free of any interest and in the event of any breach or non-observance or non-performance by the Tenant of any of the agreements stipulations or conditions aforesaid the Landlord shall be entitled, by exercising its Remedial Rights provided in this Tenancy Agreement, to terminate this Agreement, forfeit the Deposit and claim further compensation for the costs expenses loss or damage thus incurred. Notwithstanding the foregoing, the Landlord may in any such event at its option deduct immediately after the occurrence of the breach non-observance or non-performance of any</w:t>
      </w:r>
    </w:p>
    <w:p>
      <w:pPr>
        <w:sectPr>
          <w:pgSz w:w="11900" w:h="16838" w:orient="portrait"/>
          <w:cols w:equalWidth="0" w:num="1">
            <w:col w:w="10239"/>
          </w:cols>
          <w:pgMar w:left="220" w:top="624" w:right="1440" w:bottom="1440" w:gutter="0" w:footer="0" w:header="0"/>
        </w:sectPr>
      </w:pPr>
    </w:p>
    <w:bookmarkStart w:id="196" w:name="page197"/>
    <w:bookmarkEnd w:id="196"/>
    <w:p>
      <w:pPr>
        <w:ind w:right="3239"/>
        <w:spacing w:after="0" w:line="236" w:lineRule="auto"/>
        <w:rPr>
          <w:sz w:val="20"/>
          <w:szCs w:val="20"/>
          <w:color w:val="auto"/>
        </w:rPr>
      </w:pPr>
      <w:r>
        <w:rPr>
          <w:rFonts w:ascii="Courier New" w:cs="Courier New" w:eastAsia="Courier New" w:hAnsi="Courier New"/>
          <w:sz w:val="15"/>
          <w:szCs w:val="15"/>
          <w:color w:val="auto"/>
        </w:rPr>
        <w:t>agreement stipulation or condition of this Tenancy Agreement from the Deposit the amount of any monetary loss incurred by the Landlord in consequence of such breach non-observance or non-performance with prior notice to the Tenant in which event the Tenant shall as a condition precedent to the continuation of the tenancy deposit with the Landlord the amount so deducted within 7 days after receiving the written notice of the Landlord demanding the same and if the Tenant shall fail so to do the Landlord shall forthwith be entitled to exercise all of its Remedial Rights.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8.2 (Repayment of the Deposit) Subject as aforesaid the Deposit shall be refunded to the Tenant by the Landlord without interest within thirty (30) days after (a) the expiration of this Tenancy Agreement and the delivery of vacant possession to the Landlord in accordance with Clause 2.14 above or (b) the settlement of the last outstanding claim by the Landlord against the Tenant in respect of any breach non-observance or non-performance of any of the agreements stipulations or conditions herein contained and on the part of the Tenant to be observed and performed or (c) the relevant telephone telecommunication and electricity authorities have cleared the Tenant's telephone telecommunication and electricity accounts; whichever is the latest. The Deposit shall be refunded to the Tenant in Reminbi without interest in the same amount as it was paid to the Landlord, subject, however, to the Landlord's right to make deduction, withholding or set off according to the terms of this Tenancy Agreement.</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Clause 9 - Regulations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9.1 (Introduction of Regulations) The Landlord reserves the right from time to time and by notice in writing to the Tenant to make and introduce and subsequently amend adopt or abolish if necessary such rules and regulations ("Regulations") as it may consider necessary for the control of use of parking spaces, fitting-out and the access operation management and maintenance of the Building and/or the Development as a first class development and for the compliance of the relevant laws regulations or requirements imposed by the competent authorities.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9.2 (Conflict) Such Regulations shall be supplementary to the terms and conditions contained in this Tenancy Agreement and shall not in any way derogate from such terms and conditions. In the event of conflict between such Regulations and the terms and conditions of this Tenancy Agreement, the terms and conditions of this Tenancy Agreement shall prevail.</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Clause 10 - Interpretation and Miscellaneous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10.1 (Headings and indices) The headings and indices (if any) are intended for guidance only and do not form part of this Tenancy Agreement nor shall any of the provisions of this Tenancy Agreement be construed or interpreted by reference thereto or in any way affected or limited thereby.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10.2 (Condonation not a waiver) No condoning excusing or overlooking by the Landlord of any default breach or non-observance or non-performance by the Tenant at any time or from time to time of any of the Tenant's obligations herein contained shall operate as a waiver of the Landlord's rights hereunder in respect of any continuing or subsequent default breach or non-observance or non-performance or so as to defeat or affect in any way the rights and remedies of</w:t>
      </w:r>
    </w:p>
    <w:p>
      <w:pPr>
        <w:sectPr>
          <w:pgSz w:w="11900" w:h="16838" w:orient="portrait"/>
          <w:cols w:equalWidth="0" w:num="1">
            <w:col w:w="10239"/>
          </w:cols>
          <w:pgMar w:left="220" w:top="623" w:right="1440" w:bottom="1440" w:gutter="0" w:footer="0" w:header="0"/>
        </w:sectPr>
      </w:pPr>
    </w:p>
    <w:bookmarkStart w:id="197" w:name="page198"/>
    <w:bookmarkEnd w:id="197"/>
    <w:p>
      <w:pPr>
        <w:ind w:right="3319"/>
        <w:spacing w:after="0" w:line="255" w:lineRule="auto"/>
        <w:rPr>
          <w:sz w:val="20"/>
          <w:szCs w:val="20"/>
          <w:color w:val="auto"/>
        </w:rPr>
      </w:pPr>
      <w:r>
        <w:rPr>
          <w:rFonts w:ascii="Courier New" w:cs="Courier New" w:eastAsia="Courier New" w:hAnsi="Courier New"/>
          <w:sz w:val="14"/>
          <w:szCs w:val="14"/>
          <w:color w:val="auto"/>
        </w:rPr>
        <w:t>the Landlord hereunder in respect of any such continuing or subsequent default or breach and no waiver by the Landlord shall be inferred from or implied by anything done or omitted by the landlord unless expressed in writing and signed by the Landlord. Any consent given by the Landlord shall operate as a consent only for the particular matter to which it relates and in no way shall it be considered as a waiver or release of any of the provisions hereof nor shall it be construed as dispensing with the necessity of obtaining the specific written consent of the Landlord in the future, unless expressly so provided.</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10.3 (Landlord's rights regarding common areas and common facilities) The Landlord reserves the right to remove cancel relocate or otherwise change or carry out any alteration or addition or other works to the common areas and common facilities of the Building and such other part or parts of the Building (other than the Premises) and to restrict the access or rights of way thereof from time to time and in such manner as the Landlord may in its absolute discretion deem fit without the same constituting an actual or constructive eviction of the Tenant and without incurring any liability whatsoever to the Tenant therefor.</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10.4 (Service of notices) Any notice required to be served hereunder shall be in writing and shall be sufficiently served on the Tenant if addressed to the Tenant and sent by prepaid post to or delivered by hand at the Premises or the Tenant's last known place of business or residence in Beijing China and shall be sufficiently served on the Landlord if addressed to the Landlord and sent by prepaid post to or delivered by hand at the address given in this Tenancy Agreement or any other address which the Landlord may notify to the Tenant from time to time.</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10.5 (Exclusion of warranties) This Tenancy Agreement sets out the full agreement reached between the parties and no other representations or warranties have been made or given relating to the Landlord or the Tenant or the Building or the Premises and if any such representation or warranty has been made given or implied the same is hereby waived.</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10.6 (Name of Building) The Landlord reserves the right to name the Building with any such name or style as it in its sole discretion may determine and at any time and from time to time to change alter substitute or abandon any such name without compensation to the Tenant Provided that the Landlord shall give the Tenant and the postal and other relevant government authorities not less than three months notice of its intention so to do.</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10.7 (Business License) Prior to signing this Tenancy Agreement, the Tenant shall produce to the Landlord for inspection the business licence or registration certificate issued by the Government of the People's Republic of China and the relevant Power of Attorney and in case where the Tenant is a corporation, the by-laws or the memorandum and articles of association of the Tenant and a certified copy of the board minutes of the Tenant authorising the Tenant's representative to execute this Tenancy Agreement. Without prejudice to the foregoing, the Tenant represents and warrants to the Landlord that it has all requisite power and authority to execute and deliver this Tenancy Agreement and to perform its obligations hereunder, and that the person signing this Tenancy Agreement on behalf of the Tenant has been duly authorized to do so by all necessary corporate or other action of the Tenant.</w:t>
      </w:r>
    </w:p>
    <w:p>
      <w:pPr>
        <w:sectPr>
          <w:pgSz w:w="11900" w:h="16838" w:orient="portrait"/>
          <w:cols w:equalWidth="0" w:num="1">
            <w:col w:w="10239"/>
          </w:cols>
          <w:pgMar w:left="220" w:top="624" w:right="1440" w:bottom="1440" w:gutter="0" w:footer="0" w:header="0"/>
        </w:sectPr>
      </w:pPr>
    </w:p>
    <w:bookmarkStart w:id="198" w:name="page199"/>
    <w:bookmarkEnd w:id="198"/>
    <w:p>
      <w:pPr>
        <w:ind w:right="3239"/>
        <w:spacing w:after="0" w:line="235" w:lineRule="auto"/>
        <w:rPr>
          <w:sz w:val="20"/>
          <w:szCs w:val="20"/>
          <w:color w:val="auto"/>
        </w:rPr>
      </w:pPr>
      <w:r>
        <w:rPr>
          <w:rFonts w:ascii="Courier New" w:cs="Courier New" w:eastAsia="Courier New" w:hAnsi="Courier New"/>
          <w:sz w:val="15"/>
          <w:szCs w:val="15"/>
          <w:color w:val="auto"/>
        </w:rPr>
        <w:t>10.8 (Condition of Premises) The Premises shall be delivered to the Tenant on "as is" basis as of the date on which possession thereof shall be delivered to the Tenant by the Landlord. The Tenant shall accept the Premises so delivered as tenantable and in accordance with this Tenancy Agreement.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10.9 (Costs and Expenses) Unless the laws and regulations of the People's Republic of China provide to the contrary in which event such contrary provisions shall apply, all expenses including stamp duty and registration fees for and incidental to the creation of this Tenancy Agreement shall be borne equally by the Landlord and the Tenant. Each party shall bear its own legal costs, if 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10.10 (Governing Law and Jurisdiction) This Tenancy Agreement shall be governed by and construed in accordance with the laws of the People's Republic of China. Should any dispute arise under this Tenancy Agreement and resolution thereof cannot be reached through consultation between the Landlord and the Tenant, then either party may submit the dispute to a competent People's Court in Beijing Municipality.</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10.11 (Execution and Language) This Tenancy Agreement shall be executed both in Chinese and English, but shall be registered in its Chinese version in accordance with the laws of P. R. China. The Landlord and the Tenant jointly declare that the Chinese and English versions of this Tenancy Agreement shall have same legal effect.</w:t>
      </w:r>
    </w:p>
    <w:p>
      <w:pPr>
        <w:sectPr>
          <w:pgSz w:w="11900" w:h="16838" w:orient="portrait"/>
          <w:cols w:equalWidth="0" w:num="1">
            <w:col w:w="10239"/>
          </w:cols>
          <w:pgMar w:left="220" w:top="624" w:right="1440" w:bottom="1440" w:gutter="0" w:footer="0" w:header="0"/>
        </w:sectPr>
      </w:pPr>
    </w:p>
    <w:bookmarkStart w:id="199" w:name="page200"/>
    <w:bookmarkEnd w:id="199"/>
    <w:p>
      <w:pPr>
        <w:ind w:left="1320"/>
        <w:spacing w:after="0"/>
        <w:rPr>
          <w:sz w:val="20"/>
          <w:szCs w:val="20"/>
          <w:color w:val="auto"/>
        </w:rPr>
      </w:pPr>
      <w:r>
        <w:rPr>
          <w:rFonts w:ascii="Courier New" w:cs="Courier New" w:eastAsia="Courier New" w:hAnsi="Courier New"/>
          <w:sz w:val="15"/>
          <w:szCs w:val="15"/>
          <w:color w:val="auto"/>
        </w:rPr>
        <w:t>APPENDIX TWO ABOVE REFERRED TO - SPECIAL CONDITIONS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Unless otherwise expressly agreed, if there is any inconsistency between the terms of any part of this Tenancy Agreement with those of the Special Conditions, the terms of the Special Conditions shall prevail.</w:t>
      </w:r>
    </w:p>
    <w:p>
      <w:pPr>
        <w:spacing w:after="0" w:line="174" w:lineRule="exact"/>
        <w:rPr>
          <w:sz w:val="20"/>
          <w:szCs w:val="20"/>
          <w:color w:val="auto"/>
        </w:rPr>
      </w:pPr>
    </w:p>
    <w:p>
      <w:pPr>
        <w:ind w:right="3239" w:firstLine="10"/>
        <w:spacing w:after="0" w:line="255" w:lineRule="auto"/>
        <w:tabs>
          <w:tab w:leader="none" w:pos="52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(Fitting-out Period before commencement of Term) Subject to the Tenant (i) signing this Tenancy Agreement; (ii) depositing with the Landlord the Deposit and Advance Payment specified in Part 5 of the Schedule to this Tenancy Agreement; and (iii) obtaining the prior written approval of the fitting-out plans by the Landlord or the Property Manager and the relevant government authorities, the Landlord agrees that the Tenant may occupy the Premises from November 1, 2002 until the date before the Commencement Date ("Fitting-out Period") for the sole purpose of carrying out the necessary building works as well as the fitting out decoration and other works in the Premises. During the Fitting-out Period, the Tenant shall occupy the Premises as a licensee only and shall have no right to occupy the Premises to the exclusion of the Landlord or the Landlord's contractors, employees, representative, invitees or agents. Accordingly, during the Fitting-out Period, the Tenant shall:</w:t>
      </w:r>
    </w:p>
    <w:p>
      <w:pPr>
        <w:spacing w:after="0" w:line="164" w:lineRule="exact"/>
        <w:rPr>
          <w:sz w:val="20"/>
          <w:szCs w:val="20"/>
          <w:color w:val="auto"/>
        </w:rPr>
      </w:pPr>
    </w:p>
    <w:p>
      <w:pPr>
        <w:ind w:left="540" w:right="3239" w:hanging="530"/>
        <w:spacing w:after="0" w:line="261" w:lineRule="auto"/>
        <w:tabs>
          <w:tab w:leader="none" w:pos="54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Premises for fitting-out purpose only and shall not be entitled to operate or carry on any business in whatsoever manner in the Premises;</w:t>
      </w:r>
    </w:p>
    <w:p>
      <w:pPr>
        <w:spacing w:after="0" w:line="159" w:lineRule="exact"/>
        <w:rPr>
          <w:rFonts w:ascii="Courier New" w:cs="Courier New" w:eastAsia="Courier New" w:hAnsi="Courier New"/>
          <w:sz w:val="14"/>
          <w:szCs w:val="14"/>
          <w:color w:val="auto"/>
        </w:rPr>
      </w:pPr>
    </w:p>
    <w:p>
      <w:pPr>
        <w:ind w:left="540" w:right="3319" w:hanging="530"/>
        <w:spacing w:after="0" w:line="235" w:lineRule="auto"/>
        <w:tabs>
          <w:tab w:leader="none" w:pos="54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vacate the Premises upon being so required by the Landlord if the Tenant, its contractors, agents, employees or representative shall behave or if the Premises shall be used in such manner as may be inconsistent with the sole purpose of fitting-out of the Premises;</w:t>
      </w:r>
    </w:p>
    <w:p>
      <w:pPr>
        <w:spacing w:after="0" w:line="175" w:lineRule="exact"/>
        <w:rPr>
          <w:rFonts w:ascii="Courier New" w:cs="Courier New" w:eastAsia="Courier New" w:hAnsi="Courier New"/>
          <w:sz w:val="15"/>
          <w:szCs w:val="15"/>
          <w:color w:val="auto"/>
        </w:rPr>
      </w:pPr>
    </w:p>
    <w:p>
      <w:pPr>
        <w:ind w:left="540" w:right="3239" w:hanging="530"/>
        <w:spacing w:after="0" w:line="235" w:lineRule="auto"/>
        <w:tabs>
          <w:tab w:leader="none" w:pos="54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out at its own cost with the interests of the Landlord being noted in the relevant policy(ies) a contractors' all risks insurance policy incorporating thereinto third party liability insurance and such other insurance policies as may be necessary; and</w:t>
      </w:r>
    </w:p>
    <w:p>
      <w:pPr>
        <w:spacing w:after="0" w:line="175" w:lineRule="exact"/>
        <w:rPr>
          <w:rFonts w:ascii="Courier New" w:cs="Courier New" w:eastAsia="Courier New" w:hAnsi="Courier New"/>
          <w:sz w:val="15"/>
          <w:szCs w:val="15"/>
          <w:color w:val="auto"/>
        </w:rPr>
      </w:pPr>
    </w:p>
    <w:p>
      <w:pPr>
        <w:ind w:left="540" w:right="3399" w:hanging="530"/>
        <w:spacing w:after="0" w:line="236" w:lineRule="auto"/>
        <w:tabs>
          <w:tab w:leader="none" w:pos="54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Tenant shall keep the Landlord fully indemnified of and from all losses damages claims actions and demands whatsoever sustained by the Landlord and/or made against the Landlord by any person arising directly or indirectly out of any act deed matter or thing done or omitted to be done by the Tenant as a result of the occupation of the Premises by the Tenant.</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Notwithstanding anything contained herein, if the Fitting-out Works have been completed prior to the end of the Fitting-out Period, the Tenant may, subject to its continuing obligation under Clause 2.3 and Clause 4.2, commence business or operation at the premises after (i) having obtained all necessary completion/approval certificate(s) duly issued by the competent authorities in respect of the Fitting-out Works which shall be legally required for commencing business or operation at or in the Premises; (ii) having deposited with the Landlord the relevant valid completion/approval certificate(s) therefor; and</w:t>
      </w:r>
    </w:p>
    <w:p>
      <w:pPr>
        <w:spacing w:after="0" w:line="3" w:lineRule="exact"/>
        <w:rPr>
          <w:sz w:val="20"/>
          <w:szCs w:val="20"/>
          <w:color w:val="auto"/>
        </w:rPr>
      </w:pPr>
    </w:p>
    <w:p>
      <w:pPr>
        <w:ind w:right="3399" w:firstLine="10"/>
        <w:spacing w:after="0" w:line="234" w:lineRule="auto"/>
        <w:tabs>
          <w:tab w:leader="none" w:pos="525"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comply with all the terms and conditions of this Tenancy Agreement and pay the Management Fees and other charges and</w:t>
      </w:r>
    </w:p>
    <w:p>
      <w:pPr>
        <w:sectPr>
          <w:pgSz w:w="11900" w:h="16838" w:orient="portrait"/>
          <w:cols w:equalWidth="0" w:num="1">
            <w:col w:w="10239"/>
          </w:cols>
          <w:pgMar w:left="220" w:top="617" w:right="1440" w:bottom="1440" w:gutter="0" w:footer="0" w:header="0"/>
        </w:sectPr>
      </w:pPr>
    </w:p>
    <w:bookmarkStart w:id="200" w:name="page201"/>
    <w:bookmarkEnd w:id="200"/>
    <w:p>
      <w:pPr>
        <w:ind w:right="4019"/>
        <w:spacing w:after="0" w:line="234" w:lineRule="auto"/>
        <w:rPr>
          <w:sz w:val="20"/>
          <w:szCs w:val="20"/>
          <w:color w:val="auto"/>
        </w:rPr>
      </w:pPr>
      <w:r>
        <w:rPr>
          <w:rFonts w:ascii="Courier New" w:cs="Courier New" w:eastAsia="Courier New" w:hAnsi="Courier New"/>
          <w:sz w:val="15"/>
          <w:szCs w:val="15"/>
          <w:color w:val="auto"/>
        </w:rPr>
        <w:t>outgoings payable hereunder as if it were the Tenant, save only for the obligation to pay the Rent.</w:t>
      </w:r>
    </w:p>
    <w:p>
      <w:pPr>
        <w:spacing w:after="0" w:line="173" w:lineRule="exact"/>
        <w:rPr>
          <w:sz w:val="20"/>
          <w:szCs w:val="20"/>
          <w:color w:val="auto"/>
        </w:rPr>
      </w:pPr>
    </w:p>
    <w:p>
      <w:pPr>
        <w:ind w:right="3239" w:firstLine="10"/>
        <w:spacing w:after="0" w:line="258" w:lineRule="auto"/>
        <w:tabs>
          <w:tab w:leader="none" w:pos="52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Free Period) Subject to the condition of the Tenant's due observance and performance of the terms and conditions of this Tenancy Agreement, the Landlord agrees to grant to the Tenant a Rent Free Period of 8 months</w:t>
      </w:r>
    </w:p>
    <w:p>
      <w:pPr>
        <w:spacing w:after="0" w:line="161" w:lineRule="exact"/>
        <w:rPr>
          <w:sz w:val="20"/>
          <w:szCs w:val="20"/>
          <w:color w:val="auto"/>
        </w:rPr>
      </w:pPr>
    </w:p>
    <w:p>
      <w:pPr>
        <w:jc w:val="both"/>
        <w:ind w:left="540" w:right="3399"/>
        <w:spacing w:after="0" w:line="258" w:lineRule="auto"/>
        <w:rPr>
          <w:sz w:val="20"/>
          <w:szCs w:val="20"/>
          <w:color w:val="auto"/>
        </w:rPr>
      </w:pPr>
      <w:r>
        <w:rPr>
          <w:rFonts w:ascii="Courier New" w:cs="Courier New" w:eastAsia="Courier New" w:hAnsi="Courier New"/>
          <w:sz w:val="14"/>
          <w:szCs w:val="14"/>
          <w:color w:val="auto"/>
        </w:rPr>
        <w:t>commencing from April 1, 2004 to May 31, 2004 (both days inclusive); and commencing from March 1, 2005 to May 31, 2005 (both days inclusive); and commencing from March 1, 2006 to May 31, 2006 (both days inclusive)</w:t>
      </w:r>
    </w:p>
    <w:p>
      <w:pPr>
        <w:spacing w:after="0" w:line="16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Provided however that during the Rent Free Period the Tenant shall at all times observe and perform its obligations under this Tenancy Agreement and pay the Management Fees and all other amounts payable by the Tenant pursuant to the provisions herein (except the Rent).</w:t>
      </w:r>
    </w:p>
    <w:p>
      <w:pPr>
        <w:spacing w:after="0" w:line="175" w:lineRule="exact"/>
        <w:rPr>
          <w:sz w:val="20"/>
          <w:szCs w:val="20"/>
          <w:color w:val="auto"/>
        </w:rPr>
      </w:pPr>
    </w:p>
    <w:p>
      <w:pPr>
        <w:ind w:right="3239" w:firstLine="10"/>
        <w:spacing w:after="0" w:line="235" w:lineRule="auto"/>
        <w:tabs>
          <w:tab w:leader="none" w:pos="52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for Renewal) The Tenant shall have the option to renew this tenancy for a further term of 2 years ("Option for Renewal") immediate after the expiry of the Term, subject to the terms and conditions of this Tenancy Agreement.</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3.1 If the Tenant intends to exercise its Option for Renewal, the Tenant shall not less than six (6) months before the expiration of the Term give to the Landlord notice in writing of such intention, and if the Tenant shall have at all times up to the expiration of the Term observed and performed its obligations under this Tenancy Agreement then the Landlord will let and the Tenant will take and Premises for the renewed term from the date immediately following the expiry of the Term at the new monthly rent as defined and determined in the manner as provided hereunder but otherwise, on the same terms and conditions as this Tenancy Agreement save and except the provisions regarding the Option for Renewal, the Rent Free Period and the Fitting-out Period, if any. The parties shall execute a renewal tenancy agreement and the Tenant will pay to the Landlord the required additional sum to make up the a new deposit in order to restore the ratio of deposit to rent plus management fees as set out in this Tenancy Agreement and if the Tenant shall not have exercised its Option for Renewal as aforesaid then this Tenancy Agreement shall forthwith be terminated al the expiration of the Term and the Tenant shall then forthwith yield up vacant possession of the whole of the Premises in the manner as provided hereinbefore.</w:t>
      </w:r>
    </w:p>
    <w:p>
      <w:pPr>
        <w:spacing w:after="0" w:line="175"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3.2 The new monthly rent for the renewed term (exclusive of the Management Fees (the "New Rent") shall be determined in the following manner:</w:t>
      </w:r>
    </w:p>
    <w:p>
      <w:pPr>
        <w:spacing w:after="0" w:line="160" w:lineRule="exact"/>
        <w:rPr>
          <w:sz w:val="20"/>
          <w:szCs w:val="20"/>
          <w:color w:val="auto"/>
        </w:rPr>
      </w:pPr>
    </w:p>
    <w:p>
      <w:pPr>
        <w:ind w:left="540" w:right="3499" w:hanging="530"/>
        <w:spacing w:after="0" w:line="235" w:lineRule="auto"/>
        <w:tabs>
          <w:tab w:leader="none" w:pos="54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Landlord and the Tenant shall through mutual negotiation agree upon the New Rent which shall reflect the then prevailing market rent for office space in Beijing in a similar and comparable position to the Premises.</w:t>
      </w:r>
    </w:p>
    <w:p>
      <w:pPr>
        <w:spacing w:after="0" w:line="175" w:lineRule="exact"/>
        <w:rPr>
          <w:rFonts w:ascii="Courier New" w:cs="Courier New" w:eastAsia="Courier New" w:hAnsi="Courier New"/>
          <w:sz w:val="15"/>
          <w:szCs w:val="15"/>
          <w:color w:val="auto"/>
        </w:rPr>
      </w:pPr>
    </w:p>
    <w:p>
      <w:pPr>
        <w:ind w:left="540" w:right="3239" w:hanging="530"/>
        <w:spacing w:after="0" w:line="255" w:lineRule="auto"/>
        <w:tabs>
          <w:tab w:leader="none" w:pos="5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the Landlord and the Tenant shall fail to so agree within 3 months of the Tenant exercising the option, a surveyor experienced in valuing rent for office properties in Beijing and acceptable to both the Landlord and the Tenant shall be appointed to determine the fair prevailing market rent for the Premises with reference to office space in Beijing in a similar and comparable position to the Premises. The surveyor shall act as</w:t>
      </w:r>
    </w:p>
    <w:p>
      <w:pPr>
        <w:sectPr>
          <w:pgSz w:w="11900" w:h="16838" w:orient="portrait"/>
          <w:cols w:equalWidth="0" w:num="1">
            <w:col w:w="10239"/>
          </w:cols>
          <w:pgMar w:left="220" w:top="624" w:right="1440" w:bottom="1440" w:gutter="0" w:footer="0" w:header="0"/>
        </w:sectPr>
      </w:pPr>
    </w:p>
    <w:bookmarkStart w:id="201" w:name="page202"/>
    <w:bookmarkEnd w:id="201"/>
    <w:p>
      <w:pPr>
        <w:ind w:left="530" w:right="3239"/>
        <w:spacing w:after="0" w:line="236" w:lineRule="auto"/>
        <w:rPr>
          <w:sz w:val="20"/>
          <w:szCs w:val="20"/>
          <w:color w:val="auto"/>
        </w:rPr>
      </w:pPr>
      <w:r>
        <w:rPr>
          <w:rFonts w:ascii="Courier New" w:cs="Courier New" w:eastAsia="Courier New" w:hAnsi="Courier New"/>
          <w:sz w:val="15"/>
          <w:szCs w:val="15"/>
          <w:color w:val="auto"/>
        </w:rPr>
        <w:t>an expert and not as an arbitrator. The surveyor shall determine the New Rent in accordance with his own judgment and opinion as to the true current market rental value of the Premises on the assumptions hereinafter defined (the "Assumptions") but disregarding the disregarded matters (the "Disregarded Matters").</w:t>
      </w:r>
    </w:p>
    <w:p>
      <w:pPr>
        <w:spacing w:after="0" w:line="174" w:lineRule="exact"/>
        <w:rPr>
          <w:sz w:val="20"/>
          <w:szCs w:val="20"/>
          <w:color w:val="auto"/>
        </w:rPr>
      </w:pPr>
    </w:p>
    <w:p>
      <w:pPr>
        <w:ind w:left="1050" w:right="3499" w:hanging="526"/>
        <w:spacing w:after="0" w:line="234" w:lineRule="auto"/>
        <w:tabs>
          <w:tab w:leader="none" w:pos="105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"Assumptions" mean the following assumptions at the date upon which the New Rent is determined:-</w:t>
      </w:r>
    </w:p>
    <w:p>
      <w:pPr>
        <w:spacing w:after="0" w:line="173" w:lineRule="exact"/>
        <w:rPr>
          <w:rFonts w:ascii="Courier New" w:cs="Courier New" w:eastAsia="Courier New" w:hAnsi="Courier New"/>
          <w:sz w:val="15"/>
          <w:szCs w:val="15"/>
          <w:color w:val="auto"/>
        </w:rPr>
      </w:pPr>
    </w:p>
    <w:p>
      <w:pPr>
        <w:ind w:left="1490" w:right="3239" w:hanging="441"/>
        <w:spacing w:after="0" w:line="236" w:lineRule="auto"/>
        <w:tabs>
          <w:tab w:leader="none" w:pos="1490"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Premises are fit for and fitted out and equipped for immediate occupation and use, and that no work has been carried out on the Premises by the Tenant or its predecessors in title during the Term which has diminished the rental value of the Premises, and if the Premises have been destroyed or damaged they have been fully restored; and</w:t>
      </w:r>
    </w:p>
    <w:p>
      <w:pPr>
        <w:spacing w:after="0" w:line="174" w:lineRule="exact"/>
        <w:rPr>
          <w:rFonts w:ascii="Courier New" w:cs="Courier New" w:eastAsia="Courier New" w:hAnsi="Courier New"/>
          <w:sz w:val="15"/>
          <w:szCs w:val="15"/>
          <w:color w:val="auto"/>
        </w:rPr>
      </w:pPr>
    </w:p>
    <w:p>
      <w:pPr>
        <w:jc w:val="both"/>
        <w:ind w:left="1490" w:right="3239" w:hanging="441"/>
        <w:spacing w:after="0" w:line="235" w:lineRule="auto"/>
        <w:tabs>
          <w:tab w:leader="none" w:pos="1490"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Premises are available to let by a willing landlord to a willing tenant, as a whole, with vacant possession,for a term equal to the renewed term; and</w:t>
      </w:r>
    </w:p>
    <w:p>
      <w:pPr>
        <w:spacing w:after="0" w:line="173" w:lineRule="exact"/>
        <w:rPr>
          <w:rFonts w:ascii="Courier New" w:cs="Courier New" w:eastAsia="Courier New" w:hAnsi="Courier New"/>
          <w:sz w:val="15"/>
          <w:szCs w:val="15"/>
          <w:color w:val="auto"/>
        </w:rPr>
      </w:pPr>
    </w:p>
    <w:p>
      <w:pPr>
        <w:ind w:left="1490" w:right="3319" w:hanging="441"/>
        <w:spacing w:after="0" w:line="261" w:lineRule="auto"/>
        <w:tabs>
          <w:tab w:leader="none" w:pos="149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covenants terms and conditions in this Agreement on the part of the Tenant have been fully performed and observed.</w:t>
      </w:r>
    </w:p>
    <w:p>
      <w:pPr>
        <w:spacing w:after="0" w:line="153" w:lineRule="exact"/>
        <w:rPr>
          <w:sz w:val="20"/>
          <w:szCs w:val="20"/>
          <w:color w:val="auto"/>
        </w:rPr>
      </w:pPr>
    </w:p>
    <w:p>
      <w:pPr>
        <w:ind w:left="1050" w:hanging="526"/>
        <w:spacing w:after="0"/>
        <w:tabs>
          <w:tab w:leader="none" w:pos="1050"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"Disregarded Matters" mean:</w:t>
      </w:r>
    </w:p>
    <w:p>
      <w:pPr>
        <w:spacing w:after="0" w:line="172" w:lineRule="exact"/>
        <w:rPr>
          <w:rFonts w:ascii="Courier New" w:cs="Courier New" w:eastAsia="Courier New" w:hAnsi="Courier New"/>
          <w:sz w:val="15"/>
          <w:szCs w:val="15"/>
          <w:color w:val="auto"/>
        </w:rPr>
      </w:pPr>
    </w:p>
    <w:p>
      <w:pPr>
        <w:ind w:left="1490" w:right="3679" w:hanging="441"/>
        <w:spacing w:after="0" w:line="234" w:lineRule="auto"/>
        <w:tabs>
          <w:tab w:leader="none" w:pos="1490" w:val="left"/>
        </w:tabs>
        <w:numPr>
          <w:ilvl w:val="2"/>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effect on rent of the fact that the Tenant has been in occupation of the Premises;</w:t>
      </w:r>
    </w:p>
    <w:p>
      <w:pPr>
        <w:spacing w:after="0" w:line="173" w:lineRule="exact"/>
        <w:rPr>
          <w:rFonts w:ascii="Courier New" w:cs="Courier New" w:eastAsia="Courier New" w:hAnsi="Courier New"/>
          <w:sz w:val="15"/>
          <w:szCs w:val="15"/>
          <w:color w:val="auto"/>
        </w:rPr>
      </w:pPr>
    </w:p>
    <w:p>
      <w:pPr>
        <w:ind w:left="1490" w:right="4019" w:hanging="441"/>
        <w:spacing w:after="0" w:line="234" w:lineRule="auto"/>
        <w:tabs>
          <w:tab w:leader="none" w:pos="1490" w:val="left"/>
        </w:tabs>
        <w:numPr>
          <w:ilvl w:val="2"/>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goodwill attached to the Premises by reason of the business of the Tenant; and</w:t>
      </w:r>
    </w:p>
    <w:p>
      <w:pPr>
        <w:spacing w:after="0" w:line="173" w:lineRule="exact"/>
        <w:rPr>
          <w:rFonts w:ascii="Courier New" w:cs="Courier New" w:eastAsia="Courier New" w:hAnsi="Courier New"/>
          <w:sz w:val="15"/>
          <w:szCs w:val="15"/>
          <w:color w:val="auto"/>
        </w:rPr>
      </w:pPr>
    </w:p>
    <w:p>
      <w:pPr>
        <w:ind w:left="1490" w:right="3239" w:hanging="441"/>
        <w:spacing w:after="0" w:line="255" w:lineRule="auto"/>
        <w:tabs>
          <w:tab w:leader="none" w:pos="1490"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rental value of the Premises attributable to the existence of any improvement to the Premises and carried out with consent where required otherwise than in pursuance of an obligation to the Landlord by the Tenant or its predecessors in title during the Term, or during any period of occupation prior thereto arising out of an agreement to grant such term.</w:t>
      </w:r>
    </w:p>
    <w:p>
      <w:pPr>
        <w:spacing w:after="0" w:line="166" w:lineRule="exact"/>
        <w:rPr>
          <w:rFonts w:ascii="Courier New" w:cs="Courier New" w:eastAsia="Courier New" w:hAnsi="Courier New"/>
          <w:sz w:val="14"/>
          <w:szCs w:val="14"/>
          <w:color w:val="auto"/>
        </w:rPr>
      </w:pPr>
    </w:p>
    <w:p>
      <w:pPr>
        <w:ind w:left="530" w:right="3239" w:hanging="530"/>
        <w:spacing w:after="0" w:line="235" w:lineRule="auto"/>
        <w:tabs>
          <w:tab w:leader="none" w:pos="53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surveyor shall, unless the Landlord and the Tenant agree otherwise, make the determination and give such notice in writing to the Landlord and the Tenant before the expiry of the Term and such determination shall be final and binding on the Landlord and the Tenant.</w:t>
      </w:r>
    </w:p>
    <w:p>
      <w:pPr>
        <w:spacing w:after="0" w:line="175" w:lineRule="exact"/>
        <w:rPr>
          <w:rFonts w:ascii="Courier New" w:cs="Courier New" w:eastAsia="Courier New" w:hAnsi="Courier New"/>
          <w:sz w:val="15"/>
          <w:szCs w:val="15"/>
          <w:color w:val="auto"/>
        </w:rPr>
      </w:pPr>
    </w:p>
    <w:p>
      <w:pPr>
        <w:ind w:left="530" w:right="3399" w:hanging="530"/>
        <w:spacing w:after="0" w:line="235" w:lineRule="auto"/>
        <w:tabs>
          <w:tab w:leader="none" w:pos="53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Landlord and the Tenant shall bear the fees of the surveyor in equal shares. If the Tenant does not accept the surveyor's determination pursuant to this Clause, the Tenant shall in such event bear the fees of the surveyor in full.</w:t>
      </w:r>
    </w:p>
    <w:p>
      <w:pPr>
        <w:sectPr>
          <w:pgSz w:w="11900" w:h="16838" w:orient="portrait"/>
          <w:cols w:equalWidth="0" w:num="1">
            <w:col w:w="10229"/>
          </w:cols>
          <w:pgMar w:left="230" w:top="624" w:right="1440" w:bottom="1440" w:gutter="0" w:footer="0" w:header="0"/>
        </w:sectPr>
      </w:pPr>
    </w:p>
    <w:bookmarkStart w:id="202" w:name="page203"/>
    <w:bookmarkEnd w:id="202"/>
    <w:p>
      <w:pPr>
        <w:ind w:left="-10" w:right="3239" w:firstLine="10"/>
        <w:spacing w:after="0" w:line="237" w:lineRule="auto"/>
        <w:tabs>
          <w:tab w:leader="none" w:pos="515"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Common Corridor) Subject to the Tenant (i) signing this Tenancy Agreement; (ii) depositing with the Landlord the Deposit and Advance Payment specified in Part 5 of the Schedule to this Tenancy Agreement; and (iii)obtaining the prior written approval of the fitting-out plans by the Landlord or the Property Manager and the relevant government authorities, the Landlord agrees that the Tenant may at free of charge use the portion of the common corridor on the 19th Floor of the Building (the "Corridor") as coloured "yellow" on the plan(s) annexed hereto in Appendix III. The Landlord will sign a separate license agreement with the tenant in the form provided by the Landlord and agreed by both parties for the tenant's use of that portion of the Corridor. The Tenant agrees to be responsible for all the responsibility and costs incurred in the alternation use and reinstatement works of the Corridor, included but not limited to the ceiling, walls, floor, doors etc of the Corridor.</w:t>
      </w:r>
    </w:p>
    <w:p>
      <w:pPr>
        <w:spacing w:after="0" w:line="173" w:lineRule="exact"/>
        <w:rPr>
          <w:rFonts w:ascii="Courier New" w:cs="Courier New" w:eastAsia="Courier New" w:hAnsi="Courier New"/>
          <w:sz w:val="15"/>
          <w:szCs w:val="15"/>
          <w:color w:val="auto"/>
        </w:rPr>
      </w:pPr>
    </w:p>
    <w:p>
      <w:pPr>
        <w:ind w:left="-10" w:right="3239" w:firstLine="10"/>
        <w:spacing w:after="0" w:line="237" w:lineRule="auto"/>
        <w:tabs>
          <w:tab w:leader="none" w:pos="515"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 to the Public Pantry) Subject to the Tenant (i) signing this Tenancy Agreement; (ii) depositing with the Landlord the Deposit and Advance Payment specified in Part 5 of the Schedule to this Tenancy Agreement; and (iii) obtaining the prior written approval of the fitting-out plans by the Landlord or the Property Manager and the relevant government authorities, the Landlord agrees that the Tenant may at free of charge use the pantry on the 19th Floor of the Building (the "Pantry") exclusively as coloured "blue" on the plan(s) annexed hereto in Appendix III. The Landlord will sign a separate license agreement with the tenant in the form provided by the Landlord and agreed by both parties for the tenant's use of such Pantry. The Tenant agrees to be responsible for all the responsibility and costs of all the repairs or maintenance to the Pantry (included but not limited to any facility or equipment etc of the Pantry) or incurred in the alternation change use and reinstatement works of such Pantry and its structure facility or equipment.</w:t>
      </w:r>
    </w:p>
    <w:p>
      <w:pPr>
        <w:sectPr>
          <w:pgSz w:w="11900" w:h="16838" w:orient="portrait"/>
          <w:cols w:equalWidth="0" w:num="1">
            <w:col w:w="10229"/>
          </w:cols>
          <w:pgMar w:left="230" w:top="624" w:right="1440" w:bottom="1440" w:gutter="0" w:footer="0" w:header="0"/>
        </w:sectPr>
      </w:pPr>
    </w:p>
    <w:bookmarkStart w:id="203" w:name="page204"/>
    <w:bookmarkEnd w:id="203"/>
    <w:p>
      <w:pPr>
        <w:jc w:val="right"/>
        <w:ind w:right="3239"/>
        <w:spacing w:after="0"/>
        <w:rPr>
          <w:sz w:val="20"/>
          <w:szCs w:val="20"/>
          <w:color w:val="auto"/>
        </w:rPr>
      </w:pPr>
      <w:r>
        <w:rPr>
          <w:rFonts w:ascii="Courier New" w:cs="Courier New" w:eastAsia="Courier New" w:hAnsi="Courier New"/>
          <w:sz w:val="15"/>
          <w:szCs w:val="15"/>
          <w:color w:val="auto"/>
        </w:rPr>
        <w:t>Exhibit 4.28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February 24, 2003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NetEase.com, Inc.</w:t>
      </w:r>
    </w:p>
    <w:p>
      <w:pPr>
        <w:spacing w:after="0" w:line="237" w:lineRule="auto"/>
        <w:rPr>
          <w:sz w:val="20"/>
          <w:szCs w:val="20"/>
          <w:color w:val="auto"/>
        </w:rPr>
      </w:pPr>
      <w:r>
        <w:rPr>
          <w:rFonts w:ascii="Courier New" w:cs="Courier New" w:eastAsia="Courier New" w:hAnsi="Courier New"/>
          <w:sz w:val="15"/>
          <w:szCs w:val="15"/>
          <w:color w:val="auto"/>
        </w:rPr>
        <w:t>Suite 1901, Tower E3, The Towers</w:t>
      </w:r>
    </w:p>
    <w:p>
      <w:pPr>
        <w:spacing w:after="0" w:line="238" w:lineRule="auto"/>
        <w:rPr>
          <w:sz w:val="20"/>
          <w:szCs w:val="20"/>
          <w:color w:val="auto"/>
        </w:rPr>
      </w:pPr>
      <w:r>
        <w:rPr>
          <w:rFonts w:ascii="Courier New" w:cs="Courier New" w:eastAsia="Courier New" w:hAnsi="Courier New"/>
          <w:sz w:val="15"/>
          <w:szCs w:val="15"/>
          <w:color w:val="auto"/>
        </w:rPr>
        <w:t>Oriental Plaza, Dong Cheng District</w:t>
      </w:r>
    </w:p>
    <w:p>
      <w:pPr>
        <w:spacing w:after="0" w:line="237" w:lineRule="auto"/>
        <w:rPr>
          <w:sz w:val="20"/>
          <w:szCs w:val="20"/>
          <w:color w:val="auto"/>
        </w:rPr>
      </w:pPr>
      <w:r>
        <w:rPr>
          <w:rFonts w:ascii="Courier New" w:cs="Courier New" w:eastAsia="Courier New" w:hAnsi="Courier New"/>
          <w:sz w:val="15"/>
          <w:szCs w:val="15"/>
          <w:color w:val="auto"/>
        </w:rPr>
        <w:t>Beijing, People's Republic of China 100738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Reference is made to that certain letter of agreement dated March 23, 2000 between NetEase.com, Inc. and News Digital Ventures, as supplemented and amended by a letter agreement dated as of September 1, 2000 (as so supplemented and amended, the "Agreement"). Capitalized terms used herein and not otherwise defined shall have the meanings given to such terms in the Agreement.</w:t>
      </w:r>
    </w:p>
    <w:p>
      <w:pPr>
        <w:spacing w:after="0" w:line="163" w:lineRule="exact"/>
        <w:rPr>
          <w:sz w:val="20"/>
          <w:szCs w:val="20"/>
          <w:color w:val="auto"/>
        </w:rPr>
      </w:pPr>
    </w:p>
    <w:p>
      <w:pPr>
        <w:ind w:left="800" w:right="3319" w:hanging="790"/>
        <w:spacing w:after="0" w:line="234" w:lineRule="auto"/>
        <w:tabs>
          <w:tab w:leader="none" w:pos="80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2(a) of the Agreement is hereby amended in its entirety to read as follows:</w:t>
      </w:r>
    </w:p>
    <w:p>
      <w:pPr>
        <w:spacing w:after="0" w:line="173" w:lineRule="exact"/>
        <w:rPr>
          <w:rFonts w:ascii="Courier New" w:cs="Courier New" w:eastAsia="Courier New" w:hAnsi="Courier New"/>
          <w:sz w:val="15"/>
          <w:szCs w:val="15"/>
          <w:color w:val="auto"/>
        </w:rPr>
      </w:pPr>
    </w:p>
    <w:p>
      <w:pPr>
        <w:ind w:left="800" w:right="3239" w:hanging="3"/>
        <w:spacing w:after="0" w:line="236" w:lineRule="auto"/>
        <w:tabs>
          <w:tab w:leader="none" w:pos="1412"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News Corp Advertising Inventory to be provided pursuant to Clause 1 shall be on properties majority owned or controlled by News Corp from time to time or any other joint venture properties subject to availability (including Channel [V] and STAR TV) and such News Corp Advertising Inventory shall be provided over a period of four years commencing from Completion. Subject to the other provisions of this letter of agreement, Netease may use any portion of the News Corp Advertising Inventory at any time during such four year period. The nature of the News Corp Advertising Inventory to be provided (in terms of the exact property, time slots, placement and so forth) shall be subject to availability.</w:t>
      </w:r>
    </w:p>
    <w:p>
      <w:pPr>
        <w:spacing w:after="0" w:line="180"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3(a) of the Agreement is hereby amended in its entirety to read as follows:</w:t>
      </w:r>
    </w:p>
    <w:p>
      <w:pPr>
        <w:spacing w:after="0" w:line="173" w:lineRule="exact"/>
        <w:rPr>
          <w:rFonts w:ascii="Courier New" w:cs="Courier New" w:eastAsia="Courier New" w:hAnsi="Courier New"/>
          <w:sz w:val="15"/>
          <w:szCs w:val="15"/>
          <w:color w:val="auto"/>
        </w:rPr>
      </w:pPr>
    </w:p>
    <w:p>
      <w:pPr>
        <w:ind w:left="800" w:right="3239" w:hanging="3"/>
        <w:spacing w:after="0" w:line="256" w:lineRule="auto"/>
        <w:tabs>
          <w:tab w:leader="none" w:pos="1412"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News will cause the News Corp Group to spend US$5 million over a period of four years commencing from Completion on on-line advertising and promotional inventory on Internet properties majority owned or controlled by Netease ("Netease Advertising Inventory").</w:t>
      </w:r>
    </w:p>
    <w:p>
      <w:pPr>
        <w:spacing w:after="0" w:line="164" w:lineRule="exact"/>
        <w:rPr>
          <w:rFonts w:ascii="Courier New" w:cs="Courier New" w:eastAsia="Courier New" w:hAnsi="Courier New"/>
          <w:sz w:val="14"/>
          <w:szCs w:val="14"/>
          <w:color w:val="auto"/>
        </w:rPr>
      </w:pPr>
    </w:p>
    <w:p>
      <w:pPr>
        <w:ind w:left="800" w:right="3239" w:hanging="790"/>
        <w:spacing w:after="0" w:line="234" w:lineRule="auto"/>
        <w:tabs>
          <w:tab w:leader="none" w:pos="80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11 of the Agreement is hereby amended in its entirety to read as follows:</w:t>
      </w:r>
    </w:p>
    <w:p>
      <w:pPr>
        <w:spacing w:after="0" w:line="173" w:lineRule="exact"/>
        <w:rPr>
          <w:sz w:val="20"/>
          <w:szCs w:val="20"/>
          <w:color w:val="auto"/>
        </w:rPr>
      </w:pPr>
    </w:p>
    <w:p>
      <w:pPr>
        <w:ind w:left="800" w:right="3319" w:hanging="3"/>
        <w:spacing w:after="0" w:line="235" w:lineRule="auto"/>
        <w:tabs>
          <w:tab w:leader="none" w:pos="1412"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this letter of agreement shall commence on Completion and shall expire three years thereafter; provided, however, that Clauses 1, 2, 3 and 11 of this letter of agreement shall expire four</w:t>
      </w:r>
    </w:p>
    <w:p>
      <w:pPr>
        <w:sectPr>
          <w:pgSz w:w="11900" w:h="16838" w:orient="portrait"/>
          <w:cols w:equalWidth="0" w:num="1">
            <w:col w:w="10239"/>
          </w:cols>
          <w:pgMar w:left="220" w:top="471" w:right="1440" w:bottom="1440" w:gutter="0" w:footer="0" w:header="0"/>
        </w:sectPr>
      </w:pPr>
    </w:p>
    <w:bookmarkStart w:id="204" w:name="page205"/>
    <w:bookmarkEnd w:id="204"/>
    <w:p>
      <w:pPr>
        <w:ind w:left="800" w:right="3239"/>
        <w:spacing w:after="0" w:line="234" w:lineRule="auto"/>
        <w:rPr>
          <w:sz w:val="20"/>
          <w:szCs w:val="20"/>
          <w:color w:val="auto"/>
        </w:rPr>
      </w:pPr>
      <w:r>
        <w:rPr>
          <w:rFonts w:ascii="Courier New" w:cs="Courier New" w:eastAsia="Courier New" w:hAnsi="Courier New"/>
          <w:sz w:val="15"/>
          <w:szCs w:val="15"/>
          <w:color w:val="auto"/>
        </w:rPr>
        <w:t>years thereafter and Clauses 12 and 13 shall survive the expiry of this letter of agreement.</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For the avoidance of doubt, the parties hereto agree that for purposes of the Agreement, as of the date of this letter (i) News has provided US$3 million of News Corp Advertising Inventory and (ii) News has spent US$1 million on Netease Advertising Inventory.</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parties hereto agree that this letter constitutes an integral part of the Agreement. Except as otherwise set forth in this letter, all other terms and conditions of the Agreement shall remain unchanged and in full force and effect.</w:t>
      </w:r>
    </w:p>
    <w:p>
      <w:pPr>
        <w:spacing w:after="0" w:line="16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Please indicate your confirmation of the foregoing by signing and returning to us the duplicate of this letter attached 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faithfully,</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For and on behalf of News Digital Ventures, a division of News Digital Media,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Churchill</w:t>
      </w:r>
    </w:p>
    <w:p>
      <w:pPr>
        <w:ind w:left="180" w:hanging="170"/>
        <w:spacing w:after="0" w:line="237" w:lineRule="auto"/>
        <w:tabs>
          <w:tab w:leader="none" w:pos="1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Bruce Churchill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and accepted: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and on behalf of NetEase.com,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Ted Sun</w:t>
      </w:r>
    </w:p>
    <w:p>
      <w:pPr>
        <w:ind w:left="180" w:hanging="170"/>
        <w:spacing w:after="0" w:line="237" w:lineRule="auto"/>
        <w:tabs>
          <w:tab w:leader="none" w:pos="18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Ted Sun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 Acting Chief Executive Officer &amp; Director</w:t>
      </w:r>
    </w:p>
    <w:p>
      <w:pPr>
        <w:sectPr>
          <w:pgSz w:w="11900" w:h="16838" w:orient="portrait"/>
          <w:cols w:equalWidth="0" w:num="1">
            <w:col w:w="10239"/>
          </w:cols>
          <w:pgMar w:left="220" w:top="624" w:right="1440"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EXHIBIT 8.1</w:t>
            </w:r>
          </w:p>
        </w:tc>
      </w:tr>
      <w:tr>
        <w:trPr>
          <w:trHeight w:val="336"/>
        </w:trPr>
        <w:tc>
          <w:tcPr>
            <w:tcW w:w="6180" w:type="dxa"/>
            <w:vAlign w:val="bottom"/>
            <w:gridSpan w:val="2"/>
          </w:tcPr>
          <w:p>
            <w:pPr>
              <w:ind w:left="2100"/>
              <w:spacing w:after="0"/>
              <w:rPr>
                <w:sz w:val="20"/>
                <w:szCs w:val="20"/>
                <w:color w:val="auto"/>
              </w:rPr>
            </w:pPr>
            <w:r>
              <w:rPr>
                <w:rFonts w:ascii="Courier New" w:cs="Courier New" w:eastAsia="Courier New" w:hAnsi="Courier New"/>
                <w:sz w:val="15"/>
                <w:szCs w:val="15"/>
                <w:color w:val="auto"/>
              </w:rPr>
              <w:t>SUBSIDIARIES OF NETEASE.COM, INC.</w:t>
            </w:r>
          </w:p>
        </w:tc>
        <w:tc>
          <w:tcPr>
            <w:tcW w:w="1000" w:type="dxa"/>
            <w:vAlign w:val="bottom"/>
          </w:tcPr>
          <w:p>
            <w:pPr>
              <w:spacing w:after="0"/>
              <w:rPr>
                <w:sz w:val="24"/>
                <w:szCs w:val="24"/>
                <w:color w:val="auto"/>
              </w:rPr>
            </w:pPr>
          </w:p>
        </w:tc>
      </w:tr>
      <w:tr>
        <w:trPr>
          <w:trHeight w:val="336"/>
        </w:trPr>
        <w:tc>
          <w:tcPr>
            <w:tcW w:w="456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Jurisdiction of</w:t>
            </w:r>
          </w:p>
        </w:tc>
        <w:tc>
          <w:tcPr>
            <w:tcW w:w="1000" w:type="dxa"/>
            <w:vAlign w:val="bottom"/>
          </w:tcPr>
          <w:p>
            <w:pPr>
              <w:spacing w:after="0"/>
              <w:rPr>
                <w:sz w:val="24"/>
                <w:szCs w:val="2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Subsidiary</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Organization</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Ownership</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NetEase Information Technology (Beijing) Co., Ltd.</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China</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NetEase Information Technology (Shanghai) Co., Ltd.</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China</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NetEase (U.S.) Inc.</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U.S.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NetEase Interactive Entertainment Ltd.</w:t>
            </w:r>
          </w:p>
        </w:tc>
        <w:tc>
          <w:tcPr>
            <w:tcW w:w="1620" w:type="dxa"/>
            <w:vAlign w:val="bottom"/>
          </w:tcPr>
          <w:p>
            <w:pPr>
              <w:ind w:left="80"/>
              <w:spacing w:after="0"/>
              <w:rPr>
                <w:sz w:val="20"/>
                <w:szCs w:val="20"/>
                <w:color w:val="auto"/>
              </w:rPr>
            </w:pPr>
            <w:r>
              <w:rPr>
                <w:rFonts w:ascii="Courier New" w:cs="Courier New" w:eastAsia="Courier New" w:hAnsi="Courier New"/>
                <w:sz w:val="15"/>
                <w:szCs w:val="15"/>
                <w:color w:val="auto"/>
              </w:rPr>
              <w:t>British Virgin</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56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Islands</w:t>
            </w:r>
          </w:p>
        </w:tc>
        <w:tc>
          <w:tcPr>
            <w:tcW w:w="1000" w:type="dxa"/>
            <w:vAlign w:val="bottom"/>
          </w:tcPr>
          <w:p>
            <w:pPr>
              <w:spacing w:after="0"/>
              <w:rPr>
                <w:sz w:val="14"/>
                <w:szCs w:val="14"/>
                <w:color w:val="auto"/>
              </w:rPr>
            </w:pPr>
          </w:p>
        </w:tc>
      </w:tr>
    </w:tbl>
    <w:p>
      <w:pPr>
        <w:sectPr>
          <w:pgSz w:w="11900" w:h="16838" w:orient="portrait"/>
          <w:cols w:equalWidth="0" w:num="1">
            <w:col w:w="10239"/>
          </w:cols>
          <w:pgMar w:left="220" w:top="471" w:right="1440" w:bottom="1440" w:gutter="0" w:footer="0" w:header="0"/>
        </w:sectPr>
      </w:pPr>
    </w:p>
    <w:bookmarkStart w:id="206" w:name="page207"/>
    <w:bookmarkEnd w:id="206"/>
    <w:p>
      <w:pPr>
        <w:jc w:val="right"/>
        <w:ind w:right="3239"/>
        <w:spacing w:after="0"/>
        <w:rPr>
          <w:sz w:val="20"/>
          <w:szCs w:val="20"/>
          <w:color w:val="auto"/>
        </w:rPr>
      </w:pPr>
      <w:r>
        <w:rPr>
          <w:rFonts w:ascii="Courier New" w:cs="Courier New" w:eastAsia="Courier New" w:hAnsi="Courier New"/>
          <w:sz w:val="15"/>
          <w:szCs w:val="15"/>
          <w:color w:val="auto"/>
        </w:rPr>
        <w:t>Exhibit 10.1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[Letterhead of PricewaterhouseCoopers]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 333-100069) of Netease.com, Inc. of our report dated April 7, 2003 relating to the financial statements, which appears in this Annual Report on Form 20-F.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/s/PricewaterhouseCoopers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Beijing, China</w:t>
      </w:r>
    </w:p>
    <w:p>
      <w:pPr>
        <w:spacing w:after="0" w:line="237" w:lineRule="auto"/>
        <w:rPr>
          <w:sz w:val="20"/>
          <w:szCs w:val="20"/>
          <w:color w:val="auto"/>
        </w:rPr>
      </w:pPr>
      <w:r>
        <w:rPr>
          <w:rFonts w:ascii="Courier New" w:cs="Courier New" w:eastAsia="Courier New" w:hAnsi="Courier New"/>
          <w:sz w:val="15"/>
          <w:szCs w:val="15"/>
          <w:color w:val="auto"/>
        </w:rPr>
        <w:t>June 20, 2003</w:t>
      </w:r>
    </w:p>
    <w:p>
      <w:pPr>
        <w:sectPr>
          <w:pgSz w:w="11900" w:h="16838" w:orient="portrait"/>
          <w:cols w:equalWidth="0" w:num="1">
            <w:col w:w="10239"/>
          </w:cols>
          <w:pgMar w:left="220" w:top="303" w:right="1440" w:bottom="1440" w:gutter="0" w:footer="0" w:header="0"/>
        </w:sectPr>
      </w:pPr>
    </w:p>
    <w:bookmarkStart w:id="207" w:name="page208"/>
    <w:bookmarkEnd w:id="207"/>
    <w:p>
      <w:pPr>
        <w:jc w:val="right"/>
        <w:ind w:right="3239"/>
        <w:spacing w:after="0"/>
        <w:rPr>
          <w:sz w:val="20"/>
          <w:szCs w:val="20"/>
          <w:color w:val="auto"/>
        </w:rPr>
      </w:pPr>
      <w:r>
        <w:rPr>
          <w:rFonts w:ascii="Courier New" w:cs="Courier New" w:eastAsia="Courier New" w:hAnsi="Courier New"/>
          <w:sz w:val="15"/>
          <w:szCs w:val="15"/>
          <w:color w:val="auto"/>
        </w:rPr>
        <w:t>Exhibit 10.2</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[Letterhead of Maples and Calder]</w:t>
      </w:r>
    </w:p>
    <w:p>
      <w:pPr>
        <w:spacing w:after="0" w:line="335"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5"/>
          <w:szCs w:val="15"/>
          <w:color w:val="auto"/>
        </w:rPr>
        <w:t>Our Ref: RJT/ch/302157-01</w:t>
      </w:r>
      <w:r>
        <w:rPr>
          <w:sz w:val="20"/>
          <w:szCs w:val="20"/>
          <w:color w:val="auto"/>
        </w:rPr>
        <w:tab/>
      </w:r>
      <w:r>
        <w:rPr>
          <w:rFonts w:ascii="Courier New" w:cs="Courier New" w:eastAsia="Courier New" w:hAnsi="Courier New"/>
          <w:sz w:val="14"/>
          <w:szCs w:val="14"/>
          <w:color w:val="auto"/>
        </w:rPr>
        <w:t>25 June, 2003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NetEase.com, Inc.</w:t>
      </w:r>
    </w:p>
    <w:p>
      <w:pPr>
        <w:spacing w:after="0" w:line="237" w:lineRule="auto"/>
        <w:rPr>
          <w:sz w:val="20"/>
          <w:szCs w:val="20"/>
          <w:color w:val="auto"/>
        </w:rPr>
      </w:pPr>
      <w:r>
        <w:rPr>
          <w:rFonts w:ascii="Courier New" w:cs="Courier New" w:eastAsia="Courier New" w:hAnsi="Courier New"/>
          <w:sz w:val="15"/>
          <w:szCs w:val="15"/>
          <w:color w:val="auto"/>
        </w:rPr>
        <w:t>15/F, North Tower</w:t>
      </w:r>
    </w:p>
    <w:p>
      <w:pPr>
        <w:spacing w:after="0" w:line="238" w:lineRule="auto"/>
        <w:rPr>
          <w:sz w:val="20"/>
          <w:szCs w:val="20"/>
          <w:color w:val="auto"/>
        </w:rPr>
      </w:pPr>
      <w:r>
        <w:rPr>
          <w:rFonts w:ascii="Courier New" w:cs="Courier New" w:eastAsia="Courier New" w:hAnsi="Courier New"/>
          <w:sz w:val="15"/>
          <w:szCs w:val="15"/>
          <w:color w:val="auto"/>
        </w:rPr>
        <w:t>Beijing Kerry Center</w:t>
      </w:r>
    </w:p>
    <w:p>
      <w:pPr>
        <w:spacing w:after="0" w:line="237" w:lineRule="auto"/>
        <w:rPr>
          <w:sz w:val="20"/>
          <w:szCs w:val="20"/>
          <w:color w:val="auto"/>
        </w:rPr>
      </w:pPr>
      <w:r>
        <w:rPr>
          <w:rFonts w:ascii="Courier New" w:cs="Courier New" w:eastAsia="Courier New" w:hAnsi="Courier New"/>
          <w:sz w:val="15"/>
          <w:szCs w:val="15"/>
          <w:color w:val="auto"/>
        </w:rPr>
        <w:t>No. 1 Guang Hua Road</w:t>
      </w:r>
    </w:p>
    <w:p>
      <w:pPr>
        <w:spacing w:after="0" w:line="238" w:lineRule="auto"/>
        <w:rPr>
          <w:sz w:val="20"/>
          <w:szCs w:val="20"/>
          <w:color w:val="auto"/>
        </w:rPr>
      </w:pPr>
      <w:r>
        <w:rPr>
          <w:rFonts w:ascii="Courier New" w:cs="Courier New" w:eastAsia="Courier New" w:hAnsi="Courier New"/>
          <w:sz w:val="15"/>
          <w:szCs w:val="15"/>
          <w:color w:val="auto"/>
        </w:rPr>
        <w:t>Chao Yang District</w:t>
      </w:r>
    </w:p>
    <w:p>
      <w:pPr>
        <w:spacing w:after="0" w:line="237" w:lineRule="auto"/>
        <w:rPr>
          <w:sz w:val="20"/>
          <w:szCs w:val="20"/>
          <w:color w:val="auto"/>
        </w:rPr>
      </w:pPr>
      <w:r>
        <w:rPr>
          <w:rFonts w:ascii="Courier New" w:cs="Courier New" w:eastAsia="Courier New" w:hAnsi="Courier New"/>
          <w:sz w:val="15"/>
          <w:szCs w:val="15"/>
          <w:color w:val="auto"/>
        </w:rPr>
        <w:t>Beijing, People's Republic of China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consent to the reference to our firm under the heading "Enforcement of Civil Liabilities" and "Taxation" in the annual report on Form 20-F filed with the Securities and Exchange Commission on or about the date hereof.</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MAPLES and CALDER Asia</w:t>
      </w:r>
    </w:p>
    <w:p>
      <w:pPr>
        <w:sectPr>
          <w:pgSz w:w="11900" w:h="16838" w:orient="portrait"/>
          <w:cols w:equalWidth="0" w:num="1">
            <w:col w:w="10239"/>
          </w:cols>
          <w:pgMar w:left="220" w:top="472" w:right="1440" w:bottom="1440" w:gutter="0" w:footer="0" w:header="0"/>
        </w:sectPr>
      </w:pPr>
    </w:p>
    <w:bookmarkStart w:id="208" w:name="page209"/>
    <w:bookmarkEnd w:id="208"/>
    <w:p>
      <w:pPr>
        <w:jc w:val="right"/>
        <w:ind w:right="3239"/>
        <w:spacing w:after="0"/>
        <w:rPr>
          <w:sz w:val="20"/>
          <w:szCs w:val="20"/>
          <w:color w:val="auto"/>
        </w:rPr>
      </w:pPr>
      <w:r>
        <w:rPr>
          <w:rFonts w:ascii="Courier New" w:cs="Courier New" w:eastAsia="Courier New" w:hAnsi="Courier New"/>
          <w:sz w:val="15"/>
          <w:szCs w:val="15"/>
          <w:color w:val="auto"/>
        </w:rPr>
        <w:t>Exhibit 10.3</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[Letterhead of Commerce &amp; Finance Law Offices]</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June 12,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NetEase.com, Inc.</w:t>
      </w:r>
    </w:p>
    <w:p>
      <w:pPr>
        <w:spacing w:after="0" w:line="237" w:lineRule="auto"/>
        <w:rPr>
          <w:sz w:val="20"/>
          <w:szCs w:val="20"/>
          <w:color w:val="auto"/>
        </w:rPr>
      </w:pPr>
      <w:r>
        <w:rPr>
          <w:rFonts w:ascii="Courier New" w:cs="Courier New" w:eastAsia="Courier New" w:hAnsi="Courier New"/>
          <w:sz w:val="15"/>
          <w:szCs w:val="15"/>
          <w:color w:val="auto"/>
        </w:rPr>
        <w:t>15/F, North Tower</w:t>
      </w:r>
    </w:p>
    <w:p>
      <w:pPr>
        <w:spacing w:after="0" w:line="238" w:lineRule="auto"/>
        <w:rPr>
          <w:sz w:val="20"/>
          <w:szCs w:val="20"/>
          <w:color w:val="auto"/>
        </w:rPr>
      </w:pPr>
      <w:r>
        <w:rPr>
          <w:rFonts w:ascii="Courier New" w:cs="Courier New" w:eastAsia="Courier New" w:hAnsi="Courier New"/>
          <w:sz w:val="15"/>
          <w:szCs w:val="15"/>
          <w:color w:val="auto"/>
        </w:rPr>
        <w:t>Beijing Kerry Center</w:t>
      </w:r>
    </w:p>
    <w:p>
      <w:pPr>
        <w:spacing w:after="0" w:line="237" w:lineRule="auto"/>
        <w:rPr>
          <w:sz w:val="20"/>
          <w:szCs w:val="20"/>
          <w:color w:val="auto"/>
        </w:rPr>
      </w:pPr>
      <w:r>
        <w:rPr>
          <w:rFonts w:ascii="Courier New" w:cs="Courier New" w:eastAsia="Courier New" w:hAnsi="Courier New"/>
          <w:sz w:val="15"/>
          <w:szCs w:val="15"/>
          <w:color w:val="auto"/>
        </w:rPr>
        <w:t>No. 1 Guang Hua Road</w:t>
      </w:r>
    </w:p>
    <w:p>
      <w:pPr>
        <w:spacing w:after="0" w:line="238" w:lineRule="auto"/>
        <w:rPr>
          <w:sz w:val="20"/>
          <w:szCs w:val="20"/>
          <w:color w:val="auto"/>
        </w:rPr>
      </w:pPr>
      <w:r>
        <w:rPr>
          <w:rFonts w:ascii="Courier New" w:cs="Courier New" w:eastAsia="Courier New" w:hAnsi="Courier New"/>
          <w:sz w:val="15"/>
          <w:szCs w:val="15"/>
          <w:color w:val="auto"/>
        </w:rPr>
        <w:t>Chao Yang District</w:t>
      </w:r>
    </w:p>
    <w:p>
      <w:pPr>
        <w:spacing w:after="0" w:line="237" w:lineRule="auto"/>
        <w:rPr>
          <w:sz w:val="20"/>
          <w:szCs w:val="20"/>
          <w:color w:val="auto"/>
        </w:rPr>
      </w:pPr>
      <w:r>
        <w:rPr>
          <w:rFonts w:ascii="Courier New" w:cs="Courier New" w:eastAsia="Courier New" w:hAnsi="Courier New"/>
          <w:sz w:val="15"/>
          <w:szCs w:val="15"/>
          <w:color w:val="auto"/>
        </w:rPr>
        <w:t>Beijing, People's Republic of China</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 Consent of People's Republic of China counsel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We consent to the reference to our firm under the heading "Enforcement of Civil Liabilities" in the annual report on Form 20-F filed with the Securities and Exchange Commission on the date hereof.</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ind w:left="3500"/>
        <w:spacing w:after="0" w:line="237" w:lineRule="auto"/>
        <w:rPr>
          <w:sz w:val="20"/>
          <w:szCs w:val="20"/>
          <w:color w:val="auto"/>
        </w:rPr>
      </w:pPr>
      <w:r>
        <w:rPr>
          <w:rFonts w:ascii="Courier New" w:cs="Courier New" w:eastAsia="Courier New" w:hAnsi="Courier New"/>
          <w:sz w:val="15"/>
          <w:szCs w:val="15"/>
          <w:color w:val="auto"/>
        </w:rPr>
        <w:t>Commerce &amp; Finance Law Offices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Commerce &amp; Finance Law Offices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1" w:right="1440" w:bottom="1440" w:gutter="0" w:footer="0" w:header="0"/>
        </w:sectPr>
      </w:pPr>
    </w:p>
    <w:bookmarkStart w:id="209" w:name="page210"/>
    <w:bookmarkEnd w:id="209"/>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connection with the periodic report of NetEase.com, Inc. (the "Company") on Form 20-F for the period ended December 31, 2002 as filed with the Securities and Exchange Commission (the "Report"), I, Ted Sun, Acting Chief Executive Officer of the Company, hereby certify as of the date hereof, solely for purposes of Title 18, Chapter 63, Section 1350 of the United States Code, that to the best of my knowledge:</w:t>
      </w:r>
    </w:p>
    <w:p>
      <w:pPr>
        <w:spacing w:after="0" w:line="175" w:lineRule="exact"/>
        <w:rPr>
          <w:sz w:val="20"/>
          <w:szCs w:val="20"/>
          <w:color w:val="auto"/>
        </w:rPr>
      </w:pPr>
    </w:p>
    <w:p>
      <w:pPr>
        <w:ind w:left="1240" w:right="3399" w:hanging="6"/>
        <w:spacing w:after="0" w:line="235" w:lineRule="auto"/>
        <w:tabs>
          <w:tab w:leader="none" w:pos="159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as applicable, of the Securities Exchange Act of 1934, and</w:t>
      </w:r>
    </w:p>
    <w:p>
      <w:pPr>
        <w:spacing w:after="0" w:line="173" w:lineRule="exact"/>
        <w:rPr>
          <w:rFonts w:ascii="Courier New" w:cs="Courier New" w:eastAsia="Courier New" w:hAnsi="Courier New"/>
          <w:sz w:val="15"/>
          <w:szCs w:val="15"/>
          <w:color w:val="auto"/>
        </w:rPr>
      </w:pPr>
    </w:p>
    <w:p>
      <w:pPr>
        <w:ind w:left="1240" w:right="3499" w:hanging="6"/>
        <w:spacing w:after="0" w:line="235" w:lineRule="auto"/>
        <w:tabs>
          <w:tab w:leader="none" w:pos="159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 at the dates and for the periods indicated.</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This Certification has not been, and shall not be deemed, "filed" with the Securities and Exchange Commission.</w:t>
      </w:r>
    </w:p>
    <w:p>
      <w:pPr>
        <w:sectPr>
          <w:pgSz w:w="11900" w:h="16838" w:orient="portrait"/>
          <w:cols w:equalWidth="0" w:num="1">
            <w:col w:w="10239"/>
          </w:cols>
          <w:pgMar w:left="220" w:top="47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26,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Ted Sun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Ted Sun</w:t>
      </w:r>
    </w:p>
    <w:p>
      <w:pPr>
        <w:ind w:left="340"/>
        <w:spacing w:after="0" w:line="237" w:lineRule="auto"/>
        <w:rPr>
          <w:sz w:val="20"/>
          <w:szCs w:val="20"/>
          <w:color w:val="auto"/>
        </w:rPr>
      </w:pPr>
      <w:r>
        <w:rPr>
          <w:rFonts w:ascii="Courier New" w:cs="Courier New" w:eastAsia="Courier New" w:hAnsi="Courier New"/>
          <w:sz w:val="15"/>
          <w:szCs w:val="15"/>
          <w:color w:val="auto"/>
        </w:rPr>
        <w:t>Acting Chief Executive Officer</w:t>
      </w:r>
    </w:p>
    <w:p>
      <w:pPr>
        <w:sectPr>
          <w:pgSz w:w="11900" w:h="16838" w:orient="portrait"/>
          <w:cols w:equalWidth="0" w:num="2">
            <w:col w:w="2880" w:space="720"/>
            <w:col w:w="6639"/>
          </w:cols>
          <w:pgMar w:left="220" w:top="471" w:right="1440" w:bottom="1440" w:gutter="0" w:footer="0" w:header="0"/>
          <w:type w:val="continuous"/>
        </w:sectPr>
      </w:pPr>
    </w:p>
    <w:bookmarkStart w:id="210" w:name="page211"/>
    <w:bookmarkEnd w:id="210"/>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NETEASE.COM,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periodic report of NetEase.com, Inc. (the "Company") on Form 20-F for the period ended December 31, 2002 as filed with the Securities and Exchange Commission (the "Report"), I, Denny Lee, Chief Financial Officer of the Company, hereby certify as of the date hereof, solely for purposes of Title 18, Chapter 63, Section 1350 of the United States Code, that to the best of my knowledge:</w:t>
      </w:r>
    </w:p>
    <w:p>
      <w:pPr>
        <w:spacing w:after="0" w:line="175" w:lineRule="exact"/>
        <w:rPr>
          <w:sz w:val="20"/>
          <w:szCs w:val="20"/>
          <w:color w:val="auto"/>
        </w:rPr>
      </w:pPr>
    </w:p>
    <w:p>
      <w:pPr>
        <w:ind w:left="1240" w:right="3399" w:hanging="6"/>
        <w:spacing w:after="0" w:line="235" w:lineRule="auto"/>
        <w:tabs>
          <w:tab w:leader="none" w:pos="159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as applicable, of the Securities Exchange Act of 1934, and</w:t>
      </w:r>
    </w:p>
    <w:p>
      <w:pPr>
        <w:spacing w:after="0" w:line="173" w:lineRule="exact"/>
        <w:rPr>
          <w:rFonts w:ascii="Courier New" w:cs="Courier New" w:eastAsia="Courier New" w:hAnsi="Courier New"/>
          <w:sz w:val="15"/>
          <w:szCs w:val="15"/>
          <w:color w:val="auto"/>
        </w:rPr>
      </w:pPr>
    </w:p>
    <w:p>
      <w:pPr>
        <w:ind w:left="1240" w:right="3499" w:hanging="6"/>
        <w:spacing w:after="0" w:line="235" w:lineRule="auto"/>
        <w:tabs>
          <w:tab w:leader="none" w:pos="159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 at the dates and for the periods indicated.</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This Certification has not been, and shall not be deemed, "filed" with the Securities and Exchange Commission.</w:t>
      </w:r>
    </w:p>
    <w:p>
      <w:pPr>
        <w:sectPr>
          <w:pgSz w:w="11900" w:h="16838" w:orient="portrait"/>
          <w:cols w:equalWidth="0" w:num="1">
            <w:col w:w="10239"/>
          </w:cols>
          <w:pgMar w:left="220" w:top="30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26, 2003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/s/Denny Lee</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Denny Lee</w:t>
      </w:r>
    </w:p>
    <w:p>
      <w:pPr>
        <w:ind w:left="340"/>
        <w:spacing w:after="0" w:line="237" w:lineRule="auto"/>
        <w:rPr>
          <w:sz w:val="20"/>
          <w:szCs w:val="20"/>
          <w:color w:val="auto"/>
        </w:rPr>
      </w:pPr>
      <w:r>
        <w:rPr>
          <w:rFonts w:ascii="Courier New" w:cs="Courier New" w:eastAsia="Courier New" w:hAnsi="Courier New"/>
          <w:sz w:val="15"/>
          <w:szCs w:val="15"/>
          <w:color w:val="auto"/>
        </w:rPr>
        <w:t>Chief Financial Officer</w:t>
      </w:r>
    </w:p>
    <w:sectPr>
      <w:pgSz w:w="11900" w:h="16838" w:orient="portrait"/>
      <w:cols w:equalWidth="0" w:num="2">
        <w:col w:w="3320" w:space="720"/>
        <w:col w:w="6199"/>
      </w:cols>
      <w:pgMar w:left="220"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082C70"/>
    <w:multiLevelType w:val="hybridMultilevel"/>
    <w:lvl w:ilvl="0">
      <w:lvlJc w:val="left"/>
      <w:lvlText w:val="[%1]"/>
      <w:numFmt w:val="upperLetter"/>
      <w:start w:val="24"/>
    </w:lvl>
  </w:abstractNum>
  <w:abstractNum w:abstractNumId="1">
    <w:nsid w:val="5EC6AFD4"/>
    <w:multiLevelType w:val="hybridMultilevel"/>
    <w:lvl w:ilvl="0">
      <w:lvlJc w:val="left"/>
      <w:lvlText w:val="."/>
      <w:numFmt w:val="bullet"/>
      <w:start w:val="1"/>
    </w:lvl>
  </w:abstractNum>
  <w:abstractNum w:abstractNumId="2">
    <w:nsid w:val="19E21BB2"/>
    <w:multiLevelType w:val="hybridMultilevel"/>
    <w:lvl w:ilvl="0">
      <w:lvlJc w:val="left"/>
      <w:lvlText w:val="."/>
      <w:numFmt w:val="bullet"/>
      <w:start w:val="1"/>
    </w:lvl>
  </w:abstractNum>
  <w:abstractNum w:abstractNumId="3">
    <w:nsid w:val="75E0858A"/>
    <w:multiLevelType w:val="hybridMultilevel"/>
    <w:lvl w:ilvl="0">
      <w:lvlJc w:val="left"/>
      <w:lvlText w:val="."/>
      <w:numFmt w:val="bullet"/>
      <w:start w:val="1"/>
    </w:lvl>
  </w:abstractNum>
  <w:abstractNum w:abstractNumId="4">
    <w:nsid w:val="57A61A29"/>
    <w:multiLevelType w:val="hybridMultilevel"/>
    <w:lvl w:ilvl="0">
      <w:lvlJc w:val="left"/>
      <w:lvlText w:val="."/>
      <w:numFmt w:val="bullet"/>
      <w:start w:val="1"/>
    </w:lvl>
  </w:abstractNum>
  <w:abstractNum w:abstractNumId="5">
    <w:nsid w:val="5399C654"/>
    <w:multiLevelType w:val="hybridMultilevel"/>
    <w:lvl w:ilvl="0">
      <w:lvlJc w:val="left"/>
      <w:lvlText w:val="."/>
      <w:numFmt w:val="bullet"/>
      <w:start w:val="1"/>
    </w:lvl>
  </w:abstractNum>
  <w:abstractNum w:abstractNumId="6">
    <w:nsid w:val="20EE1348"/>
    <w:multiLevelType w:val="hybridMultilevel"/>
    <w:lvl w:ilvl="0">
      <w:lvlJc w:val="left"/>
      <w:lvlText w:val="."/>
      <w:numFmt w:val="bullet"/>
      <w:start w:val="1"/>
    </w:lvl>
  </w:abstractNum>
  <w:abstractNum w:abstractNumId="7">
    <w:nsid w:val="4427069A"/>
    <w:multiLevelType w:val="hybridMultilevel"/>
    <w:lvl w:ilvl="0">
      <w:lvlJc w:val="left"/>
      <w:lvlText w:val="."/>
      <w:numFmt w:val="bullet"/>
      <w:start w:val="1"/>
    </w:lvl>
  </w:abstractNum>
  <w:abstractNum w:abstractNumId="8">
    <w:nsid w:val="B37E80A"/>
    <w:multiLevelType w:val="hybridMultilevel"/>
    <w:lvl w:ilvl="0">
      <w:lvlJc w:val="left"/>
      <w:lvlText w:val="."/>
      <w:numFmt w:val="bullet"/>
      <w:start w:val="1"/>
    </w:lvl>
  </w:abstractNum>
  <w:abstractNum w:abstractNumId="9">
    <w:nsid w:val="2157F6BC"/>
    <w:multiLevelType w:val="hybridMultilevel"/>
    <w:lvl w:ilvl="0">
      <w:lvlJc w:val="left"/>
      <w:lvlText w:val="."/>
      <w:numFmt w:val="bullet"/>
      <w:start w:val="1"/>
    </w:lvl>
  </w:abstractNum>
  <w:abstractNum w:abstractNumId="10">
    <w:nsid w:val="704E1DD5"/>
    <w:multiLevelType w:val="hybridMultilevel"/>
    <w:lvl w:ilvl="0">
      <w:lvlJc w:val="left"/>
      <w:lvlText w:val="."/>
      <w:numFmt w:val="bullet"/>
      <w:start w:val="1"/>
    </w:lvl>
  </w:abstractNum>
  <w:abstractNum w:abstractNumId="11">
    <w:nsid w:val="57D2F10E"/>
    <w:multiLevelType w:val="hybridMultilevel"/>
    <w:lvl w:ilvl="0">
      <w:lvlJc w:val="left"/>
      <w:lvlText w:val="."/>
      <w:numFmt w:val="bullet"/>
      <w:start w:val="1"/>
    </w:lvl>
  </w:abstractNum>
  <w:abstractNum w:abstractNumId="12">
    <w:nsid w:val="BFFAE18"/>
    <w:multiLevelType w:val="hybridMultilevel"/>
    <w:lvl w:ilvl="0">
      <w:lvlJc w:val="left"/>
      <w:lvlText w:val="."/>
      <w:numFmt w:val="bullet"/>
      <w:start w:val="1"/>
    </w:lvl>
  </w:abstractNum>
  <w:abstractNum w:abstractNumId="13">
    <w:nsid w:val="E3E47A8"/>
    <w:multiLevelType w:val="hybridMultilevel"/>
    <w:lvl w:ilvl="0">
      <w:lvlJc w:val="left"/>
      <w:lvlText w:val="%1."/>
      <w:numFmt w:val="upperLetter"/>
      <w:start w:val="1"/>
    </w:lvl>
  </w:abstractNum>
  <w:abstractNum w:abstractNumId="14">
    <w:nsid w:val="2E48F044"/>
    <w:multiLevelType w:val="hybridMultilevel"/>
    <w:lvl w:ilvl="0">
      <w:lvlJc w:val="left"/>
      <w:lvlText w:val="(%1)"/>
      <w:numFmt w:val="decimal"/>
      <w:start w:val="1"/>
    </w:lvl>
  </w:abstractNum>
  <w:abstractNum w:abstractNumId="15">
    <w:nsid w:val="49D0FEAC"/>
    <w:multiLevelType w:val="hybridMultilevel"/>
    <w:lvl w:ilvl="0">
      <w:lvlJc w:val="left"/>
      <w:lvlText w:val="%1."/>
      <w:numFmt w:val="upperLetter"/>
      <w:start w:val="2"/>
    </w:lvl>
  </w:abstractNum>
  <w:abstractNum w:abstractNumId="16">
    <w:nsid w:val="4BEE5A5B"/>
    <w:multiLevelType w:val="hybridMultilevel"/>
    <w:lvl w:ilvl="0">
      <w:lvlJc w:val="left"/>
      <w:lvlText w:val="%1."/>
      <w:numFmt w:val="upperLetter"/>
      <w:start w:val="4"/>
    </w:lvl>
  </w:abstractNum>
  <w:abstractNum w:abstractNumId="17">
    <w:nsid w:val="5551B9F3"/>
    <w:multiLevelType w:val="hybridMultilevel"/>
    <w:lvl w:ilvl="0">
      <w:lvlJc w:val="left"/>
      <w:lvlText w:val="."/>
      <w:numFmt w:val="bullet"/>
      <w:start w:val="1"/>
    </w:lvl>
  </w:abstractNum>
  <w:abstractNum w:abstractNumId="18">
    <w:nsid w:val="24F6AB8E"/>
    <w:multiLevelType w:val="hybridMultilevel"/>
    <w:lvl w:ilvl="0">
      <w:lvlJc w:val="left"/>
      <w:lvlText w:val="."/>
      <w:numFmt w:val="bullet"/>
      <w:start w:val="1"/>
    </w:lvl>
  </w:abstractNum>
  <w:abstractNum w:abstractNumId="19">
    <w:nsid w:val="634C574C"/>
    <w:multiLevelType w:val="hybridMultilevel"/>
    <w:lvl w:ilvl="0">
      <w:lvlJc w:val="left"/>
      <w:lvlText w:val="."/>
      <w:numFmt w:val="bullet"/>
      <w:start w:val="1"/>
    </w:lvl>
  </w:abstractNum>
  <w:abstractNum w:abstractNumId="20">
    <w:nsid w:val="24E99DD7"/>
    <w:multiLevelType w:val="hybridMultilevel"/>
    <w:lvl w:ilvl="0">
      <w:lvlJc w:val="left"/>
      <w:lvlText w:val="."/>
      <w:numFmt w:val="bullet"/>
      <w:start w:val="1"/>
    </w:lvl>
  </w:abstractNum>
  <w:abstractNum w:abstractNumId="21">
    <w:nsid w:val="2A31B62D"/>
    <w:multiLevelType w:val="hybridMultilevel"/>
    <w:lvl w:ilvl="0">
      <w:lvlJc w:val="left"/>
      <w:lvlText w:val="."/>
      <w:numFmt w:val="bullet"/>
      <w:start w:val="1"/>
    </w:lvl>
  </w:abstractNum>
  <w:abstractNum w:abstractNumId="22">
    <w:nsid w:val="1849C29B"/>
    <w:multiLevelType w:val="hybridMultilevel"/>
    <w:lvl w:ilvl="0">
      <w:lvlJc w:val="left"/>
      <w:lvlText w:val="."/>
      <w:numFmt w:val="bullet"/>
      <w:start w:val="1"/>
    </w:lvl>
  </w:abstractNum>
  <w:abstractNum w:abstractNumId="23">
    <w:nsid w:val="7DFF9D09"/>
    <w:multiLevelType w:val="hybridMultilevel"/>
    <w:lvl w:ilvl="0">
      <w:lvlJc w:val="left"/>
      <w:lvlText w:val="."/>
      <w:numFmt w:val="bullet"/>
      <w:start w:val="1"/>
    </w:lvl>
  </w:abstractNum>
  <w:abstractNum w:abstractNumId="24">
    <w:nsid w:val="754342"/>
    <w:multiLevelType w:val="hybridMultilevel"/>
    <w:lvl w:ilvl="0">
      <w:lvlJc w:val="left"/>
      <w:lvlText w:val="."/>
      <w:numFmt w:val="bullet"/>
      <w:start w:val="1"/>
    </w:lvl>
  </w:abstractNum>
  <w:abstractNum w:abstractNumId="25">
    <w:nsid w:val="69E7F3E5"/>
    <w:multiLevelType w:val="hybridMultilevel"/>
    <w:lvl w:ilvl="0">
      <w:lvlJc w:val="left"/>
      <w:lvlText w:val="."/>
      <w:numFmt w:val="bullet"/>
      <w:start w:val="1"/>
    </w:lvl>
  </w:abstractNum>
  <w:abstractNum w:abstractNumId="26">
    <w:nsid w:val="2A6DE806"/>
    <w:multiLevelType w:val="hybridMultilevel"/>
    <w:lvl w:ilvl="0">
      <w:lvlJc w:val="left"/>
      <w:lvlText w:val="."/>
      <w:numFmt w:val="bullet"/>
      <w:start w:val="1"/>
    </w:lvl>
  </w:abstractNum>
  <w:abstractNum w:abstractNumId="27">
    <w:nsid w:val="1816F8C4"/>
    <w:multiLevelType w:val="hybridMultilevel"/>
    <w:lvl w:ilvl="0">
      <w:lvlJc w:val="left"/>
      <w:lvlText w:val="."/>
      <w:numFmt w:val="bullet"/>
      <w:start w:val="1"/>
    </w:lvl>
  </w:abstractNum>
  <w:abstractNum w:abstractNumId="28">
    <w:nsid w:val="37DF2233"/>
    <w:multiLevelType w:val="hybridMultilevel"/>
    <w:lvl w:ilvl="0">
      <w:lvlJc w:val="left"/>
      <w:lvlText w:val="."/>
      <w:numFmt w:val="bullet"/>
      <w:start w:val="1"/>
    </w:lvl>
  </w:abstractNum>
  <w:abstractNum w:abstractNumId="29">
    <w:nsid w:val="7AB49DAF"/>
    <w:multiLevelType w:val="hybridMultilevel"/>
    <w:lvl w:ilvl="0">
      <w:lvlJc w:val="left"/>
      <w:lvlText w:val="."/>
      <w:numFmt w:val="bullet"/>
      <w:start w:val="1"/>
    </w:lvl>
  </w:abstractNum>
  <w:abstractNum w:abstractNumId="30">
    <w:nsid w:val="759F82CD"/>
    <w:multiLevelType w:val="hybridMultilevel"/>
    <w:lvl w:ilvl="0">
      <w:lvlJc w:val="left"/>
      <w:lvlText w:val="."/>
      <w:numFmt w:val="bullet"/>
      <w:start w:val="1"/>
    </w:lvl>
  </w:abstractNum>
  <w:abstractNum w:abstractNumId="31">
    <w:nsid w:val="61E74EA3"/>
    <w:multiLevelType w:val="hybridMultilevel"/>
    <w:lvl w:ilvl="0">
      <w:lvlJc w:val="left"/>
      <w:lvlText w:val="."/>
      <w:numFmt w:val="bullet"/>
      <w:start w:val="1"/>
    </w:lvl>
  </w:abstractNum>
  <w:abstractNum w:abstractNumId="32">
    <w:nsid w:val="597B4D84"/>
    <w:multiLevelType w:val="hybridMultilevel"/>
    <w:lvl w:ilvl="0">
      <w:lvlJc w:val="left"/>
      <w:lvlText w:val="."/>
      <w:numFmt w:val="bullet"/>
      <w:start w:val="1"/>
    </w:lvl>
  </w:abstractNum>
  <w:abstractNum w:abstractNumId="33">
    <w:nsid w:val="F819E7F"/>
    <w:multiLevelType w:val="hybridMultilevel"/>
    <w:lvl w:ilvl="0">
      <w:lvlJc w:val="left"/>
      <w:lvlText w:val="."/>
      <w:numFmt w:val="bullet"/>
      <w:start w:val="1"/>
    </w:lvl>
  </w:abstractNum>
  <w:abstractNum w:abstractNumId="34">
    <w:nsid w:val="57C7D42D"/>
    <w:multiLevelType w:val="hybridMultilevel"/>
    <w:lvl w:ilvl="0">
      <w:lvlJc w:val="left"/>
      <w:lvlText w:val="."/>
      <w:numFmt w:val="bullet"/>
      <w:start w:val="1"/>
    </w:lvl>
  </w:abstractNum>
  <w:abstractNum w:abstractNumId="35">
    <w:nsid w:val="312167AD"/>
    <w:multiLevelType w:val="hybridMultilevel"/>
    <w:lvl w:ilvl="0">
      <w:lvlJc w:val="left"/>
      <w:lvlText w:val="."/>
      <w:numFmt w:val="bullet"/>
      <w:start w:val="1"/>
    </w:lvl>
  </w:abstractNum>
  <w:abstractNum w:abstractNumId="36">
    <w:nsid w:val="631B64D4"/>
    <w:multiLevelType w:val="hybridMultilevel"/>
    <w:lvl w:ilvl="0">
      <w:lvlJc w:val="left"/>
      <w:lvlText w:val="."/>
      <w:numFmt w:val="bullet"/>
      <w:start w:val="1"/>
    </w:lvl>
  </w:abstractNum>
  <w:abstractNum w:abstractNumId="37">
    <w:nsid w:val="78B5E776"/>
    <w:multiLevelType w:val="hybridMultilevel"/>
    <w:lvl w:ilvl="0">
      <w:lvlJc w:val="left"/>
      <w:lvlText w:val="."/>
      <w:numFmt w:val="bullet"/>
      <w:start w:val="1"/>
    </w:lvl>
  </w:abstractNum>
  <w:abstractNum w:abstractNumId="38">
    <w:nsid w:val="75486E47"/>
    <w:multiLevelType w:val="hybridMultilevel"/>
    <w:lvl w:ilvl="0">
      <w:lvlJc w:val="left"/>
      <w:lvlText w:val="."/>
      <w:numFmt w:val="bullet"/>
      <w:start w:val="1"/>
    </w:lvl>
  </w:abstractNum>
  <w:abstractNum w:abstractNumId="39">
    <w:nsid w:val="6E534CDE"/>
    <w:multiLevelType w:val="hybridMultilevel"/>
    <w:lvl w:ilvl="0">
      <w:lvlJc w:val="left"/>
      <w:lvlText w:val="."/>
      <w:numFmt w:val="bullet"/>
      <w:start w:val="1"/>
    </w:lvl>
  </w:abstractNum>
  <w:abstractNum w:abstractNumId="40">
    <w:nsid w:val="1A0DDE32"/>
    <w:multiLevelType w:val="hybridMultilevel"/>
    <w:lvl w:ilvl="0">
      <w:lvlJc w:val="left"/>
      <w:lvlText w:val="."/>
      <w:numFmt w:val="bullet"/>
      <w:start w:val="1"/>
    </w:lvl>
  </w:abstractNum>
  <w:abstractNum w:abstractNumId="41">
    <w:nsid w:val="65968C1C"/>
    <w:multiLevelType w:val="hybridMultilevel"/>
    <w:lvl w:ilvl="0">
      <w:lvlJc w:val="left"/>
      <w:lvlText w:val="%1."/>
      <w:numFmt w:val="upperLetter"/>
      <w:start w:val="1"/>
    </w:lvl>
  </w:abstractNum>
  <w:abstractNum w:abstractNumId="42">
    <w:nsid w:val="46263DEC"/>
    <w:multiLevelType w:val="hybridMultilevel"/>
    <w:lvl w:ilvl="0">
      <w:lvlJc w:val="left"/>
      <w:lvlText w:val="%1."/>
      <w:numFmt w:val="upperLetter"/>
      <w:start w:val="2"/>
    </w:lvl>
  </w:abstractNum>
  <w:abstractNum w:abstractNumId="43">
    <w:nsid w:val="260D8C4A"/>
    <w:multiLevelType w:val="hybridMultilevel"/>
    <w:lvl w:ilvl="0">
      <w:lvlJc w:val="left"/>
      <w:lvlText w:val="."/>
      <w:numFmt w:val="bullet"/>
      <w:start w:val="1"/>
    </w:lvl>
  </w:abstractNum>
  <w:abstractNum w:abstractNumId="44">
    <w:nsid w:val="73D4D3C4"/>
    <w:multiLevelType w:val="hybridMultilevel"/>
    <w:lvl w:ilvl="0">
      <w:lvlJc w:val="left"/>
      <w:lvlText w:val="."/>
      <w:numFmt w:val="bullet"/>
      <w:start w:val="1"/>
    </w:lvl>
  </w:abstractNum>
  <w:abstractNum w:abstractNumId="45">
    <w:nsid w:val="746F2E30"/>
    <w:multiLevelType w:val="hybridMultilevel"/>
    <w:lvl w:ilvl="0">
      <w:lvlJc w:val="left"/>
      <w:lvlText w:val="."/>
      <w:numFmt w:val="bullet"/>
      <w:start w:val="1"/>
    </w:lvl>
  </w:abstractNum>
  <w:abstractNum w:abstractNumId="46">
    <w:nsid w:val="6FDE8AF6"/>
    <w:multiLevelType w:val="hybridMultilevel"/>
    <w:lvl w:ilvl="0">
      <w:lvlJc w:val="left"/>
      <w:lvlText w:val="."/>
      <w:numFmt w:val="bullet"/>
      <w:start w:val="1"/>
    </w:lvl>
  </w:abstractNum>
  <w:abstractNum w:abstractNumId="47">
    <w:nsid w:val="3FC32E20"/>
    <w:multiLevelType w:val="hybridMultilevel"/>
    <w:lvl w:ilvl="0">
      <w:lvlJc w:val="left"/>
      <w:lvlText w:val="."/>
      <w:numFmt w:val="bullet"/>
      <w:start w:val="1"/>
    </w:lvl>
  </w:abstractNum>
  <w:abstractNum w:abstractNumId="48">
    <w:nsid w:val="49C0E823"/>
    <w:multiLevelType w:val="hybridMultilevel"/>
    <w:lvl w:ilvl="0">
      <w:lvlJc w:val="left"/>
      <w:lvlText w:val="."/>
      <w:numFmt w:val="bullet"/>
      <w:start w:val="1"/>
    </w:lvl>
  </w:abstractNum>
  <w:abstractNum w:abstractNumId="49">
    <w:nsid w:val="14D53685"/>
    <w:multiLevelType w:val="hybridMultilevel"/>
    <w:lvl w:ilvl="0">
      <w:lvlJc w:val="left"/>
      <w:lvlText w:val="."/>
      <w:numFmt w:val="bullet"/>
      <w:start w:val="1"/>
    </w:lvl>
  </w:abstractNum>
  <w:abstractNum w:abstractNumId="50">
    <w:nsid w:val="230F856C"/>
    <w:multiLevelType w:val="hybridMultilevel"/>
    <w:lvl w:ilvl="0">
      <w:lvlJc w:val="left"/>
      <w:lvlText w:val="."/>
      <w:numFmt w:val="bullet"/>
      <w:start w:val="1"/>
    </w:lvl>
  </w:abstractNum>
  <w:abstractNum w:abstractNumId="51">
    <w:nsid w:val="6EAA85FB"/>
    <w:multiLevelType w:val="hybridMultilevel"/>
    <w:lvl w:ilvl="0">
      <w:lvlJc w:val="left"/>
      <w:lvlText w:val="."/>
      <w:numFmt w:val="bullet"/>
      <w:start w:val="1"/>
    </w:lvl>
  </w:abstractNum>
  <w:abstractNum w:abstractNumId="52">
    <w:nsid w:val="3F06ECB2"/>
    <w:multiLevelType w:val="hybridMultilevel"/>
    <w:lvl w:ilvl="0">
      <w:lvlJc w:val="left"/>
      <w:lvlText w:val="."/>
      <w:numFmt w:val="bullet"/>
      <w:start w:val="1"/>
    </w:lvl>
  </w:abstractNum>
  <w:abstractNum w:abstractNumId="53">
    <w:nsid w:val="3B594807"/>
    <w:multiLevelType w:val="hybridMultilevel"/>
    <w:lvl w:ilvl="0">
      <w:lvlJc w:val="left"/>
      <w:lvlText w:val="."/>
      <w:numFmt w:val="bullet"/>
      <w:start w:val="1"/>
    </w:lvl>
  </w:abstractNum>
  <w:abstractNum w:abstractNumId="54">
    <w:nsid w:val="6CAA2304"/>
    <w:multiLevelType w:val="hybridMultilevel"/>
    <w:lvl w:ilvl="0">
      <w:lvlJc w:val="left"/>
      <w:lvlText w:val="."/>
      <w:numFmt w:val="bullet"/>
      <w:start w:val="1"/>
    </w:lvl>
  </w:abstractNum>
  <w:abstractNum w:abstractNumId="55">
    <w:nsid w:val="3F7C2FF4"/>
    <w:multiLevelType w:val="hybridMultilevel"/>
    <w:lvl w:ilvl="0">
      <w:lvlJc w:val="left"/>
      <w:lvlText w:val="."/>
      <w:numFmt w:val="bullet"/>
      <w:start w:val="1"/>
    </w:lvl>
  </w:abstractNum>
  <w:abstractNum w:abstractNumId="56">
    <w:nsid w:val="25413BEC"/>
    <w:multiLevelType w:val="hybridMultilevel"/>
    <w:lvl w:ilvl="0">
      <w:lvlJc w:val="left"/>
      <w:lvlText w:val="."/>
      <w:numFmt w:val="bullet"/>
      <w:start w:val="1"/>
    </w:lvl>
  </w:abstractNum>
  <w:abstractNum w:abstractNumId="57">
    <w:nsid w:val="17180B0B"/>
    <w:multiLevelType w:val="hybridMultilevel"/>
    <w:lvl w:ilvl="0">
      <w:lvlJc w:val="left"/>
      <w:lvlText w:val="."/>
      <w:numFmt w:val="bullet"/>
      <w:start w:val="1"/>
    </w:lvl>
  </w:abstractNum>
  <w:abstractNum w:abstractNumId="58">
    <w:nsid w:val="579328B9"/>
    <w:multiLevelType w:val="hybridMultilevel"/>
    <w:lvl w:ilvl="0">
      <w:lvlJc w:val="left"/>
      <w:lvlText w:val="."/>
      <w:numFmt w:val="bullet"/>
      <w:start w:val="1"/>
    </w:lvl>
  </w:abstractNum>
  <w:abstractNum w:abstractNumId="59">
    <w:nsid w:val="5D205E20"/>
    <w:multiLevelType w:val="hybridMultilevel"/>
    <w:lvl w:ilvl="0">
      <w:lvlJc w:val="left"/>
      <w:lvlText w:val="."/>
      <w:numFmt w:val="bullet"/>
      <w:start w:val="1"/>
    </w:lvl>
  </w:abstractNum>
  <w:abstractNum w:abstractNumId="60">
    <w:nsid w:val="11CCA8BA"/>
    <w:multiLevelType w:val="hybridMultilevel"/>
    <w:lvl w:ilvl="0">
      <w:lvlJc w:val="left"/>
      <w:lvlText w:val="."/>
      <w:numFmt w:val="bullet"/>
      <w:start w:val="1"/>
    </w:lvl>
  </w:abstractNum>
  <w:abstractNum w:abstractNumId="61">
    <w:nsid w:val="4D32AB86"/>
    <w:multiLevelType w:val="hybridMultilevel"/>
    <w:lvl w:ilvl="0">
      <w:lvlJc w:val="left"/>
      <w:lvlText w:val="."/>
      <w:numFmt w:val="bullet"/>
      <w:start w:val="1"/>
    </w:lvl>
  </w:abstractNum>
  <w:abstractNum w:abstractNumId="62">
    <w:nsid w:val="3F07ACC3"/>
    <w:multiLevelType w:val="hybridMultilevel"/>
    <w:lvl w:ilvl="0">
      <w:lvlJc w:val="left"/>
      <w:lvlText w:val="."/>
      <w:numFmt w:val="bullet"/>
      <w:start w:val="1"/>
    </w:lvl>
  </w:abstractNum>
  <w:abstractNum w:abstractNumId="63">
    <w:nsid w:val="6B47F63E"/>
    <w:multiLevelType w:val="hybridMultilevel"/>
    <w:lvl w:ilvl="0">
      <w:lvlJc w:val="left"/>
      <w:lvlText w:val="."/>
      <w:numFmt w:val="bullet"/>
      <w:start w:val="1"/>
    </w:lvl>
  </w:abstractNum>
  <w:abstractNum w:abstractNumId="64">
    <w:nsid w:val="5CB44A05"/>
    <w:multiLevelType w:val="hybridMultilevel"/>
    <w:lvl w:ilvl="0">
      <w:lvlJc w:val="left"/>
      <w:lvlText w:val="."/>
      <w:numFmt w:val="bullet"/>
      <w:start w:val="1"/>
    </w:lvl>
  </w:abstractNum>
  <w:abstractNum w:abstractNumId="65">
    <w:nsid w:val="16CF80F1"/>
    <w:multiLevelType w:val="hybridMultilevel"/>
    <w:lvl w:ilvl="0">
      <w:lvlJc w:val="left"/>
      <w:lvlText w:val="."/>
      <w:numFmt w:val="bullet"/>
      <w:start w:val="1"/>
    </w:lvl>
  </w:abstractNum>
  <w:abstractNum w:abstractNumId="66">
    <w:nsid w:val="1C695DEC"/>
    <w:multiLevelType w:val="hybridMultilevel"/>
    <w:lvl w:ilvl="0">
      <w:lvlJc w:val="left"/>
      <w:lvlText w:val="."/>
      <w:numFmt w:val="bullet"/>
      <w:start w:val="1"/>
    </w:lvl>
  </w:abstractNum>
  <w:abstractNum w:abstractNumId="67">
    <w:nsid w:val="3FCFAED9"/>
    <w:multiLevelType w:val="hybridMultilevel"/>
    <w:lvl w:ilvl="0">
      <w:lvlJc w:val="left"/>
      <w:lvlText w:val="."/>
      <w:numFmt w:val="bullet"/>
      <w:start w:val="1"/>
    </w:lvl>
  </w:abstractNum>
  <w:abstractNum w:abstractNumId="68">
    <w:nsid w:val="F856867"/>
    <w:multiLevelType w:val="hybridMultilevel"/>
    <w:lvl w:ilvl="0">
      <w:lvlJc w:val="left"/>
      <w:lvlText w:val="."/>
      <w:numFmt w:val="bullet"/>
      <w:start w:val="1"/>
    </w:lvl>
  </w:abstractNum>
  <w:abstractNum w:abstractNumId="69">
    <w:nsid w:val="11B1CC33"/>
    <w:multiLevelType w:val="hybridMultilevel"/>
    <w:lvl w:ilvl="0">
      <w:lvlJc w:val="left"/>
      <w:lvlText w:val="."/>
      <w:numFmt w:val="bullet"/>
      <w:start w:val="1"/>
    </w:lvl>
  </w:abstractNum>
  <w:abstractNum w:abstractNumId="70">
    <w:nsid w:val="2E22FBB7"/>
    <w:multiLevelType w:val="hybridMultilevel"/>
    <w:lvl w:ilvl="0">
      <w:lvlJc w:val="left"/>
      <w:lvlText w:val="."/>
      <w:numFmt w:val="bullet"/>
      <w:start w:val="1"/>
    </w:lvl>
  </w:abstractNum>
  <w:abstractNum w:abstractNumId="71">
    <w:nsid w:val="29934699"/>
    <w:multiLevelType w:val="hybridMultilevel"/>
    <w:lvl w:ilvl="0">
      <w:lvlJc w:val="left"/>
      <w:lvlText w:val="."/>
      <w:numFmt w:val="bullet"/>
      <w:start w:val="1"/>
    </w:lvl>
  </w:abstractNum>
  <w:abstractNum w:abstractNumId="72">
    <w:nsid w:val="77485850"/>
    <w:multiLevelType w:val="hybridMultilevel"/>
    <w:lvl w:ilvl="0">
      <w:lvlJc w:val="left"/>
      <w:lvlText w:val="."/>
      <w:numFmt w:val="bullet"/>
      <w:start w:val="1"/>
    </w:lvl>
  </w:abstractNum>
  <w:abstractNum w:abstractNumId="73">
    <w:nsid w:val="744939A3"/>
    <w:multiLevelType w:val="hybridMultilevel"/>
    <w:lvl w:ilvl="0">
      <w:lvlJc w:val="left"/>
      <w:lvlText w:val="."/>
      <w:numFmt w:val="bullet"/>
      <w:start w:val="1"/>
    </w:lvl>
  </w:abstractNum>
  <w:abstractNum w:abstractNumId="74">
    <w:nsid w:val="4FA0D2E3"/>
    <w:multiLevelType w:val="hybridMultilevel"/>
    <w:lvl w:ilvl="0">
      <w:lvlJc w:val="left"/>
      <w:lvlText w:val="."/>
      <w:numFmt w:val="bullet"/>
      <w:start w:val="1"/>
    </w:lvl>
  </w:abstractNum>
  <w:abstractNum w:abstractNumId="75">
    <w:nsid w:val="6B1D2C14"/>
    <w:multiLevelType w:val="hybridMultilevel"/>
    <w:lvl w:ilvl="0">
      <w:lvlJc w:val="left"/>
      <w:lvlText w:val="."/>
      <w:numFmt w:val="bullet"/>
      <w:start w:val="1"/>
    </w:lvl>
  </w:abstractNum>
  <w:abstractNum w:abstractNumId="76">
    <w:nsid w:val="68B867D3"/>
    <w:multiLevelType w:val="hybridMultilevel"/>
    <w:lvl w:ilvl="0">
      <w:lvlJc w:val="left"/>
      <w:lvlText w:val="."/>
      <w:numFmt w:val="bullet"/>
      <w:start w:val="1"/>
    </w:lvl>
  </w:abstractNum>
  <w:abstractNum w:abstractNumId="77">
    <w:nsid w:val="3F7F5DD9"/>
    <w:multiLevelType w:val="hybridMultilevel"/>
    <w:lvl w:ilvl="0">
      <w:lvlJc w:val="left"/>
      <w:lvlText w:val="."/>
      <w:numFmt w:val="bullet"/>
      <w:start w:val="1"/>
    </w:lvl>
  </w:abstractNum>
  <w:abstractNum w:abstractNumId="78">
    <w:nsid w:val="2AE05A34"/>
    <w:multiLevelType w:val="hybridMultilevel"/>
    <w:lvl w:ilvl="0">
      <w:lvlJc w:val="left"/>
      <w:lvlText w:val="%1."/>
      <w:numFmt w:val="upperLetter"/>
      <w:start w:val="3"/>
    </w:lvl>
  </w:abstractNum>
  <w:abstractNum w:abstractNumId="79">
    <w:nsid w:val="32794FF7"/>
    <w:multiLevelType w:val="hybridMultilevel"/>
    <w:lvl w:ilvl="0">
      <w:lvlJc w:val="left"/>
      <w:lvlText w:val="%1."/>
      <w:numFmt w:val="upperLetter"/>
      <w:start w:val="4"/>
    </w:lvl>
  </w:abstractNum>
  <w:abstractNum w:abstractNumId="80">
    <w:nsid w:val="5454945E"/>
    <w:multiLevelType w:val="hybridMultilevel"/>
    <w:lvl w:ilvl="0">
      <w:lvlJc w:val="left"/>
      <w:lvlText w:val="."/>
      <w:numFmt w:val="bullet"/>
      <w:start w:val="1"/>
    </w:lvl>
  </w:abstractNum>
  <w:abstractNum w:abstractNumId="81">
    <w:nsid w:val="4DEFDFA0"/>
    <w:multiLevelType w:val="hybridMultilevel"/>
    <w:lvl w:ilvl="0">
      <w:lvlJc w:val="left"/>
      <w:lvlText w:val="."/>
      <w:numFmt w:val="bullet"/>
      <w:start w:val="1"/>
    </w:lvl>
  </w:abstractNum>
  <w:abstractNum w:abstractNumId="82">
    <w:nsid w:val="2123D5F2"/>
    <w:multiLevelType w:val="hybridMultilevel"/>
    <w:lvl w:ilvl="0">
      <w:lvlJc w:val="left"/>
      <w:lvlText w:val="."/>
      <w:numFmt w:val="bullet"/>
      <w:start w:val="1"/>
    </w:lvl>
  </w:abstractNum>
  <w:abstractNum w:abstractNumId="83">
    <w:nsid w:val="135B8110"/>
    <w:multiLevelType w:val="hybridMultilevel"/>
    <w:lvl w:ilvl="0">
      <w:lvlJc w:val="left"/>
      <w:lvlText w:val="."/>
      <w:numFmt w:val="bullet"/>
      <w:start w:val="1"/>
    </w:lvl>
  </w:abstractNum>
  <w:abstractNum w:abstractNumId="84">
    <w:nsid w:val="94927A8"/>
    <w:multiLevelType w:val="hybridMultilevel"/>
    <w:lvl w:ilvl="0">
      <w:lvlJc w:val="left"/>
      <w:lvlText w:val="."/>
      <w:numFmt w:val="bullet"/>
      <w:start w:val="1"/>
    </w:lvl>
  </w:abstractNum>
  <w:abstractNum w:abstractNumId="85">
    <w:nsid w:val="DCDF8F6"/>
    <w:multiLevelType w:val="hybridMultilevel"/>
    <w:lvl w:ilvl="0">
      <w:lvlJc w:val="left"/>
      <w:lvlText w:val="%1."/>
      <w:numFmt w:val="upperLetter"/>
      <w:start w:val="1"/>
    </w:lvl>
  </w:abstractNum>
  <w:abstractNum w:abstractNumId="86">
    <w:nsid w:val="52D7B105"/>
    <w:multiLevelType w:val="hybridMultilevel"/>
    <w:lvl w:ilvl="0">
      <w:lvlJc w:val="left"/>
      <w:lvlText w:val="(%1)"/>
      <w:numFmt w:val="decimal"/>
      <w:start w:val="1"/>
    </w:lvl>
  </w:abstractNum>
  <w:abstractNum w:abstractNumId="87">
    <w:nsid w:val="2E8A6394"/>
    <w:multiLevelType w:val="hybridMultilevel"/>
    <w:lvl w:ilvl="0">
      <w:lvlJc w:val="left"/>
      <w:lvlText w:val="%1."/>
      <w:numFmt w:val="upperLetter"/>
      <w:start w:val="2"/>
    </w:lvl>
  </w:abstractNum>
  <w:abstractNum w:abstractNumId="88">
    <w:nsid w:val="24E60401"/>
    <w:multiLevelType w:val="hybridMultilevel"/>
    <w:lvl w:ilvl="0">
      <w:lvlJc w:val="left"/>
      <w:lvlText w:val="(%1)"/>
      <w:numFmt w:val="decimal"/>
      <w:start w:val="1"/>
    </w:lvl>
  </w:abstractNum>
  <w:abstractNum w:abstractNumId="89">
    <w:nsid w:val="2A6AD9BE"/>
    <w:multiLevelType w:val="hybridMultilevel"/>
    <w:lvl w:ilvl="0">
      <w:lvlJc w:val="left"/>
      <w:lvlText w:val="(%1)"/>
      <w:numFmt w:val="decimal"/>
      <w:start w:val="9"/>
    </w:lvl>
  </w:abstractNum>
  <w:abstractNum w:abstractNumId="90">
    <w:nsid w:val="BAAC1B4"/>
    <w:multiLevelType w:val="hybridMultilevel"/>
    <w:lvl w:ilvl="0">
      <w:lvlJc w:val="left"/>
      <w:lvlText w:val="(%1)"/>
      <w:numFmt w:val="decimal"/>
      <w:start w:val="1"/>
    </w:lvl>
  </w:abstractNum>
  <w:abstractNum w:abstractNumId="91">
    <w:nsid w:val="36B2ACBC"/>
    <w:multiLevelType w:val="hybridMultilevel"/>
    <w:lvl w:ilvl="0">
      <w:lvlJc w:val="left"/>
      <w:lvlText w:val="(%1)"/>
      <w:numFmt w:val="decimal"/>
      <w:start w:val="1"/>
    </w:lvl>
  </w:abstractNum>
  <w:abstractNum w:abstractNumId="92">
    <w:nsid w:val="779D8544"/>
    <w:multiLevelType w:val="hybridMultilevel"/>
    <w:lvl w:ilvl="0">
      <w:lvlJc w:val="left"/>
      <w:lvlText w:val="----"/>
      <w:numFmt w:val="bullet"/>
      <w:start w:val="1"/>
    </w:lvl>
  </w:abstractNum>
  <w:abstractNum w:abstractNumId="93">
    <w:nsid w:val="4AB26E78"/>
    <w:multiLevelType w:val="hybridMultilevel"/>
    <w:lvl w:ilvl="0">
      <w:lvlJc w:val="left"/>
      <w:lvlText w:val="%1."/>
      <w:numFmt w:val="upperLetter"/>
      <w:start w:val="3"/>
    </w:lvl>
  </w:abstractNum>
  <w:abstractNum w:abstractNumId="94">
    <w:nsid w:val="21FAA2FA"/>
    <w:multiLevelType w:val="hybridMultilevel"/>
    <w:lvl w:ilvl="0">
      <w:lvlJc w:val="left"/>
      <w:lvlText w:val="%1."/>
      <w:numFmt w:val="upperLetter"/>
      <w:start w:val="4"/>
    </w:lvl>
  </w:abstractNum>
  <w:abstractNum w:abstractNumId="95">
    <w:nsid w:val="5451CF49"/>
    <w:multiLevelType w:val="hybridMultilevel"/>
    <w:lvl w:ilvl="0">
      <w:lvlJc w:val="left"/>
      <w:lvlText w:val="%1."/>
      <w:numFmt w:val="upperLetter"/>
      <w:start w:val="5"/>
    </w:lvl>
  </w:abstractNum>
  <w:abstractNum w:abstractNumId="96">
    <w:nsid w:val="6181EF69"/>
    <w:multiLevelType w:val="hybridMultilevel"/>
    <w:lvl w:ilvl="0">
      <w:lvlJc w:val="left"/>
      <w:lvlText w:val="."/>
      <w:numFmt w:val="bullet"/>
      <w:start w:val="1"/>
    </w:lvl>
  </w:abstractNum>
  <w:abstractNum w:abstractNumId="97">
    <w:nsid w:val="3E6400E6"/>
    <w:multiLevelType w:val="hybridMultilevel"/>
    <w:lvl w:ilvl="0">
      <w:lvlJc w:val="left"/>
      <w:lvlText w:val="."/>
      <w:numFmt w:val="bullet"/>
      <w:start w:val="1"/>
    </w:lvl>
  </w:abstractNum>
  <w:abstractNum w:abstractNumId="98">
    <w:nsid w:val="14217E23"/>
    <w:multiLevelType w:val="hybridMultilevel"/>
    <w:lvl w:ilvl="0">
      <w:lvlJc w:val="left"/>
      <w:lvlText w:val="."/>
      <w:numFmt w:val="bullet"/>
      <w:start w:val="1"/>
    </w:lvl>
  </w:abstractNum>
  <w:abstractNum w:abstractNumId="99">
    <w:nsid w:val="710757D0"/>
    <w:multiLevelType w:val="hybridMultilevel"/>
    <w:lvl w:ilvl="0">
      <w:lvlJc w:val="left"/>
      <w:lvlText w:val="."/>
      <w:numFmt w:val="bullet"/>
      <w:start w:val="1"/>
    </w:lvl>
  </w:abstractNum>
  <w:abstractNum w:abstractNumId="100">
    <w:nsid w:val="5015CD1A"/>
    <w:multiLevelType w:val="hybridMultilevel"/>
    <w:lvl w:ilvl="0">
      <w:lvlJc w:val="left"/>
      <w:lvlText w:val="(%1)"/>
      <w:numFmt w:val="decimal"/>
    </w:lvl>
    <w:lvl w:ilvl="1">
      <w:lvlJc w:val="left"/>
      <w:lvlText w:val="*"/>
      <w:numFmt w:val="bullet"/>
      <w:start w:val="1"/>
    </w:lvl>
  </w:abstractNum>
  <w:abstractNum w:abstractNumId="101">
    <w:nsid w:val="424479DA"/>
    <w:multiLevelType w:val="hybridMultilevel"/>
    <w:lvl w:ilvl="0">
      <w:lvlJc w:val="left"/>
      <w:lvlText w:val="%1."/>
      <w:numFmt w:val="upperLetter"/>
      <w:start w:val="1"/>
    </w:lvl>
  </w:abstractNum>
  <w:abstractNum w:abstractNumId="102">
    <w:nsid w:val="1A9A9E69"/>
    <w:multiLevelType w:val="hybridMultilevel"/>
    <w:lvl w:ilvl="0">
      <w:lvlJc w:val="left"/>
      <w:lvlText w:val="%1."/>
      <w:numFmt w:val="upperLetter"/>
      <w:start w:val="2"/>
    </w:lvl>
  </w:abstractNum>
  <w:abstractNum w:abstractNumId="103">
    <w:nsid w:val="475E256A"/>
    <w:multiLevelType w:val="hybridMultilevel"/>
    <w:lvl w:ilvl="0">
      <w:lvlJc w:val="left"/>
      <w:lvlText w:val="."/>
      <w:numFmt w:val="bullet"/>
      <w:start w:val="1"/>
    </w:lvl>
  </w:abstractNum>
  <w:abstractNum w:abstractNumId="104">
    <w:nsid w:val="368DB37E"/>
    <w:multiLevelType w:val="hybridMultilevel"/>
    <w:lvl w:ilvl="0">
      <w:lvlJc w:val="left"/>
      <w:lvlText w:val="."/>
      <w:numFmt w:val="bullet"/>
      <w:start w:val="1"/>
    </w:lvl>
  </w:abstractNum>
  <w:abstractNum w:abstractNumId="105">
    <w:nsid w:val="6A3B714C"/>
    <w:multiLevelType w:val="hybridMultilevel"/>
    <w:lvl w:ilvl="0">
      <w:lvlJc w:val="left"/>
      <w:lvlText w:val="."/>
      <w:numFmt w:val="bullet"/>
      <w:start w:val="1"/>
    </w:lvl>
  </w:abstractNum>
  <w:abstractNum w:abstractNumId="106">
    <w:nsid w:val="327B517E"/>
    <w:multiLevelType w:val="hybridMultilevel"/>
    <w:lvl w:ilvl="0">
      <w:lvlJc w:val="left"/>
      <w:lvlText w:val="."/>
      <w:numFmt w:val="bullet"/>
      <w:start w:val="1"/>
    </w:lvl>
    <w:lvl w:ilvl="1">
      <w:lvlJc w:val="left"/>
      <w:lvlText w:val="-"/>
      <w:numFmt w:val="bullet"/>
      <w:start w:val="1"/>
    </w:lvl>
  </w:abstractNum>
  <w:abstractNum w:abstractNumId="107">
    <w:nsid w:val="1F461B51"/>
    <w:multiLevelType w:val="hybridMultilevel"/>
    <w:lvl w:ilvl="0">
      <w:lvlJc w:val="left"/>
      <w:lvlText w:val="."/>
      <w:numFmt w:val="bullet"/>
      <w:start w:val="1"/>
    </w:lvl>
  </w:abstractNum>
  <w:abstractNum w:abstractNumId="108">
    <w:nsid w:val="29BACF25"/>
    <w:multiLevelType w:val="hybridMultilevel"/>
    <w:lvl w:ilvl="0">
      <w:lvlJc w:val="left"/>
      <w:lvlText w:val="."/>
      <w:numFmt w:val="bullet"/>
      <w:start w:val="1"/>
    </w:lvl>
  </w:abstractNum>
  <w:abstractNum w:abstractNumId="109">
    <w:nsid w:val="5D5BABB3"/>
    <w:multiLevelType w:val="hybridMultilevel"/>
    <w:lvl w:ilvl="0">
      <w:lvlJc w:val="left"/>
      <w:lvlText w:val="."/>
      <w:numFmt w:val="bullet"/>
      <w:start w:val="1"/>
    </w:lvl>
  </w:abstractNum>
  <w:abstractNum w:abstractNumId="110">
    <w:nsid w:val="51BF6B48"/>
    <w:multiLevelType w:val="hybridMultilevel"/>
    <w:lvl w:ilvl="0">
      <w:lvlJc w:val="left"/>
      <w:lvlText w:val="."/>
      <w:numFmt w:val="bullet"/>
      <w:start w:val="1"/>
    </w:lvl>
  </w:abstractNum>
  <w:abstractNum w:abstractNumId="111">
    <w:nsid w:val="7E0F6384"/>
    <w:multiLevelType w:val="hybridMultilevel"/>
    <w:lvl w:ilvl="0">
      <w:lvlJc w:val="left"/>
      <w:lvlText w:val="."/>
      <w:numFmt w:val="bullet"/>
      <w:start w:val="1"/>
    </w:lvl>
  </w:abstractNum>
  <w:abstractNum w:abstractNumId="112">
    <w:nsid w:val="2B4B8B53"/>
    <w:multiLevelType w:val="hybridMultilevel"/>
    <w:lvl w:ilvl="0">
      <w:lvlJc w:val="left"/>
      <w:lvlText w:val="."/>
      <w:numFmt w:val="bullet"/>
      <w:start w:val="1"/>
    </w:lvl>
  </w:abstractNum>
  <w:abstractNum w:abstractNumId="113">
    <w:nsid w:val="72E3413A"/>
    <w:multiLevelType w:val="hybridMultilevel"/>
    <w:lvl w:ilvl="0">
      <w:lvlJc w:val="left"/>
      <w:lvlText w:val="."/>
      <w:numFmt w:val="bullet"/>
      <w:start w:val="1"/>
    </w:lvl>
  </w:abstractNum>
  <w:abstractNum w:abstractNumId="114">
    <w:nsid w:val="116AE494"/>
    <w:multiLevelType w:val="hybridMultilevel"/>
    <w:lvl w:ilvl="0">
      <w:lvlJc w:val="left"/>
      <w:lvlText w:val="."/>
      <w:numFmt w:val="bullet"/>
      <w:start w:val="1"/>
    </w:lvl>
  </w:abstractNum>
  <w:abstractNum w:abstractNumId="115">
    <w:nsid w:val="3494B2FB"/>
    <w:multiLevelType w:val="hybridMultilevel"/>
    <w:lvl w:ilvl="0">
      <w:lvlJc w:val="left"/>
      <w:lvlText w:val="."/>
      <w:numFmt w:val="bullet"/>
      <w:start w:val="1"/>
    </w:lvl>
  </w:abstractNum>
  <w:abstractNum w:abstractNumId="116">
    <w:nsid w:val="B13A31"/>
    <w:multiLevelType w:val="hybridMultilevel"/>
    <w:lvl w:ilvl="0">
      <w:lvlJc w:val="left"/>
      <w:lvlText w:val="."/>
      <w:numFmt w:val="bullet"/>
      <w:start w:val="1"/>
    </w:lvl>
  </w:abstractNum>
  <w:abstractNum w:abstractNumId="117">
    <w:nsid w:val="64429599"/>
    <w:multiLevelType w:val="hybridMultilevel"/>
    <w:lvl w:ilvl="0">
      <w:lvlJc w:val="left"/>
      <w:lvlText w:val="%1."/>
      <w:numFmt w:val="upperLetter"/>
      <w:start w:val="3"/>
    </w:lvl>
  </w:abstractNum>
  <w:abstractNum w:abstractNumId="118">
    <w:nsid w:val="631F1690"/>
    <w:multiLevelType w:val="hybridMultilevel"/>
    <w:lvl w:ilvl="0">
      <w:lvlJc w:val="left"/>
      <w:lvlText w:val="%1."/>
      <w:numFmt w:val="upperLetter"/>
      <w:start w:val="1"/>
    </w:lvl>
  </w:abstractNum>
  <w:abstractNum w:abstractNumId="119">
    <w:nsid w:val="25973E32"/>
    <w:multiLevelType w:val="hybridMultilevel"/>
    <w:lvl w:ilvl="0">
      <w:lvlJc w:val="left"/>
      <w:lvlText w:val="%1."/>
      <w:numFmt w:val="upperLetter"/>
      <w:start w:val="2"/>
    </w:lvl>
  </w:abstractNum>
  <w:abstractNum w:abstractNumId="120">
    <w:nsid w:val="EAD6F57"/>
    <w:multiLevelType w:val="hybridMultilevel"/>
    <w:lvl w:ilvl="0">
      <w:lvlJc w:val="left"/>
      <w:lvlText w:val="%1."/>
      <w:numFmt w:val="upperLetter"/>
      <w:start w:val="1"/>
    </w:lvl>
  </w:abstractNum>
  <w:abstractNum w:abstractNumId="121">
    <w:nsid w:val="6EC9D844"/>
    <w:multiLevelType w:val="hybridMultilevel"/>
    <w:lvl w:ilvl="0">
      <w:lvlJc w:val="left"/>
      <w:lvlText w:val="(%1)"/>
      <w:numFmt w:val="lowerLetter"/>
      <w:start w:val="1"/>
    </w:lvl>
  </w:abstractNum>
  <w:abstractNum w:abstractNumId="122">
    <w:nsid w:val="5C49EAEE"/>
    <w:multiLevelType w:val="hybridMultilevel"/>
    <w:lvl w:ilvl="0">
      <w:lvlJc w:val="left"/>
      <w:lvlText w:val="."/>
      <w:numFmt w:val="bullet"/>
      <w:start w:val="1"/>
    </w:lvl>
  </w:abstractNum>
  <w:abstractNum w:abstractNumId="123">
    <w:nsid w:val="64AF49B"/>
    <w:multiLevelType w:val="hybridMultilevel"/>
    <w:lvl w:ilvl="0">
      <w:lvlJc w:val="left"/>
      <w:lvlText w:val="."/>
      <w:numFmt w:val="bullet"/>
      <w:start w:val="1"/>
    </w:lvl>
  </w:abstractNum>
  <w:abstractNum w:abstractNumId="124">
    <w:nsid w:val="397C46BC"/>
    <w:multiLevelType w:val="hybridMultilevel"/>
    <w:lvl w:ilvl="0">
      <w:lvlJc w:val="left"/>
      <w:lvlText w:val="."/>
      <w:numFmt w:val="bullet"/>
      <w:start w:val="1"/>
    </w:lvl>
  </w:abstractNum>
  <w:abstractNum w:abstractNumId="125">
    <w:nsid w:val="7E448DE9"/>
    <w:multiLevelType w:val="hybridMultilevel"/>
    <w:lvl w:ilvl="0">
      <w:lvlJc w:val="left"/>
      <w:lvlText w:val="."/>
      <w:numFmt w:val="bullet"/>
      <w:start w:val="1"/>
    </w:lvl>
  </w:abstractNum>
  <w:abstractNum w:abstractNumId="126">
    <w:nsid w:val="5A9CC3E5"/>
    <w:multiLevelType w:val="hybridMultilevel"/>
    <w:lvl w:ilvl="0">
      <w:lvlJc w:val="left"/>
      <w:lvlText w:val="."/>
      <w:numFmt w:val="bullet"/>
      <w:start w:val="1"/>
    </w:lvl>
  </w:abstractNum>
  <w:abstractNum w:abstractNumId="127">
    <w:nsid w:val="1AFE3625"/>
    <w:multiLevelType w:val="hybridMultilevel"/>
    <w:lvl w:ilvl="0">
      <w:lvlJc w:val="left"/>
      <w:lvlText w:val="."/>
      <w:numFmt w:val="bullet"/>
      <w:start w:val="1"/>
    </w:lvl>
  </w:abstractNum>
  <w:abstractNum w:abstractNumId="128">
    <w:nsid w:val="3CA88ECF"/>
    <w:multiLevelType w:val="hybridMultilevel"/>
    <w:lvl w:ilvl="0">
      <w:lvlJc w:val="left"/>
      <w:lvlText w:val="."/>
      <w:numFmt w:val="bullet"/>
      <w:start w:val="1"/>
    </w:lvl>
  </w:abstractNum>
  <w:abstractNum w:abstractNumId="129">
    <w:nsid w:val="6EBE4208"/>
    <w:multiLevelType w:val="hybridMultilevel"/>
    <w:lvl w:ilvl="0">
      <w:lvlJc w:val="left"/>
      <w:lvlText w:val="."/>
      <w:numFmt w:val="bullet"/>
      <w:start w:val="1"/>
    </w:lvl>
  </w:abstractNum>
  <w:abstractNum w:abstractNumId="130">
    <w:nsid w:val="C058DF5"/>
    <w:multiLevelType w:val="hybridMultilevel"/>
    <w:lvl w:ilvl="0">
      <w:lvlJc w:val="left"/>
      <w:lvlText w:val="%1."/>
      <w:numFmt w:val="upperLetter"/>
      <w:start w:val="3"/>
    </w:lvl>
  </w:abstractNum>
  <w:abstractNum w:abstractNumId="131">
    <w:nsid w:val="CBE5BE9"/>
    <w:multiLevelType w:val="hybridMultilevel"/>
    <w:lvl w:ilvl="0">
      <w:lvlJc w:val="left"/>
      <w:lvlText w:val="%1."/>
      <w:numFmt w:val="upperLetter"/>
      <w:start w:val="4"/>
    </w:lvl>
  </w:abstractNum>
  <w:abstractNum w:abstractNumId="132">
    <w:nsid w:val="3102BBE2"/>
    <w:multiLevelType w:val="hybridMultilevel"/>
    <w:lvl w:ilvl="0">
      <w:lvlJc w:val="left"/>
      <w:lvlText w:val="%1."/>
      <w:numFmt w:val="upperLetter"/>
      <w:start w:val="5"/>
    </w:lvl>
  </w:abstractNum>
  <w:abstractNum w:abstractNumId="133">
    <w:nsid w:val="26A02C5E"/>
    <w:multiLevelType w:val="hybridMultilevel"/>
    <w:lvl w:ilvl="0">
      <w:lvlJc w:val="left"/>
      <w:lvlText w:val="."/>
      <w:numFmt w:val="bullet"/>
      <w:start w:val="1"/>
    </w:lvl>
  </w:abstractNum>
  <w:abstractNum w:abstractNumId="134">
    <w:nsid w:val="541C8153"/>
    <w:multiLevelType w:val="hybridMultilevel"/>
    <w:lvl w:ilvl="0">
      <w:lvlJc w:val="left"/>
      <w:lvlText w:val="."/>
      <w:numFmt w:val="bullet"/>
      <w:start w:val="1"/>
    </w:lvl>
  </w:abstractNum>
  <w:abstractNum w:abstractNumId="135">
    <w:nsid w:val="67906F60"/>
    <w:multiLevelType w:val="hybridMultilevel"/>
    <w:lvl w:ilvl="0">
      <w:lvlJc w:val="left"/>
      <w:lvlText w:val="."/>
      <w:numFmt w:val="bullet"/>
      <w:start w:val="1"/>
    </w:lvl>
  </w:abstractNum>
  <w:abstractNum w:abstractNumId="136">
    <w:nsid w:val="10DB9DAA"/>
    <w:multiLevelType w:val="hybridMultilevel"/>
    <w:lvl w:ilvl="0">
      <w:lvlJc w:val="left"/>
      <w:lvlText w:val="."/>
      <w:numFmt w:val="bullet"/>
      <w:start w:val="1"/>
    </w:lvl>
  </w:abstractNum>
  <w:abstractNum w:abstractNumId="137">
    <w:nsid w:val="697D2D2"/>
    <w:multiLevelType w:val="hybridMultilevel"/>
    <w:lvl w:ilvl="0">
      <w:lvlJc w:val="left"/>
      <w:lvlText w:val="."/>
      <w:numFmt w:val="bullet"/>
      <w:start w:val="1"/>
    </w:lvl>
  </w:abstractNum>
  <w:abstractNum w:abstractNumId="138">
    <w:nsid w:val="6D68AB2"/>
    <w:multiLevelType w:val="hybridMultilevel"/>
    <w:lvl w:ilvl="0">
      <w:lvlJc w:val="left"/>
      <w:lvlText w:val="."/>
      <w:numFmt w:val="bullet"/>
      <w:start w:val="1"/>
    </w:lvl>
  </w:abstractNum>
  <w:abstractNum w:abstractNumId="139">
    <w:nsid w:val="3A966CD0"/>
    <w:multiLevelType w:val="hybridMultilevel"/>
    <w:lvl w:ilvl="0">
      <w:lvlJc w:val="left"/>
      <w:lvlText w:val="."/>
      <w:numFmt w:val="bullet"/>
      <w:start w:val="1"/>
    </w:lvl>
  </w:abstractNum>
  <w:abstractNum w:abstractNumId="140">
    <w:nsid w:val="63F37E85"/>
    <w:multiLevelType w:val="hybridMultilevel"/>
    <w:lvl w:ilvl="0">
      <w:lvlJc w:val="left"/>
      <w:lvlText w:val="."/>
      <w:numFmt w:val="bullet"/>
      <w:start w:val="1"/>
    </w:lvl>
  </w:abstractNum>
  <w:abstractNum w:abstractNumId="141">
    <w:nsid w:val="5895F5FA"/>
    <w:multiLevelType w:val="hybridMultilevel"/>
    <w:lvl w:ilvl="0">
      <w:lvlJc w:val="left"/>
      <w:lvlText w:val="."/>
      <w:numFmt w:val="bullet"/>
      <w:start w:val="1"/>
    </w:lvl>
  </w:abstractNum>
  <w:abstractNum w:abstractNumId="142">
    <w:nsid w:val="38A5D054"/>
    <w:multiLevelType w:val="hybridMultilevel"/>
    <w:lvl w:ilvl="0">
      <w:lvlJc w:val="left"/>
      <w:lvlText w:val="."/>
      <w:numFmt w:val="bullet"/>
      <w:start w:val="1"/>
    </w:lvl>
  </w:abstractNum>
  <w:abstractNum w:abstractNumId="143">
    <w:nsid w:val="F3F09D8"/>
    <w:multiLevelType w:val="hybridMultilevel"/>
    <w:lvl w:ilvl="0">
      <w:lvlJc w:val="left"/>
      <w:lvlText w:val="."/>
      <w:numFmt w:val="bullet"/>
      <w:start w:val="1"/>
    </w:lvl>
  </w:abstractNum>
  <w:abstractNum w:abstractNumId="144">
    <w:nsid w:val="4B793735"/>
    <w:multiLevelType w:val="hybridMultilevel"/>
    <w:lvl w:ilvl="0">
      <w:lvlJc w:val="left"/>
      <w:lvlText w:val="."/>
      <w:numFmt w:val="bullet"/>
      <w:start w:val="1"/>
    </w:lvl>
  </w:abstractNum>
  <w:abstractNum w:abstractNumId="145">
    <w:nsid w:val="4A10B4E8"/>
    <w:multiLevelType w:val="hybridMultilevel"/>
    <w:lvl w:ilvl="0">
      <w:lvlJc w:val="left"/>
      <w:lvlText w:val="."/>
      <w:numFmt w:val="bullet"/>
      <w:start w:val="1"/>
    </w:lvl>
  </w:abstractNum>
  <w:abstractNum w:abstractNumId="146">
    <w:nsid w:val="43D3BCD4"/>
    <w:multiLevelType w:val="hybridMultilevel"/>
    <w:lvl w:ilvl="0">
      <w:lvlJc w:val="left"/>
      <w:lvlText w:val="."/>
      <w:numFmt w:val="bullet"/>
      <w:start w:val="1"/>
    </w:lvl>
  </w:abstractNum>
  <w:abstractNum w:abstractNumId="147">
    <w:nsid w:val="4C2A7166"/>
    <w:multiLevelType w:val="hybridMultilevel"/>
    <w:lvl w:ilvl="0">
      <w:lvlJc w:val="left"/>
      <w:lvlText w:val="(%1)"/>
      <w:numFmt w:val="decimal"/>
      <w:start w:val="1"/>
    </w:lvl>
  </w:abstractNum>
  <w:abstractNum w:abstractNumId="148">
    <w:nsid w:val="2E534A82"/>
    <w:multiLevelType w:val="hybridMultilevel"/>
    <w:lvl w:ilvl="0">
      <w:lvlJc w:val="left"/>
      <w:lvlText w:val="(%1)"/>
      <w:numFmt w:val="decimal"/>
      <w:start w:val="1"/>
    </w:lvl>
  </w:abstractNum>
  <w:abstractNum w:abstractNumId="149">
    <w:nsid w:val="26F2D364"/>
    <w:multiLevelType w:val="hybridMultilevel"/>
    <w:lvl w:ilvl="0">
      <w:lvlJc w:val="left"/>
      <w:lvlText w:val="%1."/>
      <w:numFmt w:val="upperLetter"/>
      <w:start w:val="6"/>
    </w:lvl>
  </w:abstractNum>
  <w:abstractNum w:abstractNumId="150">
    <w:nsid w:val="71C1AF98"/>
    <w:multiLevelType w:val="hybridMultilevel"/>
    <w:lvl w:ilvl="0">
      <w:lvlJc w:val="left"/>
      <w:lvlText w:val="%1."/>
      <w:numFmt w:val="decimal"/>
      <w:start w:val="1"/>
    </w:lvl>
  </w:abstractNum>
  <w:abstractNum w:abstractNumId="151">
    <w:nsid w:val="3D00B9D9"/>
    <w:multiLevelType w:val="hybridMultilevel"/>
    <w:lvl w:ilvl="0">
      <w:lvlJc w:val="left"/>
      <w:lvlText w:val="%1)"/>
      <w:numFmt w:val="lowerLetter"/>
      <w:start w:val="1"/>
    </w:lvl>
  </w:abstractNum>
  <w:abstractNum w:abstractNumId="152">
    <w:nsid w:val="15BCABA8"/>
    <w:multiLevelType w:val="hybridMultilevel"/>
    <w:lvl w:ilvl="0">
      <w:lvlJc w:val="left"/>
      <w:lvlText w:val="%1."/>
      <w:numFmt w:val="decimal"/>
      <w:start w:val="5"/>
    </w:lvl>
  </w:abstractNum>
  <w:abstractNum w:abstractNumId="153">
    <w:nsid w:val="4E0B9A87"/>
    <w:multiLevelType w:val="hybridMultilevel"/>
    <w:lvl w:ilvl="0">
      <w:lvlJc w:val="left"/>
      <w:lvlText w:val="%1)"/>
      <w:numFmt w:val="lowerLetter"/>
      <w:start w:val="1"/>
    </w:lvl>
  </w:abstractNum>
  <w:abstractNum w:abstractNumId="154">
    <w:nsid w:val="434BAE75"/>
    <w:multiLevelType w:val="hybridMultilevel"/>
    <w:lvl w:ilvl="0">
      <w:lvlJc w:val="left"/>
      <w:lvlText w:val="%1."/>
      <w:numFmt w:val="decimal"/>
      <w:start w:val="6"/>
    </w:lvl>
  </w:abstractNum>
  <w:abstractNum w:abstractNumId="155">
    <w:nsid w:val="4F38F265"/>
    <w:multiLevelType w:val="hybridMultilevel"/>
    <w:lvl w:ilvl="0">
      <w:lvlJc w:val="left"/>
      <w:lvlText w:val="%1."/>
      <w:numFmt w:val="decimal"/>
      <w:start w:val="1"/>
    </w:lvl>
  </w:abstractNum>
  <w:abstractNum w:abstractNumId="156">
    <w:nsid w:val="4C502870"/>
    <w:multiLevelType w:val="hybridMultilevel"/>
    <w:lvl w:ilvl="0">
      <w:lvlJc w:val="left"/>
      <w:lvlText w:val="%1)"/>
      <w:numFmt w:val="lowerLetter"/>
      <w:start w:val="1"/>
    </w:lvl>
  </w:abstractNum>
  <w:abstractNum w:abstractNumId="157">
    <w:nsid w:val="1DE8725A"/>
    <w:multiLevelType w:val="hybridMultilevel"/>
    <w:lvl w:ilvl="0">
      <w:lvlJc w:val="left"/>
      <w:lvlText w:val="%1."/>
      <w:numFmt w:val="decimal"/>
      <w:start w:val="5"/>
    </w:lvl>
  </w:abstractNum>
  <w:abstractNum w:abstractNumId="158">
    <w:nsid w:val="6A37288A"/>
    <w:multiLevelType w:val="hybridMultilevel"/>
    <w:lvl w:ilvl="0">
      <w:lvlJc w:val="left"/>
      <w:lvlText w:val="%1)"/>
      <w:numFmt w:val="lowerLetter"/>
      <w:start w:val="1"/>
    </w:lvl>
  </w:abstractNum>
  <w:abstractNum w:abstractNumId="159">
    <w:nsid w:val="8F8B73F"/>
    <w:multiLevelType w:val="hybridMultilevel"/>
    <w:lvl w:ilvl="0">
      <w:lvlJc w:val="left"/>
      <w:lvlText w:val="%1."/>
      <w:numFmt w:val="decimal"/>
      <w:start w:val="6"/>
    </w:lvl>
  </w:abstractNum>
  <w:abstractNum w:abstractNumId="160">
    <w:nsid w:val="CA6B462"/>
    <w:multiLevelType w:val="hybridMultilevel"/>
    <w:lvl w:ilvl="0">
      <w:lvlJc w:val="left"/>
      <w:lvlText w:val="%1."/>
      <w:numFmt w:val="decimal"/>
      <w:start w:val="1"/>
    </w:lvl>
  </w:abstractNum>
  <w:abstractNum w:abstractNumId="161">
    <w:nsid w:val="763CB680"/>
    <w:multiLevelType w:val="hybridMultilevel"/>
    <w:lvl w:ilvl="0">
      <w:lvlJc w:val="left"/>
      <w:lvlText w:val="-"/>
      <w:numFmt w:val="bullet"/>
      <w:start w:val="1"/>
    </w:lvl>
  </w:abstractNum>
  <w:abstractNum w:abstractNumId="162">
    <w:nsid w:val="15B71329"/>
    <w:multiLevelType w:val="hybridMultilevel"/>
    <w:lvl w:ilvl="0">
      <w:lvlJc w:val="left"/>
      <w:lvlText w:val="-"/>
      <w:numFmt w:val="bullet"/>
      <w:start w:val="1"/>
    </w:lvl>
  </w:abstractNum>
  <w:abstractNum w:abstractNumId="163">
    <w:nsid w:val="3DA97044"/>
    <w:multiLevelType w:val="hybridMultilevel"/>
    <w:lvl w:ilvl="0">
      <w:lvlJc w:val="left"/>
      <w:lvlText w:val="%1."/>
      <w:numFmt w:val="decimal"/>
      <w:start w:val="2"/>
    </w:lvl>
  </w:abstractNum>
  <w:abstractNum w:abstractNumId="164">
    <w:nsid w:val="1CDCE2DE"/>
    <w:multiLevelType w:val="hybridMultilevel"/>
    <w:lvl w:ilvl="0">
      <w:lvlJc w:val="left"/>
      <w:lvlText w:val="%1)"/>
      <w:numFmt w:val="decimal"/>
      <w:start w:val="1"/>
    </w:lvl>
  </w:abstractNum>
  <w:abstractNum w:abstractNumId="165">
    <w:nsid w:val="69D3947C"/>
    <w:multiLevelType w:val="hybridMultilevel"/>
    <w:lvl w:ilvl="0">
      <w:lvlJc w:val="left"/>
      <w:lvlText w:val="%1."/>
      <w:numFmt w:val="decimal"/>
      <w:start w:val="3"/>
    </w:lvl>
  </w:abstractNum>
  <w:abstractNum w:abstractNumId="166">
    <w:nsid w:val="2539DFA5"/>
    <w:multiLevelType w:val="hybridMultilevel"/>
    <w:lvl w:ilvl="0">
      <w:lvlJc w:val="left"/>
      <w:lvlText w:val="%1."/>
      <w:numFmt w:val="decimal"/>
      <w:start w:val="4"/>
    </w:lvl>
  </w:abstractNum>
  <w:abstractNum w:abstractNumId="167">
    <w:nsid w:val="2DB88089"/>
    <w:multiLevelType w:val="hybridMultilevel"/>
    <w:lvl w:ilvl="0">
      <w:lvlJc w:val="left"/>
      <w:lvlText w:val="%1."/>
      <w:numFmt w:val="decimal"/>
      <w:start w:val="5"/>
    </w:lvl>
  </w:abstractNum>
  <w:abstractNum w:abstractNumId="168">
    <w:nsid w:val="706B674E"/>
    <w:multiLevelType w:val="hybridMultilevel"/>
    <w:lvl w:ilvl="0">
      <w:lvlJc w:val="left"/>
      <w:lvlText w:val="%1."/>
      <w:numFmt w:val="decimal"/>
      <w:start w:val="6"/>
    </w:lvl>
  </w:abstractNum>
  <w:abstractNum w:abstractNumId="169">
    <w:nsid w:val="2C106A57"/>
    <w:multiLevelType w:val="hybridMultilevel"/>
    <w:lvl w:ilvl="0">
      <w:lvlJc w:val="left"/>
      <w:lvlText w:val="%1."/>
      <w:numFmt w:val="decimal"/>
      <w:start w:val="7"/>
    </w:lvl>
  </w:abstractNum>
  <w:abstractNum w:abstractNumId="170">
    <w:nsid w:val="684EED59"/>
    <w:multiLevelType w:val="hybridMultilevel"/>
    <w:lvl w:ilvl="0">
      <w:lvlJc w:val="left"/>
      <w:lvlText w:val="(%1)"/>
      <w:numFmt w:val="lowerRoman"/>
      <w:start w:val="2"/>
    </w:lvl>
  </w:abstractNum>
  <w:abstractNum w:abstractNumId="171">
    <w:nsid w:val="545EE5D3"/>
    <w:multiLevelType w:val="hybridMultilevel"/>
    <w:lvl w:ilvl="0">
      <w:lvlJc w:val="left"/>
      <w:lvlText w:val="%1."/>
      <w:numFmt w:val="decimal"/>
      <w:start w:val="8"/>
    </w:lvl>
  </w:abstractNum>
  <w:abstractNum w:abstractNumId="172">
    <w:nsid w:val="4A66051"/>
    <w:multiLevelType w:val="hybridMultilevel"/>
    <w:lvl w:ilvl="0">
      <w:lvlJc w:val="left"/>
      <w:lvlText w:val="%1."/>
      <w:numFmt w:val="decimal"/>
      <w:start w:val="10"/>
    </w:lvl>
  </w:abstractNum>
  <w:abstractNum w:abstractNumId="173">
    <w:nsid w:val="20F4BDAD"/>
    <w:multiLevelType w:val="hybridMultilevel"/>
    <w:lvl w:ilvl="0">
      <w:lvlJc w:val="left"/>
      <w:lvlText w:val="%1."/>
      <w:numFmt w:val="decimal"/>
      <w:start w:val="11"/>
    </w:lvl>
  </w:abstractNum>
  <w:abstractNum w:abstractNumId="174">
    <w:nsid w:val="639DEFAC"/>
    <w:multiLevelType w:val="hybridMultilevel"/>
    <w:lvl w:ilvl="0">
      <w:lvlJc w:val="left"/>
      <w:lvlText w:val="%1."/>
      <w:numFmt w:val="decimal"/>
      <w:start w:val="14"/>
    </w:lvl>
  </w:abstractNum>
  <w:abstractNum w:abstractNumId="175">
    <w:nsid w:val="501F9786"/>
    <w:multiLevelType w:val="hybridMultilevel"/>
    <w:lvl w:ilvl="0">
      <w:lvlJc w:val="left"/>
      <w:lvlText w:val="%1."/>
      <w:numFmt w:val="decimal"/>
      <w:start w:val="15"/>
    </w:lvl>
  </w:abstractNum>
  <w:abstractNum w:abstractNumId="176">
    <w:nsid w:val="6B057295"/>
    <w:multiLevelType w:val="hybridMultilevel"/>
    <w:lvl w:ilvl="0">
      <w:lvlJc w:val="left"/>
      <w:lvlText w:val="%1."/>
      <w:numFmt w:val="decimal"/>
      <w:start w:val="18"/>
    </w:lvl>
  </w:abstractNum>
  <w:abstractNum w:abstractNumId="177">
    <w:nsid w:val="2771AC80"/>
    <w:multiLevelType w:val="hybridMultilevel"/>
    <w:lvl w:ilvl="0">
      <w:lvlJc w:val="left"/>
      <w:lvlText w:val="%1."/>
      <w:numFmt w:val="decimal"/>
      <w:start w:val="1"/>
    </w:lvl>
  </w:abstractNum>
  <w:abstractNum w:abstractNumId="178">
    <w:nsid w:val="1C4A08E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79">
    <w:nsid w:val="1958BD17"/>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180">
    <w:nsid w:val="4E647FE4"/>
    <w:multiLevelType w:val="hybridMultilevel"/>
    <w:lvl w:ilvl="0">
      <w:lvlJc w:val="left"/>
      <w:lvlText w:val="%1."/>
      <w:numFmt w:val="decimal"/>
      <w:start w:val="3"/>
    </w:lvl>
  </w:abstractNum>
  <w:abstractNum w:abstractNumId="181">
    <w:nsid w:val="E0BB885"/>
    <w:multiLevelType w:val="hybridMultilevel"/>
    <w:lvl w:ilvl="0">
      <w:lvlJc w:val="left"/>
      <w:lvlText w:val="%1."/>
      <w:numFmt w:val="decimal"/>
      <w:start w:val="4"/>
    </w:lvl>
  </w:abstractNum>
  <w:abstractNum w:abstractNumId="182">
    <w:nsid w:val="565976F1"/>
    <w:multiLevelType w:val="hybridMultilevel"/>
    <w:lvl w:ilvl="0">
      <w:lvlJc w:val="left"/>
      <w:lvlText w:val="%1."/>
      <w:numFmt w:val="decimal"/>
      <w:start w:val="5"/>
    </w:lvl>
  </w:abstractNum>
  <w:abstractNum w:abstractNumId="183">
    <w:nsid w:val="64212B8C"/>
    <w:multiLevelType w:val="hybridMultilevel"/>
    <w:lvl w:ilvl="0">
      <w:lvlJc w:val="left"/>
      <w:lvlText w:val="%1."/>
      <w:numFmt w:val="decimal"/>
      <w:start w:val="6"/>
    </w:lvl>
  </w:abstractNum>
  <w:abstractNum w:abstractNumId="184">
    <w:nsid w:val="5C17530C"/>
    <w:multiLevelType w:val="hybridMultilevel"/>
    <w:lvl w:ilvl="0">
      <w:lvlJc w:val="left"/>
      <w:lvlText w:val="%1."/>
      <w:numFmt w:val="decimal"/>
      <w:start w:val="7"/>
    </w:lvl>
  </w:abstractNum>
  <w:abstractNum w:abstractNumId="185">
    <w:nsid w:val="19A52566"/>
    <w:multiLevelType w:val="hybridMultilevel"/>
    <w:lvl w:ilvl="0">
      <w:lvlJc w:val="left"/>
      <w:lvlText w:val="(%1)"/>
      <w:numFmt w:val="lowerRoman"/>
      <w:start w:val="1"/>
    </w:lvl>
  </w:abstractNum>
  <w:abstractNum w:abstractNumId="186">
    <w:nsid w:val="335A1DF1"/>
    <w:multiLevelType w:val="hybridMultilevel"/>
    <w:lvl w:ilvl="0">
      <w:lvlJc w:val="left"/>
      <w:lvlText w:val="(%1)"/>
      <w:numFmt w:val="lowerRoman"/>
      <w:start w:val="2"/>
    </w:lvl>
  </w:abstractNum>
  <w:abstractNum w:abstractNumId="187">
    <w:nsid w:val="28677B7C"/>
    <w:multiLevelType w:val="hybridMultilevel"/>
    <w:lvl w:ilvl="0">
      <w:lvlJc w:val="left"/>
      <w:lvlText w:val="%1."/>
      <w:numFmt w:val="decimal"/>
      <w:start w:val="8"/>
    </w:lvl>
  </w:abstractNum>
  <w:abstractNum w:abstractNumId="188">
    <w:nsid w:val="378D97C0"/>
    <w:multiLevelType w:val="hybridMultilevel"/>
    <w:lvl w:ilvl="0">
      <w:lvlJc w:val="left"/>
      <w:lvlText w:val="%1."/>
      <w:numFmt w:val="decimal"/>
      <w:start w:val="9"/>
    </w:lvl>
  </w:abstractNum>
  <w:abstractNum w:abstractNumId="189">
    <w:nsid w:val="1D91467C"/>
    <w:multiLevelType w:val="hybridMultilevel"/>
    <w:lvl w:ilvl="0">
      <w:lvlJc w:val="left"/>
      <w:lvlText w:val="(%1)"/>
      <w:numFmt w:val="lowerRoman"/>
      <w:start w:val="1"/>
    </w:lvl>
    <w:lvl w:ilvl="1">
      <w:lvlJc w:val="left"/>
      <w:lvlText w:val="(%2)"/>
      <w:numFmt w:val="lowerRoman"/>
      <w:start w:val="3"/>
    </w:lvl>
  </w:abstractNum>
  <w:abstractNum w:abstractNumId="190">
    <w:nsid w:val="316032BB"/>
    <w:multiLevelType w:val="hybridMultilevel"/>
    <w:lvl w:ilvl="0">
      <w:lvlJc w:val="left"/>
      <w:lvlText w:val="%1."/>
      <w:numFmt w:val="decimal"/>
      <w:start w:val="10"/>
    </w:lvl>
  </w:abstractNum>
  <w:abstractNum w:abstractNumId="191">
    <w:nsid w:val="44344C22"/>
    <w:multiLevelType w:val="hybridMultilevel"/>
    <w:lvl w:ilvl="0">
      <w:lvlJc w:val="left"/>
      <w:lvlText w:val="%1."/>
      <w:numFmt w:val="decimal"/>
      <w:start w:val="12"/>
    </w:lvl>
  </w:abstractNum>
  <w:abstractNum w:abstractNumId="192">
    <w:nsid w:val="13CDFCFC"/>
    <w:multiLevelType w:val="hybridMultilevel"/>
    <w:lvl w:ilvl="0">
      <w:lvlJc w:val="left"/>
      <w:lvlText w:val="%1."/>
      <w:numFmt w:val="decimal"/>
      <w:start w:val="13"/>
    </w:lvl>
  </w:abstractNum>
  <w:abstractNum w:abstractNumId="193">
    <w:nsid w:val="471745E4"/>
    <w:multiLevelType w:val="hybridMultilevel"/>
    <w:lvl w:ilvl="0">
      <w:lvlJc w:val="left"/>
      <w:lvlText w:val="%1."/>
      <w:numFmt w:val="decimal"/>
      <w:start w:val="14"/>
    </w:lvl>
  </w:abstractNum>
  <w:abstractNum w:abstractNumId="194">
    <w:nsid w:val="1DDBC66"/>
    <w:multiLevelType w:val="hybridMultilevel"/>
    <w:lvl w:ilvl="0">
      <w:lvlJc w:val="left"/>
      <w:lvlText w:val="%1."/>
      <w:numFmt w:val="decimal"/>
      <w:start w:val="15"/>
    </w:lvl>
  </w:abstractNum>
  <w:abstractNum w:abstractNumId="195">
    <w:nsid w:val="30AADFDA"/>
    <w:multiLevelType w:val="hybridMultilevel"/>
    <w:lvl w:ilvl="0">
      <w:lvlJc w:val="left"/>
      <w:lvlText w:val="%1."/>
      <w:numFmt w:val="decimal"/>
      <w:start w:val="16"/>
    </w:lvl>
  </w:abstractNum>
  <w:abstractNum w:abstractNumId="196">
    <w:nsid w:val="30EADA61"/>
    <w:multiLevelType w:val="hybridMultilevel"/>
    <w:lvl w:ilvl="0">
      <w:lvlJc w:val="left"/>
      <w:lvlText w:val="%1."/>
      <w:numFmt w:val="decimal"/>
      <w:start w:val="17"/>
    </w:lvl>
  </w:abstractNum>
  <w:abstractNum w:abstractNumId="197">
    <w:nsid w:val="27179C0B"/>
    <w:multiLevelType w:val="hybridMultilevel"/>
    <w:lvl w:ilvl="0">
      <w:lvlJc w:val="left"/>
      <w:lvlText w:val="%1."/>
      <w:numFmt w:val="decimal"/>
      <w:start w:val="18"/>
    </w:lvl>
  </w:abstractNum>
  <w:abstractNum w:abstractNumId="198">
    <w:nsid w:val="5E636063"/>
    <w:multiLevelType w:val="hybridMultilevel"/>
    <w:lvl w:ilvl="0">
      <w:lvlJc w:val="left"/>
      <w:lvlText w:val="%1."/>
      <w:numFmt w:val="decimal"/>
      <w:start w:val="1"/>
    </w:lvl>
  </w:abstractNum>
  <w:abstractNum w:abstractNumId="199">
    <w:nsid w:val="215641AF"/>
    <w:multiLevelType w:val="hybridMultilevel"/>
    <w:lvl w:ilvl="0">
      <w:lvlJc w:val="left"/>
      <w:lvlText w:val="%1."/>
      <w:numFmt w:val="decimal"/>
      <w:start w:val="2"/>
    </w:lvl>
  </w:abstractNum>
  <w:abstractNum w:abstractNumId="200">
    <w:nsid w:val="53280662"/>
    <w:multiLevelType w:val="hybridMultilevel"/>
    <w:lvl w:ilvl="0">
      <w:lvlJc w:val="left"/>
      <w:lvlText w:val="%1."/>
      <w:numFmt w:val="decimal"/>
      <w:start w:val="3"/>
    </w:lvl>
  </w:abstractNum>
  <w:abstractNum w:abstractNumId="201">
    <w:nsid w:val="46B24DBC"/>
    <w:multiLevelType w:val="hybridMultilevel"/>
    <w:lvl w:ilvl="0">
      <w:lvlJc w:val="left"/>
      <w:lvlText w:val="%1."/>
      <w:numFmt w:val="decimal"/>
      <w:start w:val="4"/>
    </w:lvl>
  </w:abstractNum>
  <w:abstractNum w:abstractNumId="202">
    <w:nsid w:val="75B52783"/>
    <w:multiLevelType w:val="hybridMultilevel"/>
    <w:lvl w:ilvl="0">
      <w:lvlJc w:val="left"/>
      <w:lvlText w:val="%1."/>
      <w:numFmt w:val="decimal"/>
      <w:start w:val="5"/>
    </w:lvl>
  </w:abstractNum>
  <w:abstractNum w:abstractNumId="203">
    <w:nsid w:val="57CE66B4"/>
    <w:multiLevelType w:val="hybridMultilevel"/>
    <w:lvl w:ilvl="0">
      <w:lvlJc w:val="left"/>
      <w:lvlText w:val="%1."/>
      <w:numFmt w:val="decimal"/>
      <w:start w:val="9"/>
    </w:lvl>
    <w:lvl w:ilvl="1">
      <w:lvlJc w:val="left"/>
      <w:lvlText w:val="(%2)"/>
      <w:numFmt w:val="lowerLetter"/>
      <w:start w:val="1"/>
    </w:lvl>
  </w:abstractNum>
  <w:abstractNum w:abstractNumId="204">
    <w:nsid w:val="67A70B69"/>
    <w:multiLevelType w:val="hybridMultilevel"/>
    <w:lvl w:ilvl="0">
      <w:lvlJc w:val="left"/>
      <w:lvlText w:val="%1."/>
      <w:numFmt w:val="decimal"/>
      <w:start w:val="1"/>
    </w:lvl>
  </w:abstractNum>
  <w:abstractNum w:abstractNumId="205">
    <w:nsid w:val="5953172F"/>
    <w:multiLevelType w:val="hybridMultilevel"/>
    <w:lvl w:ilvl="0">
      <w:lvlJc w:val="left"/>
      <w:lvlText w:val="%1."/>
      <w:numFmt w:val="decimal"/>
      <w:start w:val="1"/>
    </w:lvl>
  </w:abstractNum>
  <w:abstractNum w:abstractNumId="206">
    <w:nsid w:val="27EDFE3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07">
    <w:nsid w:val="52AC7DFF"/>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08">
    <w:nsid w:val="C4C3AF"/>
    <w:multiLevelType w:val="hybridMultilevel"/>
    <w:lvl w:ilvl="0">
      <w:lvlJc w:val="left"/>
      <w:lvlText w:val="(%1)"/>
      <w:numFmt w:val="lowerRoman"/>
      <w:start w:val="2"/>
    </w:lvl>
  </w:abstractNum>
  <w:abstractNum w:abstractNumId="209">
    <w:nsid w:val="44380727"/>
    <w:multiLevelType w:val="hybridMultilevel"/>
    <w:lvl w:ilvl="0">
      <w:lvlJc w:val="left"/>
      <w:lvlText w:val="%1."/>
      <w:numFmt w:val="decimal"/>
      <w:start w:val="3"/>
    </w:lvl>
  </w:abstractNum>
  <w:abstractNum w:abstractNumId="210">
    <w:nsid w:val="6C053B16"/>
    <w:multiLevelType w:val="hybridMultilevel"/>
    <w:lvl w:ilvl="0">
      <w:lvlJc w:val="left"/>
      <w:lvlText w:val="%1."/>
      <w:numFmt w:val="decimal"/>
      <w:start w:val="4"/>
    </w:lvl>
  </w:abstractNum>
  <w:abstractNum w:abstractNumId="211">
    <w:nsid w:val="4F294393"/>
    <w:multiLevelType w:val="hybridMultilevel"/>
    <w:lvl w:ilvl="0">
      <w:lvlJc w:val="left"/>
      <w:lvlText w:val="%1."/>
      <w:numFmt w:val="decimal"/>
      <w:start w:val="5"/>
    </w:lvl>
  </w:abstractNum>
  <w:abstractNum w:abstractNumId="212">
    <w:nsid w:val="5243BFAC"/>
    <w:multiLevelType w:val="hybridMultilevel"/>
    <w:lvl w:ilvl="0">
      <w:lvlJc w:val="left"/>
      <w:lvlText w:val="%1."/>
      <w:numFmt w:val="decimal"/>
      <w:start w:val="6"/>
    </w:lvl>
  </w:abstractNum>
  <w:abstractNum w:abstractNumId="213">
    <w:nsid w:val="425EB207"/>
    <w:multiLevelType w:val="hybridMultilevel"/>
    <w:lvl w:ilvl="0">
      <w:lvlJc w:val="left"/>
      <w:lvlText w:val="%1."/>
      <w:numFmt w:val="decimal"/>
      <w:start w:val="7"/>
    </w:lvl>
  </w:abstractNum>
  <w:abstractNum w:abstractNumId="214">
    <w:nsid w:val="334A6F1F"/>
    <w:multiLevelType w:val="hybridMultilevel"/>
    <w:lvl w:ilvl="0">
      <w:lvlJc w:val="left"/>
      <w:lvlText w:val="(%1)"/>
      <w:numFmt w:val="lowerRoman"/>
      <w:start w:val="1"/>
    </w:lvl>
  </w:abstractNum>
  <w:abstractNum w:abstractNumId="215">
    <w:nsid w:val="2E5B12B8"/>
    <w:multiLevelType w:val="hybridMultilevel"/>
    <w:lvl w:ilvl="0">
      <w:lvlJc w:val="left"/>
      <w:lvlText w:val="%1."/>
      <w:numFmt w:val="decimal"/>
      <w:start w:val="8"/>
    </w:lvl>
  </w:abstractNum>
  <w:abstractNum w:abstractNumId="216">
    <w:nsid w:val="5C03D76D"/>
    <w:multiLevelType w:val="hybridMultilevel"/>
    <w:lvl w:ilvl="0">
      <w:lvlJc w:val="left"/>
      <w:lvlText w:val="%1."/>
      <w:numFmt w:val="decimal"/>
      <w:start w:val="9"/>
    </w:lvl>
  </w:abstractNum>
  <w:abstractNum w:abstractNumId="217">
    <w:nsid w:val="66A48D11"/>
    <w:multiLevelType w:val="hybridMultilevel"/>
    <w:lvl w:ilvl="0">
      <w:lvlJc w:val="left"/>
      <w:lvlText w:val="(%1)"/>
      <w:numFmt w:val="lowerRoman"/>
      <w:start w:val="1"/>
    </w:lvl>
  </w:abstractNum>
  <w:abstractNum w:abstractNumId="218">
    <w:nsid w:val="56C28E34"/>
    <w:multiLevelType w:val="hybridMultilevel"/>
    <w:lvl w:ilvl="0">
      <w:lvlJc w:val="left"/>
      <w:lvlText w:val="%1."/>
      <w:numFmt w:val="decimal"/>
      <w:start w:val="10"/>
    </w:lvl>
  </w:abstractNum>
  <w:abstractNum w:abstractNumId="219">
    <w:nsid w:val="13916F2D"/>
    <w:multiLevelType w:val="hybridMultilevel"/>
    <w:lvl w:ilvl="0">
      <w:lvlJc w:val="left"/>
      <w:lvlText w:val="%1."/>
      <w:numFmt w:val="decimal"/>
      <w:start w:val="12"/>
    </w:lvl>
  </w:abstractNum>
  <w:abstractNum w:abstractNumId="220">
    <w:nsid w:val="435D38D"/>
    <w:multiLevelType w:val="hybridMultilevel"/>
    <w:lvl w:ilvl="0">
      <w:lvlJc w:val="left"/>
      <w:lvlText w:val="%1."/>
      <w:numFmt w:val="decimal"/>
      <w:start w:val="13"/>
    </w:lvl>
  </w:abstractNum>
  <w:abstractNum w:abstractNumId="221">
    <w:nsid w:val="822C0EF"/>
    <w:multiLevelType w:val="hybridMultilevel"/>
    <w:lvl w:ilvl="0">
      <w:lvlJc w:val="left"/>
      <w:lvlText w:val="%1."/>
      <w:numFmt w:val="decimal"/>
      <w:start w:val="14"/>
    </w:lvl>
  </w:abstractNum>
  <w:abstractNum w:abstractNumId="222">
    <w:nsid w:val="57C5BB4F"/>
    <w:multiLevelType w:val="hybridMultilevel"/>
    <w:lvl w:ilvl="0">
      <w:lvlJc w:val="left"/>
      <w:lvlText w:val="%1."/>
      <w:numFmt w:val="decimal"/>
      <w:start w:val="15"/>
    </w:lvl>
  </w:abstractNum>
  <w:abstractNum w:abstractNumId="223">
    <w:nsid w:val="1803D089"/>
    <w:multiLevelType w:val="hybridMultilevel"/>
    <w:lvl w:ilvl="0">
      <w:lvlJc w:val="left"/>
      <w:lvlText w:val="%1."/>
      <w:numFmt w:val="decimal"/>
      <w:start w:val="16"/>
    </w:lvl>
  </w:abstractNum>
  <w:abstractNum w:abstractNumId="224">
    <w:nsid w:val="4F3A06D4"/>
    <w:multiLevelType w:val="hybridMultilevel"/>
    <w:lvl w:ilvl="0">
      <w:lvlJc w:val="left"/>
      <w:lvlText w:val="%1."/>
      <w:numFmt w:val="decimal"/>
      <w:start w:val="17"/>
    </w:lvl>
  </w:abstractNum>
  <w:abstractNum w:abstractNumId="225">
    <w:nsid w:val="59A377B6"/>
    <w:multiLevelType w:val="hybridMultilevel"/>
    <w:lvl w:ilvl="0">
      <w:lvlJc w:val="left"/>
      <w:lvlText w:val="%1."/>
      <w:numFmt w:val="decimal"/>
      <w:start w:val="18"/>
    </w:lvl>
  </w:abstractNum>
  <w:abstractNum w:abstractNumId="226">
    <w:nsid w:val="48AEB063"/>
    <w:multiLevelType w:val="hybridMultilevel"/>
    <w:lvl w:ilvl="0">
      <w:lvlJc w:val="left"/>
      <w:lvlText w:val="%1."/>
      <w:numFmt w:val="decimal"/>
      <w:start w:val="1"/>
    </w:lvl>
  </w:abstractNum>
  <w:abstractNum w:abstractNumId="227">
    <w:nsid w:val="24E135"/>
    <w:multiLevelType w:val="hybridMultilevel"/>
    <w:lvl w:ilvl="0">
      <w:lvlJc w:val="left"/>
      <w:lvlText w:val="%1."/>
      <w:numFmt w:val="decimal"/>
      <w:start w:val="2"/>
    </w:lvl>
  </w:abstractNum>
  <w:abstractNum w:abstractNumId="228">
    <w:nsid w:val="BB13C1"/>
    <w:multiLevelType w:val="hybridMultilevel"/>
    <w:lvl w:ilvl="0">
      <w:lvlJc w:val="left"/>
      <w:lvlText w:val="%1."/>
      <w:numFmt w:val="decimal"/>
      <w:start w:val="3"/>
    </w:lvl>
  </w:abstractNum>
  <w:abstractNum w:abstractNumId="229">
    <w:nsid w:val="271210C7"/>
    <w:multiLevelType w:val="hybridMultilevel"/>
    <w:lvl w:ilvl="0">
      <w:lvlJc w:val="left"/>
      <w:lvlText w:val="%1."/>
      <w:numFmt w:val="decimal"/>
      <w:start w:val="4"/>
    </w:lvl>
  </w:abstractNum>
  <w:abstractNum w:abstractNumId="230">
    <w:nsid w:val="217B22E4"/>
    <w:multiLevelType w:val="hybridMultilevel"/>
    <w:lvl w:ilvl="0">
      <w:lvlJc w:val="left"/>
      <w:lvlText w:val="%1."/>
      <w:numFmt w:val="decimal"/>
      <w:start w:val="5"/>
    </w:lvl>
  </w:abstractNum>
  <w:abstractNum w:abstractNumId="231">
    <w:nsid w:val="53E31A24"/>
    <w:multiLevelType w:val="hybridMultilevel"/>
    <w:lvl w:ilvl="0">
      <w:lvlJc w:val="left"/>
      <w:lvlText w:val="%1."/>
      <w:numFmt w:val="decimal"/>
      <w:start w:val="8"/>
    </w:lvl>
    <w:lvl w:ilvl="1">
      <w:lvlJc w:val="left"/>
      <w:lvlText w:val="(%2)"/>
      <w:numFmt w:val="lowerLetter"/>
      <w:start w:val="1"/>
    </w:lvl>
  </w:abstractNum>
  <w:abstractNum w:abstractNumId="232">
    <w:nsid w:val="6DC45E83"/>
    <w:multiLevelType w:val="hybridMultilevel"/>
    <w:lvl w:ilvl="0">
      <w:lvlJc w:val="left"/>
      <w:lvlText w:val="%1."/>
      <w:numFmt w:val="decimal"/>
      <w:start w:val="13"/>
    </w:lvl>
  </w:abstractNum>
  <w:abstractNum w:abstractNumId="233">
    <w:nsid w:val="17304A67"/>
    <w:multiLevelType w:val="hybridMultilevel"/>
    <w:lvl w:ilvl="0">
      <w:lvlJc w:val="left"/>
      <w:lvlText w:val="%1."/>
      <w:numFmt w:val="decimal"/>
      <w:start w:val="1"/>
    </w:lvl>
  </w:abstractNum>
  <w:abstractNum w:abstractNumId="234">
    <w:nsid w:val="2BB180D8"/>
    <w:multiLevelType w:val="hybridMultilevel"/>
    <w:lvl w:ilvl="0">
      <w:lvlJc w:val="left"/>
      <w:lvlText w:val="%1."/>
      <w:numFmt w:val="decimal"/>
      <w:start w:val="1"/>
    </w:lvl>
  </w:abstractNum>
  <w:abstractNum w:abstractNumId="235">
    <w:nsid w:val="556B69ED"/>
    <w:multiLevelType w:val="hybridMultilevel"/>
    <w:lvl w:ilvl="0">
      <w:lvlJc w:val="left"/>
      <w:lvlText w:val="%1."/>
      <w:numFmt w:val="decimal"/>
      <w:start w:val="1"/>
    </w:lvl>
  </w:abstractNum>
  <w:abstractNum w:abstractNumId="236">
    <w:nsid w:val="70836196"/>
    <w:multiLevelType w:val="hybridMultilevel"/>
    <w:lvl w:ilvl="0">
      <w:lvlJc w:val="left"/>
      <w:lvlText w:val="(%1)"/>
      <w:numFmt w:val="lowerRoman"/>
      <w:start w:val="1"/>
    </w:lvl>
  </w:abstractNum>
  <w:abstractNum w:abstractNumId="237">
    <w:nsid w:val="539F7F12"/>
    <w:multiLevelType w:val="hybridMultilevel"/>
    <w:lvl w:ilvl="0">
      <w:lvlJc w:val="left"/>
      <w:lvlText w:val="(%1)"/>
      <w:numFmt w:val="lowerRoman"/>
      <w:start w:val="1"/>
    </w:lvl>
  </w:abstractNum>
  <w:abstractNum w:abstractNumId="238">
    <w:nsid w:val="2817E7EC"/>
    <w:multiLevelType w:val="hybridMultilevel"/>
    <w:lvl w:ilvl="0">
      <w:lvlJc w:val="left"/>
      <w:lvlText w:val="(%1)"/>
      <w:numFmt w:val="lowerRoman"/>
      <w:start w:val="1"/>
    </w:lvl>
  </w:abstractNum>
  <w:abstractNum w:abstractNumId="239">
    <w:nsid w:val="71482545"/>
    <w:multiLevelType w:val="hybridMultilevel"/>
    <w:lvl w:ilvl="0">
      <w:lvlJc w:val="left"/>
      <w:lvlText w:val="(%1)"/>
      <w:numFmt w:val="lowerRoman"/>
      <w:start w:val="3"/>
    </w:lvl>
  </w:abstractNum>
  <w:abstractNum w:abstractNumId="240">
    <w:nsid w:val="17D78639"/>
    <w:multiLevelType w:val="hybridMultilevel"/>
    <w:lvl w:ilvl="0">
      <w:lvlJc w:val="left"/>
      <w:lvlText w:val="(%1)"/>
      <w:numFmt w:val="lowerRoman"/>
      <w:start w:val="1"/>
    </w:lvl>
  </w:abstractNum>
  <w:abstractNum w:abstractNumId="241">
    <w:nsid w:val="141D2302"/>
    <w:multiLevelType w:val="hybridMultilevel"/>
    <w:lvl w:ilvl="0">
      <w:lvlJc w:val="left"/>
      <w:lvlText w:val="%1."/>
      <w:numFmt w:val="decimal"/>
      <w:start w:val="1"/>
    </w:lvl>
  </w:abstractNum>
  <w:abstractNum w:abstractNumId="242">
    <w:nsid w:val="407168D8"/>
    <w:multiLevelType w:val="hybridMultilevel"/>
    <w:lvl w:ilvl="0">
      <w:lvlJc w:val="left"/>
      <w:lvlText w:val="(%1)"/>
      <w:numFmt w:val="lowerRoman"/>
      <w:start w:val="1"/>
    </w:lvl>
  </w:abstractNum>
  <w:abstractNum w:abstractNumId="243">
    <w:nsid w:val="6A1B45E5"/>
    <w:multiLevelType w:val="hybridMultilevel"/>
    <w:lvl w:ilvl="0">
      <w:lvlJc w:val="left"/>
      <w:lvlText w:val="(%1)"/>
      <w:numFmt w:val="lowerRoman"/>
      <w:start w:val="3"/>
    </w:lvl>
  </w:abstractNum>
  <w:abstractNum w:abstractNumId="244">
    <w:nsid w:val="567BD50A"/>
    <w:multiLevelType w:val="hybridMultilevel"/>
    <w:lvl w:ilvl="0">
      <w:lvlJc w:val="left"/>
      <w:lvlText w:val="%1."/>
      <w:numFmt w:val="decimal"/>
      <w:start w:val="2"/>
    </w:lvl>
  </w:abstractNum>
  <w:abstractNum w:abstractNumId="245">
    <w:nsid w:val="73BBD7F8"/>
    <w:multiLevelType w:val="hybridMultilevel"/>
    <w:lvl w:ilvl="0">
      <w:lvlJc w:val="left"/>
      <w:lvlText w:val="%1."/>
      <w:numFmt w:val="decimal"/>
      <w:start w:val="3"/>
    </w:lvl>
  </w:abstractNum>
  <w:abstractNum w:abstractNumId="246">
    <w:nsid w:val="1876589D"/>
    <w:multiLevelType w:val="hybridMultilevel"/>
    <w:lvl w:ilvl="0">
      <w:lvlJc w:val="left"/>
      <w:lvlText w:val="(%1)"/>
      <w:numFmt w:val="lowerRoman"/>
      <w:start w:val="1"/>
    </w:lvl>
  </w:abstractNum>
  <w:abstractNum w:abstractNumId="247">
    <w:nsid w:val="327FAC77"/>
    <w:multiLevelType w:val="hybridMultilevel"/>
    <w:lvl w:ilvl="0">
      <w:lvlJc w:val="left"/>
      <w:lvlText w:val="(%1)"/>
      <w:numFmt w:val="upperLetter"/>
      <w:start w:val="9"/>
    </w:lvl>
    <w:lvl w:ilvl="1">
      <w:lvlJc w:val="left"/>
      <w:lvlText w:val="(%2)"/>
      <w:numFmt w:val="lowerLetter"/>
      <w:start w:val="1"/>
    </w:lvl>
  </w:abstractNum>
  <w:abstractNum w:abstractNumId="248">
    <w:nsid w:val="5A606509"/>
    <w:multiLevelType w:val="hybridMultilevel"/>
    <w:lvl w:ilvl="0">
      <w:lvlJc w:val="left"/>
      <w:lvlText w:val="%1"/>
      <w:numFmt w:val="lowerRoman"/>
      <w:start w:val="1"/>
    </w:lvl>
    <w:lvl w:ilvl="1">
      <w:lvlJc w:val="left"/>
      <w:lvlText w:val="(%2)"/>
      <w:numFmt w:val="upperLetter"/>
      <w:start w:val="35"/>
    </w:lvl>
    <w:lvl w:ilvl="2">
      <w:lvlJc w:val="left"/>
      <w:lvlText w:val="(%3)"/>
      <w:numFmt w:val="lowerLetter"/>
      <w:start w:val="1"/>
    </w:lvl>
  </w:abstractNum>
  <w:abstractNum w:abstractNumId="249">
    <w:nsid w:val="6F38E6D1"/>
    <w:multiLevelType w:val="hybridMultilevel"/>
    <w:lvl w:ilvl="0">
      <w:lvlJc w:val="left"/>
      <w:lvlText w:val="(%1)"/>
      <w:numFmt w:val="lowerRoman"/>
      <w:start w:val="3"/>
    </w:lvl>
    <w:lvl w:ilvl="1">
      <w:lvlJc w:val="left"/>
      <w:lvlText w:val="%2"/>
      <w:numFmt w:val="upperLetter"/>
      <w:start w:val="1"/>
    </w:lvl>
    <w:lvl w:ilvl="2">
      <w:lvlJc w:val="left"/>
      <w:lvlText w:val="%3"/>
      <w:numFmt w:val="lowerLetter"/>
      <w:start w:val="1"/>
    </w:lvl>
  </w:abstractNum>
  <w:abstractNum w:abstractNumId="250">
    <w:nsid w:val="46111BA5"/>
    <w:multiLevelType w:val="hybridMultilevel"/>
    <w:lvl w:ilvl="0">
      <w:lvlJc w:val="left"/>
      <w:lvlText w:val="%1."/>
      <w:numFmt w:val="decimal"/>
      <w:start w:val="4"/>
    </w:lvl>
  </w:abstractNum>
  <w:abstractNum w:abstractNumId="251">
    <w:nsid w:val="5E963896"/>
    <w:multiLevelType w:val="hybridMultilevel"/>
    <w:lvl w:ilvl="0">
      <w:lvlJc w:val="left"/>
      <w:lvlText w:val="%1."/>
      <w:numFmt w:val="decimal"/>
      <w:start w:val="1"/>
    </w:lvl>
    <w:lvl w:ilvl="1">
      <w:lvlJc w:val="left"/>
      <w:lvlText w:val="(%2)"/>
      <w:numFmt w:val="lowerLetter"/>
      <w:start w:val="1"/>
    </w:lvl>
  </w:abstractNum>
  <w:abstractNum w:abstractNumId="252">
    <w:nsid w:val="775BA7C1"/>
    <w:multiLevelType w:val="hybridMultilevel"/>
    <w:lvl w:ilvl="0">
      <w:lvlJc w:val="left"/>
      <w:lvlText w:val="%1."/>
      <w:numFmt w:val="decimal"/>
      <w:start w:val="11"/>
    </w:lvl>
  </w:abstractNum>
  <w:abstractNum w:abstractNumId="253">
    <w:nsid w:val="1DD6D6F4"/>
    <w:multiLevelType w:val="hybridMultilevel"/>
    <w:lvl w:ilvl="0">
      <w:lvlJc w:val="left"/>
      <w:lvlText w:val="-"/>
      <w:numFmt w:val="bullet"/>
      <w:start w:val="1"/>
    </w:lvl>
  </w:abstractNum>
  <w:abstractNum w:abstractNumId="254">
    <w:nsid w:val="769A091F"/>
    <w:multiLevelType w:val="hybridMultilevel"/>
    <w:lvl w:ilvl="0">
      <w:lvlJc w:val="left"/>
      <w:lvlText w:val="-"/>
      <w:numFmt w:val="bullet"/>
      <w:start w:val="1"/>
    </w:lvl>
  </w:abstractNum>
  <w:abstractNum w:abstractNumId="255">
    <w:nsid w:val="4695AE95"/>
    <w:multiLevelType w:val="hybridMultilevel"/>
    <w:lvl w:ilvl="0">
      <w:lvlJc w:val="left"/>
      <w:lvlText w:val="(%1)"/>
      <w:numFmt w:val="decimal"/>
      <w:start w:val="1"/>
    </w:lvl>
  </w:abstractNum>
  <w:abstractNum w:abstractNumId="256">
    <w:nsid w:val="777A4E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2019-12-15T02:32:48Z</dcterms:created>
  <dcterms:modified xsi:type="dcterms:W3CDTF">2019-12-15T02:32:48Z</dcterms:modified>
</cp:coreProperties>
</file>