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25,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William Lei 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NetEase,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NetEase Building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 599 Wangshang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64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Binjiang</w:t>
            </w:r>
          </w:p>
        </w:tc>
        <w:tc>
          <w:tcPr>
            <w:tcW w:w="6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District, Hangzhou, 310052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6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People</w:t>
            </w:r>
          </w:p>
        </w:tc>
        <w:tc>
          <w:tcPr>
            <w:tcW w:w="6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Republic of China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Re: NetEase,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20-F 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Fiscal Year Ended December 31,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6580" w:type="dxa"/>
            <w:vAlign w:val="bottom"/>
          </w:tcPr>
          <w:p>
            <w:pPr>
              <w:ind w:left="4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April 27,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vMerge w:val="restart"/>
          </w:tcPr>
          <w:p>
            <w:pPr>
              <w:ind w:left="4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File No. 000-30666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Dear William Lei Ding: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August 4, 2023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comments. Unless we note otherwise, our references to prior comments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comments in our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4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21, 2023 letter.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69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20-F for the Fiscal Year Ended December 31, 2022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4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3 regarding the proposed treatment of certain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original maturities of twelve months or fewer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83"/>
              </w:rPr>
              <w:t>as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deposit arrangements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4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cash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purposes of Rule 3a-1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Investment Company Act of 1940. Based on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you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to date, we are unable to concur with your position that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arrangements can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treated as cash items for purposes of Rule 3a-1. In this regard,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</w:t>
      </w:r>
    </w:p>
    <w:p>
      <w:pPr>
        <w:jc w:val="right"/>
        <w:ind w:right="27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provided a sufficiently detailed description of the material terms of the deposit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arrangements, together with an analysis regarding why, specifically, such terms establish that</w:t>
      </w:r>
    </w:p>
    <w:p>
      <w:pPr>
        <w:ind w:left="120" w:right="34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deposit arrangements may be treated as cash consistent with William Lei 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NetEase,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25,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Commission or staff guidance. Please provide such description and analysis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that you believe that it would establish that these deposit arrangements are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eligible to be treated as cash items under the rule. Please also clarify whether you still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the company is eligible to rely on Rule 3a-1 without treating the relevant deposit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as cash items.</w:t>
      </w:r>
    </w:p>
    <w:p>
      <w:pPr>
        <w:ind w:right="19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Megan Akst, Senior Staff Accountant, at (202) 551-3407 or Christine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Dietz, Senior Staff Accountant, at (202) 551-3408 if you have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LastNameWilliam Lei Ding</w:t>
            </w:r>
          </w:p>
        </w:tc>
        <w:tc>
          <w:tcPr>
            <w:tcW w:w="264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NameNetEase, Inc.</w:t>
            </w:r>
          </w:p>
        </w:tc>
        <w:tc>
          <w:tcPr>
            <w:tcW w:w="264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25, 2023 Page 2</w:t>
            </w: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Technology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51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2024-05-03T23:10:49Z</dcterms:created>
  <dcterms:modified xsi:type="dcterms:W3CDTF">2024-05-03T23:10:49Z</dcterms:modified>
</cp:coreProperties>
</file>