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200025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600" w:right="60" w:hanging="356"/>
        <w:spacing w:after="0" w:line="256" w:lineRule="auto"/>
        <w:tabs>
          <w:tab w:leader="none" w:pos="6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120" w:hanging="356"/>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2017</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160" w:hanging="356"/>
        <w:spacing w:after="0" w:line="256" w:lineRule="auto"/>
        <w:tabs>
          <w:tab w:leader="none" w:pos="6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0" w:lineRule="exact"/>
        <w:rPr>
          <w:sz w:val="24"/>
          <w:szCs w:val="24"/>
          <w:color w:val="auto"/>
        </w:rPr>
      </w:pPr>
    </w:p>
    <w:p>
      <w:pPr>
        <w:spacing w:after="0" w:line="23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hanging="356"/>
        <w:spacing w:after="0" w:line="256" w:lineRule="auto"/>
        <w:tabs>
          <w:tab w:leader="none" w:pos="6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Date of event requiring this shell company report . . . . . . . . . . . . . . . . . . .</w:t>
      </w:r>
    </w:p>
    <w:p>
      <w:pPr>
        <w:spacing w:after="0" w:line="212" w:lineRule="exact"/>
        <w:rPr>
          <w:sz w:val="24"/>
          <w:szCs w:val="24"/>
          <w:color w:val="auto"/>
        </w:rPr>
      </w:pPr>
    </w:p>
    <w:p>
      <w:pPr>
        <w:ind w:left="3640"/>
        <w:spacing w:after="0"/>
        <w:tabs>
          <w:tab w:leader="none" w:pos="7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000-30666</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Building No. 7, West Zone,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Zhongguancun Software Park (Phase II),</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 10 Xibeiwang East Road, Haidian District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Beijing 100193, 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Charles Zhaoxuan Yang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Phone (86 571) 8985-2070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Facsimile (86 571) 8738-1002</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American Depositary Shares, each representing 25 ordinary shares, par value US$0.0001 per share,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NASDAQ Global Select Market</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(Title of Each Class and 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7169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0" w:gutter="0" w:footer="0" w:header="0"/>
        </w:sectPr>
      </w:pPr>
    </w:p>
    <w:bookmarkStart w:id="1" w:name="page2"/>
    <w:bookmarkEnd w:id="1"/>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3,283,217,456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3936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12"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 (d) of the Securities Exchange Act of 1934.</w:t>
      </w:r>
    </w:p>
    <w:p>
      <w:pPr>
        <w:spacing w:after="0" w:line="157"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8"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68"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47" w:lineRule="exact"/>
        <w:rPr>
          <w:sz w:val="20"/>
          <w:szCs w:val="20"/>
          <w:color w:val="auto"/>
        </w:rPr>
      </w:pPr>
    </w:p>
    <w:p>
      <w:pPr>
        <w:ind w:left="540"/>
        <w:spacing w:after="0"/>
        <w:tabs>
          <w:tab w:leader="none" w:pos="3560" w:val="left"/>
          <w:tab w:leader="none" w:pos="6140" w:val="left"/>
          <w:tab w:leader="none" w:pos="8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Emerging growth company o</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181" w:lineRule="exact"/>
        <w:rPr>
          <w:sz w:val="20"/>
          <w:szCs w:val="20"/>
          <w:color w:val="auto"/>
        </w:rPr>
      </w:pPr>
    </w:p>
    <w:p>
      <w:pPr>
        <w:ind w:right="66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70" w:orient="portrait"/>
          <w:cols w:equalWidth="0" w:num="1">
            <w:col w:w="11460"/>
          </w:cols>
          <w:pgMar w:left="240" w:top="368" w:right="199" w:bottom="0" w:gutter="0" w:footer="0" w:header="0"/>
        </w:sectPr>
      </w:pP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Other o</w:t>
      </w:r>
    </w:p>
    <w:p>
      <w:pPr>
        <w:spacing w:after="0" w:line="441" w:lineRule="exact"/>
        <w:rPr>
          <w:sz w:val="20"/>
          <w:szCs w:val="20"/>
          <w:color w:val="auto"/>
        </w:rPr>
      </w:pPr>
    </w:p>
    <w:p>
      <w:pPr>
        <w:sectPr>
          <w:pgSz w:w="11900" w:h="16870" w:orient="portrait"/>
          <w:cols w:equalWidth="0" w:num="3">
            <w:col w:w="3080" w:space="720"/>
            <w:col w:w="5080" w:space="720"/>
            <w:col w:w="1860"/>
          </w:cols>
          <w:pgMar w:left="240" w:top="368" w:right="19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35"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o Item 17  o Item 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1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oYes  x No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rPr>
              <w:t>o Yes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o No</w:t>
            </w:r>
          </w:p>
        </w:tc>
      </w:tr>
      <w:tr>
        <w:trPr>
          <w:trHeight w:val="334"/>
        </w:trPr>
        <w:tc>
          <w:tcPr>
            <w:tcW w:w="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184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0" w:type="dxa"/>
            <w:vAlign w:val="bottom"/>
            <w:gridSpan w:val="3"/>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5"/>
              </w:rPr>
              <w:t>Page</w:t>
            </w: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84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INTRODUCTION</w:t>
              </w:r>
            </w:hyperlink>
          </w:p>
        </w:tc>
        <w:tc>
          <w:tcPr>
            <w:tcW w:w="4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412"/>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40" w:type="dxa"/>
            <w:vAlign w:val="bottom"/>
            <w:tcBorders>
              <w:top w:val="single" w:sz="8" w:color="0000EE"/>
            </w:tcBorders>
            <w:gridSpan w:val="3"/>
          </w:tcPr>
          <w:p>
            <w:pPr>
              <w:spacing w:after="0"/>
              <w:rPr>
                <w:sz w:val="24"/>
                <w:szCs w:val="24"/>
                <w:color w:val="auto"/>
              </w:rPr>
            </w:pPr>
          </w:p>
        </w:tc>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w:t>
            </w:r>
          </w:p>
        </w:tc>
      </w:tr>
      <w:tr>
        <w:trPr>
          <w:trHeight w:val="412"/>
        </w:trPr>
        <w:tc>
          <w:tcPr>
            <w:tcW w:w="2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4"/>
                <w:szCs w:val="24"/>
                <w:color w:val="auto"/>
              </w:rPr>
            </w:pPr>
          </w:p>
        </w:tc>
        <w:tc>
          <w:tcPr>
            <w:tcW w:w="4020" w:type="dxa"/>
            <w:vAlign w:val="bottom"/>
            <w:tcBorders>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Identity of Directors, Senior Management and Advisors</w:t>
              </w:r>
            </w:hyperlink>
          </w:p>
        </w:tc>
        <w:tc>
          <w:tcPr>
            <w:tcW w:w="5180" w:type="dxa"/>
            <w:vAlign w:val="bottom"/>
            <w:gridSpan w:val="2"/>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-1708150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368" w:right="1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2.</w:t>
              </w:r>
            </w:hyperlink>
          </w:p>
        </w:tc>
        <w:tc>
          <w:tcPr>
            <w:tcW w:w="980" w:type="dxa"/>
            <w:vAlign w:val="bottom"/>
            <w:gridSpan w:val="4"/>
          </w:tcPr>
          <w:p>
            <w:pPr>
              <w:spacing w:after="0"/>
              <w:rPr>
                <w:sz w:val="17"/>
                <w:szCs w:val="17"/>
                <w:color w:val="auto"/>
              </w:rPr>
            </w:pPr>
          </w:p>
        </w:tc>
        <w:tc>
          <w:tcPr>
            <w:tcW w:w="28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4580" w:type="dxa"/>
            <w:vAlign w:val="bottom"/>
            <w:gridSpan w:val="11"/>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6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3.</w:t>
              </w:r>
            </w:hyperlink>
          </w:p>
        </w:tc>
        <w:tc>
          <w:tcPr>
            <w:tcW w:w="1060" w:type="dxa"/>
            <w:vAlign w:val="bottom"/>
            <w:gridSpan w:val="5"/>
          </w:tcPr>
          <w:p>
            <w:pPr>
              <w:spacing w:after="0"/>
              <w:rPr>
                <w:sz w:val="17"/>
                <w:szCs w:val="17"/>
                <w:color w:val="auto"/>
              </w:rPr>
            </w:pPr>
          </w:p>
        </w:tc>
        <w:tc>
          <w:tcPr>
            <w:tcW w:w="746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1060" w:type="dxa"/>
            <w:vAlign w:val="bottom"/>
            <w:gridSpan w:val="5"/>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Information on the Company</w:t>
              </w:r>
            </w:hyperlink>
          </w:p>
        </w:tc>
        <w:tc>
          <w:tcPr>
            <w:tcW w:w="5360" w:type="dxa"/>
            <w:vAlign w:val="bottom"/>
            <w:gridSpan w:val="1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4A.</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5.</w:t>
              </w:r>
            </w:hyperlink>
          </w:p>
        </w:tc>
        <w:tc>
          <w:tcPr>
            <w:tcW w:w="80" w:type="dxa"/>
            <w:vAlign w:val="bottom"/>
          </w:tcPr>
          <w:p>
            <w:pPr>
              <w:spacing w:after="0"/>
              <w:rPr>
                <w:sz w:val="17"/>
                <w:szCs w:val="17"/>
                <w:color w:val="auto"/>
              </w:rPr>
            </w:pPr>
          </w:p>
        </w:tc>
        <w:tc>
          <w:tcPr>
            <w:tcW w:w="980" w:type="dxa"/>
            <w:vAlign w:val="bottom"/>
            <w:gridSpan w:val="4"/>
          </w:tcPr>
          <w:p>
            <w:pPr>
              <w:spacing w:after="0"/>
              <w:rPr>
                <w:sz w:val="17"/>
                <w:szCs w:val="17"/>
                <w:color w:val="auto"/>
              </w:rPr>
            </w:pPr>
          </w:p>
        </w:tc>
        <w:tc>
          <w:tcPr>
            <w:tcW w:w="3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Operating and Financial Review and Prospects</w:t>
              </w:r>
            </w:hyperlink>
          </w:p>
        </w:tc>
        <w:tc>
          <w:tcPr>
            <w:tcW w:w="4060" w:type="dxa"/>
            <w:vAlign w:val="bottom"/>
            <w:gridSpan w:val="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6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6.</w:t>
              </w:r>
            </w:hyperlink>
          </w:p>
        </w:tc>
        <w:tc>
          <w:tcPr>
            <w:tcW w:w="1060" w:type="dxa"/>
            <w:vAlign w:val="bottom"/>
            <w:gridSpan w:val="5"/>
          </w:tcPr>
          <w:p>
            <w:pPr>
              <w:spacing w:after="0"/>
              <w:rPr>
                <w:sz w:val="17"/>
                <w:szCs w:val="17"/>
                <w:color w:val="auto"/>
              </w:rPr>
            </w:pPr>
          </w:p>
        </w:tc>
        <w:tc>
          <w:tcPr>
            <w:tcW w:w="7460" w:type="dxa"/>
            <w:vAlign w:val="bottom"/>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Directors, Senior Management and Employees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Item 7.</w:t>
              </w:r>
            </w:hyperlink>
          </w:p>
        </w:tc>
        <w:tc>
          <w:tcPr>
            <w:tcW w:w="80" w:type="dxa"/>
            <w:vAlign w:val="bottom"/>
            <w:tcBorders>
              <w:bottom w:val="single" w:sz="8" w:color="0000EE"/>
            </w:tcBorders>
          </w:tcPr>
          <w:p>
            <w:pPr>
              <w:spacing w:after="0"/>
              <w:rPr>
                <w:sz w:val="17"/>
                <w:szCs w:val="17"/>
                <w:color w:val="auto"/>
              </w:rPr>
            </w:pPr>
          </w:p>
        </w:tc>
        <w:tc>
          <w:tcPr>
            <w:tcW w:w="980" w:type="dxa"/>
            <w:vAlign w:val="bottom"/>
            <w:gridSpan w:val="4"/>
          </w:tcPr>
          <w:p>
            <w:pPr>
              <w:spacing w:after="0"/>
              <w:rPr>
                <w:sz w:val="17"/>
                <w:szCs w:val="17"/>
                <w:color w:val="auto"/>
              </w:rPr>
            </w:pPr>
          </w:p>
        </w:tc>
        <w:tc>
          <w:tcPr>
            <w:tcW w:w="37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Major Shareholders and Related Party Transactions</w:t>
              </w:r>
            </w:hyperlink>
          </w:p>
        </w:tc>
        <w:tc>
          <w:tcPr>
            <w:tcW w:w="3740" w:type="dxa"/>
            <w:vAlign w:val="bottom"/>
            <w:gridSpan w:val="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Item 8.</w:t>
              </w:r>
            </w:hyperlink>
          </w:p>
        </w:tc>
        <w:tc>
          <w:tcPr>
            <w:tcW w:w="1060" w:type="dxa"/>
            <w:vAlign w:val="bottom"/>
            <w:gridSpan w:val="5"/>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Financial Information</w:t>
              </w:r>
            </w:hyperlink>
          </w:p>
        </w:tc>
        <w:tc>
          <w:tcPr>
            <w:tcW w:w="5860" w:type="dxa"/>
            <w:vAlign w:val="bottom"/>
            <w:gridSpan w:val="1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Item 9.</w:t>
              </w:r>
            </w:hyperlink>
          </w:p>
        </w:tc>
        <w:tc>
          <w:tcPr>
            <w:tcW w:w="1060" w:type="dxa"/>
            <w:vAlign w:val="bottom"/>
            <w:gridSpan w:val="5"/>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The Offer and Listing</w:t>
              </w:r>
            </w:hyperlink>
          </w:p>
        </w:tc>
        <w:tc>
          <w:tcPr>
            <w:tcW w:w="5880" w:type="dxa"/>
            <w:vAlign w:val="bottom"/>
            <w:gridSpan w:val="1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10.</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Additional Information</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11.</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12.</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Description of Securities Other than Equity Securities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12"/>
        </w:trPr>
        <w:tc>
          <w:tcPr>
            <w:tcW w:w="1840" w:type="dxa"/>
            <w:vAlign w:val="bottom"/>
            <w:gridSpan w:val="8"/>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w:t>
              </w:r>
            </w:hyperlink>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0"/>
        </w:trPr>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580" w:type="dxa"/>
            <w:vAlign w:val="bottom"/>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13.</w:t>
              </w:r>
            </w:hyperlink>
          </w:p>
        </w:tc>
        <w:tc>
          <w:tcPr>
            <w:tcW w:w="7460" w:type="dxa"/>
            <w:vAlign w:val="bottom"/>
            <w:gridSpan w:val="2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Defaults, Dividend Arrearages and Delinquencies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14.</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Material Modifications to the Rights of Security Holders and Use of Proceeds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15.</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Item 16A.</w:t>
              </w:r>
            </w:hyperlink>
          </w:p>
        </w:tc>
        <w:tc>
          <w:tcPr>
            <w:tcW w:w="82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Audit Committee Financial Expert</w:t>
              </w:r>
            </w:hyperlink>
          </w:p>
        </w:tc>
        <w:tc>
          <w:tcPr>
            <w:tcW w:w="4960" w:type="dxa"/>
            <w:vAlign w:val="bottom"/>
            <w:gridSpan w:val="1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16B.</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Code of Ethics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60" w:type="dxa"/>
            <w:vAlign w:val="bottom"/>
            <w:gridSpan w:val="6"/>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Item 16C.</w:t>
              </w:r>
            </w:hyperlink>
          </w:p>
        </w:tc>
        <w:tc>
          <w:tcPr>
            <w:tcW w:w="820" w:type="dxa"/>
            <w:vAlign w:val="bottom"/>
          </w:tcPr>
          <w:p>
            <w:pPr>
              <w:spacing w:after="0"/>
              <w:rPr>
                <w:sz w:val="17"/>
                <w:szCs w:val="17"/>
                <w:color w:val="auto"/>
              </w:rPr>
            </w:pPr>
          </w:p>
        </w:tc>
        <w:tc>
          <w:tcPr>
            <w:tcW w:w="7460" w:type="dxa"/>
            <w:vAlign w:val="bottom"/>
            <w:gridSpan w:val="2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Item 16D.</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Exemptions from the Listing Standards for Audit Committees</w:t>
              </w:r>
            </w:hyperlink>
          </w:p>
        </w:tc>
        <w:tc>
          <w:tcPr>
            <w:tcW w:w="3000" w:type="dxa"/>
            <w:vAlign w:val="bottom"/>
            <w:gridSpan w:val="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6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Item 16E.</w:t>
              </w:r>
            </w:hyperlink>
          </w:p>
        </w:tc>
        <w:tc>
          <w:tcPr>
            <w:tcW w:w="860" w:type="dxa"/>
            <w:vAlign w:val="bottom"/>
            <w:gridSpan w:val="3"/>
          </w:tcPr>
          <w:p>
            <w:pPr>
              <w:spacing w:after="0"/>
              <w:rPr>
                <w:sz w:val="17"/>
                <w:szCs w:val="17"/>
                <w:color w:val="auto"/>
              </w:rPr>
            </w:pPr>
          </w:p>
        </w:tc>
        <w:tc>
          <w:tcPr>
            <w:tcW w:w="50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Purchases of Equity Securities by the Issuer and Affiliated Purchasers</w:t>
              </w:r>
            </w:hyperlink>
          </w:p>
        </w:tc>
        <w:tc>
          <w:tcPr>
            <w:tcW w:w="2420" w:type="dxa"/>
            <w:vAlign w:val="bottom"/>
            <w:gridSpan w:val="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6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Item 16F.</w:t>
              </w:r>
            </w:hyperlink>
          </w:p>
        </w:tc>
        <w:tc>
          <w:tcPr>
            <w:tcW w:w="860" w:type="dxa"/>
            <w:vAlign w:val="bottom"/>
            <w:gridSpan w:val="3"/>
          </w:tcPr>
          <w:p>
            <w:pPr>
              <w:spacing w:after="0"/>
              <w:rPr>
                <w:sz w:val="17"/>
                <w:szCs w:val="17"/>
                <w:color w:val="auto"/>
              </w:rPr>
            </w:pPr>
          </w:p>
        </w:tc>
        <w:tc>
          <w:tcPr>
            <w:tcW w:w="3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Change in Registrant’s Certifying Accountants</w:t>
              </w:r>
            </w:hyperlink>
          </w:p>
        </w:tc>
        <w:tc>
          <w:tcPr>
            <w:tcW w:w="4080" w:type="dxa"/>
            <w:vAlign w:val="bottom"/>
            <w:gridSpan w:val="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260" w:type="dxa"/>
            <w:vAlign w:val="bottom"/>
          </w:tcPr>
          <w:p>
            <w:pPr>
              <w:spacing w:after="0"/>
              <w:rPr>
                <w:sz w:val="17"/>
                <w:szCs w:val="17"/>
                <w:color w:val="auto"/>
              </w:rPr>
            </w:pP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Item 16G.</w:t>
              </w:r>
            </w:hyperlink>
          </w:p>
        </w:tc>
        <w:tc>
          <w:tcPr>
            <w:tcW w:w="82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Corporate Governance</w:t>
              </w:r>
            </w:hyperlink>
          </w:p>
        </w:tc>
        <w:tc>
          <w:tcPr>
            <w:tcW w:w="5780" w:type="dxa"/>
            <w:vAlign w:val="bottom"/>
            <w:gridSpan w:val="17"/>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260" w:type="dxa"/>
            <w:vAlign w:val="bottom"/>
          </w:tcPr>
          <w:p>
            <w:pPr>
              <w:spacing w:after="0"/>
              <w:rPr>
                <w:sz w:val="17"/>
                <w:szCs w:val="17"/>
                <w:color w:val="auto"/>
              </w:rPr>
            </w:pPr>
          </w:p>
        </w:tc>
        <w:tc>
          <w:tcPr>
            <w:tcW w:w="740" w:type="dxa"/>
            <w:vAlign w:val="bottom"/>
            <w:gridSpan w:val="5"/>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Item 16H.</w:t>
              </w:r>
            </w:hyperlink>
          </w:p>
        </w:tc>
        <w:tc>
          <w:tcPr>
            <w:tcW w:w="840" w:type="dxa"/>
            <w:vAlign w:val="bottom"/>
            <w:gridSpan w:val="2"/>
          </w:tcPr>
          <w:p>
            <w:pPr>
              <w:spacing w:after="0"/>
              <w:rPr>
                <w:sz w:val="17"/>
                <w:szCs w:val="17"/>
                <w:color w:val="auto"/>
              </w:rPr>
            </w:pPr>
          </w:p>
        </w:tc>
        <w:tc>
          <w:tcPr>
            <w:tcW w:w="7460" w:type="dxa"/>
            <w:vAlign w:val="bottom"/>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Mine Safety Disclosure</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92"/>
        </w:trPr>
        <w:tc>
          <w:tcPr>
            <w:tcW w:w="7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106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412"/>
        </w:trPr>
        <w:tc>
          <w:tcPr>
            <w:tcW w:w="260" w:type="dxa"/>
            <w:vAlign w:val="bottom"/>
          </w:tcPr>
          <w:p>
            <w:pPr>
              <w:spacing w:after="0"/>
              <w:rPr>
                <w:sz w:val="24"/>
                <w:szCs w:val="24"/>
                <w:color w:val="auto"/>
              </w:rPr>
            </w:pPr>
          </w:p>
        </w:tc>
        <w:tc>
          <w:tcPr>
            <w:tcW w:w="158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17.</w:t>
              </w:r>
            </w:hyperlink>
          </w:p>
        </w:tc>
        <w:tc>
          <w:tcPr>
            <w:tcW w:w="7460" w:type="dxa"/>
            <w:vAlign w:val="bottom"/>
            <w:gridSpan w:val="2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Financial Statements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18.</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Financial Statements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19.</w:t>
              </w:r>
            </w:hyperlink>
          </w:p>
        </w:tc>
        <w:tc>
          <w:tcPr>
            <w:tcW w:w="7460" w:type="dxa"/>
            <w:vAlign w:val="bottom"/>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368"/>
        </w:trPr>
        <w:tc>
          <w:tcPr>
            <w:tcW w:w="260" w:type="dxa"/>
            <w:vAlign w:val="bottom"/>
            <w:tcBorders>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0" w:type="dxa"/>
            <w:vAlign w:val="bottom"/>
            <w:tcBorders>
              <w:top w:val="single" w:sz="8" w:color="0000EE"/>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as of December 31, 2016 and 2017 and for the years ended December 31, 2015, 2016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54" w:lineRule="exact"/>
        <w:rPr>
          <w:sz w:val="20"/>
          <w:szCs w:val="20"/>
          <w:color w:val="auto"/>
        </w:rPr>
      </w:pPr>
    </w:p>
    <w:p>
      <w:pPr>
        <w:ind w:left="660" w:right="20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the online game market, including mobile games and PC-client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81" w:lineRule="exact"/>
        <w:rPr>
          <w:rFonts w:ascii="Arial" w:cs="Arial" w:eastAsia="Arial" w:hAnsi="Arial"/>
          <w:sz w:val="18"/>
          <w:szCs w:val="18"/>
          <w:color w:val="auto"/>
        </w:rPr>
      </w:pPr>
    </w:p>
    <w:p>
      <w:pPr>
        <w:ind w:left="660" w:right="40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we will not be successful in our product diversification efforts, including our focus on item- and fee-based games and mobile games, entry into strategic licensing arrangements, and expansion of our mobile Internet and e-commerce offerings;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of changes in Chinese government regulation of the online game or e-commerce markets that limit future growth of our revenues or causes revenues to decline;</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we may not be able to continuously develop new and creative online services or that we will not be able to set, or follow in a timely manner, trends in the market;</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the e-commerce market or the Internet advertising market in China will not continue to grow and will remain subject to intense competition and the risk that investments by us in our e-commerce platforms and related services or in our advertising content and services may not increase the appeal of our websites, e-commerce platforms or mobile applications among users or result in increased e-commerce or advertising revenues;</w:t>
      </w:r>
    </w:p>
    <w:p>
      <w:pPr>
        <w:spacing w:after="0" w:line="186"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we will not be able to control our expenses in future periods;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 that fluctuations in the value of the Renminbi with respect to other currencies could adversely affect our business and financial results; and</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outlined in our filings with the Securities and Exchange Commission, or the SEC.</w:t>
      </w:r>
    </w:p>
    <w:p>
      <w:pPr>
        <w:sectPr>
          <w:pgSz w:w="11900" w:h="16838" w:orient="portrait"/>
          <w:cols w:equalWidth="0" w:num="1">
            <w:col w:w="11460"/>
          </w:cols>
          <w:pgMar w:left="240" w:top="108" w:right="199" w:bottom="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We do not undertake any obligation to update this forward-looking information, except as required under applicable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presents the selected consolidated financial information for our business. You should read the following information in conjunction with Item 5 “Operating and Financial Review and Prospects” below. The following data for the years ended December 31, 2015, 2016 and 2017 and as of December 31, 2016 and 2017 have been derived from our audited consolidated financial statements for those years, which were prepared in accordance with accounting principles generally accepted in the United States, or U.S. GAAP, and should be read in conjunction with those statements, which are included in this annual report beginning on page F-1. The following data for the years ended December 31, 2013 and 2014 and as of December 31, 2013, 2014 and 2015 have been derived from our audited consolidated financial statements for those years, which were prepared in accordance with U.S. GAAP and are not included in this annual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60" w:type="dxa"/>
            <w:vAlign w:val="bottom"/>
            <w:gridSpan w:val="2"/>
          </w:tcPr>
          <w:p>
            <w:pPr>
              <w:jc w:val="right"/>
              <w:ind w:right="35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6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4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140" w:type="dxa"/>
            <w:vAlign w:val="bottom"/>
            <w:tcBorders>
              <w:top w:val="single" w:sz="8" w:color="auto"/>
            </w:tcBorders>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jc w:val="right"/>
              <w:ind w:right="336"/>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US$ (Note 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(in thousands, except per share/ADS data)</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 of Operations and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net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9,196,175</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11,712,834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22,802,895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38,178,844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54,102,019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8,315,328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(2,478,516)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(3,261,544)</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(9,399,260)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(16,515,032)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(28,189,326)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(4,332,620)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6,717,659</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8,451,290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13,403,635</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3,982,708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(1,093,612)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(1,894,998)</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(2,958,229)</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(4,481,815)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(6,957,596)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(349,832)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(467,669)</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(1,014,395)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(1,506,154)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(2,429,858)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(373,462)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(921,618)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(1,323,498)</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(2,158,888)</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(3,046,979)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(4,371,428)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(2,365,062)</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(3,686,165)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(6,131,512)</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(9,034,948)</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(13,758,882)</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(2,114,700)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1140" w:type="dxa"/>
            <w:vAlign w:val="bottom"/>
          </w:tcPr>
          <w:p>
            <w:pPr>
              <w:jc w:val="right"/>
              <w:spacing w:after="0"/>
              <w:rPr>
                <w:sz w:val="20"/>
                <w:szCs w:val="20"/>
                <w:color w:val="auto"/>
              </w:rPr>
            </w:pPr>
            <w:r>
              <w:rPr>
                <w:rFonts w:ascii="Arial" w:cs="Arial" w:eastAsia="Arial" w:hAnsi="Arial"/>
                <w:sz w:val="18"/>
                <w:szCs w:val="18"/>
                <w:color w:val="auto"/>
              </w:rPr>
              <w:t>4,352,597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4,765,125</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7,272,123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12,628,864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12,153,811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1,868,008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Investment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37,255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27,373</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62,341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200,333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362,113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506,181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601,502</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596,930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541,969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667,323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Exchange (losses)/gains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(15,348)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(17,998)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133,776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146,510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(448,827)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95,136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82,438</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45,138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377,685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277,080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before tax</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4,975,821</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8,110,308</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13,895,361</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13,011,500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1,999,833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(530,603)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(662,735)</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(1,273,408)</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(2,102,498)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(2,162,363)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(332,349)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4,795,705</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6,836,900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11,792,863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10,849,137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Net income attributable to</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noncontrolling interests and redeemable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(39,082)</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(101,792)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(188,343)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(141,198)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spacing w:after="0" w:line="201"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4,443,910</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4,756,623</w:t>
            </w:r>
          </w:p>
        </w:tc>
        <w:tc>
          <w:tcPr>
            <w:tcW w:w="1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6,735,108</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11,604,520</w:t>
            </w:r>
          </w:p>
        </w:tc>
        <w:tc>
          <w:tcPr>
            <w:tcW w:w="200" w:type="dxa"/>
            <w:vAlign w:val="bottom"/>
            <w:vMerge w:val="restart"/>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10,707,939</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1,645,782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4,445,218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4,795,705</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6,836,900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11,792,863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10,849,137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1,667,484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27,452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34,027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4,795,705</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6,864,352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11,826,890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10,824,243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Comprehensive income attributable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 interests and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noncontrolling interests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(39,082)</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(101,792)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(188,343)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(141,198)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4,443,910</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4,756,623</w:t>
            </w:r>
          </w:p>
        </w:tc>
        <w:tc>
          <w:tcPr>
            <w:tcW w:w="1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6,762,560</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11,638,547</w:t>
            </w:r>
          </w:p>
        </w:tc>
        <w:tc>
          <w:tcPr>
            <w:tcW w:w="200" w:type="dxa"/>
            <w:vAlign w:val="bottom"/>
            <w:vMerge w:val="restart"/>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10,683,045</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1,641,956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NetEase, Inc.’s shareholders</w:t>
            </w: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06"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06"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hanging="181"/>
        <w:spacing w:after="0" w:line="274" w:lineRule="auto"/>
        <w:rPr>
          <w:sz w:val="20"/>
          <w:szCs w:val="20"/>
          <w:color w:val="auto"/>
        </w:rPr>
      </w:pPr>
      <w:r>
        <w:rPr>
          <w:rFonts w:ascii="Arial" w:cs="Arial" w:eastAsia="Arial" w:hAnsi="Arial"/>
          <w:sz w:val="17"/>
          <w:szCs w:val="17"/>
          <w:color w:val="auto"/>
        </w:rPr>
        <w:t>Net income attributable to NetEase, Inc.’s shareholders per share, basic</w:t>
      </w:r>
    </w:p>
    <w:p>
      <w:pPr>
        <w:ind w:left="180" w:hanging="181"/>
        <w:spacing w:after="0" w:line="265" w:lineRule="auto"/>
        <w:rPr>
          <w:sz w:val="20"/>
          <w:szCs w:val="20"/>
          <w:color w:val="auto"/>
        </w:rPr>
      </w:pPr>
      <w:r>
        <w:rPr>
          <w:rFonts w:ascii="Arial" w:cs="Arial" w:eastAsia="Arial" w:hAnsi="Arial"/>
          <w:sz w:val="17"/>
          <w:szCs w:val="17"/>
          <w:color w:val="auto"/>
        </w:rPr>
        <w:t>Net income attributable to NetEase, Inc.’s shareholders per share, diluted</w:t>
      </w:r>
    </w:p>
    <w:p>
      <w:pPr>
        <w:ind w:left="180" w:hanging="181"/>
        <w:spacing w:after="0" w:line="250" w:lineRule="auto"/>
        <w:rPr>
          <w:sz w:val="20"/>
          <w:szCs w:val="20"/>
          <w:color w:val="auto"/>
        </w:rPr>
      </w:pPr>
      <w:r>
        <w:rPr>
          <w:rFonts w:ascii="Arial" w:cs="Arial" w:eastAsia="Arial" w:hAnsi="Arial"/>
          <w:sz w:val="18"/>
          <w:szCs w:val="18"/>
          <w:color w:val="auto"/>
        </w:rPr>
        <w:t>Net income attributable to NetEase, Inc.’s shareholders per ADS, basic</w:t>
      </w:r>
    </w:p>
    <w:p>
      <w:pPr>
        <w:spacing w:after="0" w:line="1" w:lineRule="exact"/>
        <w:rPr>
          <w:sz w:val="20"/>
          <w:szCs w:val="20"/>
          <w:color w:val="auto"/>
        </w:rPr>
      </w:pPr>
    </w:p>
    <w:p>
      <w:pPr>
        <w:ind w:left="180" w:hanging="181"/>
        <w:spacing w:after="0" w:line="265" w:lineRule="auto"/>
        <w:rPr>
          <w:sz w:val="20"/>
          <w:szCs w:val="20"/>
          <w:color w:val="auto"/>
        </w:rPr>
      </w:pPr>
      <w:r>
        <w:rPr>
          <w:rFonts w:ascii="Arial" w:cs="Arial" w:eastAsia="Arial" w:hAnsi="Arial"/>
          <w:sz w:val="17"/>
          <w:szCs w:val="17"/>
          <w:color w:val="auto"/>
        </w:rPr>
        <w:t>Net income attributable to NetEase, Inc.’s shareholders per ADS, diluted</w:t>
      </w:r>
    </w:p>
    <w:p>
      <w:pPr>
        <w:ind w:left="180" w:right="280" w:hanging="181"/>
        <w:spacing w:after="0" w:line="281" w:lineRule="auto"/>
        <w:rPr>
          <w:sz w:val="20"/>
          <w:szCs w:val="20"/>
          <w:color w:val="auto"/>
        </w:rPr>
      </w:pPr>
      <w:r>
        <w:rPr>
          <w:rFonts w:ascii="Arial" w:cs="Arial" w:eastAsia="Arial" w:hAnsi="Arial"/>
          <w:sz w:val="16"/>
          <w:szCs w:val="16"/>
          <w:color w:val="auto"/>
        </w:rPr>
        <w:t>Weighted average number of ordinary shares outstanding, basic</w:t>
      </w:r>
    </w:p>
    <w:p>
      <w:pPr>
        <w:spacing w:after="0" w:line="1" w:lineRule="exact"/>
        <w:rPr>
          <w:sz w:val="20"/>
          <w:szCs w:val="20"/>
          <w:color w:val="auto"/>
        </w:rPr>
      </w:pPr>
    </w:p>
    <w:p>
      <w:pPr>
        <w:ind w:left="180" w:right="520" w:hanging="181"/>
        <w:spacing w:after="0" w:line="250" w:lineRule="auto"/>
        <w:rPr>
          <w:sz w:val="20"/>
          <w:szCs w:val="20"/>
          <w:color w:val="auto"/>
        </w:rPr>
      </w:pPr>
      <w:r>
        <w:rPr>
          <w:rFonts w:ascii="Arial" w:cs="Arial" w:eastAsia="Arial" w:hAnsi="Arial"/>
          <w:sz w:val="18"/>
          <w:szCs w:val="18"/>
          <w:color w:val="auto"/>
        </w:rPr>
        <w:t>Weighted average number of ADS outstanding, basic</w:t>
      </w:r>
    </w:p>
    <w:p>
      <w:pPr>
        <w:spacing w:after="0" w:line="1" w:lineRule="exact"/>
        <w:rPr>
          <w:sz w:val="20"/>
          <w:szCs w:val="20"/>
          <w:color w:val="auto"/>
        </w:rPr>
      </w:pPr>
    </w:p>
    <w:p>
      <w:pPr>
        <w:ind w:left="180" w:right="280" w:hanging="181"/>
        <w:spacing w:after="0" w:line="281" w:lineRule="auto"/>
        <w:rPr>
          <w:sz w:val="20"/>
          <w:szCs w:val="20"/>
          <w:color w:val="auto"/>
        </w:rPr>
      </w:pPr>
      <w:r>
        <w:rPr>
          <w:rFonts w:ascii="Arial" w:cs="Arial" w:eastAsia="Arial" w:hAnsi="Arial"/>
          <w:sz w:val="16"/>
          <w:szCs w:val="16"/>
          <w:color w:val="auto"/>
        </w:rPr>
        <w:t>Weighted average number of ordinary shares outstanding, diluted</w:t>
      </w:r>
    </w:p>
    <w:p>
      <w:pPr>
        <w:spacing w:after="0" w:line="1" w:lineRule="exact"/>
        <w:rPr>
          <w:sz w:val="20"/>
          <w:szCs w:val="20"/>
          <w:color w:val="auto"/>
        </w:rPr>
      </w:pPr>
    </w:p>
    <w:p>
      <w:pPr>
        <w:ind w:left="180" w:right="520" w:hanging="181"/>
        <w:spacing w:after="0" w:line="261" w:lineRule="auto"/>
        <w:rPr>
          <w:sz w:val="20"/>
          <w:szCs w:val="20"/>
          <w:color w:val="auto"/>
        </w:rPr>
      </w:pPr>
      <w:r>
        <w:rPr>
          <w:rFonts w:ascii="Arial" w:cs="Arial" w:eastAsia="Arial" w:hAnsi="Arial"/>
          <w:sz w:val="18"/>
          <w:szCs w:val="18"/>
          <w:color w:val="auto"/>
        </w:rPr>
        <w:t>Weighted average number of ADS outstanding,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1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1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140" w:type="dxa"/>
            <w:vAlign w:val="bottom"/>
          </w:tcPr>
          <w:p>
            <w:pPr>
              <w:jc w:val="right"/>
              <w:spacing w:after="0"/>
              <w:rPr>
                <w:sz w:val="20"/>
                <w:szCs w:val="20"/>
                <w:color w:val="auto"/>
              </w:rPr>
            </w:pPr>
            <w:r>
              <w:rPr>
                <w:rFonts w:ascii="Arial" w:cs="Arial" w:eastAsia="Arial" w:hAnsi="Arial"/>
                <w:sz w:val="18"/>
                <w:szCs w:val="18"/>
                <w:color w:val="auto"/>
              </w:rPr>
              <w:t>34.21</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88.40</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81.36</w:t>
            </w:r>
          </w:p>
        </w:tc>
        <w:tc>
          <w:tcPr>
            <w:tcW w:w="11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140" w:type="dxa"/>
            <w:vAlign w:val="bottom"/>
          </w:tcPr>
          <w:p>
            <w:pPr>
              <w:jc w:val="right"/>
              <w:spacing w:after="0"/>
              <w:rPr>
                <w:sz w:val="20"/>
                <w:szCs w:val="20"/>
                <w:color w:val="auto"/>
              </w:rPr>
            </w:pPr>
            <w:r>
              <w:rPr>
                <w:rFonts w:ascii="Arial" w:cs="Arial" w:eastAsia="Arial" w:hAnsi="Arial"/>
                <w:sz w:val="18"/>
                <w:szCs w:val="18"/>
                <w:color w:val="auto"/>
              </w:rPr>
              <w:t>34.12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36.29</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87.72</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80.74</w:t>
            </w:r>
          </w:p>
        </w:tc>
        <w:tc>
          <w:tcPr>
            <w:tcW w:w="114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140" w:type="dxa"/>
            <w:vAlign w:val="bottom"/>
          </w:tcPr>
          <w:p>
            <w:pPr>
              <w:jc w:val="right"/>
              <w:spacing w:after="0"/>
              <w:rPr>
                <w:sz w:val="20"/>
                <w:szCs w:val="20"/>
                <w:color w:val="auto"/>
              </w:rPr>
            </w:pPr>
            <w:r>
              <w:rPr>
                <w:rFonts w:ascii="Arial" w:cs="Arial" w:eastAsia="Arial" w:hAnsi="Arial"/>
                <w:sz w:val="18"/>
                <w:szCs w:val="18"/>
                <w:color w:val="auto"/>
              </w:rPr>
              <w:t>3,247,874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3,264,450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3,284,382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3,281,729</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3,290,312</w:t>
            </w:r>
          </w:p>
        </w:tc>
        <w:tc>
          <w:tcPr>
            <w:tcW w:w="1140" w:type="dxa"/>
            <w:vAlign w:val="bottom"/>
          </w:tcPr>
          <w:p>
            <w:pPr>
              <w:jc w:val="right"/>
              <w:spacing w:after="0"/>
              <w:rPr>
                <w:sz w:val="20"/>
                <w:szCs w:val="20"/>
                <w:color w:val="auto"/>
              </w:rPr>
            </w:pPr>
            <w:r>
              <w:rPr>
                <w:rFonts w:ascii="Arial" w:cs="Arial" w:eastAsia="Arial" w:hAnsi="Arial"/>
                <w:sz w:val="18"/>
                <w:szCs w:val="18"/>
                <w:color w:val="auto"/>
              </w:rPr>
              <w:t>3,290,312</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140" w:type="dxa"/>
            <w:vAlign w:val="bottom"/>
          </w:tcPr>
          <w:p>
            <w:pPr>
              <w:jc w:val="right"/>
              <w:spacing w:after="0"/>
              <w:rPr>
                <w:sz w:val="20"/>
                <w:szCs w:val="20"/>
                <w:color w:val="auto"/>
              </w:rPr>
            </w:pPr>
            <w:r>
              <w:rPr>
                <w:rFonts w:ascii="Arial" w:cs="Arial" w:eastAsia="Arial" w:hAnsi="Arial"/>
                <w:sz w:val="18"/>
                <w:szCs w:val="18"/>
                <w:color w:val="auto"/>
              </w:rPr>
              <w:t>129,915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130,578</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131,375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131,269</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131,612</w:t>
            </w:r>
          </w:p>
        </w:tc>
        <w:tc>
          <w:tcPr>
            <w:tcW w:w="1140" w:type="dxa"/>
            <w:vAlign w:val="bottom"/>
          </w:tcPr>
          <w:p>
            <w:pPr>
              <w:jc w:val="right"/>
              <w:spacing w:after="0"/>
              <w:rPr>
                <w:sz w:val="20"/>
                <w:szCs w:val="20"/>
                <w:color w:val="auto"/>
              </w:rPr>
            </w:pPr>
            <w:r>
              <w:rPr>
                <w:rFonts w:ascii="Arial" w:cs="Arial" w:eastAsia="Arial" w:hAnsi="Arial"/>
                <w:sz w:val="18"/>
                <w:szCs w:val="18"/>
                <w:color w:val="auto"/>
              </w:rPr>
              <w:t>131,612</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140" w:type="dxa"/>
            <w:vAlign w:val="bottom"/>
          </w:tcPr>
          <w:p>
            <w:pPr>
              <w:jc w:val="right"/>
              <w:spacing w:after="0"/>
              <w:rPr>
                <w:sz w:val="20"/>
                <w:szCs w:val="20"/>
                <w:color w:val="auto"/>
              </w:rPr>
            </w:pPr>
            <w:r>
              <w:rPr>
                <w:rFonts w:ascii="Arial" w:cs="Arial" w:eastAsia="Arial" w:hAnsi="Arial"/>
                <w:sz w:val="18"/>
                <w:szCs w:val="18"/>
                <w:color w:val="auto"/>
              </w:rPr>
              <w:t>3,256,297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3,277,049</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3,305,213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3,307,109</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3,315,478</w:t>
            </w:r>
          </w:p>
        </w:tc>
        <w:tc>
          <w:tcPr>
            <w:tcW w:w="1140" w:type="dxa"/>
            <w:vAlign w:val="bottom"/>
          </w:tcPr>
          <w:p>
            <w:pPr>
              <w:jc w:val="right"/>
              <w:spacing w:after="0"/>
              <w:rPr>
                <w:sz w:val="20"/>
                <w:szCs w:val="20"/>
                <w:color w:val="auto"/>
              </w:rPr>
            </w:pPr>
            <w:r>
              <w:rPr>
                <w:rFonts w:ascii="Arial" w:cs="Arial" w:eastAsia="Arial" w:hAnsi="Arial"/>
                <w:sz w:val="18"/>
                <w:szCs w:val="18"/>
                <w:color w:val="auto"/>
              </w:rPr>
              <w:t>3,315,478</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130,252</w:t>
            </w:r>
          </w:p>
        </w:tc>
        <w:tc>
          <w:tcPr>
            <w:tcW w:w="1160" w:type="dxa"/>
            <w:vAlign w:val="bottom"/>
          </w:tcPr>
          <w:p>
            <w:pPr>
              <w:jc w:val="right"/>
              <w:spacing w:after="0"/>
              <w:rPr>
                <w:sz w:val="20"/>
                <w:szCs w:val="20"/>
                <w:color w:val="auto"/>
              </w:rPr>
            </w:pPr>
            <w:r>
              <w:rPr>
                <w:rFonts w:ascii="Arial" w:cs="Arial" w:eastAsia="Arial" w:hAnsi="Arial"/>
                <w:sz w:val="18"/>
                <w:szCs w:val="18"/>
                <w:color w:val="auto"/>
              </w:rPr>
              <w:t>131,082</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132,209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132,284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132,619</w:t>
            </w:r>
          </w:p>
        </w:tc>
        <w:tc>
          <w:tcPr>
            <w:tcW w:w="1140" w:type="dxa"/>
            <w:vAlign w:val="bottom"/>
          </w:tcPr>
          <w:p>
            <w:pPr>
              <w:jc w:val="right"/>
              <w:spacing w:after="0"/>
              <w:rPr>
                <w:sz w:val="20"/>
                <w:szCs w:val="20"/>
                <w:color w:val="auto"/>
              </w:rPr>
            </w:pPr>
            <w:r>
              <w:rPr>
                <w:rFonts w:ascii="Arial" w:cs="Arial" w:eastAsia="Arial" w:hAnsi="Arial"/>
                <w:sz w:val="18"/>
                <w:szCs w:val="18"/>
                <w:color w:val="auto"/>
              </w:rPr>
              <w:t>132,619</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-2211705</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-1663065</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-1114425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-565150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20" w:space="320"/>
            <w:col w:w="8080"/>
          </w:cols>
          <w:pgMar w:left="240" w:top="125" w:right="239" w:bottom="0" w:gutter="0" w:footer="0" w:header="0"/>
        </w:sectPr>
      </w:pPr>
    </w:p>
    <w:tbl>
      <w:tblPr>
        <w:tblLayout w:type="fixed"/>
        <w:tblInd w:w="0" w:type="dxa"/>
        <w:tblCellMar>
          <w:top w:w="0" w:type="dxa"/>
          <w:left w:w="0" w:type="dxa"/>
          <w:bottom w:w="0" w:type="dxa"/>
          <w:right w:w="0" w:type="dxa"/>
        </w:tblCellMar>
      </w:tblPr>
      <w:tr>
        <w:trPr>
          <w:trHeight w:val="196"/>
        </w:trPr>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Share-based compensation cost included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169,621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328,480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444,187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820,281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17,967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23,253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36,023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52,689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95,382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14,660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48,350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120,925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238,750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581,337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74,283</w:t>
            </w:r>
          </w:p>
        </w:tc>
        <w:tc>
          <w:tcPr>
            <w:tcW w:w="1160" w:type="dxa"/>
            <w:vAlign w:val="bottom"/>
          </w:tcPr>
          <w:p>
            <w:pPr>
              <w:jc w:val="right"/>
              <w:spacing w:after="0"/>
              <w:rPr>
                <w:sz w:val="20"/>
                <w:szCs w:val="20"/>
                <w:color w:val="auto"/>
              </w:rPr>
            </w:pPr>
            <w:r>
              <w:rPr>
                <w:rFonts w:ascii="Arial" w:cs="Arial" w:eastAsia="Arial" w:hAnsi="Arial"/>
                <w:sz w:val="18"/>
                <w:szCs w:val="18"/>
                <w:color w:val="auto"/>
              </w:rPr>
              <w:t>104,928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199,039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254,505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507,263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77,965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218,936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537,376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866,314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1,135,533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1,842,933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283,254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cash provided by/(used in):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5,235,890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5,873,023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8,076,920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15,488,266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11,889,238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1,827,346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Investing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(5,453,279)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(4,520,166)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(2,536,524)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(14,001,814)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(13,249,291)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(2,036,382)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86,848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(778,442)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(1,632,736)</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(2,250,507)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(1,302,728)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(200,226)</w:t>
            </w: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1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Pr>
          <w:p>
            <w:pPr>
              <w:jc w:val="right"/>
              <w:ind w:right="92"/>
              <w:spacing w:after="0" w:line="119" w:lineRule="exact"/>
              <w:rPr>
                <w:sz w:val="20"/>
                <w:szCs w:val="20"/>
                <w:color w:val="auto"/>
              </w:rPr>
            </w:pPr>
            <w:r>
              <w:rPr>
                <w:rFonts w:ascii="Arial" w:cs="Arial" w:eastAsia="Arial" w:hAnsi="Arial"/>
                <w:sz w:val="13"/>
                <w:szCs w:val="13"/>
                <w:b w:val="1"/>
                <w:bCs w:val="1"/>
                <w:color w:val="auto"/>
              </w:rPr>
              <w:t>US$ (Note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1,458,298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2,021,453</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6,071,487</w:t>
            </w:r>
          </w:p>
        </w:tc>
        <w:tc>
          <w:tcPr>
            <w:tcW w:w="1160" w:type="dxa"/>
            <w:vAlign w:val="bottom"/>
          </w:tcPr>
          <w:p>
            <w:pPr>
              <w:jc w:val="right"/>
              <w:spacing w:after="0"/>
              <w:rPr>
                <w:sz w:val="20"/>
                <w:szCs w:val="20"/>
                <w:color w:val="auto"/>
              </w:rPr>
            </w:pPr>
            <w:r>
              <w:rPr>
                <w:rFonts w:ascii="Arial" w:cs="Arial" w:eastAsia="Arial" w:hAnsi="Arial"/>
                <w:sz w:val="18"/>
                <w:szCs w:val="18"/>
                <w:color w:val="auto"/>
              </w:rPr>
              <w:t>5,439,499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2,764,140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424,841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Time deposits-current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16,625,468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18,496,574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14,593,291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19,361,098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30,603,369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4,703,652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872,113</w:t>
            </w:r>
          </w:p>
        </w:tc>
        <w:tc>
          <w:tcPr>
            <w:tcW w:w="1160" w:type="dxa"/>
            <w:vAlign w:val="bottom"/>
          </w:tcPr>
          <w:p>
            <w:pPr>
              <w:jc w:val="right"/>
              <w:spacing w:after="0"/>
              <w:rPr>
                <w:sz w:val="20"/>
                <w:szCs w:val="20"/>
                <w:color w:val="auto"/>
              </w:rPr>
            </w:pPr>
            <w:r>
              <w:rPr>
                <w:rFonts w:ascii="Arial" w:cs="Arial" w:eastAsia="Arial" w:hAnsi="Arial"/>
                <w:sz w:val="18"/>
                <w:szCs w:val="18"/>
                <w:color w:val="auto"/>
              </w:rPr>
              <w:t>1,281,225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2,092,046</w:t>
            </w:r>
          </w:p>
        </w:tc>
        <w:tc>
          <w:tcPr>
            <w:tcW w:w="1160" w:type="dxa"/>
            <w:vAlign w:val="bottom"/>
          </w:tcPr>
          <w:p>
            <w:pPr>
              <w:jc w:val="right"/>
              <w:spacing w:after="0"/>
              <w:rPr>
                <w:sz w:val="20"/>
                <w:szCs w:val="20"/>
                <w:color w:val="auto"/>
              </w:rPr>
            </w:pPr>
            <w:r>
              <w:rPr>
                <w:rFonts w:ascii="Arial" w:cs="Arial" w:eastAsia="Arial" w:hAnsi="Arial"/>
                <w:sz w:val="18"/>
                <w:szCs w:val="18"/>
                <w:color w:val="auto"/>
              </w:rPr>
              <w:t>2,419,510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3,769,326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579,335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24,546,330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30,354,671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41,157,430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58,031,860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71,031,415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10,917,330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Short-term loan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975,504</w:t>
            </w:r>
          </w:p>
        </w:tc>
        <w:tc>
          <w:tcPr>
            <w:tcW w:w="1160" w:type="dxa"/>
            <w:vAlign w:val="bottom"/>
          </w:tcPr>
          <w:p>
            <w:pPr>
              <w:jc w:val="right"/>
              <w:spacing w:after="0"/>
              <w:rPr>
                <w:sz w:val="20"/>
                <w:szCs w:val="20"/>
                <w:color w:val="auto"/>
              </w:rPr>
            </w:pPr>
            <w:r>
              <w:rPr>
                <w:rFonts w:ascii="Arial" w:cs="Arial" w:eastAsia="Arial" w:hAnsi="Arial"/>
                <w:sz w:val="18"/>
                <w:szCs w:val="18"/>
                <w:color w:val="auto"/>
              </w:rPr>
              <w:t>2,049,865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2,272,760</w:t>
            </w:r>
          </w:p>
        </w:tc>
        <w:tc>
          <w:tcPr>
            <w:tcW w:w="1160" w:type="dxa"/>
            <w:vAlign w:val="bottom"/>
          </w:tcPr>
          <w:p>
            <w:pPr>
              <w:jc w:val="right"/>
              <w:spacing w:after="0"/>
              <w:rPr>
                <w:sz w:val="20"/>
                <w:szCs w:val="20"/>
                <w:color w:val="auto"/>
              </w:rPr>
            </w:pPr>
            <w:r>
              <w:rPr>
                <w:rFonts w:ascii="Arial" w:cs="Arial" w:eastAsia="Arial" w:hAnsi="Arial"/>
                <w:sz w:val="18"/>
                <w:szCs w:val="18"/>
                <w:color w:val="auto"/>
              </w:rPr>
              <w:t>3,815,691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6,623,502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1,018,014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4,378,067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6,862,877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11,833,831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19,568,919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23,981,579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3,685,902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133,634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614,696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94,477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20,168,263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23,358,160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29,323,599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38,462,941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46,435,140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7,136,951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 See the section titled “Exchange Rate Information”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have published our financial statements in Renminbi, or RMB. Our business is currently conducted in and from China in Renminbi. In this annual report, all references to Renminbi and RMB are to the legal currency of China and all references to U.S. dollars, dollars, $ and US$ are to the legal currency of the United States. Translations in this annual report of amounts from RMB into U.S. dollars for the convenience of the reader were calculated at the noon buying rate of US$1.00: RMB6.5063 on the last trading day of 2017 (December 29, 2017) as set forth in the H.10 statistical release of the U.S. Federal Reserve Board. The prevailing rate on April 13, 2018 was US$1.00: RMB6.2725. We make no representation that any Renminbi or U.S. dollar amounts could have been, or could be, converted into U.S. dollars or Renminbi, as the case may be, at any particular rate, the rates stated above, or at all, on December 29, 2017 or on any other date. The Chinese government imposes control over its foreign currency reserves in part through direct regulation of the conversion of Renminbi into foreign exchange and through restrictions on foreign trade.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average buying rate for Renminbi expressed as per one U.S. dollar for the years 2013, 2014, 2015, 2016 and 2017.</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Renminbi Average</w:t>
            </w:r>
            <w:r>
              <w:rPr>
                <w:rFonts w:ascii="Arial" w:cs="Arial" w:eastAsia="Arial" w:hAnsi="Arial"/>
                <w:sz w:val="17"/>
                <w:szCs w:val="17"/>
                <w:b w:val="1"/>
                <w:bCs w:val="1"/>
                <w:color w:val="auto"/>
                <w:vertAlign w:val="superscript"/>
              </w:rPr>
              <w:t>(1)</w:t>
            </w:r>
          </w:p>
        </w:tc>
      </w:tr>
      <w:tr>
        <w:trPr>
          <w:trHeight w:val="210"/>
        </w:trPr>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3"/>
              </w:rPr>
              <w:t>6.1412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1800" w:type="dxa"/>
            <w:vAlign w:val="bottom"/>
            <w:gridSpan w:val="2"/>
          </w:tcPr>
          <w:p>
            <w:pPr>
              <w:ind w:left="1200"/>
              <w:spacing w:after="0"/>
              <w:rPr>
                <w:sz w:val="20"/>
                <w:szCs w:val="20"/>
                <w:color w:val="auto"/>
              </w:rPr>
            </w:pPr>
            <w:r>
              <w:rPr>
                <w:rFonts w:ascii="Arial" w:cs="Arial" w:eastAsia="Arial" w:hAnsi="Arial"/>
                <w:sz w:val="18"/>
                <w:szCs w:val="18"/>
                <w:color w:val="auto"/>
              </w:rPr>
              <w:t>6.1704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6.2869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1800" w:type="dxa"/>
            <w:vAlign w:val="bottom"/>
            <w:gridSpan w:val="2"/>
          </w:tcPr>
          <w:p>
            <w:pPr>
              <w:ind w:left="1200"/>
              <w:spacing w:after="0"/>
              <w:rPr>
                <w:sz w:val="20"/>
                <w:szCs w:val="20"/>
                <w:color w:val="auto"/>
              </w:rPr>
            </w:pPr>
            <w:r>
              <w:rPr>
                <w:rFonts w:ascii="Arial" w:cs="Arial" w:eastAsia="Arial" w:hAnsi="Arial"/>
                <w:sz w:val="18"/>
                <w:szCs w:val="18"/>
                <w:color w:val="auto"/>
              </w:rPr>
              <w:t>6.6549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6.7350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Determined by averaging the rates on the last business day of each month during the relevant period.</w:t>
      </w:r>
    </w:p>
    <w:p>
      <w:pPr>
        <w:sectPr>
          <w:pgSz w:w="11900" w:h="16838" w:orient="portrait"/>
          <w:cols w:equalWidth="0" w:num="1">
            <w:col w:w="11420"/>
          </w:cols>
          <w:pgMar w:left="240" w:top="125" w:right="239" w:bottom="0" w:gutter="0" w:footer="0" w:header="0"/>
          <w:type w:val="continuous"/>
        </w:sectPr>
      </w:pPr>
    </w:p>
    <w:bookmarkStart w:id="5" w:name="page6"/>
    <w:bookmarkEnd w:id="5"/>
    <w:p>
      <w:pPr>
        <w:ind w:left="660"/>
        <w:spacing w:after="0"/>
        <w:rPr>
          <w:sz w:val="20"/>
          <w:szCs w:val="20"/>
          <w:color w:val="auto"/>
        </w:rPr>
      </w:pPr>
      <w:r>
        <w:rPr>
          <w:rFonts w:ascii="Arial" w:cs="Arial" w:eastAsia="Arial" w:hAnsi="Arial"/>
          <w:sz w:val="17"/>
          <w:szCs w:val="17"/>
          <w:color w:val="auto"/>
        </w:rPr>
        <w:t>The following table sets forth the high and low exchange rates for Renminbi expressed as per one U.S. dollar during the past six months.</w:t>
      </w:r>
    </w:p>
    <w:p>
      <w:pPr>
        <w:spacing w:after="0" w:line="228"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Month Ended</w:t>
            </w:r>
          </w:p>
        </w:tc>
        <w:tc>
          <w:tcPr>
            <w:tcW w:w="1860" w:type="dxa"/>
            <w:vAlign w:val="bottom"/>
            <w:gridSpan w:val="2"/>
          </w:tcPr>
          <w:p>
            <w:pPr>
              <w:ind w:left="640"/>
              <w:spacing w:after="0"/>
              <w:rPr>
                <w:sz w:val="20"/>
                <w:szCs w:val="20"/>
                <w:color w:val="auto"/>
              </w:rPr>
            </w:pPr>
            <w:r>
              <w:rPr>
                <w:rFonts w:ascii="Arial" w:cs="Arial" w:eastAsia="Arial" w:hAnsi="Arial"/>
                <w:sz w:val="14"/>
                <w:szCs w:val="14"/>
                <w:b w:val="1"/>
                <w:bCs w:val="1"/>
                <w:color w:val="auto"/>
              </w:rPr>
              <w:t>High</w:t>
            </w:r>
          </w:p>
        </w:tc>
        <w:tc>
          <w:tcPr>
            <w:tcW w:w="1800" w:type="dxa"/>
            <w:vAlign w:val="bottom"/>
            <w:gridSpan w:val="2"/>
          </w:tcPr>
          <w:p>
            <w:pPr>
              <w:ind w:left="700"/>
              <w:spacing w:after="0"/>
              <w:rPr>
                <w:sz w:val="20"/>
                <w:szCs w:val="20"/>
                <w:color w:val="auto"/>
              </w:rPr>
            </w:pPr>
            <w:r>
              <w:rPr>
                <w:rFonts w:ascii="Arial" w:cs="Arial" w:eastAsia="Arial" w:hAnsi="Arial"/>
                <w:sz w:val="14"/>
                <w:szCs w:val="14"/>
                <w:b w:val="1"/>
                <w:bCs w:val="1"/>
                <w:color w:val="auto"/>
              </w:rPr>
              <w:t>Low</w:t>
            </w: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31, 2017</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6.5712</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3"/>
              </w:rPr>
              <w:t>6.6533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November 30, 2017</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6.5967</w:t>
            </w:r>
          </w:p>
        </w:tc>
        <w:tc>
          <w:tcPr>
            <w:tcW w:w="1800" w:type="dxa"/>
            <w:vAlign w:val="bottom"/>
            <w:gridSpan w:val="2"/>
          </w:tcPr>
          <w:p>
            <w:pPr>
              <w:ind w:left="1200"/>
              <w:spacing w:after="0"/>
              <w:rPr>
                <w:sz w:val="20"/>
                <w:szCs w:val="20"/>
                <w:color w:val="auto"/>
              </w:rPr>
            </w:pPr>
            <w:r>
              <w:rPr>
                <w:rFonts w:ascii="Arial" w:cs="Arial" w:eastAsia="Arial" w:hAnsi="Arial"/>
                <w:sz w:val="18"/>
                <w:szCs w:val="18"/>
                <w:color w:val="auto"/>
              </w:rPr>
              <w:t>6.6385</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6.5063</w:t>
            </w:r>
          </w:p>
        </w:tc>
        <w:tc>
          <w:tcPr>
            <w:tcW w:w="18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6.6210</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January 31, 2018</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6.2841</w:t>
            </w:r>
          </w:p>
        </w:tc>
        <w:tc>
          <w:tcPr>
            <w:tcW w:w="1800" w:type="dxa"/>
            <w:vAlign w:val="bottom"/>
            <w:gridSpan w:val="2"/>
          </w:tcPr>
          <w:p>
            <w:pPr>
              <w:ind w:left="1200"/>
              <w:spacing w:after="0"/>
              <w:rPr>
                <w:sz w:val="20"/>
                <w:szCs w:val="20"/>
                <w:color w:val="auto"/>
              </w:rPr>
            </w:pPr>
            <w:r>
              <w:rPr>
                <w:rFonts w:ascii="Arial" w:cs="Arial" w:eastAsia="Arial" w:hAnsi="Arial"/>
                <w:sz w:val="18"/>
                <w:szCs w:val="18"/>
                <w:color w:val="auto"/>
              </w:rPr>
              <w:t>6.5263</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2018</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6.2649</w:t>
            </w:r>
          </w:p>
        </w:tc>
        <w:tc>
          <w:tcPr>
            <w:tcW w:w="18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6.3471</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6.2685</w:t>
            </w:r>
          </w:p>
        </w:tc>
        <w:tc>
          <w:tcPr>
            <w:tcW w:w="1800" w:type="dxa"/>
            <w:vAlign w:val="bottom"/>
            <w:gridSpan w:val="2"/>
          </w:tcPr>
          <w:p>
            <w:pPr>
              <w:ind w:left="1200"/>
              <w:spacing w:after="0"/>
              <w:rPr>
                <w:sz w:val="20"/>
                <w:szCs w:val="20"/>
                <w:color w:val="auto"/>
              </w:rPr>
            </w:pPr>
            <w:r>
              <w:rPr>
                <w:rFonts w:ascii="Arial" w:cs="Arial" w:eastAsia="Arial" w:hAnsi="Arial"/>
                <w:sz w:val="18"/>
                <w:szCs w:val="18"/>
                <w:color w:val="auto"/>
              </w:rPr>
              <w:t>6.3565</w:t>
            </w:r>
          </w:p>
        </w:tc>
      </w:tr>
    </w:tbl>
    <w:p>
      <w:pPr>
        <w:spacing w:after="0" w:line="183" w:lineRule="exact"/>
        <w:rPr>
          <w:sz w:val="20"/>
          <w:szCs w:val="20"/>
          <w:color w:val="auto"/>
        </w:rPr>
      </w:pPr>
    </w:p>
    <w:p>
      <w:pPr>
        <w:ind w:left="660" w:right="8240" w:hanging="652"/>
        <w:spacing w:after="0" w:line="501" w:lineRule="auto"/>
        <w:tabs>
          <w:tab w:leader="none" w:pos="66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460" w:hanging="652"/>
        <w:spacing w:after="0" w:line="501" w:lineRule="auto"/>
        <w:tabs>
          <w:tab w:leader="none" w:pos="67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25"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Our business depends to a significant extent on certain online games, which accounted for 42.2%, 49.6% and 46.9% of our total net revenues in 2015, 2016 and 2017, respectively. We may not be able to maintain the popularity of these games for a variety of reasons.</w:t>
      </w:r>
    </w:p>
    <w:p>
      <w:pPr>
        <w:spacing w:after="0" w:line="142" w:lineRule="exact"/>
        <w:rPr>
          <w:sz w:val="20"/>
          <w:szCs w:val="20"/>
          <w:color w:val="auto"/>
        </w:rPr>
      </w:pPr>
    </w:p>
    <w:p>
      <w:pPr>
        <w:ind w:right="20" w:firstLine="648"/>
        <w:spacing w:after="0" w:line="277" w:lineRule="auto"/>
        <w:rPr>
          <w:sz w:val="20"/>
          <w:szCs w:val="20"/>
          <w:color w:val="auto"/>
        </w:rPr>
      </w:pPr>
      <w:r>
        <w:rPr>
          <w:rFonts w:ascii="Arial" w:cs="Arial" w:eastAsia="Arial" w:hAnsi="Arial"/>
          <w:sz w:val="16"/>
          <w:szCs w:val="16"/>
          <w:color w:val="auto"/>
        </w:rPr>
        <w:t>Certain of our mobile games, including the Fantasy Westward Journey mobile game, Westward Journey Online mobile game, Onmyoji and the mobile version of New Ghost, certain of our internally developed massively multi-player online role-playing PC-client games, known as PC-client MMORPGs, including Fantasy Westward Journey Online (previously known as Fantasy Westward Journey II), and certain games licensed from Blizzard Entertainment, Inc. (together with its affiliated companies, referred to as Blizzard in this annual report) such as Hearthstone</w:t>
      </w:r>
      <w:r>
        <w:rPr>
          <w:rFonts w:ascii="Arial" w:cs="Arial" w:eastAsia="Arial" w:hAnsi="Arial"/>
          <w:sz w:val="20"/>
          <w:szCs w:val="20"/>
          <w:color w:val="auto"/>
          <w:vertAlign w:val="superscript"/>
        </w:rPr>
        <w:t>®</w:t>
      </w:r>
      <w:r>
        <w:rPr>
          <w:rFonts w:ascii="Arial" w:cs="Arial" w:eastAsia="Arial" w:hAnsi="Arial"/>
          <w:sz w:val="16"/>
          <w:szCs w:val="16"/>
          <w:color w:val="auto"/>
        </w:rPr>
        <w:t>, contributed 42.2%, 49.6% and 46.9% of our total net revenues in 2015, 2016 and 2017, respectively. We expect that we will need to continually introduce new versions or substantive upgrades of these and our other online games on a frequent basis to maintain their popularity, although changes in users’ tastes or in the overall market for online games in China could alter the anticipated life cycle of each version or upgrade or even cause our users to stop playing our games altogether. Because of the limited history of the online games market in China, we cannot at this time estimate the total life cycle of any of our games, particularly our more recently launched mobile or PC-client games. If we are unable to maintain the popularity of our existing online games or are unable to introduce new online games which are popular with online game users in China (as discussed in the next risk factor), our business and results of operations could be materially and adversely affected. In particular, we have devoted, and expect to continue to devote, significant resources to maintain and raise the popularity of our online games through the release of new versions and/or expansion packs on a periodic basis and various promotional activities such as media advertising and game tournaments. For example, in 2017, we released several new games, including Demon Seals mobile, Land of Glory, Forever 7, Rules of Survival, Terminator</w:t>
      </w:r>
    </w:p>
    <w:p>
      <w:pPr>
        <w:spacing w:after="0" w:line="10" w:lineRule="exact"/>
        <w:rPr>
          <w:sz w:val="20"/>
          <w:szCs w:val="20"/>
          <w:color w:val="auto"/>
        </w:rPr>
      </w:pPr>
    </w:p>
    <w:p>
      <w:pPr>
        <w:ind w:right="260" w:firstLine="8"/>
        <w:spacing w:after="0" w:line="261"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Judgment Day and Knives Out, and introduced new expansion packs for Fantasy Westward Journey Online, New Westward Journey Online II and New Ghost.</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fail to develop and introduce new online games timely and successfully, we will not be able to compete effectively and our ability to generate revenues will suffer.</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operate in a highly competitive, quickly changing environment, and our future success depends not only on the popularity of our existing online games but also on our ability to develop and introduce new games that our customers and users choose to buy. If we are unsuccessful at developing and introducing new online games that are appealing to users with acceptable prices and terms, our business and operating results will be negatively impacted because we would not be able to compete effectively and our ability to generate revenues would suffer. The development of new online games can be very difficult and requires high levels of innovation.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New technologies in online game programming or operations could render our current online titles or other online games that we develop in the future obsolete or unattractive to our subscribers, thereby limiting our ability to recover development costs and potentially adversely affecting our future revenues and profitability. For example, the online game industry in China has been transitioning to mobile games, which have become increasingly popular as Internet users in China rely more and more on mobile devices, such as smart phones and tablets, to access the Internet. In response to this trend, we devote significant resources to developing games that can be operated on mobile devices. We have commercially launched over 100 self-developed and licensed mobile games as of December 31, 2017, including the Fantasy Westward Journey mobile game, Westward Journey Online mobile game, Onmyoji, the mobile version of New Ghost, Invincible, Demon Seals mobile and Land of Glory. Each of our new games has required long periods of time for research and development, testing and also typically experience long ramp-up periods as players become familiar with the games. We are still relatively new to the development of mobile games, and we cannot guarantee that we will be able to develop successful mobile games that appeal to players. We are not able to predict if or when we will commercially launch additional new games and whether any of our new games will gain popularity in the Chinese online game market.</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we are required to devote significant resources to the ongoing operations of our online games, such as staff costs related to our “Game Masters” which supervise the activities within our games and development costs for expansion packs of existing online games. If we fail to anticipate our users’ needs and technological trends accurately or are otherwise unable to complete the development of games in a timely fashion, we will be unable to introduce new games into the market to successfully compete.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demand for new games is difficult to forecast, in part due to the continuous evolution of the market and relatively short life cycles of online games. As we introduce and support additional games and as competition in the market for our games intensify, we expect that it will become more difficult to forecast demand. In particular, competition in the online game market is growing as more and more online games are introduced by existing and new market participants.</w:t>
      </w:r>
    </w:p>
    <w:p>
      <w:pPr>
        <w:sectPr>
          <w:pgSz w:w="11900" w:h="16838" w:orient="portrait"/>
          <w:cols w:equalWidth="0" w:num="1">
            <w:col w:w="11380"/>
          </w:cols>
          <w:pgMar w:left="240" w:top="125" w:right="279" w:bottom="0" w:gutter="0" w:footer="0" w:header="0"/>
        </w:sectPr>
      </w:pPr>
    </w:p>
    <w:bookmarkStart w:id="6" w:name="page7"/>
    <w:bookmarkEnd w:id="6"/>
    <w:p>
      <w:pPr>
        <w:spacing w:after="0" w:line="3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not be successful in making our mobile games profitable and our profits from mobile games may be relatively lower than the profits we have enjoyed historically for PC-client games.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profits from our mobile games, even if the games are successful, are generally lower than our profits generated from PC-client games, because, in order to gain access to our games on mobile app stores, which are the primary distribution channel for our mobile games, we must enter into revenue-sharing arrangements that result in lower profit margins compared with those of our PC-client games.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devoted and expect to continue to devote a significant amount of resources to the development of our mobile games, but the relatively lower profit margins and other uncertainties make it difficult to know whether we will succeed in making our mobile game operations profitable. If we do not succeed in doing so, our business and results of operations will be adversely affected.</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rely on third-party platforms to distribute our mobile games and collect payments. If we fail to maintain our relationships with these platforms, or if the platforms lose popularity among users, our mobile games business may be adversely affected.</w:t>
      </w:r>
    </w:p>
    <w:p>
      <w:pPr>
        <w:spacing w:after="0" w:line="166"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In addition to our proprietary distribution channels, we publish our mobile games through the Apple iOS app store and other mobile app stores or platforms owned and operated by third parties. We rely on these third parties to promote and publish our mobile games, record gross billings, maintain the security of their platforms to prevent fraudulent activities, provide certain user services and, in some instances, process payments from users.</w:t>
      </w:r>
    </w:p>
    <w:p>
      <w:pPr>
        <w:spacing w:after="0" w:line="14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193"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We rely on the continued operation of third-party platforms. We distribute our games through China’s major mobile platforms, including major app stores and social networking platforms. Our games benefit from the strong brand recognition, large user base and the stickiness of these mobile platforms. If any of these mobile platforms lose their market positions or are no longer popular with users, our ability to reach more users will be limited. In addition, we would need to identify alternative channels for marketing, promoting and distributing our games, which would consume substantial resources and may not be effective.</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not be able to maintain a stable relationship with Blizzard, and we may experience difficulties in the operation of the online games licensed from it or its affiliates.</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In August 2008 and April 2009, Blizzard agreed to license certain online games developed by it to Shanghai EaseNet Network Technology Co., Ltd., or Shanghai EaseNet, for operation in the PRC, including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Wings of Liberty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World of Warcraft. Shanghai EaseNet is a PRC company owned by William Lei Ding, our Chief Executive Officer, director and major shareholder, and has contractual arrangements with us and with the joint venture established between Blizzard and us. Since the establishment of this joint venture, Blizzard has agreed to license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Heart of the Swarm</w:t>
      </w:r>
      <w:r>
        <w:rPr>
          <w:rFonts w:ascii="Arial" w:cs="Arial" w:eastAsia="Arial" w:hAnsi="Arial"/>
          <w:sz w:val="20"/>
          <w:szCs w:val="20"/>
          <w:color w:val="auto"/>
          <w:vertAlign w:val="superscript"/>
        </w:rPr>
        <w:t>®</w:t>
      </w:r>
      <w:r>
        <w:rPr>
          <w:rFonts w:ascii="Arial" w:cs="Arial" w:eastAsia="Arial" w:hAnsi="Arial"/>
          <w:sz w:val="16"/>
          <w:szCs w:val="16"/>
          <w:color w:val="auto"/>
        </w:rPr>
        <w:t>, Heroes of the Storm</w:t>
      </w:r>
      <w:r>
        <w:rPr>
          <w:rFonts w:ascii="Arial" w:cs="Arial" w:eastAsia="Arial" w:hAnsi="Arial"/>
          <w:sz w:val="20"/>
          <w:szCs w:val="20"/>
          <w:color w:val="auto"/>
          <w:vertAlign w:val="superscript"/>
        </w:rPr>
        <w:t>®</w:t>
      </w:r>
      <w:r>
        <w:rPr>
          <w:rFonts w:ascii="Arial" w:cs="Arial" w:eastAsia="Arial" w:hAnsi="Arial"/>
          <w:sz w:val="16"/>
          <w:szCs w:val="16"/>
          <w:color w:val="auto"/>
        </w:rPr>
        <w:t>, Hearthstone, Diablo III</w:t>
      </w:r>
      <w:r>
        <w:rPr>
          <w:rFonts w:ascii="Arial" w:cs="Arial" w:eastAsia="Arial" w:hAnsi="Arial"/>
          <w:sz w:val="20"/>
          <w:szCs w:val="20"/>
          <w:color w:val="auto"/>
          <w:vertAlign w:val="superscript"/>
        </w:rPr>
        <w:t>®</w:t>
      </w:r>
      <w:r>
        <w:rPr>
          <w:rFonts w:ascii="Arial" w:cs="Arial" w:eastAsia="Arial" w:hAnsi="Arial"/>
          <w:sz w:val="16"/>
          <w:szCs w:val="16"/>
          <w:color w:val="auto"/>
        </w:rPr>
        <w:t>,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Legacy of the Void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Overwatch to Shanghai EaseNet for operation in the PRC, all of which have been commercially launched. In September 2016, Shanghai EaseNet and Blizzard extended the term of their joint venture as well as all existing game licenses by Blizzard to Shanghai EaseNet to January 2020. For further details, see Item 4.B. “Business Overview—Our Services—Game Licensing and Joint Venture with Blizzard.” If we are unable to maintain a stable relationship with Blizzard, or if Blizzard establishes similar or more favorable relationships with our competitors in violation of its contractual arrangements with us or otherwise, we may not be able to ensure the smooth operation of these licensed online games, and Blizzard could terminate or fail to renew the license and joint venture agreements with us, which in either case could harm our operating results and business. Moreover, the success of our arrangements with Blizzard depends on the popularity of the games licensed to us by it in the Chinese market, which is affected by, among other things, the frequency and success of updates and expansion packs to those games developed by Blizzard over which we have no control. In addition, certain events may limit Blizzard’s ability to develop or license online games, such as claims by third parties that Blizzard’s online games infringe such third parties’ intellectual property rights or Blizzard’s inability to acquire or maintain licenses to use another party’s intellectual property in its online games. In the case of such events, Blizzard may be unable to continue licensing online games to us or to continue participating in any joint venture with us, regardless of the stability of our relationship with Blizzard.</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licenses between Shanghai EaseNet and Blizzard require Shanghai EaseNet, as licensee of the games, to pay to Blizzard royalties for the games over the terms of the licenses, make minimum marketing expenditure commitments and provide funds for hardware to operate the games. We have guaranteed the payment of the foregoing amounts if and to the extent Shanghai EaseNet has insufficient funds to make such payments. We will be entitled to reimbursement of any amounts paid under the guarantee for marketing the licensed games and for hardware support to operate the games from any net profits subsequently generated by Shanghai EaseNet, after the deduction of, among others, various fees and expenses payable to Blizzard, us and our joint venture with Blizzard which will provide technical services to Shanghai EaseNet. See Item 4.B. “Business Overview—Our Services—Game Licensing and Joint Venture with Blizzard.” for details about these arrangements.</w:t>
      </w:r>
    </w:p>
    <w:p>
      <w:pPr>
        <w:spacing w:after="0" w:line="17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believe that our current cash and cash equivalents and cash flow from operations will be sufficient to meet our foregoing obligations. To the extent our obligations exceed our cash resources, we may seek to sell equity or debt securities or to obtain a credit facility. The sale of equity or convertible debt securities could result in dilution to shareholders. The incurrence of indebtedness would result in increased debt service obligations and could result in operating and financial covenants that would restrict operations. Financing may not be available in amounts or on terms acceptable to us, if at all. If we are</w:t>
      </w:r>
    </w:p>
    <w:p>
      <w:pPr>
        <w:sectPr>
          <w:pgSz w:w="11900" w:h="16877" w:orient="portrait"/>
          <w:cols w:equalWidth="0" w:num="1">
            <w:col w:w="11420"/>
          </w:cols>
          <w:pgMar w:left="240" w:top="337" w:right="239" w:bottom="0" w:gutter="0" w:footer="0" w:header="0"/>
        </w:sectPr>
      </w:pPr>
    </w:p>
    <w:bookmarkStart w:id="7" w:name="page8"/>
    <w:bookmarkEnd w:id="7"/>
    <w:p>
      <w:pPr>
        <w:spacing w:after="0" w:line="1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unable to meet our foregoing obligations, our licensed games operation and financial condition could be adversely affected and our licenses with Blizzard could be terminated.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results of operations and financial condition.</w:t>
      </w:r>
    </w:p>
    <w:p>
      <w:pPr>
        <w:spacing w:after="0" w:line="183"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Any difficulties or delays in receiving approval from the relevant government authorities for the operation of games we license from game developers outside of China or any expansion packs for or material changes to such games could adversely affect such games’ popularity and profitability.</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Games we license from game developers outside of China require government approvals before operation of such games within China. Moreover, even after licensed games have received government approvals, any expansion packs for or material changes of content to those games may require further government approvals. We cannot be certain of the duration of any necessary approval processes, and any delay in receiving such government approvals may adversely affect the profitability and popularity of such licensed games.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alliances may expose us to potential risks.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Strategic alliances with key players in the online game industry and other related industry sectors form part of our strategy to expand our portfolio of online games. For example, starting in August 2008, Blizzard agreed to license certain online games developed by it to Shanghai EaseNet for operation in the PRC. We have also formed a joint venture with Blizzard to provide technical services to Shanghai EaseNet. In addition, in May 2016, we entered into a five-year exclusive agreement with Mojang AB, a subsidiary of Microsoft, pursuant to which Microsoft and Mojang agreed to license the operation of Minecraft in the PRC to us. However, our ability to grow through future alliances, including through joint ventures, will depend on the availability of suitable partners at reasonable terms, our ability to compete effectively to attract these partners, the availability of financing to complete larger joint ventures, and our ability to obtain any required governmental approvals. Further, the benefits of an alliance may take considerable time to develop, and we cannot be certain that any particular alliance will produce its intended benefits.</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74"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new games may attract game players away from our existing games, which may have a material adverse effect on our business, financial condition and results of operations.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new online games, including mobile games and PC-client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changed game features in our online games may not be well received by our game players.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the course of launching and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Illegal game servers and acts of cheating by users of online games could harm our business and reputation and materially and adversely affect our results of operations.</w:t>
      </w:r>
    </w:p>
    <w:p>
      <w:pPr>
        <w:spacing w:after="0" w:line="166"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Several of our competitors have reported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acts of cheating by users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w:t>
      </w:r>
    </w:p>
    <w:p>
      <w:pPr>
        <w:sectPr>
          <w:pgSz w:w="11900" w:h="16945" w:orient="portrait"/>
          <w:cols w:equalWidth="0" w:num="1">
            <w:col w:w="11400"/>
          </w:cols>
          <w:pgMar w:left="240" w:top="125" w:right="259" w:bottom="0" w:gutter="0" w:footer="0" w:header="0"/>
        </w:sectPr>
      </w:pPr>
    </w:p>
    <w:bookmarkStart w:id="8" w:name="page9"/>
    <w:bookmarkEnd w:id="8"/>
    <w:p>
      <w:pPr>
        <w:spacing w:after="0" w:line="2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shortening the game’s lifecycle. Although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 a fair playing environment for our users. However, if any of our regulatory activities are found to be wrongly implemented, our users may institute legal proceedings against us for damages or claims. Our operation, business and financial performance may be materially and adversely affected as a result.</w:t>
      </w:r>
    </w:p>
    <w:p>
      <w:pPr>
        <w:spacing w:after="0" w:line="184"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Reports of violence and crimes related to online games or any claims of our gaming contents to be, among others, obscene, superstitious, fraudulent, defamatory or impairing public interest, may result in negative publicity or a governmental response that could have a material and adverse impact on our business.</w:t>
      </w:r>
    </w:p>
    <w:p>
      <w:pPr>
        <w:spacing w:after="0" w:line="18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new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the Telecommunications and Internet Industries in China—The Chinese government has taken steps to limit online game playing time for all minors. These and any other new restrictions may materially and adversely impact our business and results of operations.” If the Chinese government should determine that online games have a negative impact on society, it may impose certain additional restrictions on the online game industry, which could in turn have a material and adverse effect on our business and results of operations.</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the Chinese government and regulatory authorities prohibit any Internet content that, among other things, violates PRC laws and regulations, impairs the national dignity of China or the public interest, or is obscene, superstitious, fraudulent, violent or defamatory. Any claim of us failing to comply with these prohibitions may result in negative publicity and government actions, which in turn could have a material and adverse impact on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e-commerce business may expose us to new challenges and risks and may lower our profit margin.</w:t>
      </w:r>
    </w:p>
    <w:p>
      <w:pPr>
        <w:spacing w:after="0" w:line="229"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We established our two e-commerce platforms, Kaola.com, or Kaola, and You.163.com, or Yanxuan, in January 2015 and April 2016, respectively. Kaola sells mainly imported goods that we source from overseas suppliers, including maternity and baby products, skincare and cosmetics and other general merchandise. Yanxuan sells our private label products, including apparel, homeware, kitchenware and other general merchandise which we primarily source directly from original design manufacturers in China. We generate revenue from both these platforms through merchandise sales and recognize revenue on a gross basis as we carry our own inventory and have discretion in setting prices. Our e-commerce business exposes us to new challenges and risks associated with, for example, managing a global logistical network, operating directly in foreign jurisdictions and handling more complex supply and product return issues. Furthermore, our e-commerce business has required us to make significant investments in building a global supply and logistics infrastructure. The PRC regulatory framework, as well as the implementation policies of local authorities, in respect of overseas direct purchase and sale of merchandise, including beauty products, are still evolving. New laws and regulations and new interpretations of existing laws and regulations may be adopted from time to time to regulate our e-commerce business, and additional licenses and permits may be required. For example, in March 2016, relevant PRC regulatory authorities introduced new rules, which took effect on April 8, 2016, governing taxation of cross-border e-commerce retail imports that caps the value of goods that may be imported at a reduced tax rate, which may adversely impact transaction volumes of certain high-end commodities on cross-border e-commerce platforms like Kaola. Although such cap has not had a material impact on Kaola’s transaction values since being introduced, there can be no assurance that any revision to such cap or any other future regulations on cross-border e-commerce will not have a negative impact. Substantial uncertainties exist regarding the evolution of the regulatory system and the interpretation and implementation of current and future PRC laws and regulations applicable to our e-commerce business. For more information on this and other regulations affecting our e-commerce business, see “Government Regulations—E-commerce.”</w:t>
      </w:r>
    </w:p>
    <w:p>
      <w:pPr>
        <w:spacing w:after="0" w:line="193"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We have limited experience and operating history in the e-commerce business, which makes predicting our future results of operations difficult. Therefore, our past results of operations should not be taken as indicative of our future performance. In addition, we have incurred significant expenses on a variety of different marketing and brand promotion efforts designed to enhance the recognition of our e-commerce platforms and increase sales of our products on such platforms. However, our brand promotion and marketing activities may not be well received by our customers and may not result in the levels of product sales that we anticipate.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 from our e-commerce business will be adversely affected. Furthermore, our profit margin from the e-commerce business, even if the business is successful, is likely to be relatively lower than our profit margin from our online game business and advertising business. If we cannot successfully address new challenges specific to the e-commerce business and compete effectively, we may not be able to recover the costs of our investments, and our future results of operations and growth prospects may be materially and adversely affected.</w:t>
      </w:r>
    </w:p>
    <w:p>
      <w:pPr>
        <w:spacing w:after="0" w:line="169"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If we are unable to offer products that attract new customers and new purchases from existing customers, our e-commerce business may be materially and adversely affected.</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We are relatively new to this business and our lack of relevant customer data may make it more difficult for us to keep pace with evolving customer demands and preferences. Our e-commerce platforms make recommendations to customers based on their past purchases or on products that they viewed but did not purchase, and we also send e-mails to our customers with product recommendations tailored to their purchase profile. Our ability to make individually tailored recommendations is dependent on our business intelligence system, which tracks, collects and analyzes our users’ browsing and purchasing behavior. Our customers choose to purchase products on our</w:t>
      </w:r>
    </w:p>
    <w:p>
      <w:pPr>
        <w:sectPr>
          <w:pgSz w:w="11900" w:h="16865" w:orient="portrait"/>
          <w:cols w:equalWidth="0" w:num="1">
            <w:col w:w="11400"/>
          </w:cols>
          <w:pgMar w:left="240" w:top="125" w:right="259" w:bottom="0" w:gutter="0" w:footer="0" w:header="0"/>
        </w:sectPr>
      </w:pPr>
    </w:p>
    <w:bookmarkStart w:id="9" w:name="page10"/>
    <w:bookmarkEnd w:id="9"/>
    <w:p>
      <w:pPr>
        <w:spacing w:after="0" w:line="11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platforms due in part to our ability to offer attractive prices, and they may choose to shop elsewhere if we cannot match the prices offered by other platforms or by physical stores. If our customers cannot find their desired products on our e-commerce platforms at attractive prices, they may lose interest in us and visit our platforms less frequently or even stop visiting our platforms altogether, which in turn may materially and adversely affect our e-commerce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manage our inventory effectively, our e-commerce business and financial position may be materially and adversely affected.</w:t>
      </w:r>
    </w:p>
    <w:p>
      <w:pPr>
        <w:spacing w:after="0" w:line="24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e-commerce business requires us to manage a large volume of inventory effectively. We depend on our demand forecasts for various kinds of products to make purchase decisions and to manage our inventory. Demand for products, however, can change significantly between the time inventory is ordered and the date by which we hope to sell it, especially for direct sales for cross-border goods. Demand may be affected by seasonality, new product launches, changes in product cycles and pricing, product defects, changes in consumer spending patterns, changes in consumer tastes with respect to our products and other factors. In addition, our customers may not order products in the quantities that we expect. In addition, when we begin selling a new product, it may be difficult to establish relationships with suppliers and original design manufacturers, determine appropriate product selection, and accurately forecast demand. The acquisition of certain types of inventory may require significant lead time and prepayment and they may not be returnable. For those products we sell directly, we normally do not have the right to return unsold items to our suppliers.</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net inventories have increased significantly in 2017, from RMB1,578.1 million as of December 31, 2016 to RMB5,474.9 million (US$841.5 million) as of December 31, 2017. As we plan to continue expanding our product offerings, we expect to include more products in our inventory, which will make it more challenging for us to manage our inventory effectively and will put more pressure on our warehousing system.</w:t>
      </w:r>
    </w:p>
    <w:p>
      <w:pPr>
        <w:spacing w:after="0" w:line="16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we fail to manage our inventory effectively, we may be subject to a heightened risk of inventory obsolescence, a decline in inventory values, and significant inventory write-downs or write-offs. In addition, we may be required to lower sale prices in order to reduce inventory level,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17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the other hand, if we underestimate demand for our products, or if our suppliers fail to supply quality products in a timely manner, we may experience inventory shortages, which might result in missed sales, diminished brand loyalty and lost revenues, any of which could harm our e-commerce business and reputation.</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rely on third-party delivery services for our product delivery, and if such third-party delivery services fail to provide reliable delivery services, our e-commerce business and reputation may be materially and adversely affected.</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e-commence business uses a number of third-party delivery companies to deliver our products to customers. Any interruption to or failure in delivery services could prevent the timely or proper delivery of our products. These interruptions may be due to events that are beyond our control or the control of these third-party delivery services, such as inclement weather, natural disasters, transportation interruptions or labor unrest or shortage. We may not be able to find alternative delivery companies to provide delivery services in a timely and reliable manner, or at all, to replace such third-party delivery services to the extent necessary. If our products are not delivered in proper condition or on a timely basis or at all, our e-commerce business and reputation would suffer.</w:t>
      </w:r>
    </w:p>
    <w:p>
      <w:pPr>
        <w:spacing w:after="0" w:line="1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auto"/>
        </w:rPr>
        <w:t>We expect that a portion of our future revenues will continue to come from our advertising services, which represented approximately 4.5% of our total net revenues for 2017, but we may not be able to compete effectively in this market because it is relatively new and intensely competitive, in which case our ability to generate and maintain advertising revenue in the future could be adversely affected.</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Although we anticipate that the revenues generated by our online games and e-commerce business will continue to constitute the major portion of our future revenues, we believe that we will continue to rely on advertising as an important source of revenue for the foreseeable future. The popularity of online advertising in China has been growing quickly in recent years and many of our current and potential advertisers have gained experience with using the Internet as an advertising medium. Many advertisers, however, still do not devote a significant portion of their advertising expenditures to Internet-based advertising. Some advertisers may also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a large base of users possessing demographic characteristics attractive to advertisers;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software that blocks Internet advertisements before they appear on a user’s screen;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downward pressure on online advertising prices;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advertising delivery and tracking system.</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Changes in government policy could also restrict or curtail our online advertising services. Moreover, the acceptance of the Internet as a medium for advertising depends on the development of a measurement standard. No standards have been widely accepted for the measurement of the effectiveness of online advertising. Industry-wide standards may not develop sufficiently to support the Internet as an effective advertising medium. If these standards do not develop, advertisers may choose not to advertise on the Internet in general or through our media platforms.</w:t>
      </w:r>
    </w:p>
    <w:p>
      <w:pPr>
        <w:spacing w:after="0" w:line="171"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addition, competition in the online advertising industry in China is intense with numerous competitors such as Baidu, Inc., or Baidu, Sina Corporation, or Sina, Sohu.com Inc., or Sohu, Tencent Holdings Limited, or Tencent, Alibaba Group Holding Limited, or Alibaba, Phoenix New Media Limited, or iFeng.com, Jinri TouTiao.com, as well as virtual media such as SouFun Holdings Ltd., BitAuto Holdings Ltd. and Autohome Inc. The entry of</w:t>
      </w:r>
    </w:p>
    <w:p>
      <w:pPr>
        <w:sectPr>
          <w:pgSz w:w="11900" w:h="16952" w:orient="portrait"/>
          <w:cols w:equalWidth="0" w:num="1">
            <w:col w:w="11420"/>
          </w:cols>
          <w:pgMar w:left="240" w:top="125" w:right="239" w:bottom="0" w:gutter="0" w:footer="0" w:header="0"/>
        </w:sectPr>
      </w:pPr>
    </w:p>
    <w:bookmarkStart w:id="10" w:name="page11"/>
    <w:bookmarkEnd w:id="10"/>
    <w:p>
      <w:pPr>
        <w:spacing w:after="0" w:line="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 highly competitive Internet companies, whether domestic or international, into the Chinese market has and may continue to further heighten competition for advertising spending in China.</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competition intensified for advertising services, we launched new marketing strategies to grow our advertising business and to cater to changes in the needs of our advertising services customers. In particular, we increased our sales staff to support more direct contacts with advertisers. In addition, to increase traffic on the NetEase websites and other online and mobile platforms, particularly our mobile news platform, NetEase News App, and enhance their appeal to advertisers, we have been focusing on high profile events, such as the NetEase Annual Economist Conference and the NetEase Attitude Awards, an awards ceremony for individuals excelling in music, film and sports hosted by us to promote our brand name. We believe that these efforts, together with other factors, contributed to the growth of our net revenues from advertising services in recent years. We cannot assure you, however, that any of these efforts will continue to be successful in improving the financial results of our advertising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keep up with rapid changes in technologies and user behavior, our future success may be adversely affected.</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4G,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78"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We may be unable to obtain licenses to the music content necessary to provide our music streaming services or to obtain such licenses at an economically viable cost.</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ability to offer online music streaming services through our music streaming platform, Cloud Music, depends upon maintaining commercially viable licenses or arrangements with copyright owners for music content which is popular in China. Most of these licenses or arrangements we have are short-term and may be terminated at the convenience of the other party. Moreover, our agreements with copyright owners are usually non-exclusive, while some of our competitors have been entering into exclusive arrangements for music distribution rights in China. The competition in China for exclusive or non-exclusive licenses to distribute music content is fierce. As a result, certain owners of music content or exclusive rights to distribute music content have increased the fees they charge us for their content or distribution rights. This trend could increase our costs and operating expenses and could adversely affect our ability to obtain music content at an economically viable cost.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 prolonged slowdown in the PRC economy may materially and adversely affect our results of operations, financial condition, prospects and future expansion plans.</w:t>
      </w:r>
    </w:p>
    <w:p>
      <w:pPr>
        <w:spacing w:after="0" w:line="16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derive substantially all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5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rate of economic growth in the PRC has been experiencing a significant slowdown. Although the PRC government has implemented a number of measures to address the slowdown, these measures may not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laws and other obligations regarding data protection in China.</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VIEs, and among our company, our subsidiaries, VIEs and other parties with which we have commercial relations. These laws are continuing to develop, and the PRC government may adopt other rules and restrictions in the future. According to the Cyber Security Law of the People’s Republic of China, or Cyber 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 Security Law provides that personal information and important data collected and generated by an operator of critical information infrastructure in the course of its operations in the PRC must be stored in the PRC. We have undertaken significant measures in an effort to ensure compliance with the Cyber Security Law. More generally, complying with emerging and changing requirements may cause us to incur substantial costs or require us to change our business practices. Non-compliance could result in penalties or significant legal liability, including fines and public announcements of misconduct by the relevant authorities which govern the telecommunications systems.</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results of operations and financial condition. In addition, any negative publicity on our website or platform’s safety</w:t>
      </w:r>
    </w:p>
    <w:p>
      <w:pPr>
        <w:sectPr>
          <w:pgSz w:w="11900" w:h="16877" w:orient="portrait"/>
          <w:cols w:equalWidth="0" w:num="1">
            <w:col w:w="11400"/>
          </w:cols>
          <w:pgMar w:left="240" w:top="125" w:right="259" w:bottom="0" w:gutter="0" w:footer="0" w:header="0"/>
        </w:sectPr>
      </w:pPr>
    </w:p>
    <w:bookmarkStart w:id="11" w:name="page12"/>
    <w:bookmarkEnd w:id="11"/>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privacy protection mechanism and policy could have a material and adverse effect on our business, results of operations and financial condition, public image and reputation.</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be subject to breaches of our information technology systems, including security breaches and improper access to or disclosure of our data or user data, which could materially adversely affect our reputation and our results of operations and financial position and expose us to liability claims.</w:t>
      </w:r>
    </w:p>
    <w:p>
      <w:pPr>
        <w:spacing w:after="0" w:line="18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Any compromise of the security of our information technology systems could materially adversely affect the operations of NetEase’s websites and other online and mobile platforms,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 Hackers develop and deploy viruses, worms, and other malicious software programs to attack websites or other online and mobile platforms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In addition, we distribute our contents to users based on user interest levels indicated by their past viewing behavior. As a result, our content distribution platforms and the results of our user behavior analysis is subject to attempts of improper access or creating false or undesirable user accounts for purposes of spreading misinformation.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believe that we have not experienced any hacking activity or security breach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to system security, data encryption, and other security measures to protect our systems and data, but these security measures cannot provide absolute security.</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case of a breach of our systems, our data on the purchase and consumption of virtual items by our game players may be compromised, and as a result, our ability to accurately recognize revenues from certain of our online games and the playing experience of our game players could be materially and adversely affected. Moreover, if a computer security breach allows unauthorized access to or release of personal information and other data of our users, our reputation and brand could be materially damaged and use of the NetEase websites and other online and mobile platforms could decrease. We could also be exposed to a risk of loss or litigation and possible liability, which could result in a material adverse effect on our business,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 of our business is dependent on our ability to retain our existing key employees and to add and retain senior officers to our management.</w:t>
      </w:r>
    </w:p>
    <w:p>
      <w:pPr>
        <w:spacing w:after="0" w:line="26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revenues fluctuate significantly and may adversely impact the trading price of our American Depositary Shares, or ADSs, or any other securities which become publicly traded.</w:t>
      </w:r>
    </w:p>
    <w:p>
      <w:pPr>
        <w:spacing w:after="0" w:line="166"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147"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users to our websites and other online and mobile platforms in the increasingly competitive Internet market in China;</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 our business strategies as planned;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update and develop our Internet applications, services, technologies and infrastructure.</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Historically, our revenues from advertising and e-mail services have followed the same general seasonal trend throughout each year with the first quarter of the year being the weakest quarter due to the Chinese New Year holiday and the traditional close of customers’ annual budgets and the fourth</w:t>
      </w:r>
    </w:p>
    <w:p>
      <w:pPr>
        <w:sectPr>
          <w:pgSz w:w="11900" w:h="16975" w:orient="portrait"/>
          <w:cols w:equalWidth="0" w:num="1">
            <w:col w:w="11420"/>
          </w:cols>
          <w:pgMar w:left="240" w:top="125" w:right="239" w:bottom="0" w:gutter="0" w:footer="0" w:header="0"/>
        </w:sectPr>
      </w:pPr>
    </w:p>
    <w:bookmarkStart w:id="12" w:name="page13"/>
    <w:bookmarkEnd w:id="12"/>
    <w:p>
      <w:pPr>
        <w:ind w:right="60"/>
        <w:spacing w:after="0" w:line="255" w:lineRule="auto"/>
        <w:rPr>
          <w:sz w:val="20"/>
          <w:szCs w:val="20"/>
          <w:color w:val="auto"/>
        </w:rPr>
      </w:pPr>
      <w:r>
        <w:rPr>
          <w:rFonts w:ascii="Arial" w:cs="Arial" w:eastAsia="Arial" w:hAnsi="Arial"/>
          <w:sz w:val="18"/>
          <w:szCs w:val="18"/>
          <w:color w:val="auto"/>
        </w:rPr>
        <w:t>quarter being the strongest. Usage of online games has generally increased around the Chinese New Year holiday and other Chinese holidays, in particular winter and summer school holidays during which school-aged users have more time to use such services and play games. For our e-commerce business, we have generally experienced the highest levels of revenue in the fourth quarter of each calendar year as e-commerce companies in China including us organize special promotional campaigns annually on November 11 and December 12.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or widespread public health problem or outbreaks could adversely affect our business and results of operations.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business could be adversely affected by natural disasters, widespread public health or other outbreaks and epidemics, such as earthquakes, fires or floods, SARS, and H5N1 influenza. There have been recent reports of outbreaks of an avian flu caused by the H7N9 influenza and H5N6 influenza including confirmed human cases in China. The spread of H5N6 or H7N9, or any other widespread public health problem in China, where substantially all of our revenue is derived, or in Beijing, Shanghai, Guangzhou or Hangzhou, where most of our employees are located, could have a material and adverse effect on our business and operations. Our operations may be impacted due to closures of our offices or the sickness or death of our key officers and employees. Our operations could also be severely disrupted if such health problems or outbreak lead to a general slowdown in the Chinese economy or if our suppliers, customers or business partners were affected by such natural disasters, outbreaks or health epidemics.</w:t>
      </w:r>
    </w:p>
    <w:p>
      <w:pPr>
        <w:spacing w:after="0" w:line="16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do not own Guangzhou NetEase Computer System Co., Ltd., or Guangzhou NetEase, and certain other affiliated entities, and if they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8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Certain of our affiliated companies are owned by shareholders whose interests may differ from ours and those of our shareholders because they own a larger percentage of such companies than of our company. In particular, the business and operations of Guangzhou NetEase, the operator of the NetEase websites and a provider of online games, e-mail and other fee-based premium services, Wangyibao Co., Ltd., or Wangyibao, the operator of our Wangyibao online payment platform and a wholly-owned subsidiary of Guangzhou NetEase, Beijing NetEase Youdao Computer System Co., Ltd., or Youdao Computer, the operator of our online dictionary, online education and other cloud application services, Beijing NetEase Media Co., Ltd. (previously named Beijing Guangyitong Advertising Co., Ltd.), or NetEase Advertising, an advertising firm, and Hangzhou NetEase Leihuo Network Co., Ltd., or Hangzhou Leihuo, a provider of mobile games, and certain other affiliated companies, are subject to Chinese laws and regulations that differ from the laws and regulations that govern the business and operations of NetEase. For example, Chinese laws and regulations require us to verify the content of third-party advertising we place on the NetEase websites and other online and mobile platforms, and we are partly dependent upon the conduct of NetEase Advertising, which is not directly subject to those laws and regulations, in order to ensure that we remain compliant with those laws and regulations. These affiliated companies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The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Because our contractual arrangements with Guangzhou NetEase and certain other affiliated entities and their ultimate shareholders do not detail the parties’ rights and obligations, our remedies for a breach of these arrangements are limited.</w:t>
      </w:r>
    </w:p>
    <w:p>
      <w:pPr>
        <w:spacing w:after="0" w:line="16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current relationship with Guangzhou NetEase and certain other affiliated entities and their ultimate shareholders is based on a number of contracts, and these affiliated companies are considered our “variable interest entities,” or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and certain other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62"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A majority of the share capital of Guangzhou NetEase, NetEase Advertising, Wangyibao and Youdao Computer and the entire share capital of Shanghai EaseNet is held by our major shareholder, who may cause these agreements to be amended in a manner that is adverse to us.</w:t>
      </w:r>
    </w:p>
    <w:p>
      <w:pPr>
        <w:spacing w:after="0" w:line="12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major shareholder, William Lei Ding, directly or indirectly holds the majority interest in Guangzhou NetEase, NetEase Advertising, Wangyibao and Youdao Computer.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6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may not be able to conduct our operations without the services provided by Guangzhou NetEase, NetEase Advertising, Hangzhou Leihuo, Shanghai EaseNet, Youdao Computer and certain other affiliated entities.</w:t>
      </w:r>
    </w:p>
    <w:p>
      <w:pPr>
        <w:sectPr>
          <w:pgSz w:w="11900" w:h="16838" w:orient="portrait"/>
          <w:cols w:equalWidth="0" w:num="1">
            <w:col w:w="11400"/>
          </w:cols>
          <w:pgMar w:left="240" w:top="125" w:right="259" w:bottom="0" w:gutter="0" w:footer="0" w:header="0"/>
        </w:sectPr>
      </w:pPr>
    </w:p>
    <w:bookmarkStart w:id="13" w:name="page14"/>
    <w:bookmarkEnd w:id="13"/>
    <w:p>
      <w:pPr>
        <w:ind w:right="80" w:firstLine="648"/>
        <w:spacing w:after="0" w:line="291" w:lineRule="auto"/>
        <w:rPr>
          <w:sz w:val="20"/>
          <w:szCs w:val="20"/>
          <w:color w:val="auto"/>
        </w:rPr>
      </w:pPr>
      <w:r>
        <w:rPr>
          <w:rFonts w:ascii="Arial" w:cs="Arial" w:eastAsia="Arial" w:hAnsi="Arial"/>
          <w:sz w:val="16"/>
          <w:szCs w:val="16"/>
          <w:color w:val="auto"/>
        </w:rPr>
        <w:t>Our operations are currently dependent upon our commercial relationships with Guangzhou NetEase, NetEase Advertising, Hangzhou Leihuo, Shanghai EaseNet, Youdao Computer and certain other affiliated entities, and we derive most of our revenues from these companies. If these companies are unwilling or unable to perform the agreements which we have entered into with them, we may not be able to conduct our operations in the manner in which we currently do. In addition, Guangzhou NetEase, NetEase Advertising, Hangzhou Leihuo, Shanghai EaseNet, Youdao Computer and certain other affiliated entities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of our shareholders has significant influence over our company.</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Our founder, Chief Executive Officer and director, William Lei Ding, beneficially owned, as of December 31, 2017, approximately 44.3%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89"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color w:val="auto"/>
        </w:rPr>
        <w:t>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42"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ADSs and service any debt we may incur. PRC tax authorities may also require us to amend our contractual arrangements with Guangzhou NetEase, NetEase Advertising, Hangzhou Leihuo, Shanghai EaseNet, Youdao Computer and certain other affiliated entities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below for further details. Any limitation on the ability of our PRC subsidiaries and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VIEs are not permitted under PRC law to directly lend money to one another.</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177"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Our arrangements with Guangzhou NetEase, NetEase Advertising, Hangzhou Leihuo, Shanghai EaseNet, Youdao Computer and certain other affiliated entities and their respective shareholders may cause a transfer pricing adjustment and may be subject to scrutiny by the PRC tax authorities.</w:t>
      </w:r>
    </w:p>
    <w:p>
      <w:pPr>
        <w:spacing w:after="0" w:line="18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could face material and adverse tax consequences if the PRC tax authorities determine that our contracts with Guangzhou NetEase, NetEase Advertising, Hangzhou Leihuo, Shanghai EaseNet, Youdao Computer and certain other affiliated entities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 transfer of shares of Guangzhou NetEase, NetEase Advertising, Hangzhou Leihuo, Shanghai EaseNet, Youdao Computer or certain other affiliated entities may trigger tax liability.</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we need to cause the transfer of shareholdings of Guangzhou NetEase, NetEase Advertising, Hangzhou Leihuo, Shanghai EaseNet, Youdao Computer or certain other affiliated entities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ectPr>
          <w:pgSz w:w="11900" w:h="16838" w:orient="portrait"/>
          <w:cols w:equalWidth="0" w:num="1">
            <w:col w:w="11420"/>
          </w:cols>
          <w:pgMar w:left="240" w:top="125" w:right="239" w:bottom="0" w:gutter="0" w:footer="0" w:header="0"/>
        </w:sectPr>
      </w:pPr>
    </w:p>
    <w:bookmarkStart w:id="14" w:name="page15"/>
    <w:bookmarkEnd w:id="14"/>
    <w:p>
      <w:pPr>
        <w:ind w:right="600"/>
        <w:spacing w:after="0" w:line="282" w:lineRule="auto"/>
        <w:rPr>
          <w:sz w:val="20"/>
          <w:szCs w:val="20"/>
          <w:color w:val="auto"/>
        </w:rPr>
      </w:pPr>
      <w:r>
        <w:rPr>
          <w:rFonts w:ascii="Arial" w:cs="Arial" w:eastAsia="Arial" w:hAnsi="Arial"/>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Effective as of January 1, 2008, the Chinese government adopted the Enterprise Income Tax Law, as further clarified by subsequent tax regulations implementing the new income tax law, which unified the enterprise income tax, or EIT, rates payable by domestic and foreign-invested enterprises at 25.0%. Preferential tax treatments continue to be granted to entities that conduct business in encouraged sectors and to entities that are classified as “High and New Technology Enterprises,” or HNTEs, or “Software Enterprises” or “Key Software Enterprises,” whether such entities are foreign invested enterprises or domestic companies.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number of our subsidiaries enjoy preferential tax rates by being recognized as an HNTE and/or a “Key Software Enterprise.” For example, NetEase Beijing, Boguan and NetEase (Hangzhou) Network Co., Ltd., or NetEase Hangzhou, and NetEase Media Technology (Beijing) Co., Ltd., or Media Beijing, were qualified as HNTEs and enjoyed a preferential tax rate of 15% for 2015, 2016 and 2017. In addition, Boguan, NetEase Hangzhou and Media Beijing were each qualified as a Key Software Enterprise in 2016 and 2017 and enjoyed a further reduced preferential tax rate of 10% for 2015 and 2016. See Item 5.A. “Operating Results—Income Taxes.”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status are subject to an annual assessment by the relevant government authorities in China. Without any preferential tax status, the standard EIT rate is 25.0%. Moreover, if there are further changes to the relevant income tax laws and their implementation, our subsidiaries and VIEs may need to pay additional taxes, which could have a material adverse effect on our results of operations.</w:t>
      </w:r>
    </w:p>
    <w:p>
      <w:pPr>
        <w:spacing w:after="0" w:line="1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8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of 5.0% is applied if the “non-resident enterprises” are registered in Hong Kong or other jurisdictions that have a favorable tax treaty arrangement with China. Nevertheless, the PRC State Administration of Taxation promulgated a tax notice on October 27, 2009, or Circular 601, which provides that tax treaty benefits will be denied to “conduit” or shell companies without business substance, and a beneficial ownership analysis will be used based on a “substance-over-form” principle to determine whether or not to grant tax treaty benefits. It is unclear at this stage whether Circular 601 applies to dividends from our PRC subsidiaries paid to us through our Hong Kong subsidiaries. It is possible that under Circular 601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Because we may be treated as a “resident enterprise,” any dividends paid to the corporate shareholders or shareholders appearing as corporate entities on the share registers of NetEase, Inc. which are considered “non-resident enterprises” may be subject to withholding income tax, and gains realized on the transfer of our ordinary shares or ADSs by such shareholders may be subject to PRC income tax, which may adversely and materially affect the value of the investment in our shares or ADSs.</w:t>
      </w:r>
    </w:p>
    <w:p>
      <w:pPr>
        <w:spacing w:after="0" w:line="183"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If we fail to maintain an effective system of internal control over financial reporting, we may lose investor confidence in the reliability of our financial statements which in turn could negatively impact the trading price of our ADSs or otherwise harm our reputation.</w:t>
      </w:r>
    </w:p>
    <w:p>
      <w:pPr>
        <w:spacing w:after="0" w:line="14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and concluded that our internal control over financial reporting was effective as of December 31, 2017. Our independent registered public accounting firm has also, in its audit report, concluded that our internal control over financial reporting was effective in all material aspects as of December 31, 2017.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w:t>
      </w:r>
    </w:p>
    <w:p>
      <w:pPr>
        <w:sectPr>
          <w:pgSz w:w="11900" w:h="16838" w:orient="portrait"/>
          <w:cols w:equalWidth="0" w:num="1">
            <w:col w:w="11420"/>
          </w:cols>
          <w:pgMar w:left="240" w:top="121" w:right="239" w:bottom="0" w:gutter="0" w:footer="0" w:header="0"/>
        </w:sectPr>
      </w:pPr>
    </w:p>
    <w:bookmarkStart w:id="15" w:name="page16"/>
    <w:bookmarkEnd w:id="15"/>
    <w:p>
      <w:pPr>
        <w:spacing w:after="0" w:line="342" w:lineRule="auto"/>
        <w:rPr>
          <w:sz w:val="20"/>
          <w:szCs w:val="20"/>
          <w:color w:val="auto"/>
        </w:rPr>
      </w:pPr>
      <w:r>
        <w:rPr>
          <w:rFonts w:ascii="Arial" w:cs="Arial" w:eastAsia="Arial" w:hAnsi="Arial"/>
          <w:sz w:val="16"/>
          <w:szCs w:val="16"/>
          <w:color w:val="auto"/>
        </w:rPr>
        <w:t>turn could negatively impact the trading price of our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network interruption caused by system failures may reduce visitor traffic and harm our reputation.</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vulnerable to natural disasters and other events.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cannot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carry property insurance with low coverage limits that may not be adequate to compensate us for all losses, particularly with respect to loss of business and reputation that may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acquisitions and investments could result in operating difficulties, dilution and other harmful consequences.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87"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costs of identifying and consummating acquisitions;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management, technologies and employees of the acquired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coordination of products and services, engineering and sales and marketing functions;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employees from the businesses we acquire;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significant impairment losses related to goodwill and other intangible assets acquired or investments in other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expenses in obtaining approvals for the transaction from shareholders and relevant government authorities in China;</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overseas acquisitions, the need to integrate operations across different cultures and languages and to address the particular economic, currency, political and regulatory risks associated with specific countries;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the intended objectives, benefits or revenue-enhancing opportunities.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6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Some of our players make sales and purchases of our game accounts and virtual items through third-party auction websites, which may have a negative effect on our net revenues.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Some of our players make sales and purchases of our game accounts and virtual items through third-party auction websites in exchange for real money.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results of operations and financial conditions.</w:t>
      </w:r>
    </w:p>
    <w:p>
      <w:pPr>
        <w:sectPr>
          <w:pgSz w:w="11900" w:h="16838" w:orient="portrait"/>
          <w:cols w:equalWidth="0" w:num="1">
            <w:col w:w="11400"/>
          </w:cols>
          <w:pgMar w:left="240" w:top="125" w:right="259" w:bottom="0" w:gutter="0" w:footer="0" w:header="0"/>
        </w:sectPr>
      </w:pPr>
    </w:p>
    <w:bookmarkStart w:id="16" w:name="page17"/>
    <w:bookmarkEnd w:id="16"/>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providers of bandwidth and server custody service fail to provide these services, our business could be materially curtailed.</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rely on affiliates of China Unicom, China Telecom and China Net Center to provide us with bandwidth and server custody service for Internet users to access the NetEase websites and other online and mobile platforms. If China Unicom, China Telecom, China Net Center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8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may be held liable for information or content displayed on, retrieved from or linked to the NetEase websites and other online and mobile platforms.</w:t>
      </w:r>
    </w:p>
    <w:p>
      <w:pPr>
        <w:spacing w:after="0" w:line="16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and other online and mobile platforms. We are involved in several intellectual property infringement claims or actions and are occasionally subject to defamation claims.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user-generated content that is accessible on the NetEase websites or other online and mobile platforms such as content and materials posted by users on message boards, online communities, voting systems, e-mail, chat rooms or livestreams that are offered on the NetEase websites or online and mobile platforms. By providing technology for hypertext links to third-party websites, we may be held liable for copyright or trademark violations by those third-party sites. Third parties could assert claims against us for losses incurred in reliance on any erroneous information distributed by us. Moreover, users of the NetEase web-based e-mail services could seek damages from us for:</w:t>
      </w:r>
    </w:p>
    <w:p>
      <w:pPr>
        <w:spacing w:after="0" w:line="169"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unsolicited e-mails;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lost or misplaced messages;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illegal or fraudulent use of e-mail; or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e-mail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incur significant costs in investigating and defending these claims, even if they do not result in liability.</w:t>
      </w:r>
    </w:p>
    <w:p>
      <w:pPr>
        <w:spacing w:after="0" w:line="22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Information displayed on, retrieved from or linked to the NetEase websites and other online and mobile platforms may subject us to claims of violating Chinese laws.</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Violations or perceived violations of Chinese laws arising from information displayed on, retrieved from or linked to the NetEase websites and other online and mobile platforms could result in significant penalties, including a temporary or complete cessation of our business. China has enacted regulations governing Internet access and the distribution of news and other information. Furthermore, multiple organizations are involved in the administering of such regulations, including the Propaganda Department of the Chinese Communist Party, which has been given the responsibility to censor news published in China to ensure, supervise and control a particular political ideology, and the Cyberspace Administration of China, or CAC, which has been given the responsibility to protect, supervise and administer cyber security issues in China. In addition, the PRC Ministry of Industries and Information Technology, or MII,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or transmitted by users on message boards, virtual communities, chat rooms or e-mails. Furthermore, where the transmitted content clearly violates the laws of the PRC, we will be required to delete it. In the case where we consider transmitted content suspicious, we are required to report such content. We must also undergo computer security inspections, and if we fail to implement the relevant safeguards against security breaches, we may be shut down. In addition, under the relevant regulations, Internet companies which provide bulletin board systems, chat rooms or similar services, such as our company, must apply for the approval of the State Secrecy Bureau. As the implementing rules of these new regulations have not been issued, we do not know how or when we will be expected to comply, or how our business will be affected by the application of these regulations.</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the Chinese government takes any action to limit or eliminate the distribution of information through the NetEase websites or other online and mobile platforms, or to limit or regulate any current or future community functions available to users or otherwise block the NetEase websites or other online and mobile platforms, our business would be significantly harmed.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adequately protect our intellectual property, and we may be exposed to infringement claims by third parties.</w:t>
      </w:r>
    </w:p>
    <w:p>
      <w:pPr>
        <w:spacing w:after="0" w:line="2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Monitoring unauthorized use of our services is difficult and costly, and we cannot be certain that the steps we take will effectively prevent misappropriation of our technology.</w:t>
      </w:r>
    </w:p>
    <w:p>
      <w:pPr>
        <w:sectPr>
          <w:pgSz w:w="11900" w:h="16909" w:orient="portrait"/>
          <w:cols w:equalWidth="0" w:num="1">
            <w:col w:w="11420"/>
          </w:cols>
          <w:pgMar w:left="240" w:top="125" w:right="239" w:bottom="0" w:gutter="0" w:footer="0" w:header="0"/>
        </w:sectPr>
      </w:pPr>
    </w:p>
    <w:bookmarkStart w:id="17" w:name="page18"/>
    <w:bookmarkEnd w:id="17"/>
    <w:p>
      <w:pPr>
        <w:spacing w:after="0" w:line="3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 and Proprietary Rights.”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or become a passive foreign investment company, or PFIC, which could result in adverse U.S. federal income tax consequences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believe that we were a PFIC for a taxable year 2017. The PFIC determination is highly fact intensive and made at the end of each taxable year. For these reasons, there can be no assurance that we were not a PFIC in 2017 or that we will not be a PFIC in any future taxable year or that the U.S. Internal Revenue Service will not challenge our determination concerning our PFIC status.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we are or become a PFIC, and, if so, if one or more of our subsidiaries are treated as PFICs, U.S. holders of our shares or ADSs would be subject to adverse U.S. federal income tax consequences, such as ineligibility for any preferential tax rates on capital gains or on actual or deemed dividends, interest charges on certain taxes treated as deferred, and additional reporting requirements under U.S. federal income tax laws and regulations. Whether U.S. holders of our shares or ADSs make (or are eligible to make) a timely qualified electing fund, or QEF, election or a mark-to-market election may affect the U.S. federal income tax consequences to U.S. holders with respect to the acquisition, ownership and disposition of our shares and ADSs and any distributions such U.S. holders may receive. We do not, however, expect to provide the information regarding our income that would be necessary in order for a U.S. holder to make a QEF election if we are classified as a PFIC. Investors should consult their own tax advisors regarding all aspects of the application of the PFIC rules to our shares and ADSs.</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we are a PFIC in any year with respect to a U.S. Holder (as defined below), the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 U.S. Holders should consult their tax advisors regarding the potential application of the PFIC regime and related reporting requirements.</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Item 10.E “Additional Information—Taxation—United States Federal Income Taxation.”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 legal environment in China could limit the legal protections available to you.</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54"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Substantial uncertainties exist with respect to the enactment timetable, interpretation and implementation of a draft PRC Foreign Investment Law and how it may impact the viability of our current corporate structure, corporate governance and business operations.</w:t>
      </w:r>
    </w:p>
    <w:p>
      <w:pPr>
        <w:spacing w:after="0" w:line="14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PRC Ministry of Commerce published a discussion draft of a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Foreign-Owned Enterprise Law, together with their implementation rules and ancillary regulations. The Ministry of Commerce completed the solicitation of comments on this draft in February 2015 and indicated in March 2017 that it had revised the draft Foreign Investment Law based on public comments and was cooperating with the Legislative Affairs Office of the State Council and the Law Committee of National People’s Congress for the legislative deliberation of the revised draft Foreign Investment Law. However, the revised draft Foreign Investment Law has not been made available to the public and there are still substantial uncertainties with respect to the enactment timetable and the final content of the Foreign Investment Law.</w:t>
      </w:r>
    </w:p>
    <w:p>
      <w:pPr>
        <w:spacing w:after="0" w:line="19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Among other things, the draft Foreign Investment Law proposes to expand the definition of foreign investment and to introduce the principle of “actual control” in determining whether a company is considered a foreign-invested enterprise. The draft Foreign Investment Law specifically proposes that entities established in China but “controlled” by foreign investors will be treated as foreign-invested enterprises, whereas an entity established in China by an investor from a foreign jurisdiction but “controlled” by PRC entities and/or citizens would be treated as a permitted PRC domestic investor in a restricted</w:t>
      </w:r>
    </w:p>
    <w:p>
      <w:pPr>
        <w:sectPr>
          <w:pgSz w:w="11900" w:h="16877" w:orient="portrait"/>
          <w:cols w:equalWidth="0" w:num="1">
            <w:col w:w="11380"/>
          </w:cols>
          <w:pgMar w:left="240" w:top="341" w:right="279" w:bottom="0" w:gutter="0" w:footer="0" w:header="0"/>
        </w:sectPr>
      </w:pPr>
    </w:p>
    <w:bookmarkStart w:id="18" w:name="page19"/>
    <w:bookmarkEnd w:id="18"/>
    <w:p>
      <w:pPr>
        <w:ind w:right="180"/>
        <w:spacing w:after="0" w:line="290" w:lineRule="auto"/>
        <w:rPr>
          <w:sz w:val="20"/>
          <w:szCs w:val="20"/>
          <w:color w:val="auto"/>
        </w:rPr>
      </w:pPr>
      <w:r>
        <w:rPr>
          <w:rFonts w:ascii="Arial" w:cs="Arial" w:eastAsia="Arial" w:hAnsi="Arial"/>
          <w:sz w:val="16"/>
          <w:szCs w:val="16"/>
          <w:color w:val="auto"/>
        </w:rPr>
        <w:t>industry. In this connection, “control” is broadly defined in the draft law to cover the following summarized categories: (i) holding 50% or more of the shares, voting rights or other similar rights of the subject entity; (ii) holding less than 50% of the shares, voting rights or other similar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determined to be a foreign-invested enterprise, it will be subject to the foreign investment restrictions or prohibitions set forth in a “negative list,” to be separately issued by the State Council at a later date. If the underlying business of the foreign-invested enterprise falls within the negative list, market entry clearance by the Ministry of Commerce would be required for the establishment of such foreign-invested enterprise.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 and “Our Organizational Structure.” Under the draft Foreign Investment Law, VIEs that are controlled via contractual arrangements would also be deemed foreign-invested enterprises if they are ultimately “controlled” by foreign investors. Therefore, for any company with a VIE structure in a restricted industry category that is included on the “negative list,” the VIE structure may be permissible only if the ultimate controlling person(s) is/are of PRC nationality (either PRC companies or PRC citizens) or if such foreign investment has obtained market entry clearance from the Ministry of Commerce. Conversely, if the actual controlling person(s) is/are of foreign nationalities, then the VIEs will be treated as foreign-invested enterprises and any operations in a restricted industry category without prior market entry clearance may be considered illegal.</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It is uncertain whether we would be considered to be ultimately controlled by Chinese parties. Mr. William Lei Ding, our director and chief executive officer and a PRC citizen, was the largest shareholder of NetEase as of the close of the period covered by the annual report, but shares owned by him constituted less than 50% of NetEase’s then total outstanding ordinary shares. It is uncertain whether Mr. Ding would be deemed to have control over NetEase under the draft Foreign Investment Law. Moreover, the draft Foreign Investment Law has not taken a position on what actions would be taken with respect to the existing companies with a VIE structure, whether or not these companies are controlled by Chinese parties. In addition, it is uncertain whether the industries of online games, online advertising, e-commerce and other services in which our VIEs operate will be subject to the foreign investment restrictions or prohibitions set forth in the “negative list” that is to be issued by the State Council. If the enacted version of the Foreign Investment Law and the final “negative list” mandate further actions, such as market entry clearance or restructuring of corporate structure and operations, to be completed by companies with existing VIE structure like us, there may be substantial uncertainties as to whether we can complete these actions in a timely manner, or at all, and our business and financial condition may be materially and adversely affected.</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proposes to impose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foreign-invested enterprises meeting certain criteria are required to report on a quarterly basis. Also, the Ministry of Commerce may supervise and examine the foreign investors and the foreign-invested enterprises on a regular and irregular basis on their compliance with the Foreign Investment Law. Any company found to be non-compliant with these information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drafting, interpretation and enforcement in China involve significant uncertainty.</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entered into numerous contracts governed by PRC law, many of which are material to our business. As compared with contracts in the United States, contracts governed by PRC law tend to contain less detail and are not as comprehensive in defining contracting parties’ rights and obligations. As a result, contracts in China are more vulnerable to disputes and legal challenges. In addition, contract interpretation and enforcement in China is not as developed as in the United States, and the result of any contract dispute is subject to significant uncertainties. Therefore, we cannot assure you that we will not be subject to disputes under our material contracts, and if such disputes arise, we cannot assure you that we will prevail. Any dispute involving material contracts, even without merit, may materially and adversely affect our reputation and our business operations, and may cause the price of our ADSs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China’s political and economic policies could harm our business.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structure;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government involvement in the economy;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capital reinvestment;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of foreign exchange;</w:t>
      </w:r>
    </w:p>
    <w:p>
      <w:pPr>
        <w:sectPr>
          <w:pgSz w:w="11900" w:h="16838" w:orient="portrait"/>
          <w:cols w:equalWidth="0" w:num="1">
            <w:col w:w="11420"/>
          </w:cols>
          <w:pgMar w:left="240" w:top="125" w:right="239" w:bottom="0" w:gutter="0" w:footer="0" w:header="0"/>
        </w:sectPr>
      </w:pPr>
    </w:p>
    <w:bookmarkStart w:id="19" w:name="page20"/>
    <w:bookmarkEnd w:id="19"/>
    <w:p>
      <w:pPr>
        <w:spacing w:after="0" w:line="28"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methods of allocating resources;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of payments position.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of these differences, our business may not develop in the same way or at the same rate as might be expected if the Chinese economy were similar to those of the OECD member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 in Renminbi exchange rates could adversely affect the value of our ADSs and any cash dividend declared on them.</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allowed the RMB to appreciate slowly against the U.S. dollar again, and it had appreciated more than 10% since June 2010 until it began to depreciate against the U.S. dollar in January 2014. Between January 2014 and December 2017, the RMB depreciated against the U.S. dollar by approximately 8.5%.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 of the RMB against the U.S. dollar. Our revenues are primarily denominated in Renminbi, and any significant depreciation of the RMB may affect the value of, and dividends (if any) payable on, our ADSs in U.S. dollar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currency exchange may limit our ability to utilize our revenues effectively.</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existing PRC foreign exchange regulations, payments of current account items, including payment of dividends, interest payments and trade and service-related foreign exchange transactions, can be made in foreign currencies without prior approval of the State Administration of Foreign Exchange, or SAFE, by complying with certain procedural requirements. Our PRC subsidiaries and affiliates may also retain foreign exchange in its current account to satisfy foreign exchange liabilities or to pay dividends.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foreign exchange transactions under the capital account are subject to limitations and require registration with or approval by the relevant PRC governmental authorities. In particular,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28, 2007, SAFE promulgated the Application Procedure of Foreign Exchange Administration for Domestic Individuals Participating in Employee Stock Holding Plan or Share Option Plan of Overseas-Listed Company, or the Share Option Rule. On February 15, 2012, SAFE issued the Notices on Issues Concerning the Foreign Exchange Administration for Domestic Individuals Participating in Stock Incentive Plan of Overseas-Listed Company, or the Stock Incentive Plan Rule, which replaced the Share Option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We have registered with and obtained approvals from the SAFE office in Beijing for the participants of our equity compensation plans who are PRC citizens. Nevertheless, if we or such PRC participants fail to comply with these regulations, we or such PRC participants may be subject to fines and other legal or administrative sanctions.</w:t>
      </w:r>
    </w:p>
    <w:p>
      <w:pPr>
        <w:spacing w:after="0" w:line="17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SAFE has adopted certain regulations that require registration with, and approval from, Chinese government authorities in connection with direct or indirect offshore investment activities by Chinese residents.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w:t>
      </w:r>
    </w:p>
    <w:p>
      <w:pPr>
        <w:sectPr>
          <w:pgSz w:w="11900" w:h="16867" w:orient="portrait"/>
          <w:cols w:equalWidth="0" w:num="1">
            <w:col w:w="11420"/>
          </w:cols>
          <w:pgMar w:left="240" w:top="125" w:right="239" w:bottom="0" w:gutter="0" w:footer="0" w:header="0"/>
        </w:sectPr>
      </w:pPr>
    </w:p>
    <w:bookmarkStart w:id="20" w:name="page21"/>
    <w:bookmarkEnd w:id="20"/>
    <w:p>
      <w:pPr>
        <w:ind w:right="400"/>
        <w:spacing w:after="0" w:line="277" w:lineRule="auto"/>
        <w:rPr>
          <w:sz w:val="20"/>
          <w:szCs w:val="20"/>
          <w:color w:val="auto"/>
        </w:rPr>
      </w:pPr>
      <w:r>
        <w:rPr>
          <w:rFonts w:ascii="Arial" w:cs="Arial" w:eastAsia="Arial" w:hAnsi="Arial"/>
          <w:sz w:val="18"/>
          <w:szCs w:val="18"/>
          <w:color w:val="auto"/>
        </w:rPr>
        <w:t>offshore company.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regulations may have a significant impact on our present and future structuring and investment. We have requested our shareholders who to our knowledge are PRC residents to make the necessary applications, filings and amendments as required under these regulations. We intend to take all necessary measures to ensure that all required applications and filings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w:t>
      </w:r>
    </w:p>
    <w:p>
      <w:pPr>
        <w:spacing w:after="0" w:line="14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auditor, the independent registered public accounting firm that issued the audit report included elsewhere in this prospectus, as an auditor of companies that are registered with the SEC and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Our auditor is located in China, and the PCAOB is currently unable to conduct inspections on auditors in China without the approval of the PRC authorities. The PCAOB announced on May 24, 2013 that it had entered into a Memorandum of Understanding on Enforcement Cooperation, or the MOU, with the China Securities Regulatory Commission, or the CSRC, and the PRC Ministry of Finance,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 As a result, our auditor, like other independent registered public accounting firms operating in China, is currently not inspected by the PCAOB.</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and such deficiencies may be addressed as part of the inspection process to improve future audit quality. The inability of the PCAOB to conduct inspections of independent registered public accounting firms operating in China makes it more difficult to evaluate the effectiveness of our auditor’s audit procedures or quality control procedures and, to the extent that such inspections might have facilitated improvements in our auditor’s audit procedures and quality control procedures, investors may be deprived of such benefits.</w:t>
      </w:r>
    </w:p>
    <w:p>
      <w:pPr>
        <w:spacing w:after="0" w:line="1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may be adversely affected by the outcome of the administrative proceedings brought by the SEC against the Big Four PRC-based accounting firms.</w:t>
      </w:r>
    </w:p>
    <w:p>
      <w:pPr>
        <w:spacing w:after="0" w:line="16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January 22, 2014, the administrative law judge presiding over the matter reached an initial decision that the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February 6, 2015, the four PRC-based accounting firms each agreed to a censure and to pay a fine to the SEC to settle the dispute and avoid suspension of their ability to practice before the SEC and to audit U.S.-listed companies. The settlement required the Chinese firms to follow detailed procedures and to seek to provide the SEC with access to these firms’ audit documents via the CSRC. If future document productions fail to meet specified criteria, the SEC retains the authority to impose a variety of additional remedial measures on the firms depending on the nature of the failure. While we cannot predict if the SEC will further review the Big Four PRC-based accounting firms’ compliance with specified criteria or if the results of such a review would result in the SEC imposing penalties such as suspensions or restarting the administrative proceedings, if the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may be materially and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TELECOMMUNICATIONS AND INTERNET INDUSTRIES IN CHINA</w:t>
      </w:r>
    </w:p>
    <w:p>
      <w:pPr>
        <w:sectPr>
          <w:pgSz w:w="11900" w:h="16838" w:orient="portrait"/>
          <w:cols w:equalWidth="0" w:num="1">
            <w:col w:w="11400"/>
          </w:cols>
          <w:pgMar w:left="240" w:top="125" w:right="259" w:bottom="36" w:gutter="0" w:footer="0" w:header="0"/>
        </w:sectPr>
      </w:pPr>
    </w:p>
    <w:bookmarkStart w:id="21" w:name="page22"/>
    <w:bookmarkEnd w:id="21"/>
    <w:p>
      <w:pPr>
        <w:spacing w:after="0" w:line="6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w:t>
      </w:r>
    </w:p>
    <w:p>
      <w:pPr>
        <w:spacing w:after="0" w:line="18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telecommunications and Internet industry, including Internet content provider, or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Currently, to operate our business in compliance with all the relevant ICP-related Chinese regulations, we have control over our websites and other online and mobile platforms through contractual arrangements. For example, we rely exclusively on contractual arrangements with Guangzhou NetEase and its approvals to operate as an ICP as a result of restrictions on foreign investment for businesses providing value-added telecommunications services in China, including Internet information services. In addition, Shanghai EaseNet holds the Value-Added Telecommunications Business Operating License issued by the Shanghai Provincial Telecommunications Bureau and the Internet Culture Operating License from the Ministry of Culture, or the MOC (later superseded by the Ministry of Culture and Tourism, or the MOCT), and we rely on contractual arrangements with Shanghai EaseNet for our operations of online games licensed from Blizzard.</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evolving PRC regulatory system for the telecommunications and Internet industries may lead to the establishment of new regulatory agencies. For example, in May 2011, the State Council, in collaboration with the State Council Information Office, the MIIT and the Ministry of Public Security,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addition, we are uncertain as to whether the Chinese government will reclassify our business as a media or retail company, due to our acceptance of fees for Internet advertising, online games, e-commerce, and e-mail and other services as sources of revenues, or as a result of our current corporate structure. Such reclassification could subject us to penalties or fines or significant restrictions on our business. Moreover, NetEase, Inc. may have difficulties enforcing its rights under the agreements with Guangzhou NetEase, NetEase Advertising, Hangzhou Leihuo, Youdao Computer and Shanghai EaseNet if any of these parties breaches any of the agreements with them because NetEase, Inc. does not have approval from appropriate Chinese authorities to provide Internet content services, Internet advertising services, e-commerce services or e-mail and other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Chinese government restricts the ability for foreign investors to invest in and operate in the value-added telecommunications businesses.</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2006, the MII issued a notice to strengthen management of foreign investment in and operation of value-added telecommunications services. The notice emphasizes that foreign investors who wish to engage in value-added telecommunications services must strictly follow the relevant rules and regulations on foreign investment in telecommunication sectors. The notice also prohibits domestic telecommunications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the notice, either the holder of a value-added telecommunication service license or its shareholders must directly own the domain names and trademarks used by such license holders in their provision of value-added telecommunications services. The notice further requires each license holder to have the necessary facilities, including servers, for its approved business operations and to maintain such facilities in the regions covered by its license. Value-added services license holders are required to evaluate the compliance with the requirements set forth in the notice. To comply with these requirements, Guangzhou NetEase submitted its self-correction report to MII in 2007.</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September 2009, GAPP (later superseded by the State Administration of Radio and Television, or the SART), together with the National Copyright Administration and National Office of Combating Pornography and Illegal Publications issued a Notice on Further Strengthening on the Administration of Pre-examination and Approval of Online Games and the Examination and Approval of Imported Online Games, or the GAPP Notice. The GAPP Notice restates that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State Administration of Press, Publication, Radio, Film and Television, or the SAPPRFT (later superceded by the SART) and MII, effective on March 10, 2016, forbids foreign investments in the online publishing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With respect to our Internet media business, the CAC’s Administrative Provisions for Internet-based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media business is conducted through our contractually controlled VIEs that are PRC entities. Additionally, in accordance with the Several Opinions on the Introduction of Foreign Capital to the Culture Sector (Wen Ban Fa [2005] No. 19) by the MOC (later superseded by the MOCT), foreign investors (excluding Hong Kong and Macau) are prohibited from establishing or operating Internet-based cultural institutions. It is unclear what activities count as “operating Internet-based cultural institutions,” however certain services we provide in our email and others segment, particularly our online education platforms, are likely to be deemed as such. We believe we are also in compliance with this requirement because we operate our email and other services through our contractually controlled VIEs.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It is unclear whether the authorities will deem our VIE structure as a kind of such “indirect ways” by foreign investors to gain control over or participate in domestic online game operators, Internet-based news information services or Internet-based cultural institutions. If our VIE structure is deemed as one such “indirect way,”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Although for our e-commerce business, according to the Notice on Lifting the Restriction to Foreign Shareholding Percentage in Online Data Processing and Transaction Processing Business (Operational E-commerce) promulgated by the MIIT on June 19, 2015, foreign investors are allowed to hold</w:t>
      </w:r>
    </w:p>
    <w:p>
      <w:pPr>
        <w:sectPr>
          <w:pgSz w:w="11900" w:h="16908" w:orient="portrait"/>
          <w:cols w:equalWidth="0" w:num="1">
            <w:col w:w="11420"/>
          </w:cols>
          <w:pgMar w:left="240" w:top="121" w:right="239" w:bottom="0" w:gutter="0" w:footer="0" w:header="0"/>
        </w:sectPr>
      </w:pPr>
    </w:p>
    <w:bookmarkStart w:id="22" w:name="page23"/>
    <w:bookmarkEnd w:id="22"/>
    <w:p>
      <w:pPr>
        <w:spacing w:after="0" w:line="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 to 100% of the equity interests in an online data processing and transaction processing business (operational e-commerce) in China, other requirements provided by the SART and MIIT regulations still apply. It is unclear how this notice will be implemented. More generally, the authorities in China have broad discretion in the determination and interpretation of the rules and regulations regarding foreign investment in the value-added telecommunications industry, which may adversely impact our financial statements, operations and cash flows.</w:t>
      </w:r>
    </w:p>
    <w:p>
      <w:pPr>
        <w:spacing w:after="0" w:line="183"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An ongoing government suspension has adversely affected our online services related to third-party lottery products and we may be required to obtain governmental authorizations and approvals for providing such services, which, if unattainable, may adversely affect our business.</w:t>
      </w:r>
    </w:p>
    <w:p>
      <w:pPr>
        <w:spacing w:after="0" w:line="12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provided certain online services related to third-party lottery products. Under the Tentative Administrative Measures on Internet Lottery Sale promulgated by the MOF on September 26, 2010, an approval from the MOF is required for conducting an online lottery sales business. On January 18, 2012, the Implementation Rules of the Lottery Administration Regulations, or the Lottery Implementation Rules, were jointly issued by the MOF, the PRC Ministry of Civil Affairs and the State General Administration of Sport. The Lottery Implementation Rules became effective as of March 1, 2012 and explicitly stipulate that the welfare lotteries and sports lotteries sold without the approval of the MOF and the Lottery Issuing Authority’s and Lottery Sales Office’s commission may be categorized as illegal lotteries. In December 2012, the MOF issued the Lottery Distribution and Sale Administration Measures, which became effective on January 1, 2013, and the Tentative Administrative Measures on Telephone Lottery Sale, which became effective on April 1, 2014. Such measures expressly allow lottery sales online or via telephone after obtaining an approval from the MOF. However, there are no associated implementation rules. Under these issued rules or regulations, it is currently unclear if we need to obtain approval from the MOF with respect to our provision of services related to third-party lottery products.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January 15, 2015, the Notice on Issues Related to Self-Inspection and Self-Remedy of Unauthorized Online Lottery Sales, or the Lottery Self-Inspection Notice, was jointly issued by the MOF, the PRC Ministry of Civil Affairs and the State General Administration of Sport. In addition, on April 3, 2015, the MOF, the PRC Ministry of Public Security, the State Administration of Industry and Commerce, or SAIC, the MII, the PRC Ministry of Civil Affairs, the People’s Bank of China, or the PBOC, the State General Administration of Sport and the China Banking Regulatory Commission jointly issued a public announcement (Announcement No. 18 of 2015) with regard to online lottery sales in China, or Announcement No. 18, which reaffirmed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After the issuance of the Lottery Self-Inspection Notice, we were informed by provincial sports lottery administration centers that, as part of their self-inspection process, they would temporarily suspend accepting online purchase orders for lottery products. The suspension began in late February 2015 and remained in effect after the issuance of Announcement No. 18 and as of the date of this annual report. As a result, our online services related to third-party lottery products were affected, and we have not been able to process online purchase orders for the suspended lottery products. On April 28, 2016, the MOF, the Ministry of Public Security, the SAIC, the Ministry of Civil Affairs and the State General Administration of Sport jointly promulgated the Notice on Seriously Investigating and Severely Sanctioning the Unauthorized Online Lottery Sale (Cai Zong [2016] No. 22), or Notice No. 22. In addition to reaffirming that using the Internet to sell lottery products requires government authorization, Notice No. 22 announces the government’s plan to set up the procedures and application process for such authorization. We intend to submit an application to the relevant government agency for such authorization to provide online lottery services. However, we do not know when, or if at all, such application procedure will be in place. We also cannot guarantee you if our application will be approved. A prolonged or permanent suspension has had and will continue to have a material adverse impact on our revenues, and our results of operations and prospects may be adversely affected.</w:t>
      </w:r>
    </w:p>
    <w:p>
      <w:pPr>
        <w:spacing w:after="0" w:line="187"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2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part of its anti-addiction online game policy, the Chinese government has taken several steps to discourage minors under the age of 18 from continuously playing online games once they exceed a set number of hours of continuous play. For example, in July 2005, the MOC (later superseded by the MOCT) and the MII jointly issued an opinion which requires online game operators to develop systems and software for identity certification, to implement anti-addiction modifications to game rules and to restrict players under 18 years of age from playing certain games. Subsequently, in August 2005, GAPP (later superseded by the SART) proposed an online game anti-addiction system that would have reduced and eliminated experience points that a user can accumulate after three and five hours of consecutive playing, respectively. In March 2006, GAPP (later superseded by the SART) amended its proposal to require players to register with their real names and identity card numbers and to apply the anti-addiction system only to players under 18 years of age. In April 2007, GAPP (later superseded by the SART) and several other government authorities jointly promulgated the Notice Concerning the Protection of Minors’ Physical and Mental Well-being and Implementation of Anti-addiction System on Online Games,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w:t>
      </w:r>
    </w:p>
    <w:p>
      <w:pPr>
        <w:spacing w:after="0" w:line="18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addition, on June 3, 2010, the MOC (later superseded by the MOCT) issued a decree on Interim Measures for the Administration of Online Games, or the Online Games Measures, which became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Furthermore, in July 2010, the MOC (later superseded by the MOCT) enacted the Notice on Implementing Interim Measures for the Administration of Online Games, or the Online Games Notice, in which several provisions of the Online Games Measures are supplemented, including the required standard clauses for online games service contracts between game operators and users and the timing for the implementation of a real identity registration system. The Online Games Notice also adopts several new measures, including requirements for the domestic online games joint operation by game developers and operators. On December 1, 2016, the MOC (later superseded by the MOCT) issued the Notice on Regulating the Operations of Online Games and Strengthening Interim and Ex Post Supervision (Wen Shi Fa [2016] No. 32), or Notice 32, which became effective on May 1, 2017. Notice No. 32 clarified that technical testing of online games by means of, among others, making the online games available for user registration, opening the fee-charging system of the online games or providing client-end software with direct server registration and log-in functions shall be deemed as part of the operations of online games and shall comply with applicable online game regulations. Although many of these requirements reflect previously issued government regulations with which we already comply, certain new requirements may cause us to change the way we launch and operate our online games. Because Notice 32 is relatively new and it is unclear how the MOCT will interpret and enforce them, we are unable to fully assess what impact, if any, these new requirements may have on our business.</w:t>
      </w:r>
    </w:p>
    <w:p>
      <w:pPr>
        <w:sectPr>
          <w:pgSz w:w="11900" w:h="16854" w:orient="portrait"/>
          <w:cols w:equalWidth="0" w:num="1">
            <w:col w:w="11380"/>
          </w:cols>
          <w:pgMar w:left="240" w:top="125" w:right="279" w:bottom="0" w:gutter="0" w:footer="0" w:header="0"/>
        </w:sectPr>
      </w:pPr>
    </w:p>
    <w:bookmarkStart w:id="23" w:name="page24"/>
    <w:bookmarkEnd w:id="23"/>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Chinese government has not enacted any laws regarding virtual asset property rights and, accordingly, it is not clear what liabilities, if any, online game providers may have for virtual assets.</w:t>
      </w:r>
    </w:p>
    <w:p>
      <w:pPr>
        <w:spacing w:after="0" w:line="16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One of the features of our PC-client and mobile MMORPGs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General Rules on the Civil Law of the People’s Republic of China, which was passed by the National People’s Representative Meeting on March 15, 2017 and took effect on October 1, 2017,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virtual currency may adversely affect our online game revenues.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online game revenues are collected through the sale of physical and virtual prepaid point cards, as described elsewhere on this annual report, including below in the “User Fees” section in Item 4.B of this annual report.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15, 2007, the MOC (later superseded by the MOCT) issued the Notice on the Reinforcement of the Administration of Internet Cafés and Online Games, or the Internet Cafés Notice, which directs the PBOC, to strengthen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June 4, 2009, the MOC (later superseded by the MOCT) and the Ministry of Commerce jointly issued the Notice on Strengthening the Administration of Online Game Virtual Currency, or the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Virtual Currency Notice categorizes companies involved with virtual currency as either issuers or trading platforms and prohibits companies from simultaneously engaging both as issuers and as trading platforms. The Virtual Currency Notice’s stated objective is to limit the circulation of virtual currency and thereby reduce concerns that it may impact real world inflation. To accomplish this, the Virtual Currency Notice requires online game operators to report the total amount of their issued virtual currencies on a quarterly basis and to refrain from issuing disproportionate amounts of virtual currencies in order to generate revenues. In addition, the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Virtual Currency Notice also requires online game operators to keep transaction data records for no less than 180 days and to not provide virtual currency trading services to minors.</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order to comply with the requirements of the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consumer protection laws that could require us to modify our current business practices and incur increased costs.</w:t>
      </w:r>
    </w:p>
    <w:p>
      <w:pPr>
        <w:spacing w:after="0" w:line="24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platforms and hurt our business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purchased are made through the Internet. Consumers whose interests have been harmed due to their purchase of goods or acceptance of services on e-commerce platforms may claim damages from sellers or service providers. An e-commerce platform’s failure to provide detailed contact information of sellers using its platform will give consumers the right to claim damages from the platform itself. Once the customer has been duly compensated, the operators of an e-commerce platform then have the right to recover the compensation from supplier or service providers.</w:t>
      </w:r>
    </w:p>
    <w:p>
      <w:pPr>
        <w:spacing w:after="0" w:line="18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majority of products sold on our e-commerce platforms are purchased directly from us, however our Kaola platform allows certain reputable third-party vendors to sell their products on such platform. Therefore, we are subject to the Consumer Protection Law both as a seller and as an e-commerce platform provider. 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financial transactions may adversely affect the operation and profitability of our business.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June 14, 2010, the PBOC issued the Measures for the Administration of Non-financial Institutions Engaging in Payment and Settlement Services, or the PBOC Measures, which were effective as of September 1, 2010 and require that non-financial institutions engaging in the business of effecting</w:t>
      </w:r>
    </w:p>
    <w:p>
      <w:pPr>
        <w:sectPr>
          <w:pgSz w:w="11900" w:h="16975" w:orient="portrait"/>
          <w:cols w:equalWidth="0" w:num="1">
            <w:col w:w="11400"/>
          </w:cols>
          <w:pgMar w:left="240" w:top="341" w:right="259" w:bottom="0" w:gutter="0" w:footer="0" w:header="0"/>
        </w:sectPr>
      </w:pPr>
    </w:p>
    <w:bookmarkStart w:id="24" w:name="page25"/>
    <w:bookmarkEnd w:id="24"/>
    <w:p>
      <w:pPr>
        <w:ind w:right="20"/>
        <w:spacing w:after="0" w:line="287" w:lineRule="auto"/>
        <w:rPr>
          <w:sz w:val="20"/>
          <w:szCs w:val="20"/>
          <w:color w:val="auto"/>
        </w:rPr>
      </w:pPr>
      <w:r>
        <w:rPr>
          <w:rFonts w:ascii="Arial" w:cs="Arial" w:eastAsia="Arial" w:hAnsi="Arial"/>
          <w:sz w:val="16"/>
          <w:szCs w:val="16"/>
          <w:color w:val="auto"/>
        </w:rPr>
        <w:t>payments and settlements before June 14, 2010 obtain a permit from the PBOC by August 31, 2011 to continue such business. We currently operate an online payment platform used by both distributors of our prepaid point cards and end-users of our online services, which requires a permit under the PBOC Measures. We have obtained such permit from the PBOC. In addition, on December 28, 2015, the PBOC issued a notice regarding the Administrative Measures for the Online Payment Business of Non-bank Payment Institutions, or PBOC Notice 18, which took effect on July 1, 2016. According to the PBOC Notice 18, a payment institution is required to follow the principles of “know your clients,” and maintain records on its clients using their real names when opening payment accounts for its clients. Pursuant to the PBOC Notice 18,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Most recently, on January 13, 2017, the PBOC issued the Notice on Matters Related to Implementation of Centralized Custody of Clients’ Reserve Funds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in compliance with the PBOC Notice 18 and the recent PBOC requirement to transfer our customer reserve funds to its designated bank account with no interest accrual,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successfully against new entrants and established industry competitors.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Chinese market for Internet content and services is intensely competitive and rapidly changing. Many companies offer competitive products or services including online games, Chinese language-based web search, retrieval and navigation services, e-commerce services and extensive Chinese language content, informational and community features, and e-mail.</w:t>
      </w:r>
    </w:p>
    <w:p>
      <w:pPr>
        <w:spacing w:after="0" w:line="18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Currently, our competition comes from Chinese language-based and U.S.-based Internet media companies, online game developers and operators, Internet service providers, e-commerce service providers, website operators and providers of web browser software that incorporate search and retrieval features. Some of our current and potential competitors are much larger than we are, and currently offer, and could further develop or acquire, content and services that compete with the NetEase websites. With respect to online games, we believe that more competitors are entering this market in China and that our competitors are becoming more active in both licensing foreign-developed games and developing games in-house, which trends, if they continue, could adversely affect our online game revenues in the future. In addition, while our e-commerce business has experienced significant growth in recent years, representing 21.6% of our total revenue for 2017, we may not be able to keep growing the e-commerce business at this rate because this market is intensely competitive and is dominated by a few major competitors including Alibaba and JD.com. We believe that competition in the online advertising industry in China is intense with numerous competitors such as Baidu, Sina, Sohu, Tencent, Alibaba, Qihoo, iFeng.com, TouTiao.com, Youku and other vertical Internet media. Any of our present or future competitors may offer products and services that provide significant performance, price, creativity or other advantages over those offered by us and, therefore, achieve greater market acceptance than ours.</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and competitive pressures may have a material and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online platforms and provide online shopping mall and other online services in China. In 2001, we also began focusing on fee-based premium services and online entertainment services, including online games, wireless value-added services, premium e-mail services and other subscription-type services. We launched our two e-commerce platforms, Kaola and Yanxuan, in January 2015 and April 2016, respectively.</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company was incorporated in the Cayman Islands on July 6, 1999, and it operates under the Cayman Islands Companies Law (2018 Revision). Our principal executive offices are located at Building No. 7, West Zone, Zhongguancun Software Park (Phase II), No. 10 Xibeiwang East Road, Haidian District, Beijing, People’s Republic of China 100193. Our telephone number is (86-10) 8255-8163.</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principal capital expenditures for 2017 consisted mainly of costs incurred for the construction of our new office buildings and warehouses in Zhoushan, Guangzhou, Hangzhou and Ningbo in China, acquisition of new servers in connection with the operation of our self-developed and licensed games and investment in the expansion packages of such games, and upgrades of our online service infrastructure, for a total of approximately RMB1,842.9 million (US$283.3 million). Our principal capital expenditures for 2016 consisted mainly of cost incurred for the construction of our new office buildings and warehouses in Beijing, Guangzhou, Hangzhou, Zhoushan and Ningbo in China, acquisition of new servers and investment in the expansion and upgrade of our mailbox infrastructure for a total of approximately RMB1,135.5 million. Our principal capital expenditures for 2015 consisted mainly of cost incurred for the construction of our new office buildings and warehouses in Beijing, Guangzhou, Hangzhou, Zhoushan and Ningbo in China, acquisition of new servers in connection with the operation of our self-developed and licensed games, and investment in the expansion and upgrade of our mailbox infrastructure for a total of approximately RMB866.3 million.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25" w:name="page26"/>
    <w:bookmarkEnd w:id="25"/>
    <w:p>
      <w:pPr>
        <w:ind w:right="20" w:firstLine="648"/>
        <w:spacing w:after="0" w:line="259" w:lineRule="auto"/>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during the respective terms of the licenses, Shanghai EaseNet as licensee of the games is required to pay royalty fees to Blizzard for the games, have a minimum marketing expenditure commitment, and provide funds for hardware to operate the games. For further details, see Item 4.B. “Business Overview— Our Services— Online Games—Game Licensing and Joint Venture with Blizzard.”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2017, we had capital expenditure commitments of RMB970.4 million (US$149.1 million) for 2018 onwards, which primarily consist of commitments made in connection with the construction of new office buildings and warehouses in Guangzhou, Hangzhou and Ningbo. Our capital expenditures in 2017 have been, and future capital expenditures are expected to continue to be, funded by operating cash flows and our existing capital resources.</w:t>
      </w:r>
    </w:p>
    <w:p>
      <w:pPr>
        <w:spacing w:after="0" w:line="18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Through our subsidiaries and contracts with our affiliates Guangzhou NetEase, NetEase Advertising, Hangzhou Leihuo, Shanghai EaseNet and certain other affiliated companies and their respective shareholders, we operate a leading interactive online community in China and are a major provider of Chinese language content and services through our online games, e-commerce, Internet media, e-mail and other businesses.</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generate revenues from fees we charge users of our online games, sales of a wide range of products offered on our e-commerce platforms, sales of advertisements, and sales, service or commission fees from e-mail and other services. Our ability to leverage our Internet media traffic to generate revenues in each of these segments is a key component of our growth strategy.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 Services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online games business focuses on offering a variety of games in a wide range of genres through mobile devices and PCs, including role playing games (“RPGs”), MMORPGs, battle arena games, simulation games (“SLGs”), collectible card games (“CCGs”), first-person shooter games, sandbox games and other types of games to the Chinese market.</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MMORPGs are played over the Internet or mobile networks in “virtual worlds” that exist on networked game servers to which thousands of players simultaneously connect to interact with each other. Battle arena games allow a player to control a single character who competes with other players in a mapped field. SLGs players control, manage and use game characters and items, and design and implement their own strategies to win the games. CCGs allow players to collect cards and compete by using card sets with different functions. We develop and operate online games that are targeted at or localized to the Chinese market, and we strive to provide the highest quality game playing experience to our users.</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addition, starting in August 2008, Blizzard agreed to license certain online games to Shanghai EaseNet for operation in the PRC, as discussed below under “Our Services—Game Licensing and Joint Venture with Blizzard.”</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had offered over 100 self-developed and licensed mobile games of various genres as of December 31, 2017, such as the Fantasy Westward Journey mobile game, Westward Journey Online mobile game, Onmyoji, Invincible, the mobile version of New Ghost, Demon Seals mobile, Land of Glory, Forever 7, Rules of Survival, Terminator 2: Judgment Day and Knives Out. In China, we distribute our mobile games by partnering with major Android- and iOS-based app stores as well as through our proprietary distribution channels, such as our websites. Mobile game revenues are primarily derived from sales of in-game virtual items, including items, avatars, skills, privileges or other in-game consumables, features or functionalities, within our games.</w:t>
      </w:r>
    </w:p>
    <w:p>
      <w:pPr>
        <w:spacing w:after="0" w:line="15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use two revenue models for PC-client games: an item-based model, in which players can play the basic features of the game for free and can purchase virtual items that enhance their playing experience, and a time-based model, in which players pay for game playing time. A majority of our revenues from PC-client games come from our games that use the item-based model, including our self-developed item-based PC-client MMORPG games, such as Tianxia III, New Ghost (a new version of Ghost II), Revelation, Demon Seals and an item-based version of New Westward Journey Online II. Games that use the time-based model include self-developed PC-client games such as New Westward Journey Online II and Fantasy Westward Journey Online, as well as licensed games such as World of Warcraft. We plan to launch other new games using the item-based revenue model in the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also recently commenced offering our online games internationally. We started with licensing our games to local distributors and have gradually moved to launching and operating our own games in various markets. For example, as of December 31, 2017, we had launched and promoted our self-developed games such as Onmyoji, Crusaders of Light, Rules of Survival and Knives Out globally. We expect to continue the international expansion of our online games business by both partnering with local gaming industry leaders and continuing to introduce our self-developed games internationally. In addition, we have established game development centers in California and Korea as part of our international expansion.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w:t>
      </w:r>
    </w:p>
    <w:p>
      <w:pPr>
        <w:spacing w:after="0" w:line="22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We sell merchandise through our two e-commerce platforms, Kaola and Yanxuan. Kaola sells mainly imported goods that we source from overseas suppliers, including maternity and baby products, skincare and cosmetics and other general merchandise. Yanxuan sells our private label products, including apparel, homeware, kitchenware and other general merchandise which we primarily source from original design manufacturers in China.</w:t>
      </w:r>
    </w:p>
    <w:p>
      <w:pPr>
        <w:spacing w:after="0" w:line="14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Through these e-commerce platforms which are accessible on their respective websites and mobile applications, we offer a wide selection of imported products and private label products at competitive prices. We have experienced a significant expansion of our e-commerce business, and as of December 31, 2017, we made available to our e-commerce platform customers imported products from over 40 countries and regions, covering more than 2,700 brands.</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have established and aim to maintain strong relationships with our suppliers to source high-quality products which are delivered to our customers by third-party delivery companies with whom we partner. As a promotional tool, we regularly provide discount coupons to customers of our e-commerce platforms. To further expand the capacity of our e-commerce business, we have built and leased warehouses in various locations in China, including</w:t>
      </w:r>
    </w:p>
    <w:p>
      <w:pPr>
        <w:sectPr>
          <w:pgSz w:w="11900" w:h="16838" w:orient="portrait"/>
          <w:cols w:equalWidth="0" w:num="1">
            <w:col w:w="11420"/>
          </w:cols>
          <w:pgMar w:left="240" w:top="125" w:right="239" w:bottom="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color w:val="auto"/>
        </w:rPr>
        <w:t>Hangzhou, Ningbo, Tianjin, Zhengzhou and Shenzhen. We also have developed a logistical system comprising fulfillment centers located in Hong Kong, the Republic of Korea, Australia, Japan, France and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Internet Media Business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Internet media business, which is conducted mainly through the NetEase News App and NetEase websites, provide Internet users with Chinese language-based online services that are centered around content and interactive community.</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 The NetEase News App offers content channels covering news, information, popular sports events, industry forums, celebrity close-ups,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fashion trends, and online entertainment to the Chinese public via a variety of mobile devices. This wide range of content appeals to a broad audience spanning all age groups, although this application is particularly popular among younger audiences between the ages of 23 and 35 who often use mobile devices as their primary means of obtaining news and information. We are continually working to reinforce the popularity of the NetEase News App among its large and loyal user base, as well as with new users, through premium content and service development and innovation. Users can also access various content channels on the NetEase websites.</w:t>
      </w:r>
    </w:p>
    <w:p>
      <w:pPr>
        <w:spacing w:after="0" w:line="193"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 addition, the main homepage of the NetEase websites, www.163.com, serves as a one-stop gateway for users to conveniently access our other online services, such as online games, e-mail, e-commerce, video and music streaming, e-reading and a set of other websites and mobile applications.</w:t>
      </w:r>
    </w:p>
    <w:p>
      <w:pPr>
        <w:spacing w:after="0" w:line="12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 xml:space="preserve">Interactive Community </w:t>
      </w:r>
      <w:r>
        <w:rPr>
          <w:rFonts w:ascii="Arial" w:cs="Arial" w:eastAsia="Arial" w:hAnsi="Arial"/>
          <w:sz w:val="17"/>
          <w:szCs w:val="17"/>
          <w:color w:val="auto"/>
        </w:rPr>
        <w:t>— The NetEase News App and NetEase websites offer a wide range of tools for our users to interact with each other and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content we provide, opening up avenues for a lively exchange of information. For example, our users can instantly share any content displayed on the NetEase News App with other users and easily provide commentary to such content, which then becomes viewable by other users. We also offer a membership profile function, which allows users to monitor their past activities and viewing preferences.</w:t>
      </w:r>
    </w:p>
    <w:p>
      <w:pPr>
        <w:spacing w:after="0" w:line="17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Internet media business generates revenue mainly from selling advertising space on the NetEase News App and websites, and our large and growing user base attracts many well-known advertisers. The various content channels and interactive community offered through our Internet media business forms an effective medium for our clients to conduct integrated marketing campaigns. Our online advertising offerings include banner advertising, channel sponsorships, direct e-mail, interactive media-rich sites, sponsored special events, games, contests and other activities.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and Others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one of the largest e-mail services providers in China, we offer free and fee-based premium e-mail services to our individual users and corporate users. We also offer a wide range of other online services, which primarily include CC, our live video streaming platform, Cloud Music, our music streaming platform, Wangyibao, our payment platform, EaseRead, our e-reading platform, NetEase Cloud Classroom, our online education platform and Youdao Dictionary, our e-dictionary services platform. Through a joint venture with China Telecom in which we hold a minority ownership stake, we also offer a social instant messaging application for smart phones called “Yichat,” which offers proprietary environmental noise reduction technology, high-quality photo messaging and various original stickers and emoticon designs.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conduct our business in China solely through our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e-commerce and e-mail and other services.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as well as certain other affiliated entities. Under the contracts, we provide our mobile applications, services and technologies and advertising services to Guangzhou NetEase, NetEase Advertising, Hangzhou Leihuo and certain other affiliated entities and they operate the NetEase online games, websites, e-commerce platforms, the online advertising business as well the e-mail and other online businesses. Guangzhou NetEase also has a wholly-owned subsidiary, Wangyibao, the operator of our Wangyibao online payment platform. For more information on these agreements, see Item 7.B. “Major Shareholders and Related Party Transactions—Related Party Transactions.”</w:t>
      </w:r>
    </w:p>
    <w:p>
      <w:pPr>
        <w:spacing w:after="0" w:line="19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Each of Guangzhou NetEase and NetEase Advertising is 99.0% beneficially owned by our founder, Chief Executive Officer and major shareholder, William Lei Ding, and 1.0% owned by one of our employees. Youdao Computer, the operator of our online dictionary, online education and other cloud application services, is 71.1% owned by William Lei Ding and 28.9% owned by one of our employees. Wangyibao is 100.0% owned by Guangzhou NetEase. Hangzhou Leihuo is owned by two of our employees. We do not have any direct ownership interest in those companies.</w:t>
      </w:r>
    </w:p>
    <w:p>
      <w:pPr>
        <w:spacing w:after="0" w:line="17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Under our agreements with Guangzhou NetEase, we have agreed to pay its operating costs. Under our agreements with NetEase Advertising, Hangzhou Leihuo and Youdao Computer, we have agreed to provide performance guarantees and guarantee loans for working capital purposes to the extent required by Guangzhou NetEase, NetEase Advertising, Hangzhou Leihuo or Youdao Computer for their operations. Guangzhou NetEase, NetEase Advertising, Hangzhou Leihuo and Youdao Computer are each prohibited from incurring any debt without our prior approval.</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Starting in August 2008, Blizzard agreed to license certain online games to Shanghai EaseNet for operation in the PRC. Shanghai EaseNet is a PRC company owned by William Lei Ding, our Chief Executive Officer, director and major shareholder and has contractual arrangements with the joint venture established between, and owned equally by, Blizzard and us, and with us. The joint venture was established concurrently with the licensing of games from Blizzard in August 2008 and provides technical services to Shanghai EaseNet.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32" w:gutter="0" w:footer="0" w:header="0"/>
        </w:sectPr>
      </w:pPr>
    </w:p>
    <w:bookmarkStart w:id="27" w:name="page28"/>
    <w:bookmarkEnd w:id="27"/>
    <w:p>
      <w:pPr>
        <w:spacing w:after="0" w:line="1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a result of our contractual arrangements with these companies, we bear the risks of, and enjoy the rewards associated with, and therefore are the primary beneficiary of our investments in them. They are therefore considered our VIEs, and we consolidate the results of operations of these VIEs and their subsidiaries in our historical consolidated financial statements. See also Item 5 “Operating and Financial Review and Prospects.”</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violations by Guangzhou NetEase, NetEase Advertising, Hangzhou Leihuo, Youdao Computer or any other VIEs of our agreements with them could disrupt our operations, degrade our services or shut down our services. See Item 3.D. “Risk Factors” for a detailed discussion of the risks to NetEase, Inc. regarding its dependency on these companies.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Lede Inc. (previously named Ujia.com, Inc.), Lede (Hong Kong) Limited (previously named Ujia (Hong Kong) Limited), or Lede Hong Kong, and Lede Technology, were established by us in the second half of 2011. Lede Technology now operates our online services business related to third-party insurance and other products.</w:t>
      </w:r>
    </w:p>
    <w:p>
      <w:pPr>
        <w:spacing w:after="0" w:line="181"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HQG Inc., HQG Limited and Hangzhou Youmai Technology Co., Ltd., or Hanghzou Youmai, were established by us in 2014. HQG Limited and Hangzhou Youmai now operate our cross-border e-commerce business Kaola. Hangzhou NetEase Yanxuan Trading Co., Ltd. or Hangzhou Yanxuan, was established by us in 2016. Hangzhou Yanxuan now operates our e-commerce platform Yanxuan through which we sell our private label products.</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diagram shows the group structure of our principal subsidiaries and affiliated companies as of April 19, 2018, other than our joint venture arrangements with Blizzard, which are described separately in this section.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74930</wp:posOffset>
            </wp:positionV>
            <wp:extent cx="7134860" cy="5360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536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Mobile games have gained increasing popularity and user base as Internet users in China rely more and more on mobile devices, such as smart phones and tablets, to access the Internet. In response to this trend, we are developing games that can be operated on mobile devices and, as of December 31,</w:t>
      </w:r>
    </w:p>
    <w:p>
      <w:pPr>
        <w:sectPr>
          <w:pgSz w:w="11900" w:h="16962" w:orient="portrait"/>
          <w:cols w:equalWidth="0" w:num="1">
            <w:col w:w="11360"/>
          </w:cols>
          <w:pgMar w:left="240" w:top="125" w:right="299" w:bottom="0" w:gutter="0" w:footer="0" w:header="0"/>
        </w:sectPr>
      </w:pPr>
    </w:p>
    <w:bookmarkStart w:id="28" w:name="page29"/>
    <w:bookmarkEnd w:id="28"/>
    <w:p>
      <w:pPr>
        <w:ind w:right="260"/>
        <w:spacing w:after="0" w:line="302" w:lineRule="auto"/>
        <w:rPr>
          <w:sz w:val="20"/>
          <w:szCs w:val="20"/>
          <w:color w:val="auto"/>
        </w:rPr>
      </w:pPr>
      <w:r>
        <w:rPr>
          <w:rFonts w:ascii="Arial" w:cs="Arial" w:eastAsia="Arial" w:hAnsi="Arial"/>
          <w:sz w:val="16"/>
          <w:szCs w:val="16"/>
          <w:color w:val="auto"/>
        </w:rPr>
        <w:t>2017, we had commercially launched over 100 mobile games of various genres, including self-developed and licensed CCGs, first-person shooter games, battle arena games, SLGs and MMORPGs. To date, the majority of our most popular mobile games are self-developed games such as Onmyoji, Invincible, Demon Seals mobile, Knives Out, Terminator 2: Judgment Day and Rules of Survival. We also offer the mobile versions of our self-developed PC-client MMORPGs, such as the Fantasy Westward Journey mobile game, Westward Journey Online mobile game and the mobile version of New Ghost.</w:t>
      </w:r>
    </w:p>
    <w:p>
      <w:pPr>
        <w:spacing w:after="0" w:line="154"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We distribute our mobile games through partnerships with major Android- and iOS-based application stores in China as well as proprietary distribution channels, such as our websites. Mobile game revenues are primarily derived from sales of in-game virtual items, including avatars, skills, privileges or other in-game consumables, features or functionality within our games. Users have a variety of payment options for in-game virtual items, including our prepaid point cards, online payments through application stores and other online payment channels.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development strategy for our mobile games is focused on identifying trends in users’ preferences to develop games that will appeal to new users and at the same time leveraging the popularity of our established PC-client games among the game player community in China to develop attractive mobile versions of such games. In addition, for certain of our mobile games, we periodically introduce content updates. The timing and success of content updates have a strong influence on the popularity and profitability of mobile games.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PC-client Games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launched our first PC-client MMORPG, Westward Journey Online, in December 2001. Subsequently, we launched Westward Journey Online II in August 2002 and our second internally developed PC-client MMORPG, Fantasy Westward Journey, in January 2004. Westward Journey Online II and Fantasy Westward Journey were upgraded to New Westward Journey Online II and Fantasy Westward Journey Online in 2013. We subsequently have launched a number of additional online games, as set forth in the table below.</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principal internally developed games, in terms of the number of users and revenue generated, are Fantasy Westward Journey Online, New Westward Journey Online II, New Ghost, Revelation and Tianxia III. These games are PC-client MMORPGs set in classical Chinese-themed fantasy worlds.</w:t>
      </w:r>
    </w:p>
    <w:p>
      <w:pPr>
        <w:spacing w:after="0" w:line="124"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Our PC-client game titles can be accessed from any location with an Internet connection by registered users of the NetEase websites. Users may enter our network with a password and a user ID after downloading our installation software. In our item-based games, players can also purchase virtual items that enhance their playing experience such as special powers, costumes, weapons and other accessories. We regularly introduce new virtual items or change the features of virtual items based on player feedback, market trends and other factors.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Users of our time-based games, such as New Westward Journey Online II, Fantasy Westward Journey Online and New Westward Journey Online III, pay RMB0.60 (US$0.10) per hour of game playing time. For our item-based games, such as Tianxia III, New Ghost, Revelation and Demon Seals, we charge users a separate fee for each virtual item purchased within the games.</w:t>
      </w:r>
    </w:p>
    <w:p>
      <w:pPr>
        <w:spacing w:after="0" w:line="181"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Similar to our mobile games, we periodically develop and release expansion packs, which expand game content and gameplay features for previously launched PC-client games. These periodic expansion packs are designed to retain the interest of existing users and to attract new users.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certain of our major mobile and PC-client games.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Game</w:t>
            </w:r>
          </w:p>
        </w:tc>
        <w:tc>
          <w:tcPr>
            <w:tcW w:w="23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Type</w:t>
            </w:r>
          </w:p>
        </w:tc>
        <w:tc>
          <w:tcPr>
            <w:tcW w:w="234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Genre</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Revenue</w:t>
            </w:r>
          </w:p>
        </w:tc>
        <w:tc>
          <w:tcPr>
            <w:tcW w:w="2060" w:type="dxa"/>
            <w:vAlign w:val="bottom"/>
          </w:tcPr>
          <w:p>
            <w:pPr>
              <w:ind w:left="600"/>
              <w:spacing w:after="0"/>
              <w:rPr>
                <w:sz w:val="20"/>
                <w:szCs w:val="20"/>
                <w:color w:val="auto"/>
              </w:rPr>
            </w:pPr>
            <w:r>
              <w:rPr>
                <w:rFonts w:ascii="Arial" w:cs="Arial" w:eastAsia="Arial" w:hAnsi="Arial"/>
                <w:sz w:val="14"/>
                <w:szCs w:val="14"/>
                <w:b w:val="1"/>
                <w:bCs w:val="1"/>
                <w:color w:val="auto"/>
              </w:rPr>
              <w:t>Date of Initial</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Arial" w:cs="Arial" w:eastAsia="Arial" w:hAnsi="Arial"/>
                <w:sz w:val="14"/>
                <w:szCs w:val="14"/>
                <w:b w:val="1"/>
                <w:bCs w:val="1"/>
                <w:color w:val="auto"/>
              </w:rPr>
              <w:t>Model</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Commercial Launch</w:t>
            </w:r>
          </w:p>
        </w:tc>
        <w:tc>
          <w:tcPr>
            <w:tcW w:w="0" w:type="dxa"/>
            <w:vAlign w:val="bottom"/>
          </w:tcPr>
          <w:p>
            <w:pPr>
              <w:spacing w:after="0"/>
              <w:rPr>
                <w:sz w:val="1"/>
                <w:szCs w:val="1"/>
                <w:color w:val="auto"/>
              </w:rPr>
            </w:pPr>
          </w:p>
        </w:tc>
      </w:tr>
      <w:tr>
        <w:trPr>
          <w:trHeight w:val="195"/>
        </w:trPr>
        <w:tc>
          <w:tcPr>
            <w:tcW w:w="2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Tianxia III</w:t>
            </w:r>
          </w:p>
        </w:tc>
        <w:tc>
          <w:tcPr>
            <w:tcW w:w="3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PC-client Game</w:t>
            </w: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3D MMORPG,</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Item-based</w:t>
            </w: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October 2011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classical Chinese setting</w:t>
            </w: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New Westward Journey Online III (a</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PC-client Game</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2D MMORPG,</w:t>
            </w:r>
          </w:p>
        </w:tc>
        <w:tc>
          <w:tcPr>
            <w:tcW w:w="1640" w:type="dxa"/>
            <w:vAlign w:val="bottom"/>
            <w:gridSpan w:val="2"/>
          </w:tcPr>
          <w:p>
            <w:pPr>
              <w:spacing w:after="0" w:line="201" w:lineRule="exact"/>
              <w:rPr>
                <w:sz w:val="20"/>
                <w:szCs w:val="20"/>
                <w:color w:val="auto"/>
              </w:rPr>
            </w:pPr>
            <w:r>
              <w:rPr>
                <w:rFonts w:ascii="Arial" w:cs="Arial" w:eastAsia="Arial" w:hAnsi="Arial"/>
                <w:sz w:val="18"/>
                <w:szCs w:val="18"/>
                <w:color w:val="auto"/>
              </w:rPr>
              <w:t>Item-based</w:t>
            </w: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May 2013</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comprehensive upgrade of Westward</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classical Chinese setting</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Journey Online III)</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Fantasy Westward Journey Online</w:t>
            </w: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PC-client Game</w:t>
            </w: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2D MMORPG,</w:t>
            </w:r>
          </w:p>
        </w:tc>
        <w:tc>
          <w:tcPr>
            <w:tcW w:w="1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(previously known as Fantasy</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classical Chinese setting</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Westward Journey II)</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New Westward Journey Online II (a</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PC-client Game</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2D MMORPG,</w:t>
            </w:r>
          </w:p>
        </w:tc>
        <w:tc>
          <w:tcPr>
            <w:tcW w:w="1640" w:type="dxa"/>
            <w:vAlign w:val="bottom"/>
            <w:gridSpan w:val="2"/>
          </w:tcPr>
          <w:p>
            <w:pPr>
              <w:spacing w:after="0" w:line="201" w:lineRule="exact"/>
              <w:rPr>
                <w:sz w:val="20"/>
                <w:szCs w:val="20"/>
                <w:color w:val="auto"/>
              </w:rPr>
            </w:pPr>
            <w:r>
              <w:rPr>
                <w:rFonts w:ascii="Arial" w:cs="Arial" w:eastAsia="Arial" w:hAnsi="Arial"/>
                <w:sz w:val="18"/>
                <w:szCs w:val="18"/>
                <w:color w:val="auto"/>
              </w:rPr>
              <w:t>Item-based</w:t>
            </w: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September 2013</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comprehensive upgrade of Westward</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classical Chinese setting</w:t>
            </w:r>
          </w:p>
        </w:tc>
        <w:tc>
          <w:tcPr>
            <w:tcW w:w="1640" w:type="dxa"/>
            <w:vAlign w:val="bottom"/>
            <w:gridSpan w:val="2"/>
          </w:tcPr>
          <w:p>
            <w:pPr>
              <w:spacing w:after="0"/>
              <w:rPr>
                <w:sz w:val="20"/>
                <w:szCs w:val="20"/>
                <w:color w:val="auto"/>
              </w:rPr>
            </w:pPr>
            <w:r>
              <w:rPr>
                <w:rFonts w:ascii="Arial" w:cs="Arial" w:eastAsia="Arial" w:hAnsi="Arial"/>
                <w:sz w:val="18"/>
                <w:szCs w:val="18"/>
                <w:color w:val="auto"/>
              </w:rPr>
              <w:t>Time-based</w:t>
            </w:r>
          </w:p>
        </w:tc>
        <w:tc>
          <w:tcPr>
            <w:tcW w:w="2060" w:type="dxa"/>
            <w:vAlign w:val="bottom"/>
          </w:tcPr>
          <w:p>
            <w:pPr>
              <w:spacing w:after="0"/>
              <w:rPr>
                <w:sz w:val="20"/>
                <w:szCs w:val="20"/>
                <w:color w:val="auto"/>
              </w:rPr>
            </w:pPr>
            <w:r>
              <w:rPr>
                <w:rFonts w:ascii="Arial" w:cs="Arial" w:eastAsia="Arial" w:hAnsi="Arial"/>
                <w:sz w:val="18"/>
                <w:szCs w:val="18"/>
                <w:color w:val="auto"/>
              </w:rPr>
              <w:t>August 2014</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Journey Online II)</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Fantasy Westward Journey mobile</w:t>
            </w: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Mobile Game</w:t>
            </w: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Turn-based MMORPG</w:t>
            </w:r>
          </w:p>
        </w:tc>
        <w:tc>
          <w:tcPr>
            <w:tcW w:w="1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2015</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game</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Westward Journey Online mobile</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Mobile Game</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Turn-based MMORPG</w:t>
            </w:r>
          </w:p>
        </w:tc>
        <w:tc>
          <w:tcPr>
            <w:tcW w:w="1640" w:type="dxa"/>
            <w:vAlign w:val="bottom"/>
            <w:gridSpan w:val="2"/>
          </w:tcPr>
          <w:p>
            <w:pPr>
              <w:spacing w:after="0" w:line="201" w:lineRule="exact"/>
              <w:rPr>
                <w:sz w:val="20"/>
                <w:szCs w:val="20"/>
                <w:color w:val="auto"/>
              </w:rPr>
            </w:pPr>
            <w:r>
              <w:rPr>
                <w:rFonts w:ascii="Arial" w:cs="Arial" w:eastAsia="Arial" w:hAnsi="Arial"/>
                <w:sz w:val="18"/>
                <w:szCs w:val="18"/>
                <w:color w:val="auto"/>
              </w:rPr>
              <w:t>Item-based</w:t>
            </w: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game</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New Ghost (a new version of Ghost</w:t>
            </w: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PC-client Game</w:t>
            </w: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2.5D MMORPG,</w:t>
            </w:r>
          </w:p>
        </w:tc>
        <w:tc>
          <w:tcPr>
            <w:tcW w:w="1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classical Chinese setting</w:t>
            </w: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Invincible</w:t>
            </w:r>
          </w:p>
        </w:tc>
        <w:tc>
          <w:tcPr>
            <w:tcW w:w="2340" w:type="dxa"/>
            <w:vAlign w:val="bottom"/>
            <w:gridSpan w:val="2"/>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tcPr>
          <w:p>
            <w:pPr>
              <w:spacing w:after="0"/>
              <w:rPr>
                <w:sz w:val="20"/>
                <w:szCs w:val="20"/>
                <w:color w:val="auto"/>
              </w:rPr>
            </w:pPr>
            <w:r>
              <w:rPr>
                <w:rFonts w:ascii="Arial" w:cs="Arial" w:eastAsia="Arial" w:hAnsi="Arial"/>
                <w:sz w:val="18"/>
                <w:szCs w:val="18"/>
                <w:color w:val="auto"/>
              </w:rPr>
              <w:t>SLG</w:t>
            </w:r>
          </w:p>
        </w:tc>
        <w:tc>
          <w:tcPr>
            <w:tcW w:w="1640" w:type="dxa"/>
            <w:vAlign w:val="bottom"/>
            <w:gridSpan w:val="2"/>
          </w:tcPr>
          <w:p>
            <w:pPr>
              <w:spacing w:after="0"/>
              <w:rPr>
                <w:sz w:val="20"/>
                <w:szCs w:val="20"/>
                <w:color w:val="auto"/>
              </w:rPr>
            </w:pPr>
            <w:r>
              <w:rPr>
                <w:rFonts w:ascii="Arial" w:cs="Arial" w:eastAsia="Arial" w:hAnsi="Arial"/>
                <w:sz w:val="18"/>
                <w:szCs w:val="18"/>
                <w:color w:val="auto"/>
              </w:rPr>
              <w:t>Item-based</w:t>
            </w:r>
          </w:p>
        </w:tc>
        <w:tc>
          <w:tcPr>
            <w:tcW w:w="2060" w:type="dxa"/>
            <w:vAlign w:val="bottom"/>
          </w:tcPr>
          <w:p>
            <w:pPr>
              <w:spacing w:after="0"/>
              <w:rPr>
                <w:sz w:val="20"/>
                <w:szCs w:val="20"/>
                <w:color w:val="auto"/>
              </w:rPr>
            </w:pPr>
            <w:r>
              <w:rPr>
                <w:rFonts w:ascii="Arial" w:cs="Arial" w:eastAsia="Arial" w:hAnsi="Arial"/>
                <w:sz w:val="18"/>
                <w:szCs w:val="18"/>
                <w:color w:val="auto"/>
              </w:rPr>
              <w:t>October 2015</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mobile version of New Ghost</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Real-time MMOPRG</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May 2016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Tianxia Mobile</w:t>
            </w:r>
          </w:p>
        </w:tc>
        <w:tc>
          <w:tcPr>
            <w:tcW w:w="2340" w:type="dxa"/>
            <w:vAlign w:val="bottom"/>
            <w:gridSpan w:val="2"/>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tcPr>
          <w:p>
            <w:pPr>
              <w:spacing w:after="0"/>
              <w:rPr>
                <w:sz w:val="20"/>
                <w:szCs w:val="20"/>
                <w:color w:val="auto"/>
              </w:rPr>
            </w:pPr>
            <w:r>
              <w:rPr>
                <w:rFonts w:ascii="Arial" w:cs="Arial" w:eastAsia="Arial" w:hAnsi="Arial"/>
                <w:sz w:val="18"/>
                <w:szCs w:val="18"/>
                <w:color w:val="auto"/>
              </w:rPr>
              <w:t>MMORPG</w:t>
            </w:r>
          </w:p>
        </w:tc>
        <w:tc>
          <w:tcPr>
            <w:tcW w:w="1640" w:type="dxa"/>
            <w:vAlign w:val="bottom"/>
            <w:gridSpan w:val="2"/>
          </w:tcPr>
          <w:p>
            <w:pPr>
              <w:spacing w:after="0"/>
              <w:rPr>
                <w:sz w:val="20"/>
                <w:szCs w:val="20"/>
                <w:color w:val="auto"/>
              </w:rPr>
            </w:pPr>
            <w:r>
              <w:rPr>
                <w:rFonts w:ascii="Arial" w:cs="Arial" w:eastAsia="Arial" w:hAnsi="Arial"/>
                <w:sz w:val="18"/>
                <w:szCs w:val="18"/>
                <w:color w:val="auto"/>
              </w:rPr>
              <w:t>Item-based</w:t>
            </w:r>
          </w:p>
        </w:tc>
        <w:tc>
          <w:tcPr>
            <w:tcW w:w="2060" w:type="dxa"/>
            <w:vAlign w:val="bottom"/>
          </w:tcPr>
          <w:p>
            <w:pPr>
              <w:spacing w:after="0"/>
              <w:rPr>
                <w:sz w:val="20"/>
                <w:szCs w:val="20"/>
                <w:color w:val="auto"/>
              </w:rPr>
            </w:pPr>
            <w:r>
              <w:rPr>
                <w:rFonts w:ascii="Arial" w:cs="Arial" w:eastAsia="Arial" w:hAnsi="Arial"/>
                <w:sz w:val="18"/>
                <w:szCs w:val="18"/>
                <w:color w:val="auto"/>
              </w:rPr>
              <w:t>June 2016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Onmyoji</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CCG &amp; RPG</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Demon Seals mobile</w:t>
            </w:r>
          </w:p>
        </w:tc>
        <w:tc>
          <w:tcPr>
            <w:tcW w:w="2340" w:type="dxa"/>
            <w:vAlign w:val="bottom"/>
            <w:gridSpan w:val="2"/>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tcPr>
          <w:p>
            <w:pPr>
              <w:spacing w:after="0"/>
              <w:rPr>
                <w:sz w:val="20"/>
                <w:szCs w:val="20"/>
                <w:color w:val="auto"/>
              </w:rPr>
            </w:pPr>
            <w:r>
              <w:rPr>
                <w:rFonts w:ascii="Arial" w:cs="Arial" w:eastAsia="Arial" w:hAnsi="Arial"/>
                <w:sz w:val="18"/>
                <w:szCs w:val="18"/>
                <w:color w:val="auto"/>
              </w:rPr>
              <w:t>RPG</w:t>
            </w:r>
          </w:p>
        </w:tc>
        <w:tc>
          <w:tcPr>
            <w:tcW w:w="1640" w:type="dxa"/>
            <w:vAlign w:val="bottom"/>
            <w:gridSpan w:val="2"/>
          </w:tcPr>
          <w:p>
            <w:pPr>
              <w:spacing w:after="0"/>
              <w:rPr>
                <w:sz w:val="20"/>
                <w:szCs w:val="20"/>
                <w:color w:val="auto"/>
              </w:rPr>
            </w:pPr>
            <w:r>
              <w:rPr>
                <w:rFonts w:ascii="Arial" w:cs="Arial" w:eastAsia="Arial" w:hAnsi="Arial"/>
                <w:sz w:val="18"/>
                <w:szCs w:val="18"/>
                <w:color w:val="auto"/>
              </w:rPr>
              <w:t>Item-based</w:t>
            </w:r>
          </w:p>
        </w:tc>
        <w:tc>
          <w:tcPr>
            <w:tcW w:w="2060" w:type="dxa"/>
            <w:vAlign w:val="bottom"/>
          </w:tcPr>
          <w:p>
            <w:pPr>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of Glory</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MMORPG</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March 2017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Terminator 2: Judgment Day</w:t>
            </w:r>
          </w:p>
        </w:tc>
        <w:tc>
          <w:tcPr>
            <w:tcW w:w="2340" w:type="dxa"/>
            <w:vAlign w:val="bottom"/>
            <w:gridSpan w:val="2"/>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tcPr>
          <w:p>
            <w:pPr>
              <w:spacing w:after="0"/>
              <w:rPr>
                <w:sz w:val="20"/>
                <w:szCs w:val="20"/>
                <w:color w:val="auto"/>
              </w:rPr>
            </w:pPr>
            <w:r>
              <w:rPr>
                <w:rFonts w:ascii="Arial" w:cs="Arial" w:eastAsia="Arial" w:hAnsi="Arial"/>
                <w:sz w:val="18"/>
                <w:szCs w:val="18"/>
                <w:color w:val="auto"/>
              </w:rPr>
              <w:t>Battle Arena</w:t>
            </w:r>
          </w:p>
        </w:tc>
        <w:tc>
          <w:tcPr>
            <w:tcW w:w="1640" w:type="dxa"/>
            <w:vAlign w:val="bottom"/>
            <w:gridSpan w:val="2"/>
          </w:tcPr>
          <w:p>
            <w:pPr>
              <w:spacing w:after="0"/>
              <w:rPr>
                <w:sz w:val="20"/>
                <w:szCs w:val="20"/>
                <w:color w:val="auto"/>
              </w:rPr>
            </w:pPr>
            <w:r>
              <w:rPr>
                <w:rFonts w:ascii="Arial" w:cs="Arial" w:eastAsia="Arial" w:hAnsi="Arial"/>
                <w:sz w:val="18"/>
                <w:szCs w:val="18"/>
                <w:color w:val="auto"/>
              </w:rPr>
              <w:t>Item-based</w:t>
            </w:r>
          </w:p>
        </w:tc>
        <w:tc>
          <w:tcPr>
            <w:tcW w:w="2060" w:type="dxa"/>
            <w:vAlign w:val="bottom"/>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Knives Out</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Battle Arena</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Rules of Survival</w:t>
            </w:r>
          </w:p>
        </w:tc>
        <w:tc>
          <w:tcPr>
            <w:tcW w:w="2340" w:type="dxa"/>
            <w:vAlign w:val="bottom"/>
            <w:gridSpan w:val="2"/>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tcPr>
          <w:p>
            <w:pPr>
              <w:spacing w:after="0"/>
              <w:rPr>
                <w:sz w:val="20"/>
                <w:szCs w:val="20"/>
                <w:color w:val="auto"/>
              </w:rPr>
            </w:pPr>
            <w:r>
              <w:rPr>
                <w:rFonts w:ascii="Arial" w:cs="Arial" w:eastAsia="Arial" w:hAnsi="Arial"/>
                <w:sz w:val="18"/>
                <w:szCs w:val="18"/>
                <w:color w:val="auto"/>
              </w:rPr>
              <w:t>Battle Arena</w:t>
            </w:r>
          </w:p>
        </w:tc>
        <w:tc>
          <w:tcPr>
            <w:tcW w:w="1640" w:type="dxa"/>
            <w:vAlign w:val="bottom"/>
            <w:gridSpan w:val="2"/>
          </w:tcPr>
          <w:p>
            <w:pPr>
              <w:spacing w:after="0"/>
              <w:rPr>
                <w:sz w:val="20"/>
                <w:szCs w:val="20"/>
                <w:color w:val="auto"/>
              </w:rPr>
            </w:pPr>
            <w:r>
              <w:rPr>
                <w:rFonts w:ascii="Arial" w:cs="Arial" w:eastAsia="Arial" w:hAnsi="Arial"/>
                <w:sz w:val="18"/>
                <w:szCs w:val="18"/>
                <w:color w:val="auto"/>
              </w:rPr>
              <w:t>Item-based</w:t>
            </w:r>
          </w:p>
        </w:tc>
        <w:tc>
          <w:tcPr>
            <w:tcW w:w="2060" w:type="dxa"/>
            <w:vAlign w:val="bottom"/>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Forever 7</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Mobile Game</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RPG</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Item-based</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In connection with the introduction of our online games, we developed a prepaid point card to facilitate payment of fees for our online games services and, to a lesser extent, our other fee-based value-added services. Users can buy prepaid point cards at a variety of locations in China, including</w:t>
      </w:r>
    </w:p>
    <w:p>
      <w:pPr>
        <w:sectPr>
          <w:pgSz w:w="11900" w:h="16838" w:orient="portrait"/>
          <w:cols w:equalWidth="0" w:num="1">
            <w:col w:w="11420"/>
          </w:cols>
          <w:pgMar w:left="240" w:top="125" w:right="239" w:bottom="0" w:gutter="0" w:footer="0" w:header="0"/>
        </w:sectPr>
      </w:pPr>
    </w:p>
    <w:bookmarkStart w:id="29" w:name="page30"/>
    <w:bookmarkEnd w:id="29"/>
    <w:p>
      <w:pPr>
        <w:ind w:right="180"/>
        <w:spacing w:after="0" w:line="276" w:lineRule="auto"/>
        <w:rPr>
          <w:sz w:val="20"/>
          <w:szCs w:val="20"/>
          <w:color w:val="auto"/>
        </w:rPr>
      </w:pPr>
      <w:r>
        <w:rPr>
          <w:rFonts w:ascii="Arial" w:cs="Arial" w:eastAsia="Arial" w:hAnsi="Arial"/>
          <w:sz w:val="17"/>
          <w:szCs w:val="17"/>
          <w:color w:val="auto"/>
        </w:rPr>
        <w:t>Internet cafés, convenience stores, software stores, bookstores and newspaper stands. Electronic point cards can also be purchased through credit cards or online payment platforms through which players can directly credit their accounts. Each prepaid card contains an account number and a password. The points represented by these cards can then be transferred into users’ individual accounts on the NetEase websites and used to pay for our online services, primarily playing time for online games. We also utilize our pre-paid point cards for the payment of virtual items as we launch item-based games for which playing time is free and players may purchase various virtual items to enhance their game playing experience.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Game Masters and Customer Service</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Gameplay for our mobile games and PC-client MMORPGs are monitored by game masters, who appear as game characters within the game world and provide assistance and guidance to players, as well as policing behavior of players in the game world to maintain an atmosphere of fun and fair play.</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addition, we believe that providing strong, dependable customer support is a key component to success in the online games business. Our customer service center provides 24 hour-a-day, 7 day-a-week customer service and technical support and can be contacted via telephone or e-mail. As of December 31, 2017, our company employed approximately 1,700 personnel in our call center as customer service specialists for our online games as well as for our other services, of which more than 500 personnel provided customer service support for games licensed from Blizzard.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Game Licensing and Joint Venture with Blizzard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Commencing in August 2008, Blizzard has entered in various license agreements to license to Shanghai EaseNet on an exclusive basis in China the following PC-client and mobile games: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of Initial</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Game</w:t>
            </w:r>
          </w:p>
        </w:tc>
        <w:tc>
          <w:tcPr>
            <w:tcW w:w="394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Genre</w:t>
            </w:r>
          </w:p>
        </w:tc>
        <w:tc>
          <w:tcPr>
            <w:tcW w:w="2320" w:type="dxa"/>
            <w:vAlign w:val="bottom"/>
            <w:gridSpan w:val="2"/>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2320" w:type="dxa"/>
            <w:vAlign w:val="bottom"/>
            <w:gridSpan w:val="2"/>
          </w:tcPr>
          <w:p>
            <w:pPr>
              <w:ind w:left="780"/>
              <w:spacing w:after="0"/>
              <w:rPr>
                <w:sz w:val="20"/>
                <w:szCs w:val="20"/>
                <w:color w:val="auto"/>
              </w:rPr>
            </w:pPr>
            <w:r>
              <w:rPr>
                <w:rFonts w:ascii="Arial" w:cs="Arial" w:eastAsia="Arial" w:hAnsi="Arial"/>
                <w:sz w:val="14"/>
                <w:szCs w:val="14"/>
                <w:b w:val="1"/>
                <w:bCs w:val="1"/>
                <w:color w:val="auto"/>
              </w:rPr>
              <w:t>License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Launch</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StarCraft II series</w:t>
            </w:r>
          </w:p>
        </w:tc>
        <w:tc>
          <w:tcPr>
            <w:tcW w:w="2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Space-themed strategy game</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2008</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World of Warcraft</w:t>
            </w:r>
          </w:p>
        </w:tc>
        <w:tc>
          <w:tcPr>
            <w:tcW w:w="3940" w:type="dxa"/>
            <w:vAlign w:val="bottom"/>
            <w:gridSpan w:val="2"/>
          </w:tcPr>
          <w:p>
            <w:pPr>
              <w:spacing w:after="0"/>
              <w:rPr>
                <w:sz w:val="20"/>
                <w:szCs w:val="20"/>
                <w:color w:val="auto"/>
              </w:rPr>
            </w:pPr>
            <w:r>
              <w:rPr>
                <w:rFonts w:ascii="Arial" w:cs="Arial" w:eastAsia="Arial" w:hAnsi="Arial"/>
                <w:sz w:val="18"/>
                <w:szCs w:val="18"/>
                <w:color w:val="auto"/>
              </w:rPr>
              <w:t>Fantasy-themed role playing game</w:t>
            </w:r>
          </w:p>
        </w:tc>
        <w:tc>
          <w:tcPr>
            <w:tcW w:w="2320" w:type="dxa"/>
            <w:vAlign w:val="bottom"/>
            <w:gridSpan w:val="2"/>
          </w:tcPr>
          <w:p>
            <w:pPr>
              <w:spacing w:after="0"/>
              <w:rPr>
                <w:sz w:val="20"/>
                <w:szCs w:val="20"/>
                <w:color w:val="auto"/>
              </w:rPr>
            </w:pPr>
            <w:r>
              <w:rPr>
                <w:rFonts w:ascii="Arial" w:cs="Arial" w:eastAsia="Arial" w:hAnsi="Arial"/>
                <w:sz w:val="18"/>
                <w:szCs w:val="18"/>
                <w:color w:val="auto"/>
              </w:rPr>
              <w:t>April 2009</w:t>
            </w:r>
          </w:p>
        </w:tc>
        <w:tc>
          <w:tcPr>
            <w:tcW w:w="2060" w:type="dxa"/>
            <w:vAlign w:val="bottom"/>
          </w:tcPr>
          <w:p>
            <w:pPr>
              <w:spacing w:after="0"/>
              <w:rPr>
                <w:sz w:val="20"/>
                <w:szCs w:val="20"/>
                <w:color w:val="auto"/>
              </w:rPr>
            </w:pPr>
            <w:r>
              <w:rPr>
                <w:rFonts w:ascii="Arial" w:cs="Arial" w:eastAsia="Arial" w:hAnsi="Arial"/>
                <w:sz w:val="18"/>
                <w:szCs w:val="18"/>
                <w:color w:val="auto"/>
              </w:rPr>
              <w:t>September 2009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Heroes of the Storm</w:t>
            </w: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Multi-player online battle arena game</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2012</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June 2015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Hearthstone</w:t>
            </w:r>
          </w:p>
        </w:tc>
        <w:tc>
          <w:tcPr>
            <w:tcW w:w="3940" w:type="dxa"/>
            <w:vAlign w:val="bottom"/>
            <w:gridSpan w:val="2"/>
          </w:tcPr>
          <w:p>
            <w:pPr>
              <w:spacing w:after="0"/>
              <w:rPr>
                <w:sz w:val="20"/>
                <w:szCs w:val="20"/>
                <w:color w:val="auto"/>
              </w:rPr>
            </w:pPr>
            <w:r>
              <w:rPr>
                <w:rFonts w:ascii="Arial" w:cs="Arial" w:eastAsia="Arial" w:hAnsi="Arial"/>
                <w:sz w:val="18"/>
                <w:szCs w:val="18"/>
                <w:color w:val="auto"/>
              </w:rPr>
              <w:t>CCG</w:t>
            </w:r>
          </w:p>
        </w:tc>
        <w:tc>
          <w:tcPr>
            <w:tcW w:w="2320" w:type="dxa"/>
            <w:vAlign w:val="bottom"/>
            <w:gridSpan w:val="2"/>
          </w:tcPr>
          <w:p>
            <w:pPr>
              <w:spacing w:after="0"/>
              <w:rPr>
                <w:sz w:val="20"/>
                <w:szCs w:val="20"/>
                <w:color w:val="auto"/>
              </w:rPr>
            </w:pPr>
            <w:r>
              <w:rPr>
                <w:rFonts w:ascii="Arial" w:cs="Arial" w:eastAsia="Arial" w:hAnsi="Arial"/>
                <w:sz w:val="18"/>
                <w:szCs w:val="18"/>
                <w:color w:val="auto"/>
              </w:rPr>
              <w:t>July 2013</w:t>
            </w:r>
          </w:p>
        </w:tc>
        <w:tc>
          <w:tcPr>
            <w:tcW w:w="2060" w:type="dxa"/>
            <w:vAlign w:val="bottom"/>
          </w:tcPr>
          <w:p>
            <w:pPr>
              <w:spacing w:after="0"/>
              <w:rPr>
                <w:sz w:val="20"/>
                <w:szCs w:val="20"/>
                <w:color w:val="auto"/>
              </w:rPr>
            </w:pPr>
            <w:r>
              <w:rPr>
                <w:rFonts w:ascii="Arial" w:cs="Arial" w:eastAsia="Arial" w:hAnsi="Arial"/>
                <w:sz w:val="18"/>
                <w:szCs w:val="18"/>
                <w:color w:val="auto"/>
              </w:rPr>
              <w:t>January 2014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Diablo III</w:t>
            </w: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Action role-playing game</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2014</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May 2015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Overwatch</w:t>
            </w:r>
          </w:p>
        </w:tc>
        <w:tc>
          <w:tcPr>
            <w:tcW w:w="3940" w:type="dxa"/>
            <w:vAlign w:val="bottom"/>
            <w:gridSpan w:val="2"/>
          </w:tcPr>
          <w:p>
            <w:pPr>
              <w:spacing w:after="0"/>
              <w:rPr>
                <w:sz w:val="20"/>
                <w:szCs w:val="20"/>
                <w:color w:val="auto"/>
              </w:rPr>
            </w:pPr>
            <w:r>
              <w:rPr>
                <w:rFonts w:ascii="Arial" w:cs="Arial" w:eastAsia="Arial" w:hAnsi="Arial"/>
                <w:sz w:val="18"/>
                <w:szCs w:val="18"/>
                <w:color w:val="auto"/>
              </w:rPr>
              <w:t>Team-based first-person shooter game</w:t>
            </w:r>
          </w:p>
        </w:tc>
        <w:tc>
          <w:tcPr>
            <w:tcW w:w="2320" w:type="dxa"/>
            <w:vAlign w:val="bottom"/>
            <w:gridSpan w:val="2"/>
          </w:tcPr>
          <w:p>
            <w:pPr>
              <w:spacing w:after="0"/>
              <w:rPr>
                <w:sz w:val="20"/>
                <w:szCs w:val="20"/>
                <w:color w:val="auto"/>
              </w:rPr>
            </w:pPr>
            <w:r>
              <w:rPr>
                <w:rFonts w:ascii="Arial" w:cs="Arial" w:eastAsia="Arial" w:hAnsi="Arial"/>
                <w:sz w:val="18"/>
                <w:szCs w:val="18"/>
                <w:color w:val="auto"/>
              </w:rPr>
              <w:t>May 2015</w:t>
            </w:r>
          </w:p>
        </w:tc>
        <w:tc>
          <w:tcPr>
            <w:tcW w:w="2060" w:type="dxa"/>
            <w:vAlign w:val="bottom"/>
          </w:tcPr>
          <w:p>
            <w:pPr>
              <w:spacing w:after="0"/>
              <w:rPr>
                <w:sz w:val="20"/>
                <w:szCs w:val="20"/>
                <w:color w:val="auto"/>
              </w:rPr>
            </w:pPr>
            <w:r>
              <w:rPr>
                <w:rFonts w:ascii="Arial" w:cs="Arial" w:eastAsia="Arial" w:hAnsi="Arial"/>
                <w:sz w:val="18"/>
                <w:szCs w:val="18"/>
                <w:color w:val="auto"/>
              </w:rPr>
              <w:t>May 2016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648"/>
        <w:spacing w:after="0" w:line="234" w:lineRule="auto"/>
        <w:rPr>
          <w:sz w:val="20"/>
          <w:szCs w:val="20"/>
          <w:color w:val="auto"/>
        </w:rPr>
      </w:pPr>
      <w:r>
        <w:rPr>
          <w:rFonts w:ascii="Arial" w:cs="Arial" w:eastAsia="Arial" w:hAnsi="Arial"/>
          <w:sz w:val="18"/>
          <w:szCs w:val="18"/>
          <w:color w:val="auto"/>
        </w:rPr>
        <w:t>In September 2016, Blizzard and Shanghai EaseNet agreed to extend the licenses to operate all of the foregoing games to January 2020. Blizzard has also licensed to Shanghai EaseNet on an exclusive basis in China its Battle.net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 which enables multi-player interaction within these games and other online services.</w:t>
      </w:r>
    </w:p>
    <w:p>
      <w:pPr>
        <w:spacing w:after="0" w:line="20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Shanghai EaseNet is required to pay royalties for these games to Blizzard and, until September 2016, was also required to pay license and consultancy fees to Blizzard for the StarCraft II series, World of Warcraft, and Overwatch games. The license agreements also include minimum marketing expenditure commitments. In sum, the total commitments amount to approximately RMB7.4 billion (US$1.1 billion) over the terms of the agreements. As of December 31, 2017, our outstanding commitments under the license agreements with respect to the StarCraft II series, World of Warcraft, Hearthstone, Heroes of the Storm, Diablo III and Overwatch totaled RMB2,944.5 million (US$452.6 million). We have guaranteed the payment of the foregoing amounts if and to the extent Shanghai EaseNet has insufficient funds to make such payments. We will be entitled to reimbursement of any amounts paid for the marketing of the games and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Blizzard has the right to terminate the license of the foregoing games under certain circumstances.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Concurrently with the licensing of games from Blizzard in August 2008, we entered into arrangements to establish a joint venture with Blizzard. The joint venture provides technical services to Shanghai EaseNet in return for a fee. Net profits of the joint venture are shared equally between Blizzard and us, after the deduction of, among others, various fees and expenses payable to Blizzard and 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Game Licensing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May 2016, we entered into a five-year exclusive agreement with Mojang AB, a subsidiary of Microsoft, pursuant to which Microsoft and Mojang agreed to license both the mobile and PC versions of Minecraft to us. We successfully introduced both versions of Minecraft in China across various platforms in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from our online games accounted for 76.0%, 73.3% and 67.0% of our total net revenues in 2015, 2016 and 2017,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 Business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operate two major e-commerce platforms for consumers in China. The first e-commerce platform, Kaola, was established in January 2015. Through Kaola, we source goods from mainly overseas suppliers, maintain our own inventory and sell such imported goods, including maternity and baby products, skincare and cosmetics and other general merchandise, to Chinese consumers. We have also recently started to allow pre-screened third-party vendors to use Kaola to sell their products, but sales made directly by such third-party vendors on Kaola remain a small portion of Kaola’s overall transaction value. The second e-commerce platform, Yanxuan, was established in April 2016. Through Yanxuan, we sell our private label goods, including apparel,</w:t>
      </w:r>
    </w:p>
    <w:p>
      <w:pPr>
        <w:sectPr>
          <w:pgSz w:w="11900" w:h="16838" w:orient="portrait"/>
          <w:cols w:equalWidth="0" w:num="1">
            <w:col w:w="11420"/>
          </w:cols>
          <w:pgMar w:left="240" w:top="125" w:right="239" w:bottom="0" w:gutter="0" w:footer="0" w:header="0"/>
        </w:sectPr>
      </w:pPr>
    </w:p>
    <w:bookmarkStart w:id="30" w:name="page31"/>
    <w:bookmarkEnd w:id="30"/>
    <w:p>
      <w:pPr>
        <w:ind w:right="20"/>
        <w:spacing w:after="0" w:line="264" w:lineRule="auto"/>
        <w:rPr>
          <w:sz w:val="20"/>
          <w:szCs w:val="20"/>
          <w:color w:val="auto"/>
        </w:rPr>
      </w:pPr>
      <w:r>
        <w:rPr>
          <w:rFonts w:ascii="Arial" w:cs="Arial" w:eastAsia="Arial" w:hAnsi="Arial"/>
          <w:sz w:val="18"/>
          <w:szCs w:val="18"/>
          <w:color w:val="auto"/>
        </w:rPr>
        <w:t>homeware, kitchenware and other general merchandise, which we primarily source directly from original design manufacturers, to Chinese consumers. We generate revenues from both these platforms primarily through merchandise sales and recognize revenue on a gross basis (excluding sales made by third-party vendors using Kaola as a platform), as we carry our own inventory and have discretion in setting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Pricing and Products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Through both our online and mobile e-commerce platforms, we provide a broad spectrum of apparel, fashion goods, cosmetics, home goods and lifestyle products. We offer competitive pricing to attract and retain customers and a selection of discounted products on special occasions, such as the online shopping promotion events on June 18, November 11, and on important holidays such as Christmas and Chinese New Year. Our customers are able to pay for their orders through third-party online payment platforms, our own online payment platform, Wangyibao, and other online payment channels.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management, quality control and delivery service</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To ensure we have an adequate supply of products to meet our customers’ needs, we typically make estimates of market demand for our products based on historical sales data and market research reports. We focus on continuously improving our inventory management system by conducting market demand studies in-house and analyzing various sales trends such as the seasonality of sales of particular categories of products when making demand estimates.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With respect to sourcing products, we have implemented a strict and systematic selection process to identify high quality suppliers and third-party vendors globally based on our selection guidelines. We generally choose to cooperate with reputable suppliers and third-party vendors with good track records and high quality products. In addition, we have adopted stringent quality assurance and control procedures for products delivered from our own fulfillment centers or warehouses to ensure we provide our customers with high-quality products on a timely basis.</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To ensure timely delivery of products sold on our e-commerce platforms, we partner with a number of reputable delivery service providers. We have also entered into arrangements with certain of these providers to use their warehouse space for temporary products storage. In addition, we have expanded our own storage and logistical capacity by building and leasing warehouses across China, particularly in cities where our major customer base is located.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 Service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a dedicated customer service team responsible for handling general customer enquiries and requests, assisting customers with their ordering process, investigating the status of orders, shipments and payments, resolving customer complaints, and providing other after-sales services. Our customers can contact customer service representatives through our online platforms, real-time online chat, and our customer service hotline. We also offer our customers a competitive return policy compared with market standards for products sold through Kaola and Yanxuan.</w:t>
      </w:r>
    </w:p>
    <w:p>
      <w:pPr>
        <w:spacing w:after="0" w:line="171"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Revenues from our e-commerce business accounted for 5.1%, 11.9% and 21.6% of our total net revenues in 2015, 2016, and 2017,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Media Business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Internet media business, which is conducted mainly through the NetEase News App and the NetEase websites, offers the Chinese Internet users a network of Chinese language-based online content channels and an interactive community to share news and opinions, which in turn creates an attractive venue for our online advertising clients.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NetEase News App is a leading mobile news application, offering simple and useful tools to enable our users to access a wide range of content including news, information, popular sports events, industry forums, celebrity close-ups, technology and fashion trends, and online entertainment. We source our content from traditional professional media organizations, independent media professionals and content creation studios, as well as from our in-house team of editors who focus on creating specific content that appeals to different demographic groups. In addition, both the NetEase News App and NetEase websites also allow users to generate and share their own content. We believe that this user-generated content is highly effective in maintaining user interest and ensuring repeat visits to the NetEase News App and websites.</w:t>
      </w:r>
    </w:p>
    <w:p>
      <w:pPr>
        <w:spacing w:after="0" w:line="193"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NetEase News App’s content display interface is organized by interest-based, location-based, and media format-based columns in an effort to make navigation convenient for users. Content is then grouped by channel for easy access, including channels focusing on news, entertainment, sports, finance, information technology, automobiles, education and real estate. The membership profile function offered on both the NetEase New App and websites, which allows users to monitor their past activities and viewing preferences, is also highly popular among our users.</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order to stay abreast of the developments in mobile and wearable devices, we have cooperated with leading global companies, such as Huawei, to make our NetEase News App available on their latest products. Content display on the NetEase News App is generally optimized for the screen-size of the mobile devices, with font size easily adjustable by the users.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the main homepage of the NetEase websites, www.163.com, provides a destination for our users to identify and access various resources, services, content and information, aiming to provide our users with an efficient and easy way to explore and utilize a wealth of information and content organized around a variety of topics. Similar to the NetEase News App, the NetEase websites currently include various channels focusing on different topics of interest. Moreover, www.163.com serves as a one-stop gateway for users to conveniently access our other online services, such as online games, e-mail, e-commerce, video and music streaming, e-reading and a set of other websites and mobile applications.</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believe that the breadth and relevance of our content offerings increase both the number of visits to and the time spent by our users on the NetEase News App and websites.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Interactive Community</w:t>
      </w:r>
    </w:p>
    <w:p>
      <w:pPr>
        <w:sectPr>
          <w:pgSz w:w="11900" w:h="16838" w:orient="portrait"/>
          <w:cols w:equalWidth="0" w:num="1">
            <w:col w:w="11420"/>
          </w:cols>
          <w:pgMar w:left="240" w:top="125" w:right="239" w:bottom="0" w:gutter="0" w:footer="0" w:header="0"/>
        </w:sectPr>
      </w:pPr>
    </w:p>
    <w:bookmarkStart w:id="31" w:name="page32"/>
    <w:bookmarkEnd w:id="31"/>
    <w:p>
      <w:pPr>
        <w:spacing w:after="0" w:line="9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We value user interaction as a core attribute of our brand value, and we have embedded user interaction tools in the NetEase News App and websites. Our users can interact through a variety of tools, including:</w:t>
      </w:r>
    </w:p>
    <w:p>
      <w:pPr>
        <w:spacing w:after="0" w:line="170" w:lineRule="exact"/>
        <w:rPr>
          <w:sz w:val="20"/>
          <w:szCs w:val="20"/>
          <w:color w:val="auto"/>
        </w:rPr>
      </w:pPr>
    </w:p>
    <w:p>
      <w:pPr>
        <w:ind w:left="660" w:right="20" w:hanging="328"/>
        <w:spacing w:after="0" w:line="25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Comment. </w:t>
      </w:r>
      <w:r>
        <w:rPr>
          <w:rFonts w:ascii="Arial" w:cs="Arial" w:eastAsia="Arial" w:hAnsi="Arial"/>
          <w:sz w:val="18"/>
          <w:szCs w:val="18"/>
          <w:color w:val="auto"/>
        </w:rPr>
        <w:t>Our comment posting feature allows users to post their reactions to and thoughts on substantially all of our content items, be it text, image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video-based content. We provide users a suite of tools to interact with the comments of other users. In addition to browsing, archiving and replying to comments left by others, the NetEase News App enables users to click on the </w:t>
      </w:r>
      <w:r>
        <w:rPr>
          <w:rFonts w:ascii="Arial" w:cs="Arial" w:eastAsia="Arial" w:hAnsi="Arial"/>
          <w:sz w:val="18"/>
          <w:szCs w:val="18"/>
          <w:i w:val="1"/>
          <w:iCs w:val="1"/>
          <w:color w:val="auto"/>
        </w:rPr>
        <w:t>Like</w:t>
      </w:r>
      <w:r>
        <w:rPr>
          <w:rFonts w:ascii="Arial" w:cs="Arial" w:eastAsia="Arial" w:hAnsi="Arial"/>
          <w:sz w:val="18"/>
          <w:szCs w:val="18"/>
          <w:color w:val="auto"/>
        </w:rPr>
        <w:t xml:space="preserve"> button to express their support for and on the </w:t>
      </w:r>
      <w:r>
        <w:rPr>
          <w:rFonts w:ascii="Arial" w:cs="Arial" w:eastAsia="Arial" w:hAnsi="Arial"/>
          <w:sz w:val="18"/>
          <w:szCs w:val="18"/>
          <w:i w:val="1"/>
          <w:iCs w:val="1"/>
          <w:color w:val="auto"/>
        </w:rPr>
        <w:t>Dislike</w:t>
      </w:r>
      <w:r>
        <w:rPr>
          <w:rFonts w:ascii="Arial" w:cs="Arial" w:eastAsia="Arial" w:hAnsi="Arial"/>
          <w:sz w:val="18"/>
          <w:szCs w:val="18"/>
          <w:color w:val="auto"/>
        </w:rPr>
        <w:t xml:space="preserve"> button to voice their disagreement with comments posted by others. Comments receiving the most support are placed more prominently in the commentary sections.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328"/>
        <w:spacing w:after="0" w:line="259"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Sharing. </w:t>
      </w:r>
      <w:r>
        <w:rPr>
          <w:rFonts w:ascii="Arial" w:cs="Arial" w:eastAsia="Arial" w:hAnsi="Arial"/>
          <w:sz w:val="18"/>
          <w:szCs w:val="18"/>
          <w:color w:val="auto"/>
        </w:rPr>
        <w:t>Our users can conveniently share nearly every piece of content displayed on the NetEase News App, such as articles, images, videos and</w:t>
      </w:r>
      <w:r>
        <w:rPr>
          <w:rFonts w:ascii="Arial" w:cs="Arial" w:eastAsia="Arial" w:hAnsi="Arial"/>
          <w:sz w:val="18"/>
          <w:szCs w:val="18"/>
          <w:i w:val="1"/>
          <w:iCs w:val="1"/>
          <w:color w:val="auto"/>
        </w:rPr>
        <w:t xml:space="preserve"> </w:t>
      </w:r>
      <w:r>
        <w:rPr>
          <w:rFonts w:ascii="Arial" w:cs="Arial" w:eastAsia="Arial" w:hAnsi="Arial"/>
          <w:sz w:val="18"/>
          <w:szCs w:val="18"/>
          <w:color w:val="auto"/>
        </w:rPr>
        <w:t>user comments and reactions, on various social media networks through links set out on the same interface. In addition to direct sharing, the NetEase News App enables users to take screenshots of our content and edit them with our stylish and trendy emoticons before sharing such modified content with a personal touch with their friends across various social media platforms.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 Revenues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Revenue generated by our Internet media business consists mainly of fees we receive from the sale of advertising space on the NetEase News App and websites. Our free content and services attract a large number of visitors who generate page views, which form the audience for us to provide advertising services for advertisers on our mobile applications and websites. Our advertising services utilize many advertising formats and techniques. These include sponsorships of our channels, advertisements such as animated and interactive banners, floating buttons, text-links, in-stream video and other formats, advertising through interactive media-rich sites and sponsored special events that integrate live events with online promotion and other media.</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strengthen our overall brand and increase traffic on the NetEase News App and websites and enhance their appeal to advertisers, we periodically sponsor high profile events, such as the NetEase Annual Economist Conference and the annual NetEase Attitude Awards.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Furthermore, in compliance with applicable laws and ensuring the confidentiality of the information of our users, we transmit and store over our systems information regarding our users, such as age, geographic location and interest, and integrate such information to generate demographic profiles which enable us to better tailor our advertising services.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We generate a majority of our advertising revenues from brand advertising. We focus our brand advertising service on delivering value-based integrated advertising solutions to mainstream brand advertisers. For our brand advertising services, we typically charge our advertisers based on the time of their advertising exposure on a </w:t>
      </w:r>
      <w:r>
        <w:rPr>
          <w:rFonts w:ascii="Arial" w:cs="Arial" w:eastAsia="Arial" w:hAnsi="Arial"/>
          <w:sz w:val="18"/>
          <w:szCs w:val="18"/>
          <w:i w:val="1"/>
          <w:iCs w:val="1"/>
          <w:color w:val="auto"/>
        </w:rPr>
        <w:t>per diem</w:t>
      </w:r>
      <w:r>
        <w:rPr>
          <w:rFonts w:ascii="Arial" w:cs="Arial" w:eastAsia="Arial" w:hAnsi="Arial"/>
          <w:sz w:val="18"/>
          <w:szCs w:val="18"/>
          <w:color w:val="auto"/>
        </w:rPr>
        <w:t xml:space="preserve"> fixed fees basis. We also offer advertising services based on performance-based pricing models, such as based on cost per thousand impressions or cost per action by the consumers after viewing our advertisements, including but not limited to clicking on links to our customers’ products.</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Youdao Computer also enters into other advertising business contracts which provide priority placements in a search directory and other online marketing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from our Internet media accounted for 7.8%, 5.6% and 4.5% of our total net revenues in 2015, 2016,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and Others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provide registered users with free and fee-based premium e-mail services which support both the Chinese and English languages. Registered users can access and send e-mails through their web browsers, mobile application or through the POP3 and the SMTP standards, which allow users to handle e-mails on their own e-mail applications without opening their browsers. The free email service includes free SPAM filters and anti-virus protection as well as the convenience of an address book to maintain user contact lists online. As of December 31, 2017, we had approximately 980 million registered free e-mail users. We also offer value-added e-mail services for individuals, known as VIP, which provide fee-paying subscribers with the latest anti-virus and anti-SPAM filtering capabilities. The VIP e-mail service also includes enhanced security features as well as several convenient online and offline payment methods and 24-hour customer support. As of December 31, 2017, we had approximately 470,000 active VIP e-mail subscribers. In addition, we also offer fee-based premium e-mail services to corporate users, who could use their corporate name as e-mail address and enjoy our custom-made functions, such as group instant message, push mail service and Internet disk services. As of December 31, 2017, we had approximately 650,000 corporate e-mail customers.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w:t>
      </w:r>
    </w:p>
    <w:p>
      <w:pPr>
        <w:spacing w:after="0" w:line="225"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Our wide range of other online services include offering live video streaming through our most popular streaming platform CC, music streaming through Cloud Music, online payment services through Wangyibao, e-books and reading materials through EaseRead, online education through NetEase Cloud Classroom, NetEase Open Courses and Youdao Classes, and online dictionary through Youdao Dictionary.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right="100" w:hanging="324"/>
        <w:spacing w:after="0" w:line="264"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CC platform streams gameplay shows (where viewers watch people compete in online games) and game-related shows. Viewers can watch these shows for free and can also purchase virtual items from us (such as a “thumbs-up” image) to show support for their favorite broadcasters who provide commentary for the shows.</w:t>
      </w:r>
    </w:p>
    <w:p>
      <w:pPr>
        <w:spacing w:after="0" w:line="181"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Cloud Music offers certain music content for free and other premium content for fees. Users may choose to purchase subscriptions to access a variety of premium contents offered by Cloud Music or make item-based purchases for specific music.</w:t>
      </w:r>
    </w:p>
    <w:p>
      <w:pPr>
        <w:sectPr>
          <w:pgSz w:w="11900" w:h="16929" w:orient="portrait"/>
          <w:cols w:equalWidth="0" w:num="1">
            <w:col w:w="11400"/>
          </w:cols>
          <w:pgMar w:left="240" w:top="125" w:right="259" w:bottom="0" w:gutter="0" w:footer="0" w:header="0"/>
        </w:sectPr>
      </w:pPr>
    </w:p>
    <w:bookmarkStart w:id="32" w:name="page33"/>
    <w:bookmarkEnd w:id="32"/>
    <w:p>
      <w:pPr>
        <w:ind w:left="980" w:right="220" w:hanging="324"/>
        <w:spacing w:after="0" w:line="264"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Wangyibao is our online payment system where we act as the payment intermediary to facilitate transactions. We help third-party vendors to collect payments and generate revenues from service fees paid by these third-party vendors based on a pre-determined service fee rate and the amount of processed orders.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EaseRead offers users certain free reading materials and other premium content for item-based fees.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online education websites and mobile applications provide various courses to their users, primarily relating to test preparations, educational channels and talkshows such as TedTalk, and open courses from world-renowned universities.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Youdao Dictionary offers users online dictionary services and has become one of the most popular online translation tools among Chinese Internet users, achieving over 703 million installations as of December 31,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from e-mail and others accounted for 11.1%, 9.2% and 6.9% of total net revenues in 2015, 2016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For our mobile games, the Apple app store for iOS and third-party Android app stores such as Qihoo 360 Mobile, Xiaomi, Huawei, UCWeb and Baidu are the dominant distribution channels in China. In addition, to leverage our existing user bases, we also publish our mobile games through our websites and other Internet and mobile platforms. Mobile users in China have a variety of payment options for our mobile games, including prepaid cards, online payments through app stores and other online payment channels. App stores collect a portion of our revenues for mobile games downloaded through the app store, which is generally 30% for the iOS app store and ranges from 30% to 50% for Android app stores.</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sell game playing time and virtual items to users of the PC-client games that we operate largely in the form of prepaid point cards. Users can purchase virtual prepaid cards online and receive the prepaid point information instantly. We also sell prepaid point cards to users through a wide range of distributors who arrange for our cards to be offered at various retail points in China . We sell prepaid point cards to distributors at a 2.0% to 4.0% discount off of their face value. The discount for each distributor varies based on that distributor’s volume of point cards purchased.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We believe that the continued enhancement of our customer online shopping experience will promote word-of-mouth referrals and attract repeat customers’ visits and purchases. We direct customers to our online and mobile e-commerce platforms primarily through a number of traditional online and offline channels, such as our sponsored searches, social and online advertising, television advertising and other advertising channels. We also offer our customers special pricing discounts in connection with promotion activities and strive to expand our products selection to attract more visitors. We aim to continue to attract customers by delivering a satisfying customer experience and increasing our marketing and brand promotion efforts.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We believe the growing number of Internet users in China represents an attractive demographic target for advertisers because it represents an affluent, educated and technically sophisticated market. To capitalize on this advertising opportunity, we maintain a dedicated advertising services sales force, which had 522 sales professionals located in Beijing, Shanghai and Guangzhou as of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online advertising on our mobile applications and the NetEase websites is also sold through online advertising sales networks and advertising agencies. We believe that our focus on providing widely used services that are designed to appeal to a broad base of Internet users attracts a variety of blue chip advertisers, ranging from technology products to consumer brands.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websites that feature movies or television series, athletic events, conferences, music awards, charity concerts and industry exhibitions.</w:t>
      </w:r>
    </w:p>
    <w:p>
      <w:pPr>
        <w:spacing w:after="0" w:line="193"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For a discussion of the seasonality of our revenue, see Item 5 “Operating and Financial Review and Prospects—Revenue—Seasonality of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employ a variety of traditional and online marketing programs and promotional activities to build our brand as part of our overall marketing strategy. We focus on building brand awareness through proactive public relations and traditional and online advertising. We invest in a series of marketing activities to further strengthen our brand image and continue to grow our user base. Our marketing campaigns consist of corporate branding and announcements about our services through outdoor, print and online advertisements.</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also conduct in-game marketing campaigns, visible to users playing our online games, in connection with holiday seasons or the commercial launches of new games or expansion packs throughout the year. We have also entered into a number of agreements with third-party promoters of our online game titles. Pursuant to these agreements, promoters market our game titles to potential customers in specific locations, principally Internet cafés and university campuses, in return for a commission for new users they recruit. For our e-commerce business, we have participated in various promotional activities throughout the year. For example, we offered discounts and bonus coupons to our customers during the online shopping festivals on November 11, 2017 and December 12, 2017, both of which are major online shopping events widely recognized by Chinese consumers.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continue investing in various forms of marketing to further build awareness of our brand and game titles.</w:t>
      </w:r>
    </w:p>
    <w:p>
      <w:pPr>
        <w:sectPr>
          <w:pgSz w:w="11900" w:h="16838" w:orient="portrait"/>
          <w:cols w:equalWidth="0" w:num="1">
            <w:col w:w="11420"/>
          </w:cols>
          <w:pgMar w:left="240" w:top="341"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believe that the ability to develop and enhance our services is an integral part of our future success. Our product development efforts and strategies consist of incorporating new technologies from third parties as well as continuing to develop our own proprietary technology in order to produce user-friendly Internet and e-commerce applications, services and technologies for the Chinese market.</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e-commerce and other online services to our users. We also have utilized and will continue to utilize third-party advertisement serving technologies in conjunction with our own proprietary software. In addition, we plan to continue to expand our technologies, services and registered user base through diverse online services developed internally. We will seek to continually improve and enhance our existing services to respond to rapidly evolving competitive and technological conditions.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major area of focus is the development of our proprietary online games (including introducing new types of games) and localizing licensed games, and we plan to continue this focus in the future. As of December 31, 2017, we had approximately 7,000 programmers, network engineers and graphic designers dedicated to online game research and development.</w:t>
      </w:r>
    </w:p>
    <w:p>
      <w:pPr>
        <w:spacing w:after="0" w:line="181"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We have multiple studios of game developers established to research and develop new games and expansion packs. In developing a new game or expansion pack, game developers create proposals for the game theme and design, and then construct prototypes for management to review and approve. Subsequently, our quality control staff, as well as volunteer players, conduct limited beta testing for the new game designs and expansion packs. Based on analysis of the feedback provided by the quality control staff and volunteer players, our game developers refine the game designs and expansion packs and then initiate unlimited beta testing, by which time the game becomes available to the public. For games using the time-based revenue model, no revenue is collected from users during unlimited beta testing until commercial launch of the game. However, for games using the item-based revenue model, users in the unlimited beta testing can purchase in-game items, which allow those games to start generating revenue from the unlimited beta testing phase onwards. Accordingly, for item-based games, the beginning of unlimited beta testing is sometimes considered to be the commercial launch of the game. Our game developers further improve the new game designs and expansion packs as necessary based on user statistics and feedback gathered from unlimited beta testing. User statistics gathered from limited beta and unlimited beta testing results are compared with existing games, which enables us to assess the potential for success of the new games and expansion packs and to plan the network infrastructure and marketing efforts required to support each new game or expansion pack.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connection with our game development activities, we occasionally license specific game technologies which we incorporate into our internally developed games.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TECHNOLOGY</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infrastructure and technology have been designed for reliability, scalability and flexibility and are administered by our technical staff. The NetEase websites and other online and mobile platforms are made available primarily through network servers co-located in the facilities of China Unicom’s Beijing affiliate and China Telecom’s Beijing affiliates. As of December 31, 2017, there were approximately 77,000 of such co-located servers, including servers supporting the operation of the games licensed to Shanghai EaseNet by Blizzard, operating with Web server software from Apache and Netscape and using leased dedicated lines from China Net Center and various affiliates of China Unicom and China Telecom.</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we also develop our own systems to facilitate sales planning, targeting, trafficking, inventory management and reporting tools, as well as advertisement and search tracking systems for our advertising and search services.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use Oracle’s database systems to manage our registered user database. NetEase has established a comprehensive user profile system, and we analyze user information on a weekly basis. We also deploy a single sign-on system that allows users to easily access our services within the NetEase websites. We intend to continue to use a combination of internally developed software products as well as third-party products to enhance our Internet media services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number of companies offer competitive products or services in China, our main operating market. Specifically, we are encountering competition from companies offering various online games that target the China market, such as Tencent, Changyou.com Limited, Giant Interactive Group Inc., Shanda Games Limited, and Perfect World Company Limited. We also face competition from other websites that offer online content and online community services, including Tencent, Baidu, Alibaba, Sina, Sohu, Qihoo, iFeng.com, Youku, and other vertical Internet media. In addition, we face competition for our e-commerce businesses from other companies such as Alibaba, JD.com, Mijia Youpin, Jumei International Holding Limited and Vipshop Holdings Limited. Some of our existing and potential competitors in these areas have significantly greater financial and marketing resources than we do. In addition, we believe that many of our competitors have become more active in both licensing foreign-developed games and developing games in-house.</w:t>
      </w:r>
    </w:p>
    <w:p>
      <w:pPr>
        <w:spacing w:after="0" w:line="16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also believe that competition in the online advertising industry in China is intense with numerous competitors such as Baidu, Sina, Sohu, Tencent, Alibaba, Qihoo, iFeng.com, TouTiao.com and Youku, as well as other vertical Internet media. In addition, we face competition from Internet media operated by multinational Internet companies such as Yahoo! Inc., Microsoft Corporation and Google Inc. which provide Chinese language service offerings.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We also compete with traditional forms of media for advertising-related revenue.</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34" w:name="page35"/>
    <w:bookmarkEnd w:id="34"/>
    <w:p>
      <w:pPr>
        <w:spacing w:after="0" w:line="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Chinese government has enacted an extensive regulatory scheme governing the operation of Internet-related businesses, such as telecommunications, Internet information services, international connection to computer information networks, information security and censorship. In addition to MII, the various services of the PRC Internet industry are regulated by various governmental authorities, such as the SAIC, the State Council Information Office, or SCIO, the Ministry of Education, or MOE, the Ministry of Health, or MOH, the State Food and Drug Administration, or SFDA, the MOCT, the SART, the Ministry of Commerce, the Ministry of Public Security and the CAC.</w:t>
      </w:r>
    </w:p>
    <w:p>
      <w:pPr>
        <w:spacing w:after="0" w:line="188" w:lineRule="exact"/>
        <w:rPr>
          <w:sz w:val="20"/>
          <w:szCs w:val="20"/>
          <w:color w:val="auto"/>
        </w:rPr>
      </w:pPr>
    </w:p>
    <w:p>
      <w:pPr>
        <w:ind w:right="400" w:firstLine="648"/>
        <w:spacing w:after="0" w:line="297" w:lineRule="auto"/>
        <w:rPr>
          <w:sz w:val="20"/>
          <w:szCs w:val="20"/>
          <w:color w:val="auto"/>
        </w:rPr>
      </w:pPr>
      <w:r>
        <w:rPr>
          <w:rFonts w:ascii="Arial" w:cs="Arial" w:eastAsia="Arial" w:hAnsi="Arial"/>
          <w:sz w:val="16"/>
          <w:szCs w:val="16"/>
          <w:color w:val="auto"/>
        </w:rPr>
        <w:t>In September 2000, China’s State Council promulgated the Telecommunications Regulations of the People’s Republic of China, or the Telecom Regulations, which was revised in February 2016. The Telecom Regulations categorized all telecommunications businesses in China as either basic telecommunications businesses or value-added telecommunications businesses, with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December 2001, in order to comply with China’s commitments with respect to its entry into the WTO, the State Council promulgated the Regulation for the Administration of Foreign-invested Telecommunications Enterprises, or the FITE Regulations, which was revised in February 2016. The FITE Regulations set forth detailed requirements with respect to capitalization, investor qualifications and application procedures in connection with the establishment of a foreign invested telecom enterprise. Pursuant to the FITE Regulations, foreign investors may hold an aggregate of no more than 50% of the total equity in any value-added telecommunications business in China, with the one exception set forth in the Notice of the Ministry of Industry and Information Technology on Removing the Restrictions on Foreign Equity Ratios in Online Data Processing and Transaction Processing (Operating E-commerce) Business issued by MII in June 2015, pursuant to which, foreign investors may hold up to 100% of the total equity in online data processing and transaction processing businesses. However, the FITE Regulations do not define the “online data processing and transaction processing business,” and its interpretation and enforcement involve significant uncertainties. Therefore, we cannot assure you whether our online retail business and distribution of online information falls into the “online data processing and transaction processing business” category and whether we are permitted to conduct such value-added telecommunications services in the PRC through our subsidiaries in which foreign investors own more than 50% of the equity interests.</w:t>
      </w:r>
    </w:p>
    <w:p>
      <w:pPr>
        <w:spacing w:after="0" w:line="173"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The Circular of the MII on Intensifying the Administration of Foreign Investment in Value-Added Telecommunication Services, or the 2006 MII Circular, was promulgated by MII on July 13, 2006. The 2006 MII Circular provides that (i) any domain name used by a valued—added telecom service provider must be legally owned by the service provider or its shareholder(s); (ii) any trademark used by a value-added telecom service provider must be legally owned by the service provider or its shareholder(s); (iii) the operation site and facilities of a value-added telecom service provider must be installed within the scope as prescribed by the operating licenses obtained by the service provider and must correspond to the value-added telecom services that the service provider has been approved to provide; and (iv) a value-added telecom service provider must establish or improve the measures of ensuring information security. Companies which have obtained operating licenses for value-added telecom services are required to conduct a self-examination and self-correction according to the foregoing requirements and report the results of such self-examination and self-correction to MII. To comply with these requirements, Guangzhou NetEase submitted its self-correction report to MII in 2007.</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Classified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Internet Information Services</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Measures for the Administration of Internet Information Services, or the ICP Measures, issued by the State Council went into effect on September 25, 2000 and was revised on January 8, 2011. Under the ICP Measures, any entity that provides information to Internet users must obtain an operating license from MII or its local branch at the provincial level in accordance with the Telecom Regulations described above. To provide these services in compliance with all the relevant ICP-related Chinese regulations, Guangzhou NetEase successfully obtained an ICP license issued by the Guangdong Provincial Telecommunications Bureau. Subsequently, Guangzhou NetEase obtained a Value-Added Telecom Business Operating License from the Guangdong Provincial Telecommunications Bureau, which replaced its ICP license and authorizes Guangzhou NetEase to provide Internet information services. Guangzhou NetEase obtained an Inter-Provincial Value-Added Telecommunications Business Operating License from MII, which specifically authorizes it to provide value-added telecommunications services (excluding fixed line phone call information services and Internet information services). Also, Shanghai EaseNet, Youdao Computer, Hangzhou Leihuo, Zhejiang Yixin Science &amp; Technology Co., Ltd, Wangyibao, Ujia E-commerce Co., Ltd., or Ujia, Zhoushan Bole Technology Co., Ltd., or Zhoushan Bole, NetEase Advertising, Hangzhou Bobo Technology Co., Ltd., or Hangzhou Bobo, and Hangzhou Ledu Technology Co., Ltd., or Ledu, and certain other affiliated entities have each obtained a Value-Added Telecommunications Business Operating License issued by a relevant Provincial Telecommunications Bureau.</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Provisional Regulations for the Administration of Website Operation of News Publications, which were jointly issued by SCIO and MII on November 17, 2000, stipulate that websites of non-news organizations shall not publish news items produced by themselves and require the websites of non-news organizations to be approved by SCIO after securing permission from SCIO at the provincial level. On September 25, 2005, the Regulations for the Administration of Internet News Information Services were promulgated jointly by SCIO and MII. The regulations require that any ICP operator that is a non-news organization but engaged in Internet news information services must obtain approval for those services from SCIO. Guangzhou NetEase has obtained an Internet News Information Service License from SCIO.</w:t>
      </w:r>
    </w:p>
    <w:p>
      <w:pPr>
        <w:spacing w:after="0" w:line="1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SART (formerly known as the State Administration of Radio, Film and Television, or the SARFT, and the SAPPRFT) issued a Notice on Strengthening the Management of Live-Streaming Service for the Network Audio-visual Programs in September 2016, pursuant to which an Internet live-streaming service provider shall (i) provide necessary censorship on the content of such live-stream; (ii) establish a mechanism to timely identify unlawful contents, prevent them from being distributed and replace them with backup programs; and (iii) record the live-streaming program and keep such records for at least 60 days. Shortly after this notice, the State Internet Information Office promulgated the Administrative Provisions on Internet Live-Streaming Services in November 2016, pursuant to which an Internet live-streaming service provider shall (i) establish a live-streaming content review</w:t>
      </w:r>
    </w:p>
    <w:p>
      <w:pPr>
        <w:sectPr>
          <w:pgSz w:w="11900" w:h="16894" w:orient="portrait"/>
          <w:cols w:equalWidth="0" w:num="1">
            <w:col w:w="11400"/>
          </w:cols>
          <w:pgMar w:left="240" w:top="368" w:right="259" w:bottom="0" w:gutter="0" w:footer="0" w:header="0"/>
        </w:sectPr>
      </w:pPr>
    </w:p>
    <w:bookmarkStart w:id="35" w:name="page36"/>
    <w:bookmarkEnd w:id="35"/>
    <w:p>
      <w:pPr>
        <w:spacing w:after="0" w:line="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platform; (ii) require authentication for the registration of live-streaming content providers; and (iii) enter into a service agreement with live-streaming content providers to specify each of the live-streaming service provider’s and the content provider’s rights and obligations. If an ICP who provides information services through mobile applications violates these regulations, mobile application stores through which the ICP distributes its applications may issue warnings, suspend the release of its applications, terminate the sale of its applications, and/or report the violations to governmental authorities.</w:t>
      </w:r>
    </w:p>
    <w:p>
      <w:pPr>
        <w:spacing w:after="0" w:line="15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2017, the CAC promulgated the Provisions for Internet-based News Information Services 2017 and its implementing rules, both of which became effective on June 1, 2017. The Provisions for Internet-based News Information Services 2017 require any party that provides Internet-based news information services to the public through online live streaming to obtain a permit for such news information services and restricts any party from carrying out such activities without a permit or beyond the scope indicated on the permit. In addition, the Provisions for Internet-based News Information Services 2017 prohibit organizations from establishing foreign, partially or wholly, entities from investing or operating Internet-based news information services. The CAC and the local cyberspace administrative offices are responsible for the supervision, management and inspection of such Internet-based news information services. We believe we are in compliance with such provisions and implementing rules because our news information services are conducted by one of our VIE companies through contractual arrangements.</w:t>
      </w:r>
    </w:p>
    <w:p>
      <w:pPr>
        <w:spacing w:after="0" w:line="1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27, 2002, MII and GAPP (later superseded by the SART) jointly promulgated the Provisional Measures for the Administration of Internet Publishing, which was replaced by the Rules for the Administration of Online Publishing Service jointly issued by SAPPRFT (later superceded by the SART) and MII that became effective on March 10, 2016. These provisional measures require Internet publishers to secure approval from the SAPPRFT (later superceded by the SART) for their operations. The term “Internet publishing” is defined as an act of online dissemination whereby Internet information service providers select, edit and process contents created by themselves or others (including contents from books, newspapers, periodicals, audio and video products, electronic publications that have already been formally published or works that have been made public in other media format) and subsequently post the same on the Internet or transmit the same to users via the Internet. Guangzhou NetEase has obtained a license from the SAPPRFT (later superceded by the SART) to engage in Internet publishing.</w:t>
      </w:r>
    </w:p>
    <w:p>
      <w:pPr>
        <w:spacing w:after="0" w:line="19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July 8, 2004, SFDA issued the Measures for the Administration of Internet Drug Information Services, which stipulate that websites publishing drug-related information must obtain a license from local food and drug administrations. Guangzhou NetEase has obtained a license for publishing drug-related information from the Guangdong Food and Drug Administration.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Pursuant to the Measures for the Administration of Internet E-mail Services, or the Internet E-mail Measures, which were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 or administrative regulation. Guangzhou NetEase has obtained an Inter-Provincial Value-Added Telecommunications Business Operating License.</w:t>
      </w:r>
    </w:p>
    <w:p>
      <w:pPr>
        <w:spacing w:after="0" w:line="1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SARFT (later superseded by the SART) and MII jointly issued the Regulations for the Administration of Internet Audiovisual Program Services, or the Audiovisual Regulations, on December 20, 2007, which was revised on August 28, 2015, require that online audio and video service providers must obtain a permit from SAPPRFT (later superceded by the SART) in accordance with the Audiovisual Regulations. Guangzhou NetEase has obtained the Permit for the Network Transmission of Audiovisual Programs issued by the SAPPRFT (later superceded by the SART).</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September 3, 2009, the MOC (later superseded by the MOCT) issued its Notice on Strengthening and Improving the Content Censorship of Online Music Content. According to this notice, only entities approved by the MOC (later superseded by the MOCT) for an Internet Culture Operating License may engage in the production, release, dissemination (including providing direct links to music products) and importation of online music products. In addition, the notice also requires all domestic music products to be filed with the MOC (later superseded by the MOCT) within 30 days after being publicly available online. Imported music products must be approved by the MOC (later superseded by the MOCT) before being made available online. On October 23, 2015, the MOC (later superseded by the MOCT) issued its Notice on Further Strengthening and Improving the Management of Online Music Content. According to this notice, the entities should examine and verify the content of online music by themselves, while the culture management administration should supervise in the act and afterwards. Guangzhou NetEase, Shanghai EaseNet, Hangzhou Leihuo, Zhoushan Bole, Ujia, Ledu and Hangzhou Bobo and certain other affiliated entities have each obtained an Internet Culture Operating License.</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May 4, 2008, the China Banking Regulatory Commission, or CBRC, and PBOC jointly issued the Guiding Opinions of China Banking Regulatory Commission and the People’s Bank of China on the Pilot Operation of Small Loan Companies, or the Guiding Opinions. According to the Guiding Opinions, to apply for setting up a small loan company, the applicant is required to file a formal official application with the competent department of the provincial government, and, upon approval, it shall apply to the local administrative department for industry and commerce for handling the registration formalities and to receive the business license. It is also required to file the relevant materials with the local public security organ, the dispatch office of the CBRC and the branch institution of the PBOC within five working days after approval. The major sources of funds of a small loan company shall be the capital paid by shareholders, donated capital and the capital borrowed from a maximum of two banking financial institutions. The balance of the capital borrowed from banking financial institutions shall not exceed 50% of the net capital within the scope as prescribed by laws and regulations. In addition, the balance of loans granted by a small loan company to a single borrower shall not exceed 5% of the net capital of the company.</w:t>
      </w:r>
    </w:p>
    <w:p>
      <w:pPr>
        <w:spacing w:after="0" w:line="16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requisite registration with the PBOC. In addition, on June 14, 2010, the PBOC issued the Measures for the Administration of Non-financial Institutions Engaging in Payment and Settlement Services, or the PBOC Measures, which became effective as of September 1, 2010 and require that non-financial institutions engaging in the business of effecting payments and settlements before June 14, 2010 obtain a permit, Payment Service Permit, from the PBOC by August 31, 2011 to continue such business. On December 1, 2010, the PBOC issued the Implementation Rules for the Measures for the Administration of Non-financial Institutions Engaging in Payment and Settlement Services, or the Implementation Rules for the PBOC Measures, which contains further elaboration with respect to the application qualification, material and procedure for the Payment Service Permit and further measures aiming at protecting the rights and interests of clients, including prominent disclosure of service rates, prior</w:t>
      </w:r>
    </w:p>
    <w:p>
      <w:pPr>
        <w:sectPr>
          <w:pgSz w:w="11900" w:h="16863" w:orient="portrait"/>
          <w:cols w:equalWidth="0" w:num="1">
            <w:col w:w="11420"/>
          </w:cols>
          <w:pgMar w:left="240" w:top="125" w:right="239" w:bottom="0" w:gutter="0" w:footer="0" w:header="0"/>
        </w:sectPr>
      </w:pPr>
    </w:p>
    <w:bookmarkStart w:id="36" w:name="page37"/>
    <w:bookmarkEnd w:id="36"/>
    <w:p>
      <w:pPr>
        <w:ind w:right="80"/>
        <w:spacing w:after="0" w:line="287" w:lineRule="auto"/>
        <w:rPr>
          <w:sz w:val="20"/>
          <w:szCs w:val="20"/>
          <w:color w:val="auto"/>
        </w:rPr>
      </w:pPr>
      <w:r>
        <w:rPr>
          <w:rFonts w:ascii="Arial" w:cs="Arial" w:eastAsia="Arial" w:hAnsi="Arial"/>
          <w:sz w:val="16"/>
          <w:szCs w:val="16"/>
          <w:color w:val="auto"/>
        </w:rPr>
        <w:t>notice to clients before any modification can be made to the service rates or payment service agreement between a payment service provider and its clients. We have obtained the Payment Service Permit from the PBOC. On December 28, 2015, the PBOC issued the Administrative Measures for Internet Payment Services of Non-banking Payment Institutions, which will take effect on July 1, 2016, which require that non-banking payment institutions shall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such accounts shall be owned by the same client. On January 13, 2017, the PBOC issued the Notice of the PBOC on Matters concerning Implementing the Centralized Deposit of the Funds of Pending Payments of Clients of Payment Institutions, which requires that, beginning on April 17, 2017, a payment institution to deposit a certain percentage of the funds from its clients, pending payment from such clients, in a special deposit account with a designated financial institution where no interest on such percentage of funds shall accrue. This means that beginning on April 17, 2017, we will not be able to collect interest on a certain portion of funds that our users have with us through our Wangyibao payment platform. For other details, see Item 3.D. “Risk Factors—Risks Related to the Telecommunications and Internet Industries in China—Regulatory restrictions on financial transactions may adversely affect the operation and profitability of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29, 2011, MII issued Several Provisions on Regulating the Market Order for Internet Information Services, or the Market Order Provisions. According to such provisions, Internet information service providers, or IISPs, are prohibited from a wide range of activities that would infringe upon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the users. Also, IISPs are prohibited from collecting information that is related to the users and can serve to identify the users’ identities solely or in conjunction with other information without the users’ consent or providing other people with such information, unless otherwise permitted or required under laws or administrative regulations. We believe our current operation is in compliance with the Market Order Provisions.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June 7, 2013, the PBOC issued the Measures for the Custody of Clients’ Reserves of Payment Institutions, or the Clients’ Reserves Measures, which defines Clients’ Reserves as funds actually received by payment institutions when processing payments for clients and payable upon clients order, and requires payment institutions to fully deposit the Clients’ Reserves into a dedicated deposit account held in the custody of banking institutions. We have taken necessary measures to comply with the Clients’ Reserves Measures.</w:t>
      </w:r>
    </w:p>
    <w:p>
      <w:pPr>
        <w:spacing w:after="0" w:line="18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On July 18, 2015, PBOC, MII, Ministry of Public Security, MOF, SAIC, Legislative Affairs Office of the State Council, CBRC, CSRC, China Insurance Regulatory Commission and China Internet Information Technology Office jointly issued the Guiding Opinions on Promoting the Healthy Development of Internet Finance, which was imperative to encourage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spacing w:after="0" w:line="18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August 7, 2014, SCIO issued the Interim Provisions on Managing the Development of Public Information Services on Instant Messaging Tools, or the Instant Messaging Interim Provisions, which stipulate that instant messaging tool service providers must enter into an agreement with their users during account registration to require them to abide by “Seven Principals,” including, without limitation, laws and regulations, socialist system principals and social ethics. We believe we have taken the necessary measures to comply with the Instant Messaging Interim Provisions.</w:t>
      </w:r>
    </w:p>
    <w:p>
      <w:pPr>
        <w:spacing w:after="0" w:line="17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December 28, 2015, MIIT issued the Telecommunication Services Classification Catalogue (2015), replacing the old Telecommunication Services Classification Catalogue (2003), which took effect on March 1, 2016. The 2015 catalogue divides the information services business into five more detailed sub-categories and reclassifies the online data processing and transaction processing services business as a value-added telecom business from basic telecom business category in the 2003 Catalogue. In 2017, MIIT issued the new version of Measures for the Administration of Telecom Business Licensing, or MIIT Measures 2017, which became effective on September 1, 2017. Same as the previous 2009 version, the MIIT Measures 2017 require the companies who are engaged in the telecommunications businesses to have a Telecom Business License. However, the MIIT Measures 2017 removed the previous requirement of record-filing and the trans-regional value-added telecommunications business permit for the operation of such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On April 17, 2015, the National Copyright Administration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works.</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June 28, 2016, the CAC published the first regulation of mobile applications in the PRC, the Administrative Provisions on Information Services for Mobile Internet Applications, or the App Administrative Provisions. These provisions expressly require mobile application providers to obtain the relevant operation licenses and hold the mobile application providers strictly responsible for the implementation of information security management regarding the applications they distribute or operate. The App Administrative Provisions also require mobile application providers to (i) verify the identity and contact information of their registered users, (ii) establish an appropriate mechanism to protect its users’ personal data, (iii) develop an adequate censorship mechanism for any information published through their applications, (iv) protect their users’ rights to be informed if their applications need to gain access to the users’ personal details and refrain from accessing the functions unrelated to the relevant applications without the users’ consent, (v) protect their users’ intellectual property rights, and (vi) maintain internal records of users’ activities.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Security and Censorship</w:t>
      </w:r>
    </w:p>
    <w:p>
      <w:pPr>
        <w:sectPr>
          <w:pgSz w:w="11900" w:h="16838" w:orient="portrait"/>
          <w:cols w:equalWidth="0" w:num="1">
            <w:col w:w="11420"/>
          </w:cols>
          <w:pgMar w:left="240" w:top="125" w:right="239" w:bottom="0" w:gutter="0" w:footer="0" w:header="0"/>
        </w:sectPr>
      </w:pPr>
    </w:p>
    <w:bookmarkStart w:id="37" w:name="page38"/>
    <w:bookmarkEnd w:id="37"/>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Regulations governing information security and censorship include:</w:t>
      </w:r>
    </w:p>
    <w:p>
      <w:pPr>
        <w:spacing w:after="0" w:line="225"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Law of the People’s Republic of China on the Preservation of State Secrets (2010) and its Implementation Rules (2014);</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Counter-espionage Law of the People’s Republic of China (2014);</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Rules of the People’s Republic of China for Protecting the Security of Computer Information Systems (1994, revised in 2011);</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Administrative Regulations for the Protection of Secrecy on Computer Information System Connected to International Networks (1997, revised in 2011);</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Regulations for the Protection of State Secrets for Computer Information Systems on the Internet (2000);</w:t>
      </w:r>
    </w:p>
    <w:p>
      <w:pPr>
        <w:spacing w:after="0" w:line="225" w:lineRule="exact"/>
        <w:rPr>
          <w:rFonts w:ascii="Arial" w:cs="Arial" w:eastAsia="Arial" w:hAnsi="Arial"/>
          <w:sz w:val="18"/>
          <w:szCs w:val="18"/>
          <w:color w:val="auto"/>
        </w:rPr>
      </w:pPr>
    </w:p>
    <w:p>
      <w:pPr>
        <w:ind w:left="660" w:right="440" w:hanging="328"/>
        <w:spacing w:after="0" w:line="308" w:lineRule="auto"/>
        <w:tabs>
          <w:tab w:leader="none" w:pos="6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Notice issued by the Ministry of Public Security of the People’s Republic of China Regarding Issues Relating to the Implementation of the Administrative Measure for the Security Protection of International Connections to Computer Information Networks (2000);</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Security Law of the People’s Republic of China (2016);</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Administrative Measures of the Commercial Website Filings for the Record (2004);</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Decision of the Standing Committee of the National People’s Congress Regarding the Safeguarding of Internet Security (2002);</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on the Technical Measures for the Protection of the Security of the Internet (2006);</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Administrative Regulations for the Classified Protection of Information Security (2007);</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Decision of the Standing Committee of the National People’s Congress on Strengthening Network Information Protection (2012);</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on Protection of Personal Information of Telecommunication and Internet Users (2013);</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Internet User Account Name Management Regulations (2015);</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Security Law of the People’s Republic of China (2017).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147"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opposes the fundamental principles set forth in China’s Constitution;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compromises state security, divulges state secrets, subverts state power or damages national unity;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sabotages China’s religious policy or propagates heretical teachings or feudal superstitions;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propagates obscenity, pornography, gambling, violence, murder or fear or incites the commission of crimes;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other content prohibited by laws or administrative regulations.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Failure to comply with these content censorship requirements may result in the revocation of licenses and the closing down of the concerned websites or other online and mobile platforms. To ensure compliance with these regulatory requirements, Guangzhou NetEase has taken all reasonable steps to avoid displaying any of the prohibited content on the NetEase websites and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Guangzhou NetEase has obtained a Filing and Registration Certificate for Computer Information System Connected to International Networks issued by Guangzhou Public Security Bureau.</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June 22,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 Public Security and its bureaus at provincial level. Guangzhou NetEase has followed the requirements and filed its classification with the Guangzhou Public Security Bureau.</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or Personal Information, is protected and no person shall steal, illegally obtain, sell or illegally provide to others any Personal</w:t>
      </w:r>
    </w:p>
    <w:p>
      <w:pPr>
        <w:sectPr>
          <w:pgSz w:w="11900" w:h="16885" w:orient="portrait"/>
          <w:cols w:equalWidth="0" w:num="1">
            <w:col w:w="11360"/>
          </w:cols>
          <w:pgMar w:left="240" w:top="125" w:right="299" w:bottom="0" w:gutter="0" w:footer="0" w:header="0"/>
        </w:sectPr>
      </w:pPr>
    </w:p>
    <w:bookmarkStart w:id="38" w:name="page39"/>
    <w:bookmarkEnd w:id="38"/>
    <w:p>
      <w:pPr>
        <w:jc w:val="both"/>
        <w:ind w:right="40"/>
        <w:spacing w:after="0" w:line="286" w:lineRule="auto"/>
        <w:rPr>
          <w:sz w:val="20"/>
          <w:szCs w:val="20"/>
          <w:color w:val="auto"/>
        </w:rPr>
      </w:pPr>
      <w:r>
        <w:rPr>
          <w:rFonts w:ascii="Arial" w:cs="Arial" w:eastAsia="Arial" w:hAnsi="Arial"/>
          <w:sz w:val="17"/>
          <w:szCs w:val="17"/>
          <w:color w:val="auto"/>
        </w:rPr>
        <w:t>Information. Also, according to the Information Protection Decision, where the network service providers provide website access service, or handle network access formalities for fixed-line telephones or mobile phones, or provide information publication service for their users, they shall require the users to provide authentic identity information when concluding agreement or confirming provision of such service with the users.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July 16, 2013, MII issued the Provisions on Protection of Personal Information of Telecommunication and Internet Users, which defines “Personal Information” as information that can identify the user either on its own or in combination with other information that is collected in the course of provision of services by the telecommunication business operators and Internet information service providers, and sets out detailed provisions concerning the collection and utilization of such Personal Information.</w:t>
      </w:r>
    </w:p>
    <w:p>
      <w:pPr>
        <w:spacing w:after="0" w:line="18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February 4, 2015, the SCIO issued the Internet User Account Name Management Regulations, which defines “Internet User Account Name” as an account name registered or used in Internet information services, including, without limitation, blogs, micro-blogs, instant communication tools, forums and thread comments. Also, according to the Internet User Account Name Management Regulations, Internet information service providers must prohibit their users from using any illegal or harmful information in their account name, avatar, profile or other registration information. We believe we have taken the necessary measures to comply with the Internet User Account Name Management Regulations.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7, 2016, the Standing Committee of the National People’s Congress promulgated the Cyber Security Law, which became effective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the event of any unauthorized disclosure, damage or loss of collected personal information, network operators must take immediate remedial measures, notify the affected users and report the incidents to the relevant authorities in a timely manner. We collect and use our users’ personal information only if our users give their informed consent, and we believe we have taken appropriate measures to protect the security of our users’ personal information.</w:t>
      </w:r>
    </w:p>
    <w:p>
      <w:pPr>
        <w:spacing w:after="0" w:line="18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April 11, 2017, the CAC released the Draft Measures on Security Assessment of the Cross-Border Transfer of Personal Information and Important Data, or the Draft Cross-Border Transfer Measures, which require personal information and important data collected or produced by network operators during their operations in China to be stored within China. According to the Draft Cross-Border Transfer Measures, assessment by relevant regulatory authority or the national cyberspace authority under certain circumstances must be completed before transferring such data overseas. Furthermore, such data may not be transferred overseas without consent from the concerned individual(s), or if the transfer endangers the interests of individuals or public security. The CAC completed the solicitation of comments on the Draft Cross-Border Transfer Measures in May 2017, but there remains substantial uncertainties with respect to its final content and enactment timetable.</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Administrative Provisions on the Information Services Provided through Official Accounts of Internet Users, the Administrative Provisions on the Administration of Information Services Provided through Chat Groups on the Internet, the Administrative Provisions on Internet Follow-up Comment Services, and the Administrative Provisions on Internet Forum and Community Services each requires that providers of the aforesaid services shall, under the principle of requiring “mandatory registration of legal name of users and encouraged voluntary use of real name as screen name,” authenticate the identity of each of their registered users and take necessary measures to protect their users’ personal identity. To comply with such requirement, we require our users to register with legal names and have implemented certain data security measures to ensure that our users’ personal identities are protected.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Online Games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Effective as of April 10, 2009, the Measures for the Administration of Software Products, originally issued by MII on October 27, 2000, were amended and replaced by a new version issued by the MII in April 2009. According to these regulations, software products developed in the PRC could be registered with the local provincial government authorities in charge of the information industry and filed with the MII. Subsequently, on February 24, 2015, the Decision of the State Council on a Group of Administrative Approval Items Cancelled or Adjusted and Other Matters was issued which eliminated such registration procedures. Prior to February 24, 2015, all of our online games were registered with MII and its offices at the provincial level in accordance with the prior regulation.</w:t>
      </w:r>
    </w:p>
    <w:p>
      <w:pPr>
        <w:spacing w:after="0" w:line="193"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Pursuant to the Provisional Regulations for the Administration of Online Culture promulgated by the MOC (later superseded by the MOCT) in May 2003, which were revised in July 2004, February 2011 and December 2017, online game operators are required to obtain an Internet Culture Operating License from the MOC (later superseded by the MOCT), which Guangzhou NetEase, Shanghai EaseNet and Hangzhou Leihuo and Shanghai NetEase MineWorld Network Technology Co., Ltd. (“Shanghai MineWorld”) have received. In 2004, the MOC (later superseded by the MOCT) promulgated the Notice Regarding the Strengthening of Online Games Censorship, which provides that imported online games must be reviewed and approved by the MOC (later superseded by the MOCT) before they can be put into public testing or operation. Shanghai EaseNet has obtained MOC (later superseded by the MOCT) approval for World of Warcraft, including its expansion packs, The Burning Crusade, Wrath of the Lich King, Cataclysm, Mists of Pandaria, Warlords of Draenor and Legion, and StarCraft II series, including Wings of Liberty, Heart of the Swarm and Legacy of the Void, as well as Hearthstone, Heroes of the Storm, Diablo III and Overwatch. Shanghai MineWorld has obtained MOC (later superseded by the MOCT) approval for Minecraft. In accordance with such regulation, we are also required to register domestic online games with the MOC (later superseded by the MOCT) after their release. We have accordingly made such registrations with the MOC (later superseded by the MOCT) for our domestic online games, including, for example, Fairy Tales, the New Westward Journey Online II mobile game and the Fantasy Westward Journey mobile game.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On April 24, 2009, the MOC (later superseded by the MOCT) issued a Circular Concerning the Examination and Declaration of Imported Online Game Products. According to this circular, in the event of a change of the operator of an imported online game, the game’s existing import approval will be automatically revoked and the new operator must apply to the MOC (later superseded by the MOCT) for a new approval for the same game.</w:t>
      </w:r>
    </w:p>
    <w:p>
      <w:pPr>
        <w:sectPr>
          <w:pgSz w:w="11900" w:h="16838" w:orient="portrait"/>
          <w:cols w:equalWidth="0" w:num="1">
            <w:col w:w="11420"/>
          </w:cols>
          <w:pgMar w:left="240" w:top="125" w:right="239" w:bottom="0" w:gutter="0" w:footer="0" w:header="0"/>
        </w:sectPr>
      </w:pPr>
    </w:p>
    <w:bookmarkStart w:id="39" w:name="page40"/>
    <w:bookmarkEnd w:id="39"/>
    <w:p>
      <w:pPr>
        <w:ind w:right="100" w:firstLine="648"/>
        <w:spacing w:after="0" w:line="255" w:lineRule="auto"/>
        <w:rPr>
          <w:sz w:val="20"/>
          <w:szCs w:val="20"/>
          <w:color w:val="auto"/>
        </w:rPr>
      </w:pPr>
      <w:r>
        <w:rPr>
          <w:rFonts w:ascii="Arial" w:cs="Arial" w:eastAsia="Arial" w:hAnsi="Arial"/>
          <w:sz w:val="18"/>
          <w:szCs w:val="18"/>
          <w:color w:val="auto"/>
        </w:rPr>
        <w:t>On June 4, 2009, the MOC (later superseded by the MOCT) and the Ministry of Commerce jointly issued the Notice on Strengthening Administration on Online Game Virtual Currency, or the Online Game Virtual Currency Notice. According to the Online Game Virtual Currency Notice, online game virtual currency should only be used to exchange virtual services provided by the issuing enterprise for a designated extent and time, and is strictly prohibited from being used to pay for or purchase tangible products or any service or product of another enterprise. Also, the Online Game Virtual Currency Notice obligates the issuing enterprise to give users 60 days prior notice and refund in the form of legal tender or other forms acceptable to users in case it plans to terminate the provision of its products or services. We have implemented measures which we believe are necessary to ensure our compliance of the Online Game Virtual Currency Notice.</w:t>
      </w:r>
    </w:p>
    <w:p>
      <w:pPr>
        <w:spacing w:after="0" w:line="1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for imported online games, the relevant license agreements for such games are regarded as technology import contracts and, accordingly, must be registered with the Ministry of Commerce. Shanghai EaseNet has registered the license agreements for StarCraft II series and World of Warcraft with the local office of the Ministry of Commerce. Such license agreements also need to be registered with the State Copyright Bureau, otherwise the licensee cannot remit licensing fees out of China to the foreign game licensor. Shanghai EaseNet has registered the license agreement for World of Warcraft, StarCraft II series, Hearthstone, Heroes of the Storm, Diablo III and Overwatch with the State Copyright Bureau.</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The publication of online games also requires approval from SAPPRFT (later superceded by the SART) in accordance with the Rules for the Administration of Online Publishing Service jointly issued by SAPPRFT (later superceded by the SART) and MII, effective on March 10, 2016, replacing Provisional Rules for the Administration of Internet Publishing jointly promulgated by GAPP (later superseded by the SART) and MII on June 27, 2002. Guangzhou NetEase has received such approval. The Online Publishing Service Rules also forbids foreign investments in the online publishing sector. In addition, in April 2007, GAPP (later superseded by the SART) and several other government authorities jointly promulgated the Notice Concerning the Protection of Minors’ Physical and Mental Well-being and Implementation of Anti-addiction System on Online Games (the “Anti-Addiction Notice”), which confirms the real-name verification scheme and anti-addiction system standard made by GAPP (later superseded by the SART) in previous years and requires online game operators to develop and test their anti-addiction systems from April 2007 to July 2007, after which no online games can be registered or operated without an anti-addiction system in accordance with the Anti-Addiction Notice. On July 1, 2011, GAPP (later superseded by the SART) and several other government authorities jointly issued the Notice Regarding the Initiation of Work on the Online Games Real-Name Verification System to Prevent Online Gaming Addiction, which requires that online game operators be responsible for the data registration and identification of online game users, and that online game operators shall duly file unverified user identification information with the Ministry of Public Security’s National Citizen Identity Information Center, or NCIIC, which will be in charge of real-name verification for the national anti-addiction system. In addition, online game operators shall ensure that via the NCIIC real-name verification, users with fraudulent identification data shall be enrolled in the operators’ anti-addiction systems. On July 25, 2014, the SARFT (later superseded by the SART) issued the Notice Regarding the Implementation of the Anti-Addiction and Real-Name Verification System in Online Games, which requires online game operators to submit their real-name verification procedure for online games when applying for publication of online games. We have implemented our anti-addiction system and taken necessary measures to comply with these measures. Since their implementation, we have not experienced a significant negative impact from these measures on our business.</w:t>
      </w:r>
    </w:p>
    <w:p>
      <w:pPr>
        <w:spacing w:after="0" w:line="17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the MOC, the SARFT and GAPP (the SARFT and GAPP were later superseded by the SART and the MOC was superseded by the MOCT). According to this notice, SAPPRFT (later superseded by the SART) shall be responsible for the examination and approval of those online games made available on the Internet, and once an online game is available on the Internet, it shall be solely and completely administrated by the MOC (later superseded by the MOCT). The notice further clarifies that the SAPPRFT (later superceded by the SART) shall be responsible for the examination and approval of the game publications which are authorized by overseas copyright owners to be made available on the Internet, and all other imported online games shall be examined and approved by the MOC (later superseded by the MOCT).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On September 28, 2009, GAPP (later superseded by the SART), the National Copyright Administration and the National Office of Combating Pornography and Illegal Publications jointly published the Notice on Further Strengthening Pre-examination and Pre-approval of Online Games and Administration of Imported Online Games Approval, or Circular 13. According to Circular 13, no entity should engage in the operation of online games without receiving an Internet Publishing License and the pre-approval from SAPPRFT (later superseded by the SART). Circular 13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Moreover, for online games which have been approved by SAPPRFT (later superseded by the SART), when the operational entity changes, or when new versions, expansion packs or new content is implemented, the operation entity shall once again undertake the same procedures for the examination and approval by SAPPRFT (later superseded by the SART) of such changed operation entity, new versions, expansion packs or new content. Shanghai EaseNet has obtained SAPPRFT (later superseded by the SART) approval for World of Warcraft, including its expansion packs, The Burning Crusade, Wrath of the Lich King, Cataclysm, Mists of Pandaria, Warlords of Draenor and Legion, and StarCraft II series, including Wings of Liberty, Heart of the Swarm and Legacy of the Void, as well as Hearthstone, Heroes of the Storm, Diablo III and Overwatch. On May 24, 2016, SAPPRFT (later superseded by the SART) issued the Circular on the Administration over Mobile Game Publishing Services, or Circular 44, which came into effect on July 1, 2016 and provides that no mobile game shall be published and operated online without the approval of the SAPPRFT (later superseded by the SART). We have taken necessary measures to comply with Circular 44.</w:t>
      </w:r>
    </w:p>
    <w:p>
      <w:pPr>
        <w:spacing w:after="0" w:line="18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June 3, 2010, the MOC (later superseded by the MOCT) issued a decree on Interim Measures for the Administration of Online Games, or the Online Games Measures, which became effective as of August 1, 2010 and were revised as of December 15, 2017.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Although many of these requirements reflect previously issued government regulations with which we already comply, certain new requirements may cause us to change the way we launch and operate our online games. For other details, see Item 3.D. “Risk Factors—Risks Related to the Telecommunications and Internet Industries in China—The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On July 30, 2010, the MOC (later superseded by the MOCT) promulgated the Notice on the Implementation of the Interim Measures for the Administration of Online Games, which provides details concerning the scope of online games, the review of online games content by the MOC (later superseded by the MOCT), the administration of material changes in the content of online games and the implementation of real-name registration of online</w:t>
      </w:r>
    </w:p>
    <w:p>
      <w:pPr>
        <w:sectPr>
          <w:pgSz w:w="11900" w:h="16838" w:orient="portrait"/>
          <w:cols w:equalWidth="0" w:num="1">
            <w:col w:w="11420"/>
          </w:cols>
          <w:pgMar w:left="240" w:top="125" w:right="239" w:bottom="0" w:gutter="0" w:footer="0" w:header="0"/>
        </w:sectPr>
      </w:pPr>
    </w:p>
    <w:bookmarkStart w:id="40" w:name="page41"/>
    <w:bookmarkEnd w:id="40"/>
    <w:p>
      <w:pPr>
        <w:spacing w:after="0" w:line="1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game users. In addition, the notice brings in the definition of joint operation of domestic online games and lays out the specific regulations for such joint operation.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January 15, 2011, the MOC (later superseded by the MOCT) and several other government authorities jointly issued the Notice on Implementation Program of Online Game Monitoring System of the Guardians of Minors, or the Monitoring System Notice, which requires online game operators to adopt various measures to maintain an interactive system for the protection of minors, through communication with the online game operators, to monitor and restrict online game activities by minors, including restriction of playtime or total suspension of the relevant gaming account. We have taken necessary measures in compliance of the Monitoring System Notice.</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August 12, 2013, the MOC (later superseded by the MOCT) issued the Administrative Measures for Content Self-review of Internet Culture Operators, which requires Internet culture operators to carry out prior self-review upon the products and services to be provided. In particular, such self-review should be conducted by staff who has obtained the Certificate for Content Review Personnel issued by the local branch of the MOC (later superseded by the MOCT) at the provincial level. Our content review personnel have already obtained such certification.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18, 1994, the State Council promulgated the Rules of the People’s Republic of China for Protecting the Security of Computer Information Systems,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June 28, 1997 confirming that a license for the sale of security products for computer information systems must be obtained as a precondition for sales of such products. Guangzhou NetEase has developed a technology which is designed to protect the passwords of online game players and falls into the scope of security products for computer information systems which is subject to this license requirement. Guangzhou NetEase has obtained the above-mentioned license from the Ministry of Public Security.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According to the Guidelines for the Filing for Recordation of Domestic Online Games issued by the MOC (later superseded by the MOCT) in 2005, domestic online games operating in China must be filed for recordation with the MOC (later superseded by the MOCT) within 30 days after they are put into operation. Our internally developed online games, including New Westward Journey Online II, Fantasy Westward Journey II, New Legend of Westward Journey, New Westward Journey Online III, Tianxia III, Heroes of Tang Dynasty II, New Fly For Fun, Legend of Fairy, New Ghost, DREAM, Soul of the Fighter, Kung Fu Master II, Heroes of the Three Kingdoms, Dragon Sword, Onmyoji and other causal games, have successfully finished the recordation process.</w:t>
      </w:r>
    </w:p>
    <w:p>
      <w:pPr>
        <w:spacing w:after="0" w:line="193"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The Regulations for the Administration of Audio and Video Products, which was released by the State Council on December 25, 2001 and further amended in March 2011, require that the publication, production, duplication, importation, wholesale, retail and renting of the audio and video products are subject to a license issued by competent authorities. Guangzhou NetEase has obtained such license from Guangzhou Municipal Administration of Culture, Radio, Film, TV, Press and Publication.</w:t>
      </w:r>
    </w:p>
    <w:p>
      <w:pPr>
        <w:spacing w:after="0" w:line="187"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On January 6, 2016, the MOC (later superseded by the MOCT) issued the Tentative Rules for the Management of Cultural Market Blacklist, according to which those cultural products and entities in serious violation of relevant laws and regulations will be put on the blacklist and thus subject to more strict regulations. We have taken necessary measures to ensure that none of our products or entities will be placed on such blacklist.</w:t>
      </w:r>
    </w:p>
    <w:p>
      <w:pPr>
        <w:spacing w:after="0" w:line="14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December 1, 2016, the MOC (later superseded by the MOCT) issued the Notice 32, which became effective on May 1, 2017. The Notice 32 sets forth several requirements regarding the operation of online games, among which, it provides that virtual items distributed by online game operators shall be regulated as virtual currency, so long as such items are purchased by users directly with currencies or virtual currencies, or exchanged in proportion with virtual currencies, and such items enable users to directly exchange for other virtual items or value-added services in relation to online games. In addition, Notice 32 prohibits online game operators from distributing for free virtual items and value-added services by randomly selecting potential gamers as recipients to attract gamers to play, and requires such game operators to disclose to their potential gamers the details of its random selection process for the distribution of non-free items such that the gamers may make informed decisions on whether to participate or not. We have taken all necessary measures to ensure that our online games comply with Notice 32.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Consumer Protection Law of the People’s Republic of China, as amended on October 25, 2013, sets out the obligations of business operators and the rights and interests of the consumers.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 or 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the Consumer Protection Law may subject business operators to civil liabilities such as refunding purchase prices, replacement of commodities, repairing or ceasing damages, compensation, and restoring reputation, and could subject the business operators or the responsible individuals to criminal penalties when personal damages are involved or if the circumstances are severe.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w:t>
      </w:r>
    </w:p>
    <w:p>
      <w:pPr>
        <w:sectPr>
          <w:pgSz w:w="11900" w:h="16952" w:orient="portrait"/>
          <w:cols w:equalWidth="0" w:num="1">
            <w:col w:w="11420"/>
          </w:cols>
          <w:pgMar w:left="240" w:top="125" w:right="239" w:bottom="0" w:gutter="0" w:footer="0" w:header="0"/>
        </w:sectPr>
      </w:pPr>
    </w:p>
    <w:bookmarkStart w:id="41" w:name="page42"/>
    <w:bookmarkEnd w:id="41"/>
    <w:p>
      <w:pPr>
        <w:spacing w:after="0" w:line="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trading platform operators, concerning qualifications, after-sale services, terms of use, user privacy protection, data preservation, compliance with applicable laws in respect of intellectual property rights protection and unfair competition. On January 5, 2015, SAIC issued the Measures for the Punishment of Conduct Infringing the Rights and Interests of Consumers, or the Consumer Conduct Measures, which became effective on March 15, 2015.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such information in any form, or sending promotional message to consumers despite their express refusal. We believe we have taken the necessary measures to comply with the Consumer Conduct Measures. On September 2, 2015, SAIC issued the Interim Provisions on the Administration of Centralized Online Promotional Activities for Goods and Services, which require the organizer of centralized online promotion activities to publish the methods, terms and rules of the activities in advance in an obvious position on its website. On January 6, 2017, SAIC issued the Interim Measures for Return of Online Purchases within seven Days without Reason, or the Online Return Measures, which became effective on March 15, 2017.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exception of Online Return Measures by the consumers at the time of purchase.</w:t>
      </w:r>
    </w:p>
    <w:p>
      <w:pPr>
        <w:spacing w:after="0" w:line="17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General Administration of Customs has promulgated the Announcement on the Regulatory Issues concerning the Inbound and Outbound Retail Commodities under E-Commerce, or Customs Circular No. 26, which took effect on April 8, 2016. Under the Customs Circular No. 26, e-commerce enterprises, e-commerce trade platform enterprises, payment enterprises and logistics enterprises shall, before the declaration of import retail commodities through cross border e-commerce, respectively submit to the customs bureau the information on trade, payment and logistics, among others. E-commerce enterprises shall verify the identity information of purchaser (subscriber) of cross-border e-commerce retail imports and provide the customs bureau with the effective identity information authenticated by respective competent authorities.</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Food Safety Law of the People’s Republic of China, promulgated on February 28, 2009 and effective on June 1, 2009, as amended on April 24, 2015 with effect from October 1, 2015. This amendment set out a new and stricter regulation framework for the production and circulation of food. However, it currently remains unclear if food distributed through the recently established cross-border e-commerce industry is required to comply with all the requirements set forth in the new Food Safety Law. For more details, see Item 3.D. “Risk Factors—Risks Related to Our Company—Our e-commerce business may expose us to new challenges and risks and may lower our profit margin.”</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March 24, 2016, the MOF, General Administration of Customs and the State Administration of Taxation issued the Notice on Import Tax Policies for E-Commerce Retailers (Cai Guan Shui (2016) No. 18), with effect on April 8, 2016. According to the notice, which is applicable to the imported goods listed in the E-Commerce Retail Import Commodities List that was issued by the MOF and ten other relevant PRC regulatory authorities on April 6, 2016, customs duties, import VAT and consumption tax will be charged on cross-border e-commerce retail imports calculated based on the goods imported, with individual purchasers of cross-border e-commerce retail imports defined as the taxpayers, the actual transaction price (including retail price, freight and insurance premium) regarded as the dutiable value, and e-commerce companies and trading platforms or logistics companies bearing the obligations of tax collection and withholding. The value of single transactions of retail products imported through cross-border e-commerce is capped at RMB2,000, and the total value of transactions carried out by an individual is capped at RMB20,000 per year. For cross-border e-commerce retail imports with a value within the above-mentioned limits, a zero tariff rate is applicable but, at the same time, import VAT and consumption tax exemptions will be abolished and import VAT and consumption tax will be charged temporarily at 70% of the statutory taxable amount. The relevant taxes will be charged in full on any transactions exceeding the single-transaction limit or the cumulative annual limit, and single indivisible goods whose dutiable value exceeds RMB2,000.</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Lottery Services</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principal rules and regulations currently in effect and applicable to online lottery services include the Regulation on Administration of Lottery, promulgated by the State Council on May 4, 2009 and effective as of July 1, 2009, and the Tentative Administration Measures on Internet Lottery Sale, promulgated by the MOF on September 26, 2010, and effective upon its promulgation. On January 18, 2012, the MOF, the PRC Ministry of Civil Affairs and the State General Administration of Sports jointly promulgated the Lottery Implementation Rules, which became effective on March 1, 2012. In December 2012, the MOF issued the Lottery Distribution and Sale Administration Measures, which became effective on January 1, 2013, and the Tentative Administrative Measures on Telephone Lottery Sale, which became effective on April 1, 2014. On January 15, 2015, the Lottery Self-Inspection Notice was jointly issued by the MOF, the PRC Ministry of Civil Affairs and the State General Administration of Sport. In addition, on April 3, 2015, the MOF, the PRC Ministry of Public Security, the SAIC, the MII, the PRC Ministry of Civil Affairs, the PBOC, the State General Administration of Sport and the China Banking Regulatory Commission jointly issued Announcement No. 18, which 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On April 28, 2016, the MOF, the Ministry of Public Security, the SAIC, the Ministry of Civil Affairs and the State General Administration of Sport jointly promulgated Notice No. 22, which reaffirms that using the Internet to sell lottery products requires government authorization and announces the government’s plan to set up the procedures and application process for such authorization. We intend to submit an application to the relevant government agency for such authorization to provide online lottery services. However, it currently remains unclear when, or if at all, such application procedure will be in place and if any application we submit will be approved. For more details, see Item 3.D. “Risk Factors—Risks Related to the Telecommunications and Internet Industries in China—An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Advertising</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Regulations for the Administration of Advertising and its Detailed Implementation Rules were both promulgated by the State Council and SAIC, which took effect on December 1, 1987 and January 1, 2005, respectively. According to these regulations, websites engaged in advertising must apply for a business license to conduct such business. In compliance with such regulations, NetEase Advertising, which operates our online advertising business through a series of agreements with Guangzhou NetEase, and Guangzhou NetEase have obtained a business license to carry out the design, production, agency and release of advertisements.</w:t>
      </w:r>
    </w:p>
    <w:p>
      <w:pPr>
        <w:spacing w:after="0" w:line="18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On February 9, 2012, SAIC and several other government authorities jointly issued the Rules on Review of Advertisement Release by Public Media, or the Advertisement Review Rule, which, among other things, states that public media (including Internet information service providers) shall have advertisement reviewers, who shall participate in trainings in relation to advertisement laws, regulations and business, and after passing the training should</w:t>
      </w:r>
    </w:p>
    <w:p>
      <w:pPr>
        <w:sectPr>
          <w:pgSz w:w="11900" w:h="16885" w:orient="portrait"/>
          <w:cols w:equalWidth="0" w:num="1">
            <w:col w:w="11420"/>
          </w:cols>
          <w:pgMar w:left="240" w:top="125" w:right="239" w:bottom="0" w:gutter="0" w:footer="0" w:header="0"/>
        </w:sectPr>
      </w:pPr>
    </w:p>
    <w:bookmarkStart w:id="42" w:name="page43"/>
    <w:bookmarkEnd w:id="42"/>
    <w:p>
      <w:pPr>
        <w:ind w:right="1020"/>
        <w:spacing w:after="0" w:line="342" w:lineRule="auto"/>
        <w:rPr>
          <w:sz w:val="20"/>
          <w:szCs w:val="20"/>
          <w:color w:val="auto"/>
        </w:rPr>
      </w:pPr>
      <w:r>
        <w:rPr>
          <w:rFonts w:ascii="Arial" w:cs="Arial" w:eastAsia="Arial" w:hAnsi="Arial"/>
          <w:sz w:val="16"/>
          <w:szCs w:val="16"/>
          <w:color w:val="auto"/>
        </w:rPr>
        <w:t>perform works including reviewing of advertisements to be released and management of advertisement review archives. In compliance with the Advertisement Review Rule, several employees of Guangzhou NetEase have obtained the Certificate for Advertisement Reviewer.</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24, 2015, the Standing Committee of the National People’s Congress enacted the Advertising Law of the People’s Republic of China, or the New Advertising Law. The New Advertising Law, which was a major overhaul of an advertising law enacted in 1994, increases the potential legal liability of providers of advertising services, and includes provisions intended to strengthen identification of false advertising and the power of regulatory authorities.</w:t>
      </w:r>
    </w:p>
    <w:p>
      <w:pPr>
        <w:ind w:right="140"/>
        <w:spacing w:after="0" w:line="253" w:lineRule="auto"/>
        <w:rPr>
          <w:sz w:val="20"/>
          <w:szCs w:val="20"/>
          <w:color w:val="auto"/>
        </w:rPr>
      </w:pPr>
      <w:r>
        <w:rPr>
          <w:rFonts w:ascii="Arial" w:cs="Arial" w:eastAsia="Arial" w:hAnsi="Arial"/>
          <w:sz w:val="18"/>
          <w:szCs w:val="18"/>
          <w:color w:val="auto"/>
        </w:rPr>
        <w:t>The New Advertising Law forbids the usage of certain words or phrases in advertisement, such as “national,” “supreme” or “best” and provides a more detailed definition of “false advertisement”. The New Advertising Law also forbids sending advertisements to residences, vehicles, fixed or mobile telephones or personal email addresses if such advertisement is not invited or the receiver of the advertisement has rejected such advertising. We have taken necessary measures, including more stringent examination and monitoring of our advertisers and the content of their advertisements, in compliance with the New Advertising Law.</w:t>
      </w:r>
    </w:p>
    <w:p>
      <w:pPr>
        <w:spacing w:after="0" w:line="19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July 4, 2016, SAIC promulgated the Provisional Measures of Internet Advertising Management, or the Internet Advertising Management Measures, which took effect on September 1, 2016. According to these measures, (i) an Internet advertisement shall be identifiable and clearly labeled as “advertisement”; (ii) paid search advertisements shall be clearly distinguished from natural search results; (iii) advertisements published in the form of pop-up or other forms shall be clearly marked with a “Close” sign to ensure “Single Click to Close”; and (iv) no entity or individual may induce users to click on the contents of an advertisement through deception, or attach advertisements in any form to an e-mail without user’s permission. We have taken necessary measures to ensure that our current advertising publication and distribution process are in compliance with the Internet Advertising Management Measures.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a number of domain names, including:</w:t>
      </w:r>
    </w:p>
    <w:p>
      <w:pPr>
        <w:spacing w:after="0" w:line="225"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www.netease.com;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www.163.com;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www.yeah.net;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www.126.com;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www.lofter.com;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www.youdao.com;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www.nease.net;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www.188.com;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www.lede.com;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www.kaola.com;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www.bobo.com;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www.neteasemedia.com;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www.miaode.com;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www.163yun.com;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www.tryfun.com;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www.onmyojigame.jp;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www.immortalconquest.eu.</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have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dating and friends matching services, chat services, online gaming, interactive online video, e-commerce, our Internet finance services and certain other online services. We have also registered a number of trademarks in Hong Kong incorporating the words “NetEase” in English and the marks for “NetEase” as written in Chinese in traditional and simplified Chinese characters. In addition, we have also filed and registered the marks for “NetEase” in English and the marks for</w:t>
      </w:r>
    </w:p>
    <w:p>
      <w:pPr>
        <w:sectPr>
          <w:pgSz w:w="11900" w:h="16838" w:orient="portrait"/>
          <w:cols w:equalWidth="0" w:num="1">
            <w:col w:w="11420"/>
          </w:cols>
          <w:pgMar w:left="240" w:top="125" w:right="239" w:bottom="0" w:gutter="0" w:footer="0" w:header="0"/>
        </w:sectPr>
      </w:pPr>
    </w:p>
    <w:bookmarkStart w:id="43" w:name="page44"/>
    <w:bookmarkEnd w:id="43"/>
    <w:p>
      <w:pPr>
        <w:spacing w:after="0" w:line="1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“NetEase” as written in Chinese in traditional and/or simplified Chinese characters in the United States, the European Union, the Republic of Korea, Japan, Macau, Taiwan, Thailand, and other jurisdictions. In addition, we have also registered the trademark “163” in China and Hong Kong.</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have registered our various self-developed games and other online products with the State Copyright Bureau of China. Moreover, we have filed certain patent applications with the State Intellectual Property Office of China, U.S. Patent and Trademark Office and European Patent Office, and have obtained Certificate of Design Patent, Invention Patent for NetEase Cloud Music, Youdao Dictionary, YiChat, hardware products and certain other technologies related to our games, live video, news, blog, educational products, reading products, YiChat, e-commerce and finance, Cloud Music, hardware products, agricultural products, cloud technology, augmented reality technology, computer technology and e-mail from the State Intellectual Property Office, as well as Certificates of Utility Patent for games in the United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websites and other online and mobile platforms, and the technology that enables online community, personalization, online games, e-commerce, news sharing, instant messaging, video streaming, Cloud Music, and other services on those platforms. We license content from various freelance providers and other content providers.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Many parties are actively developing community, online game, e-commerce, search and web-related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online direct marketing, online game, instant message, music streaming and intelligent hardware. Disputes over rights to these technologies are likely to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18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organizational structure is set forth above under “— Our Organizational Structure.”</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principal executive offices are currently located at Building No. 7, West Zone, Zhongguancun Software Park (Phase II), No. 10 Xibeiwang East Road, Haidian District, Beijing, People’s Republic of China 100193. In addition, as of December 31, 2017, we leased office and warehouse facilities with a total effective annual rent of RMB230.9 million (US$35.5 million), including management fees, and an aggregate of approximately 813,298 square meters of space at properties mainly in Beijing, Shanghai, Guangzhou, Hangzhou, Tianjin, Zhengzhou and Ningbo.</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own and occupy a research and development center in Hangzhou, China with a total floor area of 110,500 square meters, where our e-commerce, email and other services and their related sales, marketing, technology, management and administrative functions are located and an office building in Beijing with a total floor area of 95,000 square meters, where our advertising services are located. We also own and occupy a building in Guangzhou with a total floor area of 20,000 square meters, in which our online game developers, sales and marketing, technology and certain management as well as administrative support functions relating to game development are currently located. In addition, we also acquired a warehouse with a total floor area of 26,000 square meters in Ningbo for the operation of our e-commerce businesses.</w:t>
      </w:r>
    </w:p>
    <w:p>
      <w:pPr>
        <w:spacing w:after="0" w:line="178"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We are in the process of constructing three new office buildings and warehouses in Hangzhou, Guangzhou and Ningbo on land with an area of approximately 76,000, 37,000 and 160,000 square meters, respectively. As of December 31, 2017, we had incurred construction in progress costs of RMB1,084.6 million (US$166.7 million) for these new office buildings and warehouses, which primarily comprise costs for building construction.</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continue to assess our needs with respect to office space and may, in the future, vacate or add additional facilities. We believe that our current facilities are adequate for our needs in the immediate and foreseeable future.</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As of December 31, 2017, we owned approximately 77,000 network servers co-located in the facilities of China Unicom’s Beijing affiliate and China Telecom’s Beijing affiliates for which we paid server custody fees, and we leased dedicated lines from affiliates of China Net Center and various affiliates of China Unicom and China Telecom pursuant to short term contracts. Our server custody and lease fees were approximately RMB905.8 million (US$139.2 million) for the year ended December 31, 2017, of which approximately 16% was related to the operations of online games licensed from Blizzard.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w:t>
      </w:r>
    </w:p>
    <w:p>
      <w:pPr>
        <w:ind w:right="220"/>
        <w:spacing w:after="0" w:line="302" w:lineRule="auto"/>
        <w:rPr>
          <w:sz w:val="20"/>
          <w:szCs w:val="20"/>
          <w:color w:val="auto"/>
        </w:rPr>
      </w:pPr>
      <w:r>
        <w:rPr>
          <w:rFonts w:ascii="Arial" w:cs="Arial" w:eastAsia="Arial" w:hAnsi="Arial"/>
          <w:sz w:val="16"/>
          <w:szCs w:val="16"/>
          <w:i w:val="1"/>
          <w:iCs w:val="1"/>
          <w:color w:val="auto"/>
        </w:rPr>
        <w:t>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w:t>
      </w:r>
    </w:p>
    <w:p>
      <w:pPr>
        <w:sectPr>
          <w:pgSz w:w="11900" w:h="16944" w:orient="portrait"/>
          <w:cols w:equalWidth="0" w:num="1">
            <w:col w:w="11420"/>
          </w:cols>
          <w:pgMar w:left="240" w:top="125" w:right="239" w:bottom="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color w:val="auto"/>
        </w:rPr>
        <w:t>obligation to update any such forward-looking statements. In evaluating our business, you should carefully consider the information provided under</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Item 3.D. “Risk Factors.” Actual results could differ materially from those projected in the forward-looking statements. We caution you that our businesses and financial performance are subject to substantial risks and uncertainties.</w:t>
      </w:r>
    </w:p>
    <w:p>
      <w:pPr>
        <w:spacing w:after="0" w:line="180" w:lineRule="exact"/>
        <w:rPr>
          <w:sz w:val="20"/>
          <w:szCs w:val="20"/>
          <w:color w:val="auto"/>
        </w:rPr>
      </w:pPr>
    </w:p>
    <w:p>
      <w:pPr>
        <w:ind w:right="8760" w:firstLine="8"/>
        <w:spacing w:after="0" w:line="503" w:lineRule="auto"/>
        <w:tabs>
          <w:tab w:leader="none" w:pos="66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NetEase is a leading Internet technology company in China. Our innovative online games, e-commerce services, communities and personalized premium services, which allow registered users to interact with other community members, have established a large and stable user base for the NetEase websites and other online and mobile platforms.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achieved a net income attributable to our shareholders of RMB10,707.9 million (US$1,645.8 million) for 2017 and generated positive operating cash flows of RMB11,889.2 million (US$1,827.3 million) during the year. We recorded retained earnings of RMB26,419.7 million, RMB35,328.8 million and RMB42,733.1 million (US$6,568.0) as of December 31, 2015, 2016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company was incorporated in the Cayman Islands on July 6, 1999 as an Internet technology company in China.</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NetEase, Inc. conducts its business in China through its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e-commerce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Shanghai EaseNet, Youdao Computer and certain other affiliated companies. These affiliated companies are considered “variable interest entities” for accounting purposes, and are referred to collectively in this annual report as “VIEs.” The revenue earned by the VIEs largely flows through to NetEase, Inc. and its subsidiaries pursuant to such contractual arrangements. Based on these agreements, Media Beijing, NetEase Hangzhou, Boguan, Hangzhou Langhe and Lede Technology provide technical consulting and related services to the VIEs. In addition, Guangzhou NetEase has a wholly-owned subsidiary, Wangyibao (the operator of our Wangyibao online payment platform). Please also see Item 4.B. “Business Overview—Our Organizational Structure.”</w:t>
      </w:r>
    </w:p>
    <w:p>
      <w:pPr>
        <w:spacing w:after="0" w:line="18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December 31, 2017, the total assets of all the consolidated VIEs of our company were RMB9.7 billion (US$1.5 billion), mainly comprising cash and cash equivalents, time deposits, accounts receivable, prepayments and other current assets and fixed assets. As of December 31, 2017, the total liabilities of the consolidated VIEs were RMB8.9 billion (US$1.4 billion), mainly comprising accounts payable, deferred revenue, accrued liabilities and other payables. As of December 31, 2017, the total assets of our company and all of our consolidated subsidiaries were RMB61.3 billion (US$9.4 billion), mainly comprising cash and cash equivalents, time deposits, restricted cash, accounts receivable, short-term investments, prepayments and other current assets, fixed assets and other long-term assets. As of December 31, 2017, the total liabilities of our company and all of our consolidated subsidiaries were RMB15.1 billion (US$2.3 billion), mainly comprising accounts payable, salary and welfare payables, tax payable, short-term loan, deferred revenue, accrued liabilities and other payables.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Future changes in Chinese government policies affecting the provision of information services, including the provision of online services, Internet access, e-commerce services, online advertising and online payment services, may impose additional regulatory requirements on us or our service providers or otherwise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We generate our revenues from the provision of online games services, e-commerce, advertising services and e-mail and other services. No customer individually accounted for greater than 10% of our total revenues for the years ended December 31, 2015, 2016 and 2017.</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in China as well as proprietary distribution channels, such as our website. Users have a variety of payment options for in-game virtual items, including our prepaid cards, online payments through app stores and other online payment channels. We derive our PC-client game revenues mainly from sales of our prepaid point cards.</w:t>
      </w:r>
    </w:p>
    <w:p>
      <w:pPr>
        <w:spacing w:after="0" w:line="188"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Customers can purchase virtual prepaid cards online by debit card, credit card or bank transfer, and receive the prepaid point card information as soon as payment is confirmed. Customers can also purchase physical prepaid point cards in different locations in China, including Internet cafés, software stores, convenience stores and bookstores, or from vendors who register the points in our system. Customers can use the points to play our online games, either to pay for playing time or to purchase virtual items within the games, and use our other fee-based services.</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Starting in August 2008, Blizzard agreed to license certain online games to Shanghai EaseNet for operation in the PRC as discussed in “Business Overview—Our Services—Game Licensing and Joint Venture with Blizzard.” These games include World of Warcraft, StarCraft II series, Hearthstone, Heroes of the Storm, Diablo III, Overwatch, which were commercially launched in 2009, 2011, 2014, 2015, 2015 and 2016, respectively.</w:t>
      </w:r>
    </w:p>
    <w:p>
      <w:pPr>
        <w:sectPr>
          <w:pgSz w:w="11900" w:h="16838" w:orient="portrait"/>
          <w:cols w:equalWidth="0" w:num="1">
            <w:col w:w="11360"/>
          </w:cols>
          <w:pgMar w:left="240" w:top="125" w:right="299" w:bottom="0" w:gutter="0" w:footer="0" w:header="0"/>
        </w:sectPr>
      </w:pPr>
    </w:p>
    <w:bookmarkStart w:id="45" w:name="page46"/>
    <w:bookmarkEnd w:id="45"/>
    <w:p>
      <w:pPr>
        <w:ind w:right="300" w:firstLine="648"/>
        <w:spacing w:after="0" w:line="277" w:lineRule="auto"/>
        <w:rPr>
          <w:sz w:val="20"/>
          <w:szCs w:val="20"/>
          <w:color w:val="auto"/>
        </w:rPr>
      </w:pPr>
      <w:r>
        <w:rPr>
          <w:rFonts w:ascii="Arial" w:cs="Arial" w:eastAsia="Arial" w:hAnsi="Arial"/>
          <w:sz w:val="18"/>
          <w:szCs w:val="18"/>
          <w:color w:val="auto"/>
        </w:rPr>
        <w:t>We expect that we will face increasing competition as online game providers in China and abroad expand their presence in the Chinese market or enter it for the first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established our two e-commerce platforms, Kaola and Yanxuan, in January 2015 and April 2016, respectively.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Kaola sells mainly imported goods that we source from overseas suppliers, including maternity and baby products, skincare and cosmetics and other general merchandise, and Yanxuan sells our private label products, including apparel, homeware, kitchenware and other general merchandise, which we primarily source directly from original design manufacturers in China. We generate revenues from both these platforms through merchandise sales and recognize revenue on a gross basis as we carry our own inventory and have discretion in setting prices. We also provide discount coupons to our customers for use in purchases on Kaola and Yanxuan, which are treated as a reduction of revenue when the relevant transactions are recognized. We also act as the marketplace service provider for third-party vendors to sell their products on the Kaola platform and recognize revenue when services are rendered based on a pre-determined service fee rate.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derive most of our advertising services revenue from fees we earn from brand advertising offered on the mobile applications and websites of our Internet media business and our advertising revenue was primarily derived from brand advertising services.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expect that the online advertising market in China will continue to grow as Internet usage in China increases and as more companies, in particular China-based companies in a variety of industries, accept the Internet as an effective advertising medium. Moreover, we expect that as the e-commerce industry further develops in China, there will be more small- to medium-sized online businesses using our online advertising services to advertise or market their businesses and products. We also believe that the growth rate of mobile Internet advertising in China may increase at a faster rate than that of traditional PC-client advertising. Competition in this area is, and we expect it to remain, intense.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derive our e-mail and others revenues primarily from premium e-mail services, video streaming services, music streaming services, online payment platform services, and e-reading materials and online education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online fee-based premium services, supplied to registered users of the NetEase websites, include premium e-mail and other value-added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Our video streaming platform CC streams gameplay shows (where viewers watch people compete in online games) and game-related shows, and we generate revenue from the sale of virtual items to viewers which we share with broadcasters who provide commentary for the shows.</w:t>
      </w:r>
    </w:p>
    <w:p>
      <w:pPr>
        <w:spacing w:after="0" w:line="147"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For our Cloud Music streaming business, users can choose time-based subscriptions to access a range of music content or make item-based purchases of particular music content. We recognize revenue from such subscription fees and item-based purchases.</w:t>
      </w:r>
    </w:p>
    <w:p>
      <w:pPr>
        <w:spacing w:after="0" w:line="14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Wangyibao online payment platform enables registered users to deposit money in their accounts and use the accounts to pay for game point cards and other fee-based services and products offered by us and third-party vendors. The third-party vendors are charged a service fee when they receive a payment through Wangyibao at fixed rates based on their service agreements with us. We recognize revenue upon services rendered.</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Similar to Cloud Music, each of EaseRead and our online education platforms provides its respective users reading materials or online courses, as applicable, in exchange for item-based fees.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Seasonality of Revenues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as the strongest. Usage of our online games has generally increased around the Chinese holidays, particularly the winter and summer school holidays. Generally, our e-commence revenues are relatively lower during the public holidays in China, particularly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Cost of revenues for our online games services consist primarily of staff costs (in particular remuneration to employees who maintain game software and employees known as the “Game Masters” who are responsible for the daily co-ordination and regulation of the activities inside our games’ virtual worlds), service fee paid to Internet data centers, or IDC, for the rental of servers, and printing costs for our prepaid point cards. For our mobile games, cost of revenues also includes fees paid to game developers, distribution channels (app stores) and payment channels.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cost of revenues for our online games services include that portion of bandwidth and server custody fees (fees paid to telecommunications companies to host and maintain our servers) and depreciation and amortization of computers and software which are attributable to our online games business. Our subsidiaries and VIEs have network servers co-located in facilities owned by China Telecom’s and China Unicom’s affiliates, for which we pay server custody fees to China Telecom and China Unicom.</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0" w:gutter="0" w:footer="0" w:header="0"/>
          <w:type w:val="continuous"/>
        </w:sectPr>
      </w:pPr>
    </w:p>
    <w:bookmarkStart w:id="46" w:name="page47"/>
    <w:bookmarkEnd w:id="4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cost of revenues for certain games licensed from Blizzard also includes royalties, and in some cases license and consulting fees, paid to Blizzard.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Cost of revenues related to our e-commerce business consists primarily of costs of merchandise sold, inbound shipping costs and inventory write-downs relating to merchandise sold, service fees related to online payments, the relevant portion of bandwidth and server custody fees and depreciation and amortization of computers and software which are attributable to the provision of e-commerce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Cost of revenues related to our advertising services consists primarily of staff costs for editors of the various content channels of our Internet media business and content fees paid to such content providers as well as that portion of bandwidth and server custody fees, depreciation and amortization of computers and software which are attributable to the provision of advertising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Cost of revenues related to our e-mail and others consists primarily of staff costs, service fees related to online payments, as well as that portion of bandwidth and server custody fees, depreciation and amortization of computers and software which are attributable to the provision of e-mail and other services. We pay content fees to third-party partners for the right to use proprietary content developed by them, such as copyrights of books and music. We also pay content fees to newspaper and magazine publishers for the right to use their proprietary content, such as headline news and articles.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expenses include selling and marketing expenses, general and administrative expenses and research and development expenses.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Selling and marketing expenses consist primarily of salary and welfare expenses, shipping and handling costs, compensation costs for our sales and marketing staff, and marketing and advertising expenses payable to third-party vendors, Internet companies and agents.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Shipping and handling costs for our e-commerce platforms, which primarily include third-party delivery costs relating to the delivery of products from our distribution centers to customers, fulfillment expenses incurred in our various distribution facilities and packing material expenses, each of which is classified as selling and marketing expenses. The shipping and handling costs, which are included in selling and marketing expenses, were approximately RMB155.4 million, RMB503.0 million and RMB1,182.7 million (US$181.8 million) for the years ended December 31, 2015, 2016 and 2017,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Research and development expenses consist principally of salary and welfare expenses and compensation costs for our research and development professionals.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Cost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NetEase 2009 Restricted Share Unit Plan</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November 2009, we adopted our 2009 Restricted Share Unit Plan, or the RSU Plan, for our employees, directors and consultants. We have reserved 323,694,050 ordinary shares for issuance under this plan. The RSU Plan was adopted by a resolution of the board of directors on November 17, 2009 and became effective for a term of ten years unless sooner terminated.</w:t>
      </w:r>
    </w:p>
    <w:p>
      <w:pPr>
        <w:spacing w:after="0" w:line="181" w:lineRule="exact"/>
        <w:rPr>
          <w:sz w:val="20"/>
          <w:szCs w:val="20"/>
          <w:color w:val="auto"/>
        </w:rPr>
      </w:pPr>
    </w:p>
    <w:p>
      <w:pPr>
        <w:ind w:right="500" w:firstLine="648"/>
        <w:spacing w:after="0" w:line="291" w:lineRule="auto"/>
        <w:rPr>
          <w:sz w:val="20"/>
          <w:szCs w:val="20"/>
          <w:color w:val="auto"/>
        </w:rPr>
      </w:pPr>
      <w:r>
        <w:rPr>
          <w:rFonts w:ascii="Arial" w:cs="Arial" w:eastAsia="Arial" w:hAnsi="Arial"/>
          <w:sz w:val="16"/>
          <w:szCs w:val="16"/>
          <w:color w:val="auto"/>
        </w:rPr>
        <w:t>For the years ended December 31, 2015, 2016 and 2017, we recorded share-based compensation cost of approximately RMB684.5 million, RMB990.1 million and RMB1,911.2 million (US$293.8 million), respectively, for awards granted under the RSU Plan. This cost has been allocated to</w:t>
      </w:r>
    </w:p>
    <w:p>
      <w:pPr>
        <w:ind w:right="40" w:firstLine="8"/>
        <w:spacing w:after="0" w:line="261"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revenues, (ii) selling and marketing expenses, (iii) general and administrative expenses, and (iv) research and development expenses, depending on the responsibilities of the relevant employees.</w:t>
      </w:r>
    </w:p>
    <w:p>
      <w:pPr>
        <w:spacing w:after="0" w:line="18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As of December 31, 2017, total unrecognized compensation cost related to unvested awards granted under the RSU Plan, adjusted for estimated forfeitures, was RMB4,386.8 million (US$674.2 million), which is expected to be recognized through the remaining vesting period of each grant. As of December 31, 2017, the weighted average remaining vesting period was 3.06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Share Incentive Plans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Beginning in 2014, certain of our subsidiaries granted options exercisable for ordinary shares to certain of our employees. The options expire five to seven years from the date of grant and either vest or have a vesting commencement date upon certain conditions being met. The awards can become 100%</w:t>
      </w:r>
    </w:p>
    <w:p>
      <w:pPr>
        <w:sectPr>
          <w:pgSz w:w="11900" w:h="16867" w:orient="portrait"/>
          <w:cols w:equalWidth="0" w:num="1">
            <w:col w:w="11380"/>
          </w:cols>
          <w:pgMar w:left="240" w:top="517" w:right="279" w:bottom="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t>vested on the vesting commencement date, or vest in two, four or five substantially equal annual installments with the first installment vesting on the vesting commencement date. We adopt the binomial option pricing model to determine the fair value of stock options and accounts for share-based compensation cost using an estimated forfeiture rate. For the years ended December 31, 2016 and 2017, we recorded nil and RMB93.1 million (US$14.3 million) in compensation expenses for the share options granted under these plans.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While certain share options which have been granted will become vested or would commence vesting upon their applicable vesting commencement date, the occurrence of the applicable vesting conditions is not within our control and is not deemed probable to occur for accounting purposes until the vesting commencement date. For such share options, no compensation expenses were recorded. As of December 31, 2017, there were RMB266.0 million (US$40.9 million) in unrecognized share based compensation expenses related to such share options which are expected to be recognized when the relevant vesting conditions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Under the current laws of the Cayman Islands, we, Lede Inc., Media Cayman and HQG, Inc. are not subject to tax on income or capital gain. Additionally, upon payments of dividends by us to our shareholders or by Lede Inc., Media Cayman, or HQG, Inc. to us, no Cayman Islands withholding tax will be imposed.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NetEase Interactive Entertainment Limited is exempted from income tax on its foreign-derived income in the BVI. There are no withholding taxes in the BVI.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Hong Kong NetEase Interactive, NetEase Hong Kong, Lede Hong Kong, Media Hong Kong, HQG Limited and StormNet IT HK are subject to 16.5% income tax on their taxable income generated from operations in Hong Kong. No significant taxable income was generated by these companies in 2015, 2016 and 2017. The payments of dividends by Hong Kong NetEase Interactive, NetEase Hong Kong, Lede Hong Kong, Media Hong Kong, HQG Limited, and StormNet IT HK to us are not subject to any Hong Kong withholding tax.</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PRC Enterprise Income Tax Law subjects Foreign Invested Enterprises (“FIEs”) and domestic companies to EIT at a uniform rate of 25%, and preferential tax treatments may be granted to FIEs or domestic companies which conduct businesses in certain encouraged sectors and to entities otherwise classified as “High and New Technology Enterprises,” or HNTEs, “Software Enteprises” or “Key Software Enterprises.”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NetEase Beijing, Boguan, NetEase Hangzhou, Media Beijing and Hangzhou Langhe were qualified as HNTEs and enjoyed a preferential tax rate of 15% for 2015, 2016 and 2017. In 2016 and 2017, Boguan, Netease Hangzhou and Media Beijing were each also qualified as a Key Software Enterprise and enjoyed a further reduced preferential tax rate of 10% for 2015 and 2016. The related tax benefit was recorded in 2016 and 2017,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Wangyibao was recognized as a Software Enterprise in 2011. Accordingly, it was exempt from EIT for 2011 and 2012 and subject to a 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reduction in its EIT rate from 2013 to 2015. In 2015, Wangyibao was also qualified as a HNTE and enjoyed a preferential tax rate of 15% from 2016 to 2017.</w:t>
      </w:r>
    </w:p>
    <w:p>
      <w:pPr>
        <w:spacing w:after="0" w:line="23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Lede Technology was recognized as a Software Enterprise in 2014. It was exempt from EIT for 2014 and 2015 and subject to a 50% reduction in its EIT rate from 2016 to 2018.</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Tianjin Technology was recognized by the tax bureau as a Software Enterprise, and it was exempt from EIT for 2015 and 2016, and subject to a 50% reduction in its EIT rate from 2017 to 2019. The related tax benefit for 2015 was recorded in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preferential income tax rates, however, are subject to periodic review and renewal by PRC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the Provisional Regulation of the PRC on Value Added Tax (“VAT”) and its implementation rules, our PRC subsidiaries and VIEs are generally subject to VAT at a rate of 6% for revenues earned from rendering services to our customers in the PRC. Gross proceeds from sales and importation of goods and provision of services are generally subject to a VAT rate of 17% with exceptions for certain categories of goods that are taxed at a VAT rate of 13%.</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are also subject to cultural development fees on the provision of advertising services in China. The applicable tax rate is 3% of our advertising services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order to assess uncertain tax positions, we apply a more likely than not threshold and a two-step approach for tax position measurement and financial statement recognition. For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to be realized upon settlement.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ectPr>
          <w:pgSz w:w="11900" w:h="16838" w:orient="portrait"/>
          <w:cols w:equalWidth="0" w:num="1">
            <w:col w:w="11400"/>
          </w:cols>
          <w:pgMar w:left="240" w:top="125" w:right="259" w:bottom="0" w:gutter="0" w:footer="0" w:header="0"/>
        </w:sectPr>
      </w:pPr>
    </w:p>
    <w:bookmarkStart w:id="48" w:name="page49"/>
    <w:bookmarkEnd w:id="48"/>
    <w:p>
      <w:pPr>
        <w:spacing w:after="0" w:line="1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We make our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believe that the following are some of the more critical judgment areas in the application of our accounting policies that affect our financial condition and results of operation. We do not have significant change in accounting estimates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Reporting</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Effective in the fourth quarter of 2017, we changed our segment disclosure by reporting the financial results of our e-commerce business separately in light of the significant growth of the revenue contribution from our e-commerce business to our total consolidated net revenues in 2017. This segment primarily reflects the results of our two e-commerce platforms, Kaola and Yanxuan, which were established in January 2015 and April 2016, respectively. We now report four reporting segments: (1) online game services, (2) e-commerce, (3) advertising services, and (4) email and others. This change in segment reporting aligns with the manner in which our chief operating decision maker (“CODM”) currently receives and uses financial information to allocate resources and evaluate the performance of reporting segments. This change in segment presentation does not affect our consolidated balance sheets, consolidated statements of income or consolidated statements of cash flows. We have retrospectively revised segment information from the previous period to conform to the requisite presentation for the current period.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Regarding 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recognize revenue when persuasive evidence of an arrangement exists, delivery has occurred, the sales price is fixed or determinable and collectability is reasonably assured.</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Net revenues presented in the consolidated statements of operations and comprehensive income represent revenues from service and product sales net off sales discount and VAT. Service sales represent revenues from online games services, advertising services, and certain e-mail and other services. Service sales are recognized when service has been rendered. Product sales represent revenue from the sale of products through our e-commerce platform where we record revenue on a gross basis. Product sales are recorded when the products are shipped and title passes to customers.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primarily operate our mobile games, including both self-developed and licensed mobile games, through Hangzhou Leihuo and generate mobile game revenues from the sale of in-game virtual items, including items, avatars, skills, privileges or other in-game consumables, features or functionality, within our games.</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record revenue generated from mobile games on a gross basis as we are acting as the principal in fulfilling all obligations related to the operation of our mobile game. Fees paid to game developers, distribution channels such as app stores and payment channels are recorded as cost of revenues.</w:t>
      </w:r>
    </w:p>
    <w:p>
      <w:pPr>
        <w:spacing w:after="0" w:line="12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the purposes of determining when the service has been provided to the end-users, we have determined that an implied obligation exists to provide on-going services to the end-users who have purchased virtual items to gain an enhanced game-playing experience over the average playing period of these paying players. Accordingly, we recognize revenues ratably over the estimated average playing period of these paying players, starting from the point in time when virtual items are delivered to the players’ accounts and all other revenue recognition criteria are met.</w:t>
      </w:r>
    </w:p>
    <w:p>
      <w:pPr>
        <w:spacing w:after="0" w:line="171"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We consider the average period of time that players typically play the games and other game playing behavior patterns, as well as various other factors, to arrive at a best estimate for the estimated playing period of the paying players. If a new game is launched and only a limited period of paying player data is available, then we consider other qualitative factors, such as the playing patterns for paying users for other games with similar characteristics and the playing patterns of certain targeted players and purchasing frequency. While we believe our estimates to be reasonable based on available game player information, we may revise such estimates and any adjustments are applied prospectively as such changes result from new information indicating a change in game player behavior patterns.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PC-client games</w:t>
      </w:r>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provide PC-client MMORPG and certain other online games services through Guangzhou NetEase and Shanghai EaseNet. Regarding the revenue recognition for our online games, we sell prepaid point cards and online points to the end-users who may use the points on such cards for online games services provided by us. Proceeds received from the sales of prepaid point cards and online points are initially recorded as deferred revenue.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earn revenue through providing online games services to players under two types of revenue models: a time-based revenue model and an item-based revenue model. For the time-based model, revenue is recognized based upon the actual usage of game playing time by players. For the item-based model, the basic gameplay functions are free of charge, and players are charged for purchases of in-game items. Revenues from the sales of in-game items are recognized when the items are consumed by the customers or over the estimated lives of the in-game items. In-game items have different life patterns:</w:t>
      </w:r>
    </w:p>
    <w:p>
      <w:pPr>
        <w:sectPr>
          <w:pgSz w:w="11900" w:h="16945" w:orient="portrait"/>
          <w:cols w:equalWidth="0" w:num="1">
            <w:col w:w="11420"/>
          </w:cols>
          <w:pgMar w:left="240" w:top="125" w:right="239" w:bottom="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t>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based on the estimated lives of the in-game items. 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life in-game items. However, given the relatively short operating history of our item-based games, our estimate of the period that game players typically play our games may not accurately reflect the estimated lives of the permanent life in-game items. We have adopted a policy of assessing the estimated lives of the permanent life in-game items on a quarterly basis. All paying users’ data collected since the launch of the games are used to perform the relevant assessments. Historical behavior patterns of these paying users during the period between their first log-on date and last log-on date are used to estimate the lives of the permanent life in-game items.</w:t>
      </w:r>
    </w:p>
    <w:p>
      <w:pPr>
        <w:spacing w:after="0" w:line="18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While we believe our estimates to be reasonable based on available game player information, we may revise such estimates in the future as we continue to gain more operating history and data of our item-based games. Any adjustments arising from changes in estimates of the lives of the permanent in-game items will be applied prospectively as such changes are resulted from new information indicating a change in the game player behavior patterns. Any changes in our estimate of lives of the permanent in-game items may result in our revenues being recognized on a basis different from prior periods and may cause our operating results to fluctuate.</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Unused online points in an inactive personal game account are recognized as revenue when the likelihood that we would provide further online games services with respect to such online points is remote. Based on our current policies, we periodically review activity in users’ accounts each year and will cancel online points and recognize revenue with respect to such points for accounts.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E-commerce revenue is derived primarily from merchandise sales and marketplace services. We evaluate whether it is appropriate to record the net amount earned as commissions or the gross amount of product sales. When we are not the primary obligor, do not bear the inventory risk and does not have the ability to establish the price, revenues are recorded on a net basis. When we are primarily obligated in a transaction, are subject to inventory risk, have latitude in establishing prices and selecting suppliers, or have several but not all of these indicators, we record revenues on a gross basis.</w:t>
      </w:r>
    </w:p>
    <w:p>
      <w:pPr>
        <w:spacing w:after="0" w:line="15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also provide discount coupons to our customers for use in purchases on our e-commerce platforms, Kaola and Yanxuan, which are treated as a reduction of revenue when the related transaction is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derive advertising fees principally from short-term advertising contracts. Advertising service contracts consist of multiple elements with a typical term of less than three months. Such elements generally represent different forms of advertisement, including but not limited to banners, text-links, videos, logos and rich media. Each element is time-based and the service period of the element is usually within three months. We adopted ASU No.2009-13, Revenue Recognition-Multiple-Deliverable Revenue Arrangements, or ASU No.2009-13, and treat advertising contracts with multiple deliverable elements as separate units of accounting for revenue recognition purposes and recognize revenue over the advertising period during the contract when each deliverable element of the advertisements is provided and all the other revenue recognition criteria are met. Since the contract price is for all deliverables, we allocate the arrangement consideration to all deliverables at the inception of the arrangement on the basis of their relative selling price according to the selling price hierarchy established by ASU No.2009-13. We use vendor-specific objective evidence of selling price, if it exists, otherwise, third-party evidence of selling price. If neither of those types of evidence exists, we will use our management’s best estimate of the selling price for that deliverable. Such adoption did not have a material impact on our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also enter into performance-based advertising arrangements with customers based on cost per thousand impressions, under which we recognize revenues based on the number of times that the advertisement has been displayed. We also enters into cost per action advertising arrangements with customers, under which revenues are recognized based on the number of actions completed resulting from our advertisements, including but not limited to when end-users click on links to our customers’ products.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E-mail and others revenue includes revenue generated from activities related to e-mail and other fee-based premium services, Wangyibao online payment platform services, live streaming services, music streaming membership services related to online content services and other online services. We recognize revenue when such services are rendered to the customers and collections are reasonably assured.</w:t>
      </w:r>
    </w:p>
    <w:p>
      <w:pPr>
        <w:spacing w:after="0" w:line="162" w:lineRule="exact"/>
        <w:rPr>
          <w:sz w:val="20"/>
          <w:szCs w:val="20"/>
          <w:color w:val="auto"/>
        </w:rPr>
      </w:pPr>
    </w:p>
    <w:p>
      <w:pPr>
        <w:jc w:val="center"/>
        <w:ind w:right="7620"/>
        <w:spacing w:after="0"/>
        <w:rPr>
          <w:sz w:val="20"/>
          <w:szCs w:val="20"/>
          <w:color w:val="auto"/>
        </w:rPr>
      </w:pPr>
      <w:r>
        <w:rPr>
          <w:rFonts w:ascii="Arial" w:cs="Arial" w:eastAsia="Arial" w:hAnsi="Arial"/>
          <w:sz w:val="16"/>
          <w:szCs w:val="16"/>
          <w:b w:val="1"/>
          <w:bCs w:val="1"/>
          <w:color w:val="auto"/>
        </w:rPr>
        <w:t>Other Critical Accounting Policies and Estimates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Costs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We did not capitalize costs incurred for the development of online game products for the years ended December 31, 2015, 2016 and 2017 because the period after the date technical feasibility is reached and the time when the game is marketed have been short historically and the development costs incurred in the period are insignificant.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depreciate our building, computer equipment, software and other assets (other than leasehold improvements) on a straight-line basis over their estimated useful lives, which range from three years to twenty years. We depreciate leasehold improvements, which are included in our operating expenses, on a straight-line basis over the lesser of the relevant lease term or their estimated useful lives.</w:t>
      </w:r>
    </w:p>
    <w:p>
      <w:pPr>
        <w:sectPr>
          <w:pgSz w:w="11900" w:h="16838" w:orient="portrait"/>
          <w:cols w:equalWidth="0" w:num="1">
            <w:col w:w="11400"/>
          </w:cols>
          <w:pgMar w:left="240" w:top="125" w:right="259" w:bottom="0" w:gutter="0" w:footer="0" w:header="0"/>
        </w:sectPr>
      </w:pPr>
    </w:p>
    <w:bookmarkStart w:id="50" w:name="page51"/>
    <w:bookmarkEnd w:id="50"/>
    <w:p>
      <w:pPr>
        <w:ind w:right="60" w:firstLine="648"/>
        <w:spacing w:after="0" w:line="255" w:lineRule="auto"/>
        <w:rPr>
          <w:sz w:val="20"/>
          <w:szCs w:val="20"/>
          <w:color w:val="auto"/>
        </w:rPr>
      </w:pPr>
      <w:r>
        <w:rPr>
          <w:rFonts w:ascii="Arial" w:cs="Arial" w:eastAsia="Arial" w:hAnsi="Arial"/>
          <w:sz w:val="18"/>
          <w:szCs w:val="18"/>
          <w:color w:val="auto"/>
        </w:rPr>
        <w:t>Management’s judgment is required in the assessment of the useful lives of long-lived assets, and is required in the measurement of impairment. Long-lived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The estimation of future cash flows requires significant management judgment based on our historical results and anticipated results and is subject to many factors. Measurement of any impairment loss for long-lived assets is based on the amount by which the carrying value exceeds the fair value of the asset.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Allowances for Doubtful Accounts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maintain allowances for doubtful accounts receivable based on various information, including aging analysis of accounts receivable balances, historical bad debt rates, repayment patterns and credit worthiness of customers, industry trend analysis and general and industry-specific economic and market conditions. We make provision for bad debts if there is evidence showing that the debts are likely to be irrecoverable based on historical collections assessment and aging. We provide for 50.0% in the case of direct customers, and 30.0% in the case of advertising agents, of the outstanding trade receivable balances overdue for more than 180 days and provide for 80.0% in the case of direct customers, and 50.0% in the case of advertising agents, of the outstanding trade receivable balances overdue for more than 270 days. We provide for 100.0% in the case of all parties for outstanding trade receivable balances overdue for more than one year.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Inventories, which mainly represent products for our e-commerce business, are stated at the lower of cost or net realizable value in our consolidated balance sheets. Cost of inventory is determined using the weighted average cost method.</w:t>
      </w:r>
    </w:p>
    <w:p>
      <w:pPr>
        <w:spacing w:after="0" w:line="17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Adjustments are recorded to write down the cost of inventory to the estimated net realizable value due to slow-moving merchandise and damaged goods, which is dependent upon factors such as historical and forecasted consumer demand and promotional environment. We take ownership, risks and rewards of the products purchased. Write downs are recorded in cost of revenues in our consolidated statements of operations and comprehensive income. Certain costs attributable to buying and receiving products, such as purchase freights, are also included in inventories.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and investments that we have positive intent and ability to hold to maturity.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investments that we have positive intent and ability to hold to maturity are classified as held-to-maturity investments and stated at amortized cost. For individual investments classified as held-to-maturity investments, we evaluate whether a decline in fair value below the amortized cost basis is other than temporary in accordance to our policy and ASC 320-10. If we conclude that we do not intend or are not required to sell an impaired debt investment before the recovery of its amortized cost basis, the impairment is considered temporary and the held-to-maturity investment continues to be recognized at the amortized cost.</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Investments not classified as trading or as held-to-maturity are classified as available-for-sale securities. Available-for-sale investment is reported at fair value, with unrealized gains and losses recorded in accumulated other comprehensive income (loss). Realized gains or losses are charged to earnings during 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long-term investments.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investments in an investee over which we do not have significant influence and which does not have a readily determinable fair value, we carry the investment at cost and only adjust for other-than-temporary declines in fair value and distributions of earnings that exceed our share of earnings since we made our investment. We regularly evaluate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 in Associated Companies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Investments in associated companies in which we are in a position to exercise significant influence by participating in, but not controlling or jointly controlling, the financial and operating policies are accounted for using the equity method and are reported under long-term investment in the consolidated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carrying values of long-lived assets are reviewed for impairment whenever events or changes in circumstances indicate that the carrying value of an asset may not be recoverable. Based on the existence of one or more indicators of impairment, we measure any impairment of long-lived assets using the projected discounted cash flow method. The estimation of future cash flows requires significant management judgment based on our historical results and anticipated results and is subject to many factors. The discount rate that is commensurate with the risk inherent in our business model is determined by our management.</w:t>
      </w:r>
    </w:p>
    <w:p>
      <w:pPr>
        <w:sectPr>
          <w:pgSz w:w="11900" w:h="16838" w:orient="portrait"/>
          <w:cols w:equalWidth="0" w:num="1">
            <w:col w:w="11420"/>
          </w:cols>
          <w:pgMar w:left="240" w:top="125" w:right="239" w:bottom="0" w:gutter="0" w:footer="0" w:header="0"/>
        </w:sectPr>
      </w:pPr>
    </w:p>
    <w:bookmarkStart w:id="51" w:name="page52"/>
    <w:bookmarkEnd w:id="51"/>
    <w:p>
      <w:pPr>
        <w:ind w:right="180" w:firstLine="648"/>
        <w:spacing w:after="0" w:line="277" w:lineRule="auto"/>
        <w:rPr>
          <w:sz w:val="20"/>
          <w:szCs w:val="20"/>
          <w:color w:val="auto"/>
        </w:rPr>
      </w:pPr>
      <w:r>
        <w:rPr>
          <w:rFonts w:ascii="Arial" w:cs="Arial" w:eastAsia="Arial" w:hAnsi="Arial"/>
          <w:sz w:val="18"/>
          <w:szCs w:val="18"/>
          <w:color w:val="auto"/>
        </w:rPr>
        <w:t>An impairment loss would be recorded if we determined that the carrying value of long-lived assets may not be recoverable. The impairment to be recognized is measured by the amount by which the carrying values of the assets exceed the fair value of the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our RSU Plan, we issue restricted share units, or RSUs, to our employees, directors and consultants with performance conditions and service vesting periods ranging from one year to five years. Some of the RSUs issued are to be settled, at our discretion, in shares or cash upon vesting based on the share price at grant date. At each reporting period, we evaluate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shares only is measured based on the fair value of shares when all conditions to establish the grant date have been met. The compensation cost of RSUs to be settled either in shares or cash at our discretion is remeasured until the date when settlement in shares or cash is determined by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record share-based compensation on our consolidated statements of operations and comprehensive income with the corresponding credit to the additional paid-in-capital for share options and RSUs to the extent that such awards are to be settled only in shares. On the other hand, for RSUs which will either be settled in shares or cash as discussed above, we continue to mark to market such awards and, in accordance with the vesting schedules of such awards, record the resulting potential liabilities under accrued liabilities and other long-term payables.</w:t>
      </w:r>
    </w:p>
    <w:p>
      <w:pPr>
        <w:spacing w:after="0" w:line="17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Certain of our subsidiaries granted options exercisable for ordinary shares to certain of our employees. The options expire five to seven years from the date of grant and either vest or have a vesting commencement date upon certain conditions being met. We adopt the binomial option pricing model to determine the fair value of stock options and account for share-based compensation cost using an estimated forfeiture rate.</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Forfeitures were estimated based on our weighted average historical forfeiture rate of the past five years. Differences between actual and estimated forfeitures are expensed in the period that the differences occur.</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assumptions are based on our historical experience and expectation of future development. The assumptions used in calculating the fair value of share-based awards and related share-based compensation expenses represent management’s best estimates, but these estimates involve inherent uncertainties and the application of management judgment. As a result, if factors change or different assumptions are used, particularly with respect to the volatility of our shares, our share-based compensation expense could be materially different for any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a summary of our audited consolidated statements of operations for the periods indicated both in Renminbi and as a percentage of total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40" w:type="dxa"/>
            <w:vAlign w:val="bottom"/>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rPr>
              <w:t>RMB’000</w:t>
            </w:r>
          </w:p>
        </w:tc>
        <w:tc>
          <w:tcPr>
            <w:tcW w:w="88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40" w:type="dxa"/>
            <w:vAlign w:val="bottom"/>
            <w:gridSpan w:val="3"/>
          </w:tcPr>
          <w:p>
            <w:pPr>
              <w:jc w:val="right"/>
              <w:ind w:right="760"/>
              <w:spacing w:after="0" w:line="142" w:lineRule="exact"/>
              <w:rPr>
                <w:sz w:val="20"/>
                <w:szCs w:val="20"/>
                <w:color w:val="auto"/>
              </w:rPr>
            </w:pPr>
            <w:r>
              <w:rPr>
                <w:rFonts w:ascii="Arial" w:cs="Arial" w:eastAsia="Arial" w:hAnsi="Arial"/>
                <w:sz w:val="14"/>
                <w:szCs w:val="14"/>
                <w:b w:val="1"/>
                <w:bCs w:val="1"/>
                <w:color w:val="auto"/>
              </w:rPr>
              <w:t>RMB’000</w:t>
            </w:r>
          </w:p>
        </w:tc>
        <w:tc>
          <w:tcPr>
            <w:tcW w:w="900" w:type="dxa"/>
            <w:vAlign w:val="bottom"/>
          </w:tcPr>
          <w:p>
            <w:pPr>
              <w:jc w:val="right"/>
              <w:ind w:right="4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20" w:type="dxa"/>
            <w:vAlign w:val="bottom"/>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rPr>
              <w:t>RMB’000</w:t>
            </w:r>
          </w:p>
        </w:tc>
        <w:tc>
          <w:tcPr>
            <w:tcW w:w="88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Statement of Operations and</w:t>
            </w: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21,685,341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33,748,455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42,654,982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Product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1,117,554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4,430,389</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11,447,037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22,802,895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38,178,844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54,102,019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0"/>
              <w:spacing w:after="0" w:line="196" w:lineRule="exact"/>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(8,345,541)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(12,602,876)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(17,741,107)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Product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(1,053,719)</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(3,912,156)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(10,448,219)</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cost of revenues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(9,399,260)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(16,515,032)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(28,189,326)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13,403,635</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(2,958,229)</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(4,481,815)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(6,957,596)</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General and administrative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(1,014,395)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(1,506,154)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(2,429,858)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w w:val="97"/>
              </w:rPr>
              <w:t>Research and development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(2,158,888)</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(3,046,979)</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(4,371,428)</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(6,131,512)</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(9,034,948)</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(13,758,882)</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3340" w:type="dxa"/>
            <w:vAlign w:val="bottom"/>
          </w:tcPr>
          <w:p>
            <w:pPr>
              <w:ind w:left="200"/>
              <w:spacing w:after="0"/>
              <w:rPr>
                <w:sz w:val="20"/>
                <w:szCs w:val="20"/>
                <w:color w:val="auto"/>
              </w:rPr>
            </w:pPr>
            <w:r>
              <w:rPr>
                <w:rFonts w:ascii="Arial" w:cs="Arial" w:eastAsia="Arial" w:hAnsi="Arial"/>
                <w:sz w:val="18"/>
                <w:szCs w:val="18"/>
                <w:color w:val="auto"/>
              </w:rPr>
              <w:t>Operating profit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7,272,123</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12,628,864</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12,153,811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Other income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62,341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200,333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362,113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596,930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541,969</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667,323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(losses) / gains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133,776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146,510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(448,827)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45,138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377,685</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277,080</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8,110,308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13,895,361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13,011,500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(1,273,408)</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(2,102,498)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(2,162,363)</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6,836,900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11,792,863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10,849,137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(101,792)</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(188,343)</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(126,502)</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 xml:space="preserve">Net income attributable to </w:t>
            </w:r>
            <w:r>
              <w:rPr>
                <w:rFonts w:ascii="Arial" w:cs="Arial" w:eastAsia="Arial" w:hAnsi="Arial"/>
                <w:sz w:val="17"/>
                <w:szCs w:val="17"/>
                <w:color w:val="auto"/>
              </w:rPr>
              <w:t>redeemable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(14,696)</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82"/>
        </w:trPr>
        <w:tc>
          <w:tcPr>
            <w:tcW w:w="3340" w:type="dxa"/>
            <w:vAlign w:val="bottom"/>
          </w:tcPr>
          <w:p>
            <w:pPr>
              <w:ind w:left="180"/>
              <w:spacing w:after="0" w:line="182" w:lineRule="exact"/>
              <w:rPr>
                <w:sz w:val="20"/>
                <w:szCs w:val="20"/>
                <w:color w:val="auto"/>
              </w:rPr>
            </w:pPr>
            <w:r>
              <w:rPr>
                <w:rFonts w:ascii="Arial" w:cs="Arial" w:eastAsia="Arial" w:hAnsi="Arial"/>
                <w:sz w:val="18"/>
                <w:szCs w:val="18"/>
                <w:color w:val="auto"/>
              </w:rPr>
              <w:t>Net income attributable to</w:t>
            </w: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NetEase, Inc.’s shareholders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6,735,108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11,604,520</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10,707,939</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6,836,900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11,792,863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10,849,137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2" w:name="page53"/>
    <w:bookmarkEnd w:id="52"/>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gains on available-for-sale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net of tax</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27,452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(232,633)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(23,321)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losses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on available-for-sale securities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recorded in net income, nil of tax</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266,660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Foreign currency translation adjustment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Arial" w:cs="Arial" w:eastAsia="Arial" w:hAnsi="Arial"/>
                <w:sz w:val="18"/>
                <w:szCs w:val="18"/>
                <w:color w:val="auto"/>
              </w:rPr>
              <w:t>Total other comprehensive income</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27,452</w:t>
            </w:r>
          </w:p>
        </w:tc>
        <w:tc>
          <w:tcPr>
            <w:tcW w:w="22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34,027</w:t>
            </w:r>
          </w:p>
        </w:tc>
        <w:tc>
          <w:tcPr>
            <w:tcW w:w="22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(24,894)</w:t>
            </w:r>
          </w:p>
        </w:tc>
        <w:tc>
          <w:tcPr>
            <w:tcW w:w="220" w:type="dxa"/>
            <w:vAlign w:val="bottom"/>
            <w:vMerge w:val="continue"/>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6,864,352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11,826,890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10,824,243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Add: Comprehensive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attributable to noncontrolling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interests and redeemable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(101,792)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(188,343)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(141,198)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Comprehensive income attributable to</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NetEase, Inc.’s shareholders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6,762,560</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11,638,547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10,683,045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Share-based compensation cost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328,480</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444,187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820,281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52,689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120,925</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238,750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581,337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254,505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generate net revenues from service and product sales. Net service revenues are derived from online games services, e-commerce, advertising services, e-mail and other services. Net product revenues represent revenue from the sale of products through our e-commerce platforms where we record revenue on a gross basis. Net revenue from service and product sales represented 78.8% and 21.2% of our total net revenues in 2017, compared with 88.4% and 11.6% in 2016, respectively.</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the net revenues and cost of revenues by segments for the period presented as derived from our audited financial statements. See Item 18 of Part III, “Financial Statements—Note 25—Segment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600" w:type="dxa"/>
            <w:vAlign w:val="bottom"/>
            <w:tcBorders>
              <w:bottom w:val="single" w:sz="8" w:color="auto"/>
            </w:tcBorders>
            <w:gridSpan w:val="5"/>
          </w:tcPr>
          <w:p>
            <w:pPr>
              <w:jc w:val="center"/>
              <w:ind w:left="994"/>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27,980,491</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36,281,642</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5,576,386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4,541,744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11,670,416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tcPr>
          <w:p>
            <w:pPr>
              <w:jc w:val="right"/>
              <w:spacing w:after="0"/>
              <w:rPr>
                <w:sz w:val="20"/>
                <w:szCs w:val="20"/>
                <w:color w:val="auto"/>
              </w:rPr>
            </w:pPr>
            <w:r>
              <w:rPr>
                <w:rFonts w:ascii="Arial" w:cs="Arial" w:eastAsia="Arial" w:hAnsi="Arial"/>
                <w:sz w:val="18"/>
                <w:szCs w:val="18"/>
                <w:color w:val="auto"/>
              </w:rPr>
              <w:t>2,152,379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2,408,823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E-mail and others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54,102,019</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8,315,328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(9,974,146)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(13,473,339)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E-commerce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(3,986,871)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(10,464,714)</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(1,608,397)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(749,652)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(797,892)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E-mail and others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(1,804,363)</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(3,453,381)</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(530,775)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(16,515,032</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(28,189,326</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(4,332,620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Total net revenues increased by 41.7% to RMB54,102.0 million (US$8,315.3 million) in 2017 from RMB38,178.8 million in 2016. Net revenues from online games services, e-commerce services, advertising services and e-mail and others constituted 67.0%, 21.6%, 4.5% and 6.9%, respectively, of our total net revenues in 2017, compared with 73.3%, 11.9%, 5.6% and 9.2%, respectively, in 2016. Net revenues generated from licensed games represented 7.2% and 12.5% of our total net revenues in 2017 and 2016,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Net revenues from online games services increased by 29.7% to RMB36,281.6 million (US$5,576.4 million) in 2017 from RMB27,980.5 million in 2016. The increase was principally attributable to higher net revenues from our mobile games which totaled RMB25,421.6 million (US$3,907.2 million) in 2017 compared to RMB16,898.6 million in 2016, excluding mobile games licensed from Blizzard Entertainment which are discussed below. The growth in net revenues from mobile games mainly resulted from mobile games such as Onmyoji and the mobile version of New Ghost, both of which gained popularity over the course of 2017 as well as revenue contribution from newly released games such as Demon Seals mobile and Land of Glory. Our mobile game portfolio now consists of over 100 diverse games, and we expect to continue introducing new mobile games each year in the foreseeable future, which we believe will contribute to future revenue growth in this segment.</w:t>
      </w:r>
    </w:p>
    <w:p>
      <w:pPr>
        <w:sectPr>
          <w:pgSz w:w="11900" w:h="16840" w:orient="portrait"/>
          <w:cols w:equalWidth="0" w:num="1">
            <w:col w:w="11460"/>
          </w:cols>
          <w:pgMar w:left="240" w:top="125" w:right="199" w:bottom="0" w:gutter="0" w:footer="0" w:header="0"/>
        </w:sectPr>
      </w:pPr>
    </w:p>
    <w:bookmarkStart w:id="53" w:name="page54"/>
    <w:bookmarkEnd w:id="53"/>
    <w:p>
      <w:pPr>
        <w:ind w:right="580" w:firstLine="689"/>
        <w:spacing w:after="0" w:line="308" w:lineRule="auto"/>
        <w:rPr>
          <w:sz w:val="20"/>
          <w:szCs w:val="20"/>
          <w:color w:val="auto"/>
        </w:rPr>
      </w:pPr>
      <w:r>
        <w:rPr>
          <w:rFonts w:ascii="Arial" w:cs="Arial" w:eastAsia="Arial" w:hAnsi="Arial"/>
          <w:sz w:val="17"/>
          <w:szCs w:val="17"/>
          <w:color w:val="auto"/>
        </w:rPr>
        <w:t>Net revenues from games licensed by Blizzard Entertainment decreased by 17.4% to RMB3,467.7 million (US$533.0 million) in 2017 from RMB4,196.4 million in 2016, which was mainly attributable a lighter release slate in 2017 and increased competition in the market.</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revenues from mobile games (excluding the mobile games licensed from Blizzard Entertainment), self-developed PC-client games and Blizzard Entertainment licensed games represented 70.1%, 20.3% and 9.6% of total net revenues from online games services in 2017, respectively, compared to 60.4%, 24.6% and 15.0% in 2016,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revenues from our e-commerce segment increased by 157.0% to RMB11,670.4 million (US$1,793.7 million) in 2017 from RMB4,541.7 million in 2016. The increase was mainly attributable to rapid growth in the popularity of our e-commerce platforms, Kaola and Yanxuan, among consumers in China. The aggregate number of active users, meaning users who have registered accounts and have completed at least one purchase in a given period, of Kaola and Yanxuan in the aggregate increased from 6.8 million in 2016 to 23.0 million in 2017, and the number of orders we fulfilled on these two platforms increased from 27.0 million in 2016 to 81.1 million in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revenues from advertising services increased by 11.9% to RMB2,408.8 million (US$370.2 million) in 2017 from RMB2,152.4 million in 2016. The increase in advertising services revenue in 2017 was driven by increased market demand, mainly as a result of continued efforts to introduce new online content and the increase in our general brand awareness, both of which increased our site traffic and in turn increased the attractiveness of our advertising services.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Average net revenues per traditional advertiser (i.e., customers which do not advertise through our search services), which provide the substantial portion of our advertising revenue, was approximately RMB1.6 million (US$0.2 million) in 2017, which remained stable as compared with 2016. The number of traditional advertisers using the NetEase websites increased to 1,489 in 2017 from 1,335 in 2016, with revenues from our top ten advertisers comprising 39.6% of our total advertising services revenues in 2017 as compared to 29.4% in 2016.</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revenues from the e-mail and others segment increased by 6.8% to RMB3,741.1 million (US$575.0 million) in 2017 from RMB3,504.2 million in 2016. This increase mainly resulted from the increase in popularity of our live video streaming platform CC.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cost of revenues increased by 70.7% to RMB28,189.3 million (US$4,332.6 million) in 2017 from RMB16,515.0 million in 2016. The year-over-year increase was mainly due to an increase in each of the cost of merchandise sold by our e-commerce platforms, information costs, costs of revenue sharing with distributors, developers and other third parties, staff-related costs and technology costs. In 2017, costs relating to online games services, e-commerce, advertising services and e-mail and others represented 47.8%, 37.1%, 2.8% and 12.3% of total cost of revenues, respectively, as compared with 60.4%, 24.2%, 4.5% and 10.9% of the cost of revenues, respectively, in 2016.</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Cost of revenues from our online games services increased by 35.1% to RMB13,473.3 million (US$2,070.8 million) in 2017 from RMB9,974.1 million in 2016. The increase in cost of revenues in 2017 was primarily due to a combination of the following factors:</w:t>
      </w:r>
    </w:p>
    <w:p>
      <w:pPr>
        <w:spacing w:after="0" w:line="170" w:lineRule="exact"/>
        <w:rPr>
          <w:sz w:val="20"/>
          <w:szCs w:val="20"/>
          <w:color w:val="auto"/>
        </w:rPr>
      </w:pPr>
    </w:p>
    <w:p>
      <w:pPr>
        <w:ind w:left="660" w:right="300" w:hanging="328"/>
        <w:spacing w:after="0" w:line="264"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sharing costs with distributors, developers and other third parties related to mobile games increased by RMB2,877.1 million (US$442.2 million) to RMB8,045.7 million (US$1,236.6 million) in 2017 from RMB5,168.6 million in 2016 primarily due to the launch of various self-developed and licensed mobile games in 2017.</w:t>
      </w:r>
    </w:p>
    <w:p>
      <w:pPr>
        <w:spacing w:after="0" w:line="181" w:lineRule="exact"/>
        <w:rPr>
          <w:rFonts w:ascii="Arial" w:cs="Arial" w:eastAsia="Arial" w:hAnsi="Arial"/>
          <w:sz w:val="18"/>
          <w:szCs w:val="18"/>
          <w:color w:val="auto"/>
        </w:rPr>
      </w:pPr>
    </w:p>
    <w:p>
      <w:pPr>
        <w:ind w:left="660" w:right="80" w:hanging="328"/>
        <w:spacing w:after="0" w:line="279" w:lineRule="auto"/>
        <w:tabs>
          <w:tab w:leader="none" w:pos="6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Staff-related costs increased by RMB884.1 million (US$135.9 million) to RMB2,825.1 million (US$434.2 million) in 2017 from RMB1,941.0 million in 2016, mainly as a result of an increase in the level of salaries and other compensation and an increase in the number of our employees. The number of full time employees in our online games business increased to 8,193 as of December 31, 2017 from 7,702 as of December 31, 2016, including 519 employees providing customer services to support the operation of games licensed from Blizzard.</w:t>
      </w:r>
    </w:p>
    <w:p>
      <w:pPr>
        <w:spacing w:after="0" w:line="171" w:lineRule="exact"/>
        <w:rPr>
          <w:rFonts w:ascii="Arial" w:cs="Arial" w:eastAsia="Arial" w:hAnsi="Arial"/>
          <w:sz w:val="17"/>
          <w:szCs w:val="17"/>
          <w:color w:val="auto"/>
        </w:rPr>
      </w:pPr>
    </w:p>
    <w:p>
      <w:pPr>
        <w:ind w:left="660" w:right="80" w:hanging="328"/>
        <w:spacing w:after="0" w:line="264"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above increase was offset in part by a decrease in technology costs of RMB417.6 million (US$64.2 million) to RMB2,017.7 million (US$310.1 million) in 2017 from RMB2,435.3 million in 2016, mainly due to a decrease in royalty fee payments of RMB569.8 million (US$87.6 million) in line with the decreased revenue contribution from games that we license from Blizzard.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Cost of revenues from our e-commerce services increased by 162.5% to RMB10,464.7 million (US$1,608.4 million) in 2017 from RMB3,986.9 million in 2016, which was primarily attributable to the increase in the costs of merchandise sold. This was in line with the revenue growth of our e-commerce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Cost of revenues from our advertising services increased by 6.4% to RMB797.9 million (US$122.6 million) in 2017 from RMB749.7 million in 2016. The increase in cost of revenues in 2017 was primarily due to a combination of the following factors:</w:t>
      </w:r>
    </w:p>
    <w:p>
      <w:pPr>
        <w:sectPr>
          <w:pgSz w:w="11900" w:h="16838" w:orient="portrait"/>
          <w:cols w:equalWidth="0" w:num="1">
            <w:col w:w="11360"/>
          </w:cols>
          <w:pgMar w:left="240" w:top="341" w:right="299" w:bottom="45" w:gutter="0" w:footer="0" w:header="0"/>
        </w:sectPr>
      </w:pPr>
    </w:p>
    <w:bookmarkStart w:id="54" w:name="page55"/>
    <w:bookmarkEnd w:id="54"/>
    <w:p>
      <w:pPr>
        <w:ind w:left="660" w:right="520" w:hanging="328"/>
        <w:spacing w:after="0" w:line="308" w:lineRule="auto"/>
        <w:tabs>
          <w:tab w:leader="none" w:pos="6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Information sourcing costs increased by RMB32.9 million (US$5.1 million) to RMB139.5 million (US$21.4 million) in 2017 from RMB106.6 million in 2016, mainly due to the increase in content costs incurred in relation to an expansion of the advertising business.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328"/>
        <w:spacing w:after="0" w:line="277"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sharing costs related to our performance-based advertising business increased by RMB18.6 million (US$2.9 million) to RMB122.0 million (US$18.8 million) in 2017 from RMB103.4 million in 2016, also primarily due to an expansion of the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Cost of revenues from our e-mail and other services increased by 91.4% to RMB3,453.4 million (US$530.8 million) in 2017 from RMB1,804.4 million in 2016. The increase in cost of revenues in 2017 was primarily due to a combination of the following factors:</w:t>
      </w:r>
    </w:p>
    <w:p>
      <w:pPr>
        <w:spacing w:after="0" w:line="170" w:lineRule="exact"/>
        <w:rPr>
          <w:sz w:val="20"/>
          <w:szCs w:val="20"/>
          <w:color w:val="auto"/>
        </w:rPr>
      </w:pPr>
    </w:p>
    <w:p>
      <w:pPr>
        <w:ind w:left="660" w:right="520" w:hanging="328"/>
        <w:spacing w:after="0" w:line="277"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sharing-related costs increased by RMB1,062.2 million (US$163.3 million) to RMB1,180.4 million (US$181.4 million) in 2017 from RMB118.2 million, primarily due to the increased revenue contribution from our live video streaming services.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cost increased by RMB634.5 million (US$97.5 million) to RMB900.9 million (US$138.5 million) in 2017 from RMB266.4 million in 2016, primarily due to the amortization of license fees related to our music content.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Technology service cost such as bandwidth and server custody fees increased by RMB212.7 million (US$32.7 million) to RMB415.4 million</w:t>
      </w:r>
    </w:p>
    <w:p>
      <w:pPr>
        <w:spacing w:after="0" w:line="35" w:lineRule="exact"/>
        <w:rPr>
          <w:sz w:val="20"/>
          <w:szCs w:val="20"/>
          <w:color w:val="auto"/>
        </w:rPr>
      </w:pPr>
    </w:p>
    <w:p>
      <w:pPr>
        <w:ind w:left="660" w:right="180"/>
        <w:spacing w:after="0" w:line="261" w:lineRule="auto"/>
        <w:rPr>
          <w:sz w:val="20"/>
          <w:szCs w:val="20"/>
          <w:color w:val="auto"/>
        </w:rPr>
      </w:pPr>
      <w:r>
        <w:rPr>
          <w:rFonts w:ascii="Arial" w:cs="Arial" w:eastAsia="Arial" w:hAnsi="Arial"/>
          <w:sz w:val="18"/>
          <w:szCs w:val="18"/>
          <w:color w:val="auto"/>
        </w:rPr>
        <w:t>(US$63.8 million) in 2017 from RMB202.7 million in 2016, mainly as a result of an increase in the bandwidth usage by our e-mail and other value added services in 2017.</w:t>
      </w:r>
    </w:p>
    <w:p>
      <w:pPr>
        <w:spacing w:after="0" w:line="184" w:lineRule="exact"/>
        <w:rPr>
          <w:sz w:val="20"/>
          <w:szCs w:val="20"/>
          <w:color w:val="auto"/>
        </w:rPr>
      </w:pPr>
    </w:p>
    <w:p>
      <w:pPr>
        <w:ind w:left="660" w:right="280" w:hanging="328"/>
        <w:spacing w:after="0" w:line="277"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Staff-related cost increased by RMB106.2 million (US$16.3 million) to RMB627.4 million (US$96.4 million) in 2017 from RMB521.2 million in 2016, mainly as a result of an increase in salaries and bonuses paid and an increase in the number of our employees.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above increase was offset in part by the decrease in cost of merchandise sold of RMB443.1 million (US$68.1 million) from RMB557.6 million in 2016, which was mainly due to the discontinuation of our Duobao platform.</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gross profit increased by 19.6% to RMB25,912.7 million (US$3,982.7 million) in 2017 from RMB21,663.8 million in 2016.</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2016 and 2017 were calculated by dividing our gross profits over our net revenues for the corresponding type of services and products.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54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w w:val="99"/>
              </w:rPr>
              <w:t>For the Year Ended December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Online games services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18,006,345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22,808,303</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3,505,572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554,873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185,313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Advertising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1,402,727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1,610,931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247,596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E-mail and others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1,699,867</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287,757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44,227</w:t>
            </w:r>
          </w:p>
        </w:tc>
      </w:tr>
      <w:tr>
        <w:trPr>
          <w:trHeight w:val="210"/>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profit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3,982,708</w:t>
            </w:r>
          </w:p>
        </w:tc>
        <w:tc>
          <w:tcPr>
            <w:tcW w:w="16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E-commerce</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12.2%</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E-mail and others</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48.5%</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decrease of gross profit margin for online games services was mainly due to the increased revenues contribution from mobile games, which have relatively lower gross profit margin, as a percentage of NetEase’s total online game revenues. The decrease of gross profit margin for e-commerce services was mainly due to the increased level of promotions and sales discounts offered in 2017. The decrease in gross profit margin for e-mail and others business was mainly due to the discontinuation of revenue contribution from our Duobao platform, which had relatively higher gross profit margins. The increase in gross profit margin for advertising services was mainly due to our enhanced monetization efforts and improved economies of scale.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operating expenses increased by 52.3% to RMB13,758.9 million (US$2,114.7 million) in 2017 from RMB9,034.9 million in 2016 as a result of an increase in selling and marketing expenses, research and development expenses and general and administrative expenses.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Selling and marketing expenses increased by 55.2% to RMB6,957.6 million (US$1,069.4 million) in 2017 from RMB4,481.8 million in 2016, primarily due to a combination of the following factors:</w:t>
      </w:r>
    </w:p>
    <w:p>
      <w:pPr>
        <w:sectPr>
          <w:pgSz w:w="11900" w:h="16838" w:orient="portrait"/>
          <w:cols w:equalWidth="0" w:num="1">
            <w:col w:w="11420"/>
          </w:cols>
          <w:pgMar w:left="240" w:top="125" w:right="239" w:bottom="0" w:gutter="0" w:footer="0" w:header="0"/>
        </w:sectPr>
      </w:pPr>
    </w:p>
    <w:bookmarkStart w:id="55" w:name="page56"/>
    <w:bookmarkEnd w:id="55"/>
    <w:p>
      <w:pPr>
        <w:ind w:left="660" w:right="200" w:hanging="328"/>
        <w:spacing w:after="0" w:line="286" w:lineRule="auto"/>
        <w:tabs>
          <w:tab w:leader="none" w:pos="6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increase in marketing costs of approximately RMB1,439.4 million (US$221.2 million) in 2017 resulting from increased marketing spending on our various online games, including our self-developed mobile games, PC-client games and games licensed from Blizzard, as well as media and outdoor branding promotion for our e-commerce services, advertising services and email and other services.</w:t>
      </w:r>
    </w:p>
    <w:p>
      <w:pPr>
        <w:spacing w:after="0" w:line="165" w:lineRule="exact"/>
        <w:rPr>
          <w:rFonts w:ascii="Arial" w:cs="Arial" w:eastAsia="Arial" w:hAnsi="Arial"/>
          <w:sz w:val="17"/>
          <w:szCs w:val="17"/>
          <w:color w:val="auto"/>
        </w:rPr>
      </w:pPr>
    </w:p>
    <w:p>
      <w:pPr>
        <w:ind w:left="660" w:right="180" w:hanging="328"/>
        <w:spacing w:after="0" w:line="277"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shipping and handling costs of approximately RMB679.7 million (US$104.5 million) in 2017 resulting from the expansion of our e-commerce business.</w:t>
      </w:r>
    </w:p>
    <w:p>
      <w:pPr>
        <w:spacing w:after="0" w:line="170" w:lineRule="exact"/>
        <w:rPr>
          <w:rFonts w:ascii="Arial" w:cs="Arial" w:eastAsia="Arial" w:hAnsi="Arial"/>
          <w:sz w:val="18"/>
          <w:szCs w:val="18"/>
          <w:color w:val="auto"/>
        </w:rPr>
      </w:pPr>
    </w:p>
    <w:p>
      <w:pPr>
        <w:ind w:left="660" w:right="300" w:hanging="328"/>
        <w:spacing w:after="0" w:line="342" w:lineRule="auto"/>
        <w:tabs>
          <w:tab w:leader="none" w:pos="6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increase in staff-related costs of our sales team of approximately RMB332.4 million (US$51.1 million) in 2017, primarily driven by increased headcount and higher compensation levels and performance-related bonus accruals, particularly for our online game promotion teams.</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General and administrative expenses increased by 61.3% to RMB2,429.9 million (US$373.5 million) in 2017 from RMB1,506.2 million in 2016, primarily due to an increase in staff-related costs of approximately RMB798.8 million (US$122.8 million) in 2017 driven by increased headcount, higher compensation levels and an increase in other miscellaneous costs of approximately RMB57.9 million (US$8.9 million) such as facility costs due to increased business expansion.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Research and development expenses increased by 43.5% to RMB4,371.4 million (US$671.9 million) in 2017 from RMB3,047.0 million in 2016, primarily due to a combination of the following factors:</w:t>
      </w:r>
    </w:p>
    <w:p>
      <w:pPr>
        <w:spacing w:after="0" w:line="170" w:lineRule="exact"/>
        <w:rPr>
          <w:sz w:val="20"/>
          <w:szCs w:val="20"/>
          <w:color w:val="auto"/>
        </w:rPr>
      </w:pPr>
    </w:p>
    <w:p>
      <w:pPr>
        <w:ind w:left="660" w:hanging="328"/>
        <w:spacing w:after="0" w:line="264"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RMB1,067.5 million (US$164.1 million) in 2017, mainly as a result of increased headcount for our online games services, e-commerce services and email and other services and higher salaries, bonuses and other benefits paid to our research and development team during 2017, including share based compensation.</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technology costs of approximately RMB70.1 million (US$10.8 million), mainly for game content design.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other miscellaneous cost of approximately RMB137.1 million (US$21.1 million) such as depreciation and amortization costs, rental and utilities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of December 31, 2017, the gross accounts receivable balance before any allowance for bad and doubtful accounts was RMB3,704.6 million (US$569.4 million). After providing for doubtful accounts in the amount of RMB84.9 million (US$13.1 million), the net balance of accounts receivable was RMB3,619.7 million (US$556.3 million) as of December 31, 2017. The allowances for doubtful accounts represented the provisions of RMB84.9 million (US$13.1 million) as of December 31, 2017, as compared to the provision of RMB24.1 million as of December 31, 2016.</w:t>
      </w:r>
    </w:p>
    <w:p>
      <w:pPr>
        <w:spacing w:after="0" w:line="17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significant allowance for bad and doubtful accounts was provided in 2017. As of December 31, 2017, we had one distribution channel with a receivable balance exceeding 10% of our total accounts receivable balance.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Other income in 2017 mainly consisted of interest income, investment income related to short-term investments, foreign exchange gain and government incentives, offset in part by foreign exchange losses and impairment provisions related to certain equity investments.</w:t>
      </w:r>
    </w:p>
    <w:p>
      <w:pPr>
        <w:spacing w:after="0" w:line="14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Interest income increased to RMB667.3 million (US$102.6 million) in 2017 from RMB542.0 million in 2016, primarily due to an increase in our total cash and cash equivalents and time deposit balance, which increased by 32.0% to RMB33.5 billion (US$5.1 billion) as of December 31, 2017 from RMB25.4 billion as of December 31, 2016. We incurred interest expense of RMB92.1 million (US$14.1 million) in 2017 related to our short-term borrowings.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income increased to RMB362.1 million (US$55.7 million) in 2017 from RMB200.3 million in 2016, consisting primarily of</w:t>
      </w:r>
    </w:p>
    <w:p>
      <w:pPr>
        <w:spacing w:after="0" w:line="23" w:lineRule="exact"/>
        <w:rPr>
          <w:sz w:val="20"/>
          <w:szCs w:val="20"/>
          <w:color w:val="auto"/>
        </w:rPr>
      </w:pPr>
    </w:p>
    <w:p>
      <w:pPr>
        <w:ind w:right="80" w:firstLine="8"/>
        <w:spacing w:after="0" w:line="253" w:lineRule="auto"/>
        <w:tabs>
          <w:tab w:leader="none" w:pos="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income related to short-term investments of RMB389.5 million (US$59.9 million) in 2017, compared to RMB303.4 million in 2016, (ii) cash dividend of RMB29.6 million (US$4.5 million) from available-for-sale investments in 2017, compared to RMB21.4 million in 2016, and (iii) net investment income of RMB9.6 million (US$1.5 million) from a partial disposal of an equity investee in 2017, compared to RMB234.1 million in 2016, offset in part by impairment provisions related to certain investments and a net investment loss in associated companies which totaled RMB70.7 million (US$10.9 million) in 2017 compared to RMB364.7 million in 2016.</w:t>
      </w:r>
    </w:p>
    <w:p>
      <w:pPr>
        <w:spacing w:after="0" w:line="19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2017, we received and recognized unconditional government incentives of approximately RMB252.0 million (US$38.7 million), compared to RMB346.4 million in 2016.</w:t>
      </w:r>
    </w:p>
    <w:p>
      <w:pPr>
        <w:spacing w:after="0" w:line="170"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We also reported net foreign exchange losses of RMB448.8 million (US$69.0 million) in 2017, compared to a net foreign exchange gain of RMB146.5 million in 2016, both of which are primarily due to the translation gains and losses arising from our U.S. dollar-denominated bank deposit and short-term loan balances as the exchange rate of the U.S. dollar against the RMB fluctuated over these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Income tax increased to RMB2,162.4 million (US$332.3 million) in 2017 from RMB2,102.5 million in 2016. Our effective tax rate in 2017 was 16.6% compared with 15.1% in 2016. The change in the effective tax rate was mainly due to the higher withholding tax recorded in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ectPr>
          <w:pgSz w:w="11900" w:h="16838" w:orient="portrait"/>
          <w:cols w:equalWidth="0" w:num="1">
            <w:col w:w="11400"/>
          </w:cols>
          <w:pgMar w:left="240" w:top="125" w:right="259" w:bottom="0" w:gutter="0" w:footer="0" w:header="0"/>
        </w:sectPr>
      </w:pPr>
    </w:p>
    <w:bookmarkStart w:id="56" w:name="page57"/>
    <w:bookmarkEnd w:id="56"/>
    <w:p>
      <w:pPr>
        <w:ind w:right="220" w:firstLine="648"/>
        <w:spacing w:after="0" w:line="277" w:lineRule="auto"/>
        <w:rPr>
          <w:sz w:val="20"/>
          <w:szCs w:val="20"/>
          <w:color w:val="auto"/>
        </w:rPr>
      </w:pPr>
      <w:r>
        <w:rPr>
          <w:rFonts w:ascii="Arial" w:cs="Arial" w:eastAsia="Arial" w:hAnsi="Arial"/>
          <w:sz w:val="18"/>
          <w:szCs w:val="18"/>
          <w:color w:val="auto"/>
        </w:rPr>
        <w:t>As a result of the foregoing, net income attributable to our shareholders decreased by 7.7% to RMB10,707.9 million (US$1,645.8 million) in 2017 from RMB11,604.5 million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revenue from service and product sales represented 88.4% and 11.6% of our total net revenues in 2016, compared with 95.1% and 4.9% in 2015, respectively. The following table sets forth the net revenues and cost of revenues by segments for the period presented as derived from our audited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8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40" w:type="dxa"/>
            <w:vAlign w:val="bottom"/>
          </w:tcPr>
          <w:p>
            <w:pPr>
              <w:jc w:val="right"/>
              <w:ind w:right="413"/>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17,314,148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27,980,491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1,173,620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tcPr>
          <w:p>
            <w:pPr>
              <w:jc w:val="right"/>
              <w:spacing w:after="0"/>
              <w:rPr>
                <w:sz w:val="20"/>
                <w:szCs w:val="20"/>
                <w:color w:val="auto"/>
              </w:rPr>
            </w:pPr>
            <w:r>
              <w:rPr>
                <w:rFonts w:ascii="Arial" w:cs="Arial" w:eastAsia="Arial" w:hAnsi="Arial"/>
                <w:sz w:val="18"/>
                <w:szCs w:val="18"/>
                <w:color w:val="auto"/>
              </w:rPr>
              <w:t>1,789,377</w:t>
            </w:r>
          </w:p>
        </w:tc>
        <w:tc>
          <w:tcPr>
            <w:tcW w:w="2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2,152,379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E-mail and others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2,525,750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3,504,230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22,802,895</w:t>
            </w:r>
          </w:p>
        </w:tc>
        <w:tc>
          <w:tcPr>
            <w:tcW w:w="2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(5,393,555)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E-commerce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(1,098,186)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(3,986,871)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(599,032)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E-mail and others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(2,308,487)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(1,804,363)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(9,399,260</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(16,515,032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Total net revenues increased by 67.4% to RMB38,178.8 million in 2016 from RMB22,802.9 million in 2015. Net revenues from online games services, e-commerce, advertising services and e-mail and others constituted 73.3%, 11.9%, 5.6% and 9.2%, respectively, of our total net revenues in 2016. This compares with 76.0%, 5.1%, 7.8% and 11.1%, respectively, in 2015. Net revenues generated from licensed games represented 12.5% and 12.1% of our total net revenues in 2016 and 2015,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Net revenues from online games services increased by 61.6% to RMB27,980.5 million in 2016 from RMB17,314.1 million in 2015. The increase was principally attributable to higher net revenues from our mobile games which totaled RMB16,898.6 million in 2016 compared to RMB7,590.7 million in 2015, excluding mobile games licensed from Blizzard Entertainment which are discussed below. The growth in net revenues from mobile games mainly resulted from the mobile versions of our self-developed games Fantasy Westward Journey (launched in March 2015) and Westward Journey Online (launched in September 2015) as well as the launch of new mobile games such as the mobile version of New Ghost and Onmyoji which quickly gained popularity. The increase also resulted to a lesser extent from increased popularity of other self-developed mobile games such as Invincible and Tianxia III mobile. Our self-developed PC-client games also delivered steady performances in 2016.</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the increased popularity of online games licensed from Blizzard Entertainment, including Overwatch and Hearthstone, which were commercially launched in May 2016 and January 2014 respectively, as well as World of Warcraft which we licensed from Blizzard and started operating since September 2009, contributed to our net revenue growth. Net revenues from games licensed by Blizzard Entertainment increased by 82.5% to RMB4,196.4 million in 2016 from RMB2,299.0 million in 2015.</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Net revenues from mobile games (excluding the mobile games licensed from Blizzard Entertainment), self-developed PC-client games and Blizzard Entertainment licensed games represented 60.4%, 24.6% and 15.0% of total net revenues from online games services in 2016, respectively, compared to 43.8%, 42.9% and 13.3% in 2015,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Net revenues from the e-commerce segment increased by 287.0% to RMB4,541.7 million in 2016 from RMB1,173.6 million in 2015. The increase mainly resulted from rapid growth in the popularity among consumers in China of our e-commerce businesses, Kaola and Yanxuan. Net revenue from e-commerce represented 11.9% of our total net revenues in 2016, compared to 5.1% in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Net revenues from advertising services increased by 20.3% to RMB2,152.4 million in 2016 from RMB1,789.4 million in 2015. The increase in advertising services revenue in 2016 was driven by increased market demand, mainly as a result of continued efforts to introduce new online content and the increase in our general brand awareness, both of which increased our site traffic and in turn increased the attractiveness of our advertising services.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Average net revenue per traditional advertiser (i.e., customers which do not advertise through our search services), which provide the substantial portion of our advertising revenue, decreased to approximately RMB1.6 million in 2016 from RMB1.8 million in 2015. The number of traditional advertisers using the NetEase websites increased to 1,335 in 2016 from 1,002 in 2015, with revenues from our top ten advertisers comprising 29.4% of our total advertising services revenues in 2016 as compared to 28.2% in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ectPr>
          <w:pgSz w:w="11900" w:h="16838" w:orient="portrait"/>
          <w:cols w:equalWidth="0" w:num="1">
            <w:col w:w="11420"/>
          </w:cols>
          <w:pgMar w:left="240" w:top="125" w:right="239" w:bottom="5" w:gutter="0" w:footer="0" w:header="0"/>
        </w:sectPr>
      </w:pPr>
    </w:p>
    <w:bookmarkStart w:id="57" w:name="page58"/>
    <w:bookmarkEnd w:id="57"/>
    <w:p>
      <w:pPr>
        <w:ind w:right="340" w:firstLine="648"/>
        <w:spacing w:after="0" w:line="264" w:lineRule="auto"/>
        <w:rPr>
          <w:sz w:val="20"/>
          <w:szCs w:val="20"/>
          <w:color w:val="auto"/>
        </w:rPr>
      </w:pPr>
      <w:r>
        <w:rPr>
          <w:rFonts w:ascii="Arial" w:cs="Arial" w:eastAsia="Arial" w:hAnsi="Arial"/>
          <w:sz w:val="18"/>
          <w:szCs w:val="18"/>
          <w:color w:val="auto"/>
        </w:rPr>
        <w:t>Net revenues from the e-mail and others segment increased by 38.7% to RMB3,504.2 million in 2016 from RMB2,525.8 million in 2015. The increase mainly resulted from increased revenues from our Duobao platform, which enabled users to exchange a virtual currency for products. We ceased operating our Duobao platform in early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cost of revenues increased by 75.7% to RMB16,515.0 million in 2016 from RMB9,399.3 million in 2015. The year-over-year increase was mainly due to an increase in cost of merchandise sold by our e-commerce business, costs of revenue sharing with distributors, developers and other third parties, staff-related costs and technology costs. In 2016, costs relating to online games services, e-commerce services, advertising services and e-mail and others represented 60.4%, 24.2%, 4.5% and 10.9% of total cost of revenues, respectively, as compared with 57.4%, 11.7%, 6.4% and 24.5% of the cost of revenues, respectively, in 2015.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Cost of revenues from our online games services increased by 84.9% to RMB9,974.1 million in 2016 from RMB5,393.6 million in 2015. The increase in cost of revenues in 2016 was primarily due to a combination of the following factors:</w:t>
      </w:r>
    </w:p>
    <w:p>
      <w:pPr>
        <w:spacing w:after="0" w:line="170" w:lineRule="exact"/>
        <w:rPr>
          <w:sz w:val="20"/>
          <w:szCs w:val="20"/>
          <w:color w:val="auto"/>
        </w:rPr>
      </w:pPr>
    </w:p>
    <w:p>
      <w:pPr>
        <w:ind w:left="660" w:hanging="328"/>
        <w:spacing w:after="0" w:line="342" w:lineRule="auto"/>
        <w:tabs>
          <w:tab w:leader="none" w:pos="62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Revenue sharing costs with distributors, developers and other third parties related to mobile games increased by RMB2,740.0 million to RMB5,168.6 million in 2016 from RMB2,428.6 million in 2015 primarily due to the launch of various self-developed and licensed mobile games in 2016.</w:t>
      </w:r>
    </w:p>
    <w:p>
      <w:pPr>
        <w:spacing w:after="0" w:line="123" w:lineRule="exact"/>
        <w:rPr>
          <w:rFonts w:ascii="Arial" w:cs="Arial" w:eastAsia="Arial" w:hAnsi="Arial"/>
          <w:sz w:val="16"/>
          <w:szCs w:val="16"/>
          <w:color w:val="auto"/>
        </w:rPr>
      </w:pPr>
    </w:p>
    <w:p>
      <w:pPr>
        <w:ind w:left="660" w:right="60" w:hanging="328"/>
        <w:spacing w:after="0" w:line="308" w:lineRule="auto"/>
        <w:tabs>
          <w:tab w:leader="none" w:pos="6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Technology costs increased by RMB1,056.8 million to RMB2,435.3 million in 2016 from RMB1,378.5 million in 2015, mainly due to an increase in royalty fee payments of RMB1,011.1 million in line with the increased revenue contribution from games that we license from Blizzard.</w:t>
      </w:r>
    </w:p>
    <w:p>
      <w:pPr>
        <w:spacing w:after="0" w:line="146" w:lineRule="exact"/>
        <w:rPr>
          <w:rFonts w:ascii="Arial" w:cs="Arial" w:eastAsia="Arial" w:hAnsi="Arial"/>
          <w:sz w:val="17"/>
          <w:szCs w:val="17"/>
          <w:color w:val="auto"/>
        </w:rPr>
      </w:pPr>
    </w:p>
    <w:p>
      <w:pPr>
        <w:ind w:left="660" w:right="140" w:hanging="328"/>
        <w:spacing w:after="0" w:line="259"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Staff-related costs increased by RMB648.6 million to RMB1,941.0 million in 2016 from RMB1,292.4 million in 2015, mainly as a result of an increase in the level of salaries and other compensation payments and an increase in the number of employees. The number of full time employees in our online games business increased to 7,702 as of December 31, 2016 from 7,024 as of December 31, 2015, including 546 employees in the customer service function to support the operation of games licensed from Blizzard.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Cost of revenues from our e-commerce services increased by 263.0% to RMB3,986.9 in 2016 from RMB1,098.2 in 2015 which was primarily due to the increase in cost of merchandise sold.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Cost of revenues from our advertising services increased by 25.1% to RMB749.7 million in 2016 from RMB599.0 million in 2015. The increase in cost of revenues in 2016 was primarily due to a combination of the following factors:</w:t>
      </w:r>
    </w:p>
    <w:p>
      <w:pPr>
        <w:spacing w:after="0" w:line="170" w:lineRule="exact"/>
        <w:rPr>
          <w:sz w:val="20"/>
          <w:szCs w:val="20"/>
          <w:color w:val="auto"/>
        </w:rPr>
      </w:pPr>
    </w:p>
    <w:p>
      <w:pPr>
        <w:ind w:left="660" w:right="20" w:hanging="328"/>
        <w:spacing w:after="0" w:line="308" w:lineRule="auto"/>
        <w:tabs>
          <w:tab w:leader="none" w:pos="6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Staff-related costs increased by RMB62.5 million to RMB396.5 million in 2016 from RMB334.0 million in 2015, mainly as a result of an increase in salaries and other compensation payments, such as bonuses and welfare benefits, and also due to an expansion of the business.</w:t>
      </w:r>
    </w:p>
    <w:p>
      <w:pPr>
        <w:spacing w:after="0" w:line="146" w:lineRule="exact"/>
        <w:rPr>
          <w:rFonts w:ascii="Arial" w:cs="Arial" w:eastAsia="Arial" w:hAnsi="Arial"/>
          <w:sz w:val="17"/>
          <w:szCs w:val="17"/>
          <w:color w:val="auto"/>
        </w:rPr>
      </w:pPr>
    </w:p>
    <w:p>
      <w:pPr>
        <w:ind w:left="660" w:right="380" w:hanging="328"/>
        <w:spacing w:after="0" w:line="277" w:lineRule="auto"/>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sharing costs related to our performance-based advertising business increased by RMB45.6 million to RMB103.4 million in 2016 from RMB57.8 million in 2015 primarily due to an expansion of the business.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sourcing costs increased by RMB25.6 million to RMB106.6 million in 2016 from RMB81.0 million in 2015, mainly due to the content costs incurred in relation to an expansion of the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Others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Cost of revenues from our e-mail and other services decreased by 21.8% to RMB1,804.4 million in 2016 from RMB2,308.5 million in 2015. The decrease in cost of revenues in 2016 was primarily due to a combination of the following factors: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77" w:lineRule="auto"/>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merchandise sold decreased by RMB826.4 million to RMB557.6 million in 2016 from RMB1,384.0 million in 2015, mainly as a result of the decrease in revenue of our Duobao platform.</w:t>
      </w:r>
    </w:p>
    <w:p>
      <w:pPr>
        <w:spacing w:after="0" w:line="17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Staff-related cost increased by RMB129.5 million to RMB521.2 million in 2016 from RMB391.7 million in 2015, mainly as a result of an increase in salaries and bonuses and an increase in the number of employees due to business expansion.</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Technology service cost such as bandwidth and server custody fees increased by RMB56.7 million to RMB202.7 million in 2016 from RMB146.0 million in 2015, mainly as a result of an increase in bandwidth usage by our e-mail and other value added services in 2016.</w:t>
      </w:r>
    </w:p>
    <w:p>
      <w:pPr>
        <w:spacing w:after="0" w:line="146" w:lineRule="exact"/>
        <w:rPr>
          <w:rFonts w:ascii="Arial" w:cs="Arial" w:eastAsia="Arial" w:hAnsi="Arial"/>
          <w:sz w:val="17"/>
          <w:szCs w:val="17"/>
          <w:color w:val="auto"/>
        </w:rPr>
      </w:pPr>
    </w:p>
    <w:p>
      <w:pPr>
        <w:ind w:left="660" w:right="100" w:hanging="328"/>
        <w:spacing w:after="0" w:line="277" w:lineRule="auto"/>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cost increased by RMB30.7 million to RMB266.4 million in 2016 from RMB235.7 million in 2015 primarily due to the amortization of license fees related to Cloud Music.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1400"/>
          </w:cols>
          <w:pgMar w:left="240" w:top="125" w:right="259" w:bottom="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Our gross profit increased by 61.6% to RMB21,663.8 million in 2016 from RMB13,403.6 million in 2015.</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2015 and 2016 were calculated by dividing our gross profits over our net revenues for the corresponding type of services.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520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RMB’000</w:t>
            </w:r>
          </w:p>
        </w:tc>
        <w:tc>
          <w:tcPr>
            <w:tcW w:w="16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Online games services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11,920,593</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18,006,345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75,434</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554,873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Advertising services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1,190,345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1,402,727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E-mail and others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217,263</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1,699,867</w:t>
            </w: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profit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13,403,635</w:t>
            </w:r>
          </w:p>
        </w:tc>
        <w:tc>
          <w:tcPr>
            <w:tcW w:w="2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16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E-commerce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6.4%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E-mail and others</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8.6%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48.5%</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decrease of gross profit margin for online games services was mainly due to the increased revenues contribution from mobile games, which have relatively lower gross profit margin, as a percentage of NetEase’s total online game revenues. The decrease in gross profit margin for advertising services was mainly due to the business expansion in our performance-based advertising business, which has a relatively lower gross profit margin. The increase in gross profit margin for our e-commerce business was mainly due to improved economies of scale along with the expansion of our e-commerce platforms. The increase in profit margin for e-mail and others was mainly due to increased contributions from certain online platforms which have relatively higher margins.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Total operating expenses increased by 47.4% to RMB9,034.9 million in 2016 from RMB6,131.5 million in 2015 as a result of an increase in selling and marketing expenses, research and development expenses and general and administrative expenses.</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Selling and marketing expenses increased by 51.5% to RMB4,481.8 million in 2016 from RMB2,958.2 million in 2015, primarily due to a combination of the following factors:</w:t>
      </w:r>
    </w:p>
    <w:p>
      <w:pPr>
        <w:spacing w:after="0" w:line="170" w:lineRule="exact"/>
        <w:rPr>
          <w:sz w:val="20"/>
          <w:szCs w:val="20"/>
          <w:color w:val="auto"/>
        </w:rPr>
      </w:pPr>
    </w:p>
    <w:p>
      <w:pPr>
        <w:jc w:val="both"/>
        <w:ind w:left="660" w:right="460" w:hanging="328"/>
        <w:spacing w:after="0" w:line="264" w:lineRule="auto"/>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marketing costs of approximately RMB869.6 million in 2016 resulting from increased marketing spending on our various online games, including our self-developed mobile games, PC-client games and games licensed from Blizzard, as well as media and outdoor branding promotion for our advertising services, e-commerce and email and other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hanging="328"/>
        <w:spacing w:after="0" w:line="308" w:lineRule="auto"/>
        <w:tabs>
          <w:tab w:leader="none" w:pos="6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in staff-related costs of our sales team of approximately RMB223.2 million in 2016, primarily driven by increased headcount and higher compensation levels and performance-related bonus accruals, particularly for our online game promotion teams.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in shipping and handling costs expenses of approximately RMB226.2 million resulting from the expansion of our e-commerce business.</w:t>
      </w:r>
    </w:p>
    <w:p>
      <w:pPr>
        <w:spacing w:after="0" w:line="24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General and administrative expenses increased by 48.5% to RMB1,506.2 million in 2016 from RMB1,014.4 million in 2015, primarily due to an increase in staff-related costs of approximately RMB443.1 million in 2016 primarily driven by increased headcount, higher compensation levels and an increase in other miscellaneous costs of approximately RMB40.1 million such as facility costs due to increased business expansion.</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Research and development expenses increased by 41.1% to RMB3,047.0 million in 2016 from RMB2,158.9 million in 2015, primarily due to a combination of the following factors:</w:t>
      </w:r>
    </w:p>
    <w:p>
      <w:pPr>
        <w:spacing w:after="0" w:line="170" w:lineRule="exact"/>
        <w:rPr>
          <w:sz w:val="20"/>
          <w:szCs w:val="20"/>
          <w:color w:val="auto"/>
        </w:rPr>
      </w:pPr>
    </w:p>
    <w:p>
      <w:pPr>
        <w:ind w:left="660" w:right="320" w:hanging="328"/>
        <w:spacing w:after="0" w:line="264"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RMB672.7 million in 2016, mainly as a result of increased headcount for our online games services, e-commerce, email and other services and higher salaries, bonuses and other benefits paid to our research and development team during 2016, including share based compensation.</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technology costs of approximately RMB118.2 million, mainly for game content design.</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other miscellaneous cost of approximately RMB75.4 million such as depreciation and amortization costs, rental and utilities expenses, mainly for development of our online games services, e-commerce services as well as our email and other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2016, the gross accounts receivable balance before any allowance for bad and doubtful accounts was RMB4,275.4 million. After providing for doubtful accounts in the amount of RMB24.1 million, the net balance of accounts receivable was RMB4,251.3 million as of December 31, 2016. The allowances for doubtful accounts represented the provisions of RMB24.1 million as of December 31 2016, as compared to the provision of RMB14.2 million as of December 31, 2015.</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 significant allowance for bad and doubtful accounts was provided in 2016. As of December 31, 2016, we had one distribution channel with a receivable balance exceeding 10% of our total accounts receivable balance.</w:t>
      </w:r>
    </w:p>
    <w:p>
      <w:pPr>
        <w:sectPr>
          <w:pgSz w:w="11900" w:h="16838" w:orient="portrait"/>
          <w:cols w:equalWidth="0" w:num="1">
            <w:col w:w="11420"/>
          </w:cols>
          <w:pgMar w:left="240" w:top="125" w:right="239" w:bottom="0" w:gutter="0" w:footer="0" w:header="0"/>
        </w:sectPr>
      </w:pPr>
    </w:p>
    <w:bookmarkStart w:id="59" w:name="page60"/>
    <w:bookmarkEnd w:id="5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jc w:val="both"/>
        <w:ind w:right="700" w:firstLine="648"/>
        <w:spacing w:after="0" w:line="264" w:lineRule="auto"/>
        <w:rPr>
          <w:sz w:val="20"/>
          <w:szCs w:val="20"/>
          <w:color w:val="auto"/>
        </w:rPr>
      </w:pPr>
      <w:r>
        <w:rPr>
          <w:rFonts w:ascii="Arial" w:cs="Arial" w:eastAsia="Arial" w:hAnsi="Arial"/>
          <w:sz w:val="18"/>
          <w:szCs w:val="18"/>
          <w:color w:val="auto"/>
        </w:rPr>
        <w:t>Other income in 2016 mainly consisted of interest income, investment income related to short-term investments, foreign exchange gain and government incentives, offset in part by the net investment loss in associated companies and the investment impairment loss related to certain equity investments.</w:t>
      </w:r>
    </w:p>
    <w:p>
      <w:pPr>
        <w:spacing w:after="0" w:line="18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Interest income decreased to RMB542.0 million in 2016 from RMB596.9 million in 2015, primarily due to a decrease in interest rates, offset in part by an increase in our total cash and cash equivalents and time deposit balance, which increased by 16.4% to RMB25.4 billion as of December 31, 2016 from RMB21.8 billion as of December 31, 2015. We incurred interest expense of RMB32.2 million in 2016 related to our short-term borrowings.</w:t>
      </w:r>
    </w:p>
    <w:p>
      <w:pPr>
        <w:spacing w:after="0" w:line="14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Investment income increased to RMB200.3 million in 2016 from RMB62.3 million in 2015, consisting primarily of (i) investment income related to short-term investments of RMB303.4 million in 2016, compared to RMB143.1 million in 2015, (ii) net investment income of RMB234.1 million from a partial disposal of an equity investee in 2016, compared to nil in 2015, (iii) cash dividend of RMB21.4 million from available-for-sale investments in 2016, compared to nil in 2015, offset in part by impairment provisions related to certain investments and a net investment loss in associated companies which totaled RMB364.7 million in 2016 compared to RMB88.1 million in 2015.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2016, we received and recognized unconditional government incentives of approximately RMB346.4 million, compared to RMB41.0 million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also reported a net foreign exchange gain of RMB146.5 million in 2016, compared to a net foreign exchange gain of RMB133.8 million in 2015, both of which are primarily due to the translation gains and losses arising from our U.S. dollar-denominated bank deposit and short-term loan balances as the exchange rate of the U.S. dollar against the RMB fluctuated over these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Income tax increased to RMB2,102.5 million in 2016 from RMB1,273.4 million in 2015. Our effective tax rate in 2016 was 15.1% compared with 15.7% in 2015. The change in the effective tax rate was mainly due to the fact that certain subsidiaries of our company were approved as Key Software Enterprises and subject to a preferential tax rate of 10% for 2015. We recognized the related tax credits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a result of the foregoing, net income attributable to our shareholders increased by 72.3% to RMB11,604.5 million in 2016 from RMB6,735.1 million in 2015.</w:t>
      </w:r>
    </w:p>
    <w:p>
      <w:pPr>
        <w:spacing w:after="0" w:line="16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To date, we have financed our operations primarily through operating cash flows and existing capital resources. As of December 31, 2017, we had RMB2,764.1 million (US$424.8 million) in cash and cash equivalents, RMB30,703.4 million (US$4,719.0 million) in time deposits and RMB9,742.7 million (US$1,497.4 million) in short-term investments. We had short-term borrowings of RMB6,623.5 million (US$1,018.0 million) as of December 31, 2017.</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Cash provided by operating activities was RMB11,889.2 million (US$1,827.3 million), RMB15,488.3 million and RMB8,076.9 million for the years ended December 31, 2017, 2016 and 2015, respectively.</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year ended December 31, 2017, cash provided by operating activities consisted primarily of (i) our net income of RMB10,849.1 million (US$1,667.5 million), (ii) an increase in accounts payable and other liabilities of RMB3,392.5 million (US$521.4 million), including content fees, bandwidth cost, bonuses, marketing expenses and sales of game cards, (iii) share-based compensation cost of RMB2,004.3 million (US$308.1 million), (iv) depreciation and amortization charges of RMB801.8 million (US$123.2 million), (v) a decrease in accounts receivable, prepayments and other current assets of RMB449.0 million (US$69.0 million), (vi) unrealized exchange losses of RMB437.9 million (US$67.3 million), and (vii) allowance for provision for doubtful debts of RMB60.8 million (US$9.3 million), partially offset by (A) an increase in inventories of RMB3,896.8 million (US$598.9 million), (B) a decrease in deferred revenue of RMB1,291.9 million (US$198.6 million), (C) deferred income taxes of RMB438.0 million (US$67.3 million), (D) fair value changes of short-term investments of RMB389.8 million (US$59.9 million), and (E) a decrease in taxes payable of RMB155.9 million (US$24.0 million).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2016, cash provided by operating activities consisted primarily of (i) our net income of RMB11,792.9 million,</w:t>
      </w:r>
    </w:p>
    <w:p>
      <w:pPr>
        <w:spacing w:after="0" w:line="35" w:lineRule="exact"/>
        <w:rPr>
          <w:sz w:val="20"/>
          <w:szCs w:val="20"/>
          <w:color w:val="auto"/>
        </w:rPr>
      </w:pPr>
    </w:p>
    <w:p>
      <w:pPr>
        <w:ind w:right="20" w:firstLine="8"/>
        <w:spacing w:after="0" w:line="295" w:lineRule="auto"/>
        <w:tabs>
          <w:tab w:leader="none" w:pos="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increase in deferred revenue of RMB2,879.5 million, (iii) an increase in accounts payable and other liabilities of RMB2,245.8 million, such as content fees, bandwidth cost, bonuses, marketing expenses and sales of game cards, (iv) share-based compensation cost of RMB990.1 million, (v) an increase in tax payable of RMB986.4 million, (vi) depreciation and amortization charges of RMB327.5 million, and (vii) impairment loss for investment of RMB278.9 million, partially offset by (A) an increase in accounts receivable, prepayments and other current assets of RMB2,710.9 million, (B) an increase in inventories</w:t>
      </w:r>
    </w:p>
    <w:p>
      <w:pPr>
        <w:sectPr>
          <w:pgSz w:w="11900" w:h="16870" w:orient="portrait"/>
          <w:cols w:equalWidth="0" w:num="1">
            <w:col w:w="11400"/>
          </w:cols>
          <w:pgMar w:left="240" w:top="337" w:right="259" w:bottom="0" w:gutter="0" w:footer="0" w:header="0"/>
        </w:sectPr>
      </w:pPr>
    </w:p>
    <w:bookmarkStart w:id="60" w:name="page61"/>
    <w:bookmarkEnd w:id="60"/>
    <w:p>
      <w:pPr>
        <w:spacing w:after="0" w:line="1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 RMB760.4 million, (C) fair value changes in short-term investments of RMB304.6 million, (D) gain on disposal of long-term investment of RMB234.1 million and (E) unrealized exchange gains of RMB166.6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2015, cash provided by operating activities consisted primarily of (i) our net income of RMB 6,836.9 million,</w:t>
      </w:r>
    </w:p>
    <w:p>
      <w:pPr>
        <w:spacing w:after="0" w:line="35" w:lineRule="exact"/>
        <w:rPr>
          <w:sz w:val="20"/>
          <w:szCs w:val="20"/>
          <w:color w:val="auto"/>
        </w:rPr>
      </w:pPr>
    </w:p>
    <w:p>
      <w:pPr>
        <w:ind w:firstLine="8"/>
        <w:spacing w:after="0" w:line="292" w:lineRule="auto"/>
        <w:tabs>
          <w:tab w:leader="none" w:pos="2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increase in deferred revenue of RMB2,684.0 million, (iii) an increase in accounts payable and other liabilities of RMB1,376.4 million, such as content fees, bandwidth cost, bonuses, marketing expenses and sales of game cards, (iv) share-based compensation cost of RMB684.5 million, (v) an increase in tax payable of RMB401.9 million and (vi) depreciation and amortization charges of RMB182.5 million, partially offset by (A) an increase in accounts receivable, prepayments and other current assets of RMB2,993.6 million, (B) an increase in inventories of RMB789.5 million, (C) deferred income taxes of RMB147.3 million, (D) fair value changes in short-term investments of RMB140.1 million and (E) unrealized exchange gains of RMB116.8 million.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Cash used in investing activities was RMB13,249.3 million (US$2,036.4 million), RMB14,001.8 million and RMB2,536.5 million for the years ended December 31, 2017, 2016 and 2015, respectively.</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For the year ended December 31, 2017, cash used in investing activities mainly consisted of (i) placement/rollover of matured time deposits of RMB33,984.1 million (US$5,223.3 million), (ii) purchase of short-term investments of RMB12,491.0 million (US$1,919.8 million), (iii) purchase of property, equipment, software and land use rights of RMB1,849.4 million (US$284.3 million), (iv) acquisitions of other long-term investments of RMB900.7 million (US$138.4 million), (v) net change in short-term investments with terms of three months or less of RMB895.3 million (US$137.6 million),</w:t>
      </w:r>
    </w:p>
    <w:p>
      <w:pPr>
        <w:spacing w:after="0" w:line="2" w:lineRule="exact"/>
        <w:rPr>
          <w:sz w:val="20"/>
          <w:szCs w:val="20"/>
          <w:color w:val="auto"/>
        </w:rPr>
      </w:pPr>
    </w:p>
    <w:p>
      <w:pPr>
        <w:jc w:val="both"/>
        <w:ind w:right="120" w:firstLine="8"/>
        <w:spacing w:after="0" w:line="281" w:lineRule="auto"/>
        <w:tabs>
          <w:tab w:leader="none" w:pos="3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purchase of intangible assets and licensed copyrights of video content of RMB674.8 million (US$103.7 million), (vii) transfer of cash deposited by customers with our Wangyibao payment platform to restricted cash pursuant to relevant PBOC regulations and cash deposited for our short-term loan of RMB394.0 million (US$60.6 million), (viii) investment in associated companies of RMB235.8 million (US$36.2 million), and (ix) change in other assets of RMB224.1 million (US$34.4 million), partially offset by (A) proceeds from maturity of time deposits of RMB22,429.6 million (US$3,447.4 million),</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(B) proceeds from maturity of short-term investments of RMB15,615.5 million (US$2,400.1 million), and (C) proceeds from disposal of equity investment of RMB350.4 million (US$53.9 million).</w:t>
      </w:r>
    </w:p>
    <w:p>
      <w:pPr>
        <w:spacing w:after="0" w:line="18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For the year ended December 31, 2016, cash used in investing activities mainly consisted of (i) placement/rollover of matured time deposits of RMB20,367.4 million, (ii) purchase of short-term investments of RMB12,439.0 million, (iii) net change in short-term investments with terms of three months or less of RMB3,704.3 million, (iv) transfer of cash deposited by customers with our Wangyibao online payment platform to restricted cash pursuant to relevant PBOC regulations and cash deposited for our short-term loan of RMB2,140.4 million, (v) purchase of property, equipment, software and land use rights of RMB1,140.0 million, (vi) investment in associated companies of RMB364.5 million, (vii) acquisitions of other long-term investments of RMB181.1 million and (viii) change in other assets of RMB173.4 million, partially offset by (A) proceeds from maturity of time deposits of RMB16,377.4 million,</w:t>
      </w:r>
    </w:p>
    <w:p>
      <w:pPr>
        <w:spacing w:after="0" w:line="5" w:lineRule="exact"/>
        <w:rPr>
          <w:sz w:val="20"/>
          <w:szCs w:val="20"/>
          <w:color w:val="auto"/>
        </w:rPr>
      </w:pPr>
    </w:p>
    <w:p>
      <w:pPr>
        <w:ind w:right="500" w:firstLine="8"/>
        <w:spacing w:after="0" w:line="261" w:lineRule="auto"/>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maturity of short-term investments of RMB9,879.3 million, and (C) proceeds from disposal of long-term investments of RMB249.6 million.</w:t>
      </w:r>
    </w:p>
    <w:p>
      <w:pPr>
        <w:spacing w:after="0" w:line="184"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For the year ended December 31, 2015, cash used in investing activities mainly consisted of (i) placement/rollover of matured time deposits of RMB19,017.8 million, (ii) purchase of short-term investments of RMB5,687.0 million, (iii) acquisitions of other long-term investments of RMB1,178.9 million, (iv) purchase of property, equipment, software and land use rights of RMB1,030.7 million, (v) transfer of cash deposited by customers with our Wangyibao online payment platform to restricted cash pursuant to relevant PBOC regulations and cash deposited for our short-term loan of RMB763.5 million, (vi) net change in short-term investments with terms of three months or less of RMB231.3 million, (vii) investment in associated companies of RMB187.5 million and (viii) change in other assets of RMB127.0 million, partially offset by (A) proceeds from maturity of time deposits of RMB22,582.5 million and (B) proceeds from maturity of short-term investments of RMB3,103.5 million.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Cash used in financing activities was RMB1,302.7 million (US$200.2 million), RMB2,250.5 million and RMB1,632.7 million for the years ended December 31, 2017, 2016 and 2015, respectively.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year ended December 31, 2017, cash used in financing activities resulted from payment of short-term bank loan of RMB58,228.2million (US$8,949.5 million), dividends paid in the amount of RMB3,257.6 million (US$500.7 million) and repurchase of shares of RMB2,061.6 million (US$316.9 million), partially offset by proceeds from bank loan of RMB61,333.2 million (US$9,426.7 million).</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For the year ended December 31, 2016, cash used in financing activities resulted from payment of short-term bank loan of RMB9,860.1 million, dividends paid in the amount of RMB2,546.2 million and repurchase of shares of RMB1,199.1 million, partially offset by proceeds from bank loan of RMB11,354.9 million.</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For the year ended December 31, 2015, cash used in financing activities resulted from payment of short-term bank loan of RMB5,741.6 million, dividends paid in the amount of RMB1,468.0 million, repurchase of mezzanine classified noncontrolling interests of RMB134.7 million and repurchase of shares of RMB132.2 million, partially offset by proceeds from bank loan of RMB5,828.8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Resources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VIEs in our consolidated financial statements, we do not have direct access to the cash and cash equivalents or</w:t>
      </w:r>
    </w:p>
    <w:p>
      <w:pPr>
        <w:sectPr>
          <w:pgSz w:w="11900" w:h="16945" w:orient="portrait"/>
          <w:cols w:equalWidth="0" w:num="1">
            <w:col w:w="11380"/>
          </w:cols>
          <w:pgMar w:left="240" w:top="125" w:right="279" w:bottom="0" w:gutter="0" w:footer="0" w:header="0"/>
        </w:sectPr>
      </w:pPr>
    </w:p>
    <w:bookmarkStart w:id="61" w:name="page62"/>
    <w:bookmarkEnd w:id="61"/>
    <w:p>
      <w:pPr>
        <w:ind w:right="140"/>
        <w:spacing w:after="0" w:line="264" w:lineRule="auto"/>
        <w:rPr>
          <w:sz w:val="20"/>
          <w:szCs w:val="20"/>
          <w:color w:val="auto"/>
        </w:rPr>
      </w:pPr>
      <w:r>
        <w:rPr>
          <w:rFonts w:ascii="Arial" w:cs="Arial" w:eastAsia="Arial" w:hAnsi="Arial"/>
          <w:sz w:val="18"/>
          <w:szCs w:val="18"/>
          <w:color w:val="auto"/>
        </w:rPr>
        <w:t>future earnings of our subsidiaries and VIEs. As of December 31, 2017, these subsidiaries and VIEs had RMB33.4 billion (US$5.1 billion) in cash and cash equivalents, demand deposits and short-term and long-term time deposits. Our cash and cash equivalents, demand deposits, time deposits and short-term investments held outside of China are mainly denominated in U.S. dollars, Renminbi and Euro.</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fund any cash requirements we may have, we may need to rely on dividends and other distributions on equity paid by our subsidiaries. Since substantially all of our operations are conducted through our PRC subsidiaries and VIEs, our subsidiaries may need to rely on dividends, loans or advances made by another PRC subsidiary or VIE. Certain of these payments are subject to PRC taxes, including sales taxes, which effectively reduce the received amount. In addition, the PRC government could impose restrictions on such payments or change the tax rates applicable to such payments. In 2015 and 2016, we accrued RMB180.7 million and RMB404.8 million withholding tax liabilities, respectively, associated with our quarterly dividends and cash expected to be distributed from our PRC subsidiaries to companies in our corporate group outside of China for general corporate purposes. In 2017, we changed our capital allocation strategy in line with the change in our business strategy. As a result, we recorded a withholding tax liability of RMB707.1 million (US$108.7 million) in 2017. We repatriated these earnings and paid withholding income tax in 2017. For the foreseeable future, we intend to reinvest all remaining undistributed earnings as at December 31, 2017 in our PRC subsidiaries, and accordingly no other withholding tax is expected to be incurred.</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RMB6.8 billion, or 14% of our total consolidated net assets, as of December 31, 2017. In addition, if any of our PRC subsidiaries incurs debt on its own behalf in the future, the instruments governing the debt may restrict its ability to pay dividends or make other distributions to us.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Furthermore,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VIEs are not permitted under PRC law to directly lend money to one another. 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additional information, see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requirements relate primarily to financing:</w:t>
      </w:r>
    </w:p>
    <w:p>
      <w:pPr>
        <w:spacing w:after="0" w:line="225" w:lineRule="exact"/>
        <w:rPr>
          <w:sz w:val="20"/>
          <w:szCs w:val="20"/>
          <w:color w:val="auto"/>
        </w:rPr>
      </w:pPr>
    </w:p>
    <w:p>
      <w:pPr>
        <w:ind w:left="660" w:right="60" w:hanging="328"/>
        <w:spacing w:after="0" w:line="277" w:lineRule="auto"/>
        <w:tabs>
          <w:tab w:leader="none" w:pos="624" w:val="left"/>
        </w:tabs>
        <w:numPr>
          <w:ilvl w:val="1"/>
          <w:numId w:val="47"/>
        </w:numPr>
        <w:rPr>
          <w:rFonts w:ascii="Arial" w:cs="Arial" w:eastAsia="Arial" w:hAnsi="Arial"/>
          <w:sz w:val="18"/>
          <w:szCs w:val="18"/>
          <w:color w:val="auto"/>
        </w:rPr>
      </w:pPr>
      <w:r>
        <w:rPr>
          <w:rFonts w:ascii="Arial" w:cs="Arial" w:eastAsia="Arial" w:hAnsi="Arial"/>
          <w:sz w:val="18"/>
          <w:szCs w:val="18"/>
          <w:color w:val="auto"/>
        </w:rPr>
        <w:t>our working capital requirements, such as bandwidth and server custody fees, inventory purchase costs, staff costs, sales and marketing expenses and research and development costs; and</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24"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costs incurred for the construction of our new office buildings and warehouses in Zhoushan, Guangzhou, Hangzhou and Ningbo in China, acquisition of new servers in connection with the operation of our self-developed and licensed games, investment in the expansion packages of the aforementioned games, and upgrades of our online service infrastructure.</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e-commerce services to our users. In addition, we plan to continue to expand our technologies, products and services and registered user base through diverse online community products and services developed internally, particularly with respect to our online games services. We will seek to continually improve and enhance our existing services to respond to rapidly evolving competitive and technological conditions. For the years 2017, 2016 and 2015, we spent RMB4,371.4 million (US$671.9 million), RMB3,047.0 million and RMB2,158.9 million, respectively, on research and development activities.</w:t>
      </w:r>
    </w:p>
    <w:p>
      <w:pPr>
        <w:spacing w:after="0" w:line="18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16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entered into leasing arrangements relating to our office premises. We also have contractual obligations in respect of the construction of new office buildings and warehouse facilities in Beijing, Hangzhou, Guangzhou, Zhoushan and Ningbo, office rental and capital expenditures related to computer equipment and server custody fees. In addition, we have contractual obligations in connection with the licensing of World of Warcraft, StarCraft II series, Heroes of the Storm, Hearthstone, Diablo III and Overwatch from Blizzard, as described below. The following sets forth our contractual obligations for operating leases, server custody fees, long-term payables, capital expenditures and office machine and other obligations related to content and services purchases, other than our obligations in connection with the online games licensed by Blizzard, as of December 31,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Rental</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Server Custody</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Office Machines</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Fee</w:t>
            </w: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 Other</w:t>
            </w:r>
          </w:p>
        </w:tc>
        <w:tc>
          <w:tcPr>
            <w:tcW w:w="14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Commitments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Commitments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247,422</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46,276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904,596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447,243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2019</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131,175</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15,022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49,945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272,249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468,391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83,650</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14,208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160,392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2021</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72,446</w:t>
            </w:r>
          </w:p>
        </w:tc>
        <w:tc>
          <w:tcPr>
            <w:tcW w:w="1360" w:type="dxa"/>
            <w:vAlign w:val="bottom"/>
          </w:tcPr>
          <w:p>
            <w:pPr>
              <w:ind w:left="880"/>
              <w:spacing w:after="0"/>
              <w:rPr>
                <w:sz w:val="20"/>
                <w:szCs w:val="20"/>
                <w:color w:val="auto"/>
              </w:rPr>
            </w:pPr>
            <w:r>
              <w:rPr>
                <w:rFonts w:ascii="Arial" w:cs="Arial" w:eastAsia="Arial" w:hAnsi="Arial"/>
                <w:sz w:val="18"/>
                <w:szCs w:val="18"/>
                <w:color w:val="auto"/>
                <w:w w:val="83"/>
              </w:rPr>
              <w:t>11,069</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189,137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Beyond 2021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48,403</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583,096</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3"/>
              </w:rPr>
              <w:t>86,575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970,352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1,085,508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2,725,531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Under certain license agreements entered into in 2008, 2009, 2012, 2013, 2014 and 2015 pursuant to which Blizzard licensed to Shanghai EaseNet the exclusive right to operate StarCraft II series, World of Warcraft, Heroes of the Storm, Hearthstone, Diablo III and Overwatch in the PRC, Shanghai EaseNet was required to pay license fees (excluding Hearthstone, Hero of the Storm and Diablo III for which no license fee was required to be paid) royalties and consultancy fees (except Hearthstone, Heroes of the Storm and Diablo III for which no consultancy fee was required to be paid) to Blizzard for the games. The license agreements also include minimum marketing expenditure commitments.</w:t>
      </w:r>
    </w:p>
    <w:p>
      <w:pPr>
        <w:spacing w:after="0" w:line="173"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In September 2016, Shanghai EaseNet renewed its license and joint venture agreement with Blizzard, extending its collaboration with Blizzard in mainland China to January 2020. The renewed license and joint venture agreement includes licenses for Blizzard’s World of Warcraft, StarCraft II series, Diablo III, Hearthstone, Heroes of the Storm and Overwatch, as well as new content for these games during the agreement period. Under the new license agreements, Shanghai EaseNet is required to pay royalties and make a minimum marketing expenditure commitment for the games. For more information, Item 4.B. “Business Overview—Our Services—Online Games—Game Licensing and Joint Venture with Blizzard.”</w:t>
      </w:r>
    </w:p>
    <w:p>
      <w:pPr>
        <w:spacing w:after="0" w:line="15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accordance with such license agreements, we have incurred an overall commitment totaling approximately RMB7.4 billion (US$1.1 billion). As of December 31, 2017, our outstanding commitments under the license agreements with respect to the games licensed from Blizzard totaled RMB2,944.5 million (US$452.6 million) which can be summarized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40" w:type="dxa"/>
            <w:vAlign w:val="bottom"/>
          </w:tcPr>
          <w:p>
            <w:pPr>
              <w:spacing w:after="0"/>
              <w:rPr>
                <w:sz w:val="14"/>
                <w:szCs w:val="14"/>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b w:val="1"/>
                <w:bCs w:val="1"/>
                <w:color w:val="auto"/>
              </w:rPr>
              <w:t>RMB (in millions)</w:t>
            </w:r>
          </w:p>
        </w:tc>
      </w:tr>
      <w:tr>
        <w:trPr>
          <w:trHeight w:val="210"/>
        </w:trPr>
        <w:tc>
          <w:tcPr>
            <w:tcW w:w="9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r>
      <w:tr>
        <w:trPr>
          <w:trHeight w:val="210"/>
        </w:trPr>
        <w:tc>
          <w:tcPr>
            <w:tcW w:w="984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addition, Shanghai EaseNet is also obligated to purchase or lease certain prescribed hardware and then make such prescribed hardware available to fulfill its obligations under the license agreements with Blizzard in the aggregate amount of up to approximately RMB94.3 million (US$14.5 million) over the remaining term of each license as of December 31, 2017. This amount represents the maximum expenditure Shanghai EaseNet would have to make for the prescribed hardware, but it may not be required to spend this amount in order to satisfy its obligations with respect to such hardware.</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With respect to the above commitments related to Blizzard licensed games, we have guaranteed the foregoing amounts if and to the extent Shanghai EaseNet has insufficient funds to make such payments. We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our company and the joint venture with Blizzard which provides technical services to Shanghai EaseNet.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Item 4.B. “Business Overview—Our Services—Game Licensing and Joint Venture with Blizzard” for further details.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obligations set forth above, we do not have any long-term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exposure to market rate risk for changes in interest rates relates primarily to the interest income generated by excess cash invested in fixed-rate corporate bonds of well-known Chinese companies and financial products issued by commercial banks in China, as well as interest expenses payable on our short-term bank borrowings. All of our short-term bank borrowings as of December 31, 2017 were at fixed rates. From time to time, we use derivatives, such as interest rate swaps, to manage our interest rate exposure. 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2017, a 10% change in the interest rate would result in an increase or decrease</w:t>
      </w:r>
    </w:p>
    <w:p>
      <w:pPr>
        <w:sectPr>
          <w:pgSz w:w="11900" w:h="16838" w:orient="portrait"/>
          <w:cols w:equalWidth="0" w:num="1">
            <w:col w:w="11420"/>
          </w:cols>
          <w:pgMar w:left="240" w:top="368" w:right="239" w:bottom="0" w:gutter="0" w:footer="0" w:header="0"/>
        </w:sectPr>
      </w:pPr>
    </w:p>
    <w:bookmarkStart w:id="63" w:name="page64"/>
    <w:bookmarkEnd w:id="63"/>
    <w:p>
      <w:pPr>
        <w:spacing w:after="0" w:line="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RMB66.7 million (US$10.3 million) of our total amount of net interest income or of RMB38.9 million (US$6.0 million) of our total amount of investment income from short-term investments in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 significant majority of our revenues and expenses are denominated in Renminbi, but as noted above, a certain portion of our cash is kept in U.S. dollars and Euro. Although we believe that, in general, our exposure to foreign exchange risks should be limited, the value of our ADSs will be affected by the foreign exchange rate between U.S. dollars, Euro and Renminbi. For example, to the extent that we need to convert U.S. dollars or Euro into Renminbi for our operational needs and the Renminbi appreciates against the U.S. dollars or Euro at that time, our financial position and the price of our ADSs may be adversely affected. Conversely, if we decide to convert our Renminbi into U.S. dollars for the purpose of declaring dividends on our ADSs or otherwise and the U.S. dollar or Euro appreciates against the Renminbi, the U.S. dollar equivalent of our earnings from our subsidiaries and controlled entities in China would be reduced.</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July 2005, the Chinese government announced that it is pegging the exchange rate of the Chinese Renminbi against a number of currencies, rather than just the US dollar. This change in policy resulted in an overall appreciation in the value of the Renminbi against the US dollar, although more recently the Renminbi has depreciated against the US dollar. 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losses of RMB448.8 million (US$69.0 million) in 2017, compared to a net foreign exchange gain of RMB146.5 million in 2016.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8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of December 31, 2017, we had U.S. dollar-denominated debt outstanding of US$913.0 million. If the U.S. dollar had appreciated/depreciated by 10% against the Renminbi, our interest payments on this debt in Renminbi terms would have increased/decreased by RMB12.9 million (US$2.0 million).</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December 31, 2017, we had U.S. dollar-denominated cash and cash equivalents and time deposits of US$2,660.4 million. If the U.S. dollar had appreciated/depreciated by 10% against the Renminbi, our U.S. dollar-denominated cash and cash equivalents and time deposits as of December 31, 2017 would have increased/decreased by RMB1,730.9 million in Renminbi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May 2014, the FASB issued ASU No. 2014-09 “Revenue from Contracts with Customers (Topic 606).” This guidance supersedes current guidance on revenue recognition in Topic 605 ‘‘Revenue Recognition.’’ In addition, Topic 606 requires disclosure related to the nature, amount, timing, and uncertainty of revenue recognition. In August 2015, the FASB issued ASU No.2015-14 to defer the effective date of ASU No. 2014-09 for all entities by one year. For public entities that follow U.S. GAAP, this deferral means that new revenue standard will only be effective for fiscal years and interim periods within those fiscal years beginning after December 15, 2017, with early adoption permitted for interim and annual periods beginning after December 15, 2016. The FASB has also issued several amendments and updates to this new revenue standard, including ASU 2016-08 “Principal versus Agent Considerations (Reporting Revenue Gross versus Net),” ASU 2016-10 “Identifying Performance Obligations and Licensing,” ASU 2016-12 “Narrow-Scope Improvements and Practical Expedients” and ASU 2016-20 “Technical Corrections and Improvements.” We have assembled an implementation team that is currently in the process of analyzing each of our revenue streams in accordance with the new revenue standard to determine its impact on our consolidated financial statements. We adopted the new standard from the first quarter of 2018, using the modified-retrospective transition approach. Under this approach, we will apply the new revenue standard on a prospective basis starting from January 1, 2018, and record adjustments to our 2018 opening balance sheet (as of January 1, 2018) to reflect the cumulative effect of the new revenue standard. We will also provide quantitative and qualitative disclosures of the new standard’s impact to each of our financial statement line items during 2018. The new revenue standard will primarily impact the accounting of the recognition of breakage associated with our unused online points in a personal game account as a result of recording revenue based upon estimates of breakage under the new revenue standard. Under the historical accounting, revenue for unused points was not recorded until the points expired. Therefore, for unused points, revenue will be recorded earlier under the new standard. The cumulative effect of such adjustment will include a reduction of our deferred revenue of approximately RMB81.7 million and a net increase to our retained earnings of approximately RMB27.4 million (net of tax).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48"/>
        <w:spacing w:after="0" w:line="276"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which simplifies the presentation of deferred income taxes by requiring deferred tax assets and liabilities be classified as non-current on the balance sheet. We adopted this ASU in the first quarter of 2017 and retrospectively presented the amount of current deferred tax assets and liabilities as noncurrent in the balance sheets of prior periods. Upon adoption of this ASU, current deferred tax assets of RMB536.3 million and current deferred tax liabilities of RMB358.5 million in our consolidated balance sheet as of December 31, 2016 were reclassified as non-current.</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January 2016, the FASB issued Accounting Standards Update No. 2016-01 (ASU No. 2016-01) “Financial Instruments-Overall (Subtopic 825-10): Recognition and Measurement of Financial Assets and Financial Liabilities.” ASU 2016-01 amends various aspects of the recognition, measurement, presentation, and disclosure for financial instruments. With respect to our consolidated financial statements, the most significant impact relates to the accounting for equity investments. In February 2018, the FASB issued ASU No. 2018-03, Technical Corrections and Improvements to Financial Instruments —Overall (Subtopic 825-10): Recognition and Measurement of Financial Assets and Financial Liabilities, which clarifies the guidance in ASU No. 2016-01 regarding, among other things, equity securities and certain fair value option liabilities. ASU 2016-01 and ASU 2018-03 are effective for annual reporting periods, and interim periods within those years, beginning after December 15, 2017. We anticipate that the adoption of the new standard will increase the volatility of our net investment income as a result of the remeasurement of our equity and cost method investments. We adopted this guidance in the first quarter of 2018 and RMB38.2 million of accumulated other comprehensive income for our available-for-sale equity securities that exist as of December 31, 2017, which was reclassified into retained earnings upon the adoption.</w:t>
      </w:r>
    </w:p>
    <w:p>
      <w:pPr>
        <w:spacing w:after="0" w:line="17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February 2016, the FASB issued ASU 2016-02 “Leases” to increase transparency and comparability among organizations by recognizing lease assets and lease liabilities on the balance sheet and disclosing key information about leasing arrangements. ASU 2016-02 creates a new Accounting Standards Codification Topic 842, “Leases,” to replace the previous Topic 840, “Leases.” ASU 2016-02 affects both lessees and lessors, although for the latter the provisions are similar to the previous model, but updated to align with certain changes to the lessee model and also the new revenue recognition</w:t>
      </w:r>
    </w:p>
    <w:p>
      <w:pPr>
        <w:sectPr>
          <w:pgSz w:w="11900" w:h="16877" w:orient="portrait"/>
          <w:cols w:equalWidth="0" w:num="1">
            <w:col w:w="11400"/>
          </w:cols>
          <w:pgMar w:left="240" w:top="125" w:right="259" w:bottom="0" w:gutter="0" w:footer="0" w:header="0"/>
        </w:sectPr>
      </w:pPr>
    </w:p>
    <w:bookmarkStart w:id="64" w:name="page65"/>
    <w:bookmarkEnd w:id="64"/>
    <w:p>
      <w:pPr>
        <w:ind w:right="160"/>
        <w:spacing w:after="0" w:line="277" w:lineRule="auto"/>
        <w:rPr>
          <w:sz w:val="20"/>
          <w:szCs w:val="20"/>
          <w:color w:val="auto"/>
        </w:rPr>
      </w:pPr>
      <w:r>
        <w:rPr>
          <w:rFonts w:ascii="Arial" w:cs="Arial" w:eastAsia="Arial" w:hAnsi="Arial"/>
          <w:sz w:val="18"/>
          <w:szCs w:val="18"/>
          <w:color w:val="auto"/>
        </w:rPr>
        <w:t>provisions contained in ASU 2014-09 (see above). ASU 2016-02 is effective for fiscal years and interim periods beginning after December 15, 2018. Early adoption is permitted. We are currently assessing the impact of ASU 2016-02 on our consolidated financial statements.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March 2016, the FASB issued ASU 2016-07 “Investments—Equity method and joint ventures (Topic 323),” to simplify the accounting for equity method investments, which eliminates the requirement in ASC 323 “Investments—equity method and joint ventures”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fiscal years and interim periods beginning after December 15, 2016. Early adoption is permitted. The implementation of this update did not have any material impact on our consolidated financial statements.</w:t>
      </w:r>
    </w:p>
    <w:p>
      <w:pPr>
        <w:spacing w:after="0" w:line="178"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In March 2016, the FASB issued ASU 2016-09 “Compensation—Stock Compensation: Improvements to Employee Share-Based Payment Accounting,” which relates to accounting for employee share-based payments. This standard addresses several aspects of the accounting for share-based payment award transactions, including: (a) income tax consequences; (b) classification of awards as either equity or liabilities; (c) classification in the statement of cash flows; and (d) accounting for forfeitures of share-based payments. This standard will be effective for fiscal years beginning after December 15, 2016, including interim periods within those fiscal years. We will continue to estimate expected forfeitures; and the implementation of this update is not expected to have any material impact on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are currently evaluating the impact this standard will have on our consolidated financial statements and related disclosures.</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August 2016, the FASB issued ASU 2016-15 “Statement of Cash Flows—Classification of Certain Cash Receipts and Cash Payments,” which clarifies the presentation and classification of certain cash receipts and cash payments in the statement of cash flows. This guidance is effective for financial statements issued for fiscal years beginning after December 15, 2017 and interim periods within those fiscal years. Early adoption is permitted. We adopted this guidance in the first quarter of 2018 and expect no material impact on our current consolidated financial statements as a result of such adoption.</w:t>
      </w:r>
    </w:p>
    <w:p>
      <w:pPr>
        <w:spacing w:after="0" w:line="15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The guidance requires that a statement of cash flows explain the change during the period in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in the statement of cash flows. The standard will be effective for fiscal years beginning after December 15, 2017 and interim period within those fiscal years. Early adoption is permitted, including adoption in an interim period. This standard shall be applied using a retrospective transition method to each period presented. We adopted this guidance in the first quarter of 2018 and expect that there will be an impact on our consolidated statements of cash flow as we had restricted cash totaling RMB5,927.1 million as of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names of our directors and executive officers, their ages as of April 1, 2018 and the principal positions with NetEase held by them are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Age</w:t>
            </w:r>
          </w:p>
        </w:tc>
        <w:tc>
          <w:tcPr>
            <w:tcW w:w="3640" w:type="dxa"/>
            <w:vAlign w:val="bottom"/>
          </w:tcPr>
          <w:p>
            <w:pPr>
              <w:ind w:left="15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Charles Zhaoxuan Yang</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Alice Cheng (1)</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Denny Lee</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Tong (1)</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Lun Feng</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Leung (1)</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Michael Tong</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Member of the audit, compensation and nominating committees.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William Lei Ding</w:t>
      </w:r>
      <w:r>
        <w:rPr>
          <w:rFonts w:ascii="Arial" w:cs="Arial" w:eastAsia="Arial" w:hAnsi="Arial"/>
          <w:sz w:val="16"/>
          <w:szCs w:val="16"/>
          <w:color w:val="auto"/>
        </w:rPr>
        <w:t>, our founder, has served as a director since July 1999 and as our Chief Executive Officer since November 2005. From March 2001</w:t>
      </w:r>
      <w:r>
        <w:rPr>
          <w:rFonts w:ascii="Arial" w:cs="Arial" w:eastAsia="Arial" w:hAnsi="Arial"/>
          <w:sz w:val="16"/>
          <w:szCs w:val="16"/>
          <w:i w:val="1"/>
          <w:iCs w:val="1"/>
          <w:color w:val="auto"/>
        </w:rPr>
        <w:t xml:space="preserve"> </w:t>
      </w:r>
      <w:r>
        <w:rPr>
          <w:rFonts w:ascii="Arial" w:cs="Arial" w:eastAsia="Arial" w:hAnsi="Arial"/>
          <w:sz w:val="16"/>
          <w:szCs w:val="16"/>
          <w:color w:val="auto"/>
        </w:rPr>
        <w:t>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w:t>
      </w:r>
    </w:p>
    <w:p>
      <w:pPr>
        <w:ind w:right="360"/>
        <w:spacing w:after="0" w:line="255" w:lineRule="auto"/>
        <w:rPr>
          <w:sz w:val="20"/>
          <w:szCs w:val="20"/>
          <w:color w:val="auto"/>
        </w:rPr>
      </w:pPr>
      <w:r>
        <w:rPr>
          <w:rFonts w:ascii="Arial" w:cs="Arial" w:eastAsia="Arial" w:hAnsi="Arial"/>
          <w:sz w:val="18"/>
          <w:szCs w:val="18"/>
          <w:color w:val="auto"/>
        </w:rPr>
        <w:t>April 2000, he also served as our interim Chief Executive Officer. Mr. Ding established Guangzhou NetEase and Shanghai EaseNet, our affiliates, in May 1997 and January 2008. Mr. Ding holds a Bachelor of Science degree in Communication Technology from the University of Electronic Science and Technology of China.</w:t>
      </w:r>
    </w:p>
    <w:p>
      <w:pPr>
        <w:sectPr>
          <w:pgSz w:w="11900" w:h="16838" w:orient="portrait"/>
          <w:cols w:equalWidth="0" w:num="1">
            <w:col w:w="11420"/>
          </w:cols>
          <w:pgMar w:left="240" w:top="125" w:right="239" w:bottom="163"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3"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Charles Zhaoxuan Yang </w:t>
      </w:r>
      <w:r>
        <w:rPr>
          <w:rFonts w:ascii="Arial" w:cs="Arial" w:eastAsia="Arial" w:hAnsi="Arial"/>
          <w:sz w:val="18"/>
          <w:szCs w:val="18"/>
          <w:color w:val="auto"/>
        </w:rPr>
        <w:t>has served as our Chief Financial Officer since June 30, 2017. Prior to joining us, Mr. Yang was an executive director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China technology, media and telecommunications, and corporate finance team at J.P. Morgan Securities (Asia Pacific) Limited based in Hong Kong for almost a decade. Mr. Yang holds a master’s degree in Business Administration from the University of Hong Kong and a bachelor’s degree from Wesleyan University with majors in Economics and Mathematics.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Alice Cheng </w:t>
      </w:r>
      <w:r>
        <w:rPr>
          <w:rFonts w:ascii="Arial" w:cs="Arial" w:eastAsia="Arial" w:hAnsi="Arial"/>
          <w:sz w:val="17"/>
          <w:szCs w:val="17"/>
          <w:color w:val="auto"/>
        </w:rPr>
        <w:t>has served as a director since June 2007. Ms. Cheng has been the Chief Financial Officer of BBK Electronics Corp., Ltd., a PRC-based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of audio/visual equipment, since May 2005. From October 2010 to April 2013, she served as a supervisor of Wistron Information Technology Corporation in Taiwan, an information technology company with operations in Taiwan, China and Japan.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Denny Lee </w:t>
      </w:r>
      <w:r>
        <w:rPr>
          <w:rFonts w:ascii="Arial" w:cs="Arial" w:eastAsia="Arial" w:hAnsi="Arial"/>
          <w:sz w:val="17"/>
          <w:szCs w:val="17"/>
          <w:color w:val="auto"/>
        </w:rPr>
        <w:t>has served as a director since April 2002. Mr. Lee previously served as our Chief Financial Officer from April 2002 until June 2007 and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Financial Controller from November 2001 until April 2002. Prior to joining our company, Mr. Lee worked in the Hong Kong office of KPMG for more than ten years. Mr. Lee graduated from the Hong Kong Polytechnic University majoring in Accounting and is a member of the Hong Kong Institute of Certified Public Accountants and the Association of Chartered Certified Accountants. Mr. Lee currently serves as the chairman of the audit committees and an independent non-executive director on the boards of New Oriental Education &amp; Technology Group Inc. and Concord Medical Services Holdings Limited, which are listed on the New York Stock Exchange, and an independent non-executive director on the board of China Metal Resources Utilization Ltd., which is listed on The Stock Exchange of Hong Kong Limited.</w:t>
      </w:r>
    </w:p>
    <w:p>
      <w:pPr>
        <w:spacing w:after="0" w:line="17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i w:val="1"/>
          <w:iCs w:val="1"/>
          <w:color w:val="auto"/>
        </w:rPr>
        <w:t xml:space="preserve">Joseph Tong </w:t>
      </w:r>
      <w:r>
        <w:rPr>
          <w:rFonts w:ascii="Arial" w:cs="Arial" w:eastAsia="Arial" w:hAnsi="Arial"/>
          <w:sz w:val="17"/>
          <w:szCs w:val="17"/>
          <w:color w:val="auto"/>
        </w:rPr>
        <w:t>has been a director of Parworld Investment Management Limited, which provides financial and investment advisory services, since</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2004.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 Universal Music Limited where he was responsible for forming e-business development strategies and overseeing new promotional opportunities. Mr. Tong currently serves as the chairman of the audit committee and an independent director on the board of Crosby Capital Limited, which is listed on The Stock Exchange of Hong Kong Limited.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 and has served as a director since March 2003.</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Lun Feng </w:t>
      </w:r>
      <w:r>
        <w:rPr>
          <w:rFonts w:ascii="Arial" w:cs="Arial" w:eastAsia="Arial" w:hAnsi="Arial"/>
          <w:sz w:val="18"/>
          <w:szCs w:val="18"/>
          <w:color w:val="auto"/>
        </w:rPr>
        <w:t>has served as a director since July 2005. He has been the Chairman of Vantone Holdings Co., Ltd., a private real estate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China, since 1993. Mr. Feng has a Juris Doctor from the Chinese Academy of Social Sciences, a Masters of Law degree from the Party School of the Chinese Communist Party and a Bachelor of Arts in Economics from Northwest University.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Michael Leung </w:t>
      </w:r>
      <w:r>
        <w:rPr>
          <w:rFonts w:ascii="Arial" w:cs="Arial" w:eastAsia="Arial" w:hAnsi="Arial"/>
          <w:sz w:val="17"/>
          <w:szCs w:val="17"/>
          <w:color w:val="auto"/>
        </w:rPr>
        <w:t>has served as a director since July 2002. Mr. Leung held senior positions with Peregrine Capital (China) Limited, SG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(HK) 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and an independent non-executive director of Anhui Expressway Company Limited and Junefield Department Store Group Limited, both of which are companies listed on The Stock Exchange of Hong Kong Limited. Mr. Leung currently serves as an independent non-executive director for China Ting Group Holdings Limited, Orange Sky Golden Harvest Entertainment (Holdings) Limited, China Huiyuan Juice Group Limited, Optics Valley Union Holding Company Limited and Luye Pharma Group Ltd. and as an executive director of Chanceton Financial Group Limited, all of which are companies listed on The Stock Exchange of Hong Kong Limited. Mr. Leung is also the responsible officer of Chanceton Capital Partners Limited, which provides advice on corporate finance. Mr. Leung received a Bachelor’s Degree in Social Sciences from the University of Hong Kong with a major in Accounting, Management and Statistics.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Michael Tong </w:t>
      </w:r>
      <w:r>
        <w:rPr>
          <w:rFonts w:ascii="Arial" w:cs="Arial" w:eastAsia="Arial" w:hAnsi="Arial"/>
          <w:sz w:val="16"/>
          <w:szCs w:val="16"/>
          <w:color w:val="auto"/>
        </w:rPr>
        <w:t>has served as a director of our company since December 1999. He joined our company as an executive in May 2003 and later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Co-Chief Operating Officer from July 2004 to March 2009. Before joining our company as an executive, Mr. Tong had approximately seven years of experience in the investment industry working in several venture capital and private equity firms, including Techpacific Venture Capital Limited, Softbank China Venture Investments Limited and Nomura China Venture Investment Limited. Mr. Tong graduated with a Bachelor of Business Administration from the University of Wisconsin, Madison with a major in Accounting and an extra concentration in Computer Science in 1993.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Relationships Among Directors or Executive Officers; Right to Nominate Directors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are no family relationships among any of the directors or executive officers of our company. None of our directors were nominated pursuant to a contractual or other right.</w:t>
      </w:r>
    </w:p>
    <w:p>
      <w:pPr>
        <w:spacing w:after="0" w:line="166" w:lineRule="exact"/>
        <w:rPr>
          <w:sz w:val="20"/>
          <w:szCs w:val="20"/>
          <w:color w:val="auto"/>
        </w:rPr>
      </w:pPr>
    </w:p>
    <w:p>
      <w:pPr>
        <w:jc w:val="both"/>
        <w:ind w:right="9620" w:firstLine="8"/>
        <w:spacing w:after="0" w:line="566" w:lineRule="auto"/>
        <w:tabs>
          <w:tab w:leader="none" w:pos="651"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Director Compensation</w:t>
      </w:r>
    </w:p>
    <w:p>
      <w:pPr>
        <w:spacing w:after="0" w:line="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2017, we paid an aggregate amount of RMB1.6 million (US$238,737) in compensation for the services of our independent non-executive directors. On March 1, 2017, we also granted restricted share unit awards under our RSU Plan (described below) to each of our independent non-executive directors which vested on March 1, 2018. ADRs, representing less than 1% of our total outstanding ordinary shares, were given to the directors in settlement of such awards upon vesting.</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w:t>
      </w:r>
    </w:p>
    <w:p>
      <w:pPr>
        <w:sectPr>
          <w:pgSz w:w="11900" w:h="16838" w:orient="portrait"/>
          <w:cols w:equalWidth="0" w:num="1">
            <w:col w:w="11420"/>
          </w:cols>
          <w:pgMar w:left="240" w:top="125" w:right="239" w:bottom="0" w:gutter="0" w:footer="0" w:header="0"/>
        </w:sectPr>
      </w:pPr>
    </w:p>
    <w:bookmarkStart w:id="66" w:name="page67"/>
    <w:bookmarkEnd w:id="66"/>
    <w:p>
      <w:pPr>
        <w:ind w:right="1100"/>
        <w:spacing w:after="0" w:line="277" w:lineRule="auto"/>
        <w:rPr>
          <w:sz w:val="20"/>
          <w:szCs w:val="20"/>
          <w:color w:val="auto"/>
        </w:rPr>
      </w:pPr>
      <w:r>
        <w:rPr>
          <w:rFonts w:ascii="Arial" w:cs="Arial" w:eastAsia="Arial" w:hAnsi="Arial"/>
          <w:sz w:val="18"/>
          <w:szCs w:val="18"/>
          <w:color w:val="auto"/>
        </w:rPr>
        <w:t>director’s own willful negligence or willful default. The indemnification agreements also specify the procedures to be followed with respect to indemnification.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service contracts with any of our directors which provide for benefits upon termination.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In 2017, we paid our executive officers aggregate cash compensation of RMB6.6 million (US$1.0 million). We also granted restricted share unit awards under our RSU Plan to our Chief Financial Officer, which will represent less than 1% of our total outstanding ordinary shares upon vesting.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w:t>
      </w: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requirement that executive officers assign all rights in company-related inventions to us and to keep our proprietary information confidential, and</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for severance payments in the event the executive officer is terminated without cause or resigns for good reason.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Restricted Share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board approved our 2009 Restricted Share Unit Plan, or the RSU Plan, in November 2009. The RSU Plan was adopted by our board as a replacement for our Amended and Restated 2000 Stock Incentive Plan, which expired in February 2010 under its terms.</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purpose of the RSU Plan is to attract and retain the best available personnel, to provide additional incentive to employees, directors and consultants and to promote the success of our business. The RSU Plan provides for the granting of incentive awards of restricted share units, which may or may not be granted with dividend equivalent rights. Participants under the RSU Plan will not receive any account status reports.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RSU Plan is not subject to the Employee Retirement Income Security Act of 1974, as amended, nor is the RSU Plan a “qualified plan” within the meaning of Section 401(a) of the Internal Revenue 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board has designated our compensation committee to administer the RSU Plan, and it may designate one or more of our officers to exercise its authority thereunder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Subject to the RSU Plan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maximum aggregate number of our ordinary shares which may be issued pursuant to all awards under the RSU Plan is 323,694,050 ordinary shares. Such ordinary shares may, in whole or in part, be authorized but unissued shares or shares that will have been or may be reacquired by us. It is anticipated that all future awards to our employees, directors and consultants will be granted pursuant to the RSU Plan or any other future plan adopted by our board and, if appropriate, our shareholders.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RSU Plan provides that in the event of certain corporate transactions, including specified types of mergers and acquisition transactions, each outstanding award granted under the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RSU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Under the RSU Plan, awards can be issued to participants in the RSU Plan, which include employees, directors or consultants of us, our subsidiaries or our VIEs.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RSU Plan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Awards under the RSU Plan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purchase price, if any, for an award shall be determined by our board. The units can ultimately be paid in cash or ordinary shares, as our board determines.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Awards</w:t>
      </w:r>
    </w:p>
    <w:p>
      <w:pPr>
        <w:sectPr>
          <w:pgSz w:w="11900" w:h="16838" w:orient="portrait"/>
          <w:cols w:equalWidth="0" w:num="1">
            <w:col w:w="11420"/>
          </w:cols>
          <w:pgMar w:left="240" w:top="125" w:right="239" w:bottom="104" w:gutter="0" w:footer="0" w:header="0"/>
        </w:sectPr>
      </w:pPr>
    </w:p>
    <w:bookmarkStart w:id="67" w:name="page68"/>
    <w:bookmarkEnd w:id="67"/>
    <w:p>
      <w:pPr>
        <w:spacing w:after="0" w:line="8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In the event of the termination of the participant’s employment or service with us for any reason prior to the vesting of any restricted share units, such unvested units held by the participant shall be automatically forfeited as of the date of termination. Neither the participant nor any of the participant’s successors, heirs, assigns or personal representatives shall have any rights or interests in any restricted share units that are so forfeited.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Termination</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Under the RSU Plan, our board may at any time terminate, suspend, or amend the RSU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RSU Plan will expire in November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RSU Plan, awards may not be sold, assigned, transferred, pledged, hypothecated or otherwise disposed of, except by will or by the laws of descent and distribution and during the lifetime of the participants, to the extent and in the manner provided in the award agreement. The RSU Plan permits the designation of beneficiaries by holders of awards in the event of the participant’s death. After any such transfer, the original recipient shall continue to remain subject to the withholding tax requirements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No ordinary shares shall be delivered under the RSU Plan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Incentive Plans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Certain of our subsidiaries have adopted their own equity incentive plans, which allow the relevant subsidiaries to grant options or other awards to certain of our employees. The options expire in five to seven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w:t>
      </w:r>
    </w:p>
    <w:p>
      <w:pPr>
        <w:spacing w:after="0" w:line="18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September 8, 2017.</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board has three committees, the audit committee, the compensation committee and the nominating committee. Alice Cheng, Joseph Tong and Michael Leung are currently the members of each of these committees.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ectPr>
          <w:pgSz w:w="11900" w:h="16918" w:orient="portrait"/>
          <w:cols w:equalWidth="0" w:num="1">
            <w:col w:w="11420"/>
          </w:cols>
          <w:pgMar w:left="240" w:top="125" w:right="239" w:bottom="0" w:gutter="0" w:footer="0" w:header="0"/>
        </w:sectPr>
      </w:pPr>
    </w:p>
    <w:bookmarkStart w:id="68" w:name="page69"/>
    <w:bookmarkEnd w:id="68"/>
    <w:p>
      <w:pPr>
        <w:spacing w:after="0" w:line="6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color w:val="auto"/>
        </w:rPr>
        <w:t>No interlocking relationships have existed between our board of directors or compensation committee and the board of directors or compensation committee of any other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D.</w:t>
            </w:r>
          </w:p>
        </w:tc>
        <w:tc>
          <w:tcPr>
            <w:tcW w:w="8720" w:type="dxa"/>
            <w:vAlign w:val="bottom"/>
            <w:gridSpan w:val="3"/>
          </w:tcPr>
          <w:p>
            <w:pPr>
              <w:ind w:left="240"/>
              <w:spacing w:after="0"/>
              <w:rPr>
                <w:sz w:val="20"/>
                <w:szCs w:val="20"/>
                <w:color w:val="auto"/>
              </w:rPr>
            </w:pPr>
            <w:r>
              <w:rPr>
                <w:rFonts w:ascii="Arial" w:cs="Arial" w:eastAsia="Arial" w:hAnsi="Arial"/>
                <w:sz w:val="18"/>
                <w:szCs w:val="18"/>
                <w:b w:val="1"/>
                <w:bCs w:val="1"/>
                <w:color w:val="auto"/>
              </w:rPr>
              <w:t>Employees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w w:val="94"/>
              </w:rPr>
              <w:t>As of December 31, 2015, 2016 and 2017, we had 12,919, 15,748 and 18,129 full-time employees, respectively.</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8720" w:type="dxa"/>
            <w:vAlign w:val="bottom"/>
            <w:gridSpan w:val="3"/>
          </w:tcPr>
          <w:p>
            <w:pPr>
              <w:ind w:left="240"/>
              <w:spacing w:after="0"/>
              <w:rPr>
                <w:sz w:val="20"/>
                <w:szCs w:val="20"/>
                <w:color w:val="auto"/>
              </w:rPr>
            </w:pPr>
            <w:r>
              <w:rPr>
                <w:rFonts w:ascii="Arial" w:cs="Arial" w:eastAsia="Arial" w:hAnsi="Arial"/>
                <w:sz w:val="18"/>
                <w:szCs w:val="18"/>
                <w:color w:val="auto"/>
              </w:rPr>
              <w:t>The following table sets forth information regarding our staff as of December 31, 2017: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 game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6,100</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Online Game Customer service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1,664</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1,990</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Advertising services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2,869</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1,990</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E-mail</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w:t>
            </w:r>
          </w:p>
        </w:tc>
      </w:tr>
      <w:tr>
        <w:trPr>
          <w:trHeight w:val="216"/>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2,320</w:t>
            </w:r>
          </w:p>
        </w:tc>
      </w:tr>
      <w:tr>
        <w:trPr>
          <w:trHeight w:val="210"/>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18,129</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as of December 31, 2017, we had approximately 1,633 part-time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employees are represented by a labor union.</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7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table in this section sets forth certain information known to us with respect to the beneficial ownership as of December 31, 2017 (unless otherwise indicated) by:</w:t>
      </w:r>
    </w:p>
    <w:p>
      <w:pPr>
        <w:spacing w:after="0" w:line="170" w:lineRule="exact"/>
        <w:rPr>
          <w:sz w:val="20"/>
          <w:szCs w:val="20"/>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persons who are beneficial owners of 5% or more of our ordinary shares,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Chief Executive Officer and Chief Financial Officer,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December 31, 2017, 3,283,217,456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Number of Shares</w:t>
            </w:r>
          </w:p>
        </w:tc>
      </w:tr>
      <w:tr>
        <w:trPr>
          <w:trHeight w:val="171"/>
        </w:trPr>
        <w:tc>
          <w:tcPr>
            <w:tcW w:w="4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Beneficially Owned</w:t>
            </w:r>
          </w:p>
        </w:tc>
      </w:tr>
      <w:tr>
        <w:trPr>
          <w:trHeight w:val="142"/>
        </w:trPr>
        <w:tc>
          <w:tcPr>
            <w:tcW w:w="4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Number</w:t>
            </w:r>
          </w:p>
        </w:tc>
        <w:tc>
          <w:tcPr>
            <w:tcW w:w="13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2"/>
                <w:szCs w:val="12"/>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w:t>
            </w:r>
          </w:p>
        </w:tc>
        <w:tc>
          <w:tcPr>
            <w:tcW w:w="4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2"/>
        </w:trPr>
        <w:tc>
          <w:tcPr>
            <w:tcW w:w="4140" w:type="dxa"/>
            <w:vAlign w:val="bottom"/>
          </w:tcPr>
          <w:p>
            <w:pPr>
              <w:spacing w:after="0" w:line="202" w:lineRule="exact"/>
              <w:rPr>
                <w:sz w:val="20"/>
                <w:szCs w:val="20"/>
                <w:color w:val="auto"/>
              </w:rPr>
            </w:pPr>
            <w:r>
              <w:rPr>
                <w:rFonts w:ascii="Arial" w:cs="Arial" w:eastAsia="Arial" w:hAnsi="Arial"/>
                <w:sz w:val="18"/>
                <w:szCs w:val="18"/>
                <w:color w:val="auto"/>
                <w:w w:val="95"/>
              </w:rPr>
              <w:t>Shining Globe International Limited/William Lei Ding</w:t>
            </w:r>
            <w:r>
              <w:rPr>
                <w:rFonts w:ascii="Arial" w:cs="Arial" w:eastAsia="Arial" w:hAnsi="Arial"/>
                <w:sz w:val="23"/>
                <w:szCs w:val="23"/>
                <w:color w:val="auto"/>
                <w:w w:val="95"/>
                <w:vertAlign w:val="superscript"/>
              </w:rPr>
              <w:t>(1)</w:t>
            </w:r>
          </w:p>
        </w:tc>
        <w:tc>
          <w:tcPr>
            <w:tcW w:w="5800" w:type="dxa"/>
            <w:vAlign w:val="bottom"/>
            <w:gridSpan w:val="3"/>
          </w:tcPr>
          <w:p>
            <w:pPr>
              <w:jc w:val="right"/>
              <w:ind w:right="2460"/>
              <w:spacing w:after="0" w:line="201" w:lineRule="exact"/>
              <w:rPr>
                <w:sz w:val="20"/>
                <w:szCs w:val="20"/>
                <w:color w:val="auto"/>
              </w:rPr>
            </w:pPr>
            <w:r>
              <w:rPr>
                <w:rFonts w:ascii="Arial" w:cs="Arial" w:eastAsia="Arial" w:hAnsi="Arial"/>
                <w:sz w:val="18"/>
                <w:szCs w:val="18"/>
                <w:color w:val="auto"/>
                <w:w w:val="91"/>
              </w:rPr>
              <w:t>c/o NetEase, Inc., Building No. 7, West Zone,</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9940" w:type="dxa"/>
            <w:vAlign w:val="bottom"/>
            <w:gridSpan w:val="4"/>
          </w:tcPr>
          <w:p>
            <w:pPr>
              <w:ind w:left="180"/>
              <w:spacing w:after="0"/>
              <w:rPr>
                <w:sz w:val="20"/>
                <w:szCs w:val="20"/>
                <w:color w:val="auto"/>
              </w:rPr>
            </w:pPr>
            <w:r>
              <w:rPr>
                <w:rFonts w:ascii="Arial" w:cs="Arial" w:eastAsia="Arial" w:hAnsi="Arial"/>
                <w:sz w:val="18"/>
                <w:szCs w:val="18"/>
                <w:color w:val="auto"/>
              </w:rPr>
              <w:t>Zhongguancun Software Park (Phase II), No. 10 Xibeiwang East Road, Haidian District, Beijing, People’s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Republic of China 100193.</w:t>
            </w:r>
          </w:p>
        </w:tc>
        <w:tc>
          <w:tcPr>
            <w:tcW w:w="5800" w:type="dxa"/>
            <w:vAlign w:val="bottom"/>
            <w:gridSpan w:val="3"/>
          </w:tcPr>
          <w:p>
            <w:pPr>
              <w:jc w:val="right"/>
              <w:ind w:right="280"/>
              <w:spacing w:after="0"/>
              <w:rPr>
                <w:sz w:val="20"/>
                <w:szCs w:val="20"/>
                <w:color w:val="auto"/>
              </w:rPr>
            </w:pPr>
            <w:r>
              <w:rPr>
                <w:rFonts w:ascii="Arial" w:cs="Arial" w:eastAsia="Arial" w:hAnsi="Arial"/>
                <w:sz w:val="18"/>
                <w:szCs w:val="18"/>
                <w:color w:val="auto"/>
              </w:rPr>
              <w:t>1,456,000,000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r>
      <w:tr>
        <w:trPr>
          <w:trHeight w:val="342"/>
        </w:trPr>
        <w:tc>
          <w:tcPr>
            <w:tcW w:w="4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Number of Shares</w:t>
            </w:r>
          </w:p>
        </w:tc>
      </w:tr>
      <w:tr>
        <w:trPr>
          <w:trHeight w:val="171"/>
        </w:trPr>
        <w:tc>
          <w:tcPr>
            <w:tcW w:w="4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Beneficially Owned</w:t>
            </w:r>
          </w:p>
        </w:tc>
      </w:tr>
      <w:tr>
        <w:trPr>
          <w:trHeight w:val="142"/>
        </w:trPr>
        <w:tc>
          <w:tcPr>
            <w:tcW w:w="4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Number</w:t>
            </w:r>
          </w:p>
        </w:tc>
        <w:tc>
          <w:tcPr>
            <w:tcW w:w="13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2"/>
                <w:szCs w:val="12"/>
                <w:color w:val="auto"/>
              </w:rPr>
            </w:pPr>
          </w:p>
        </w:tc>
      </w:tr>
      <w:tr>
        <w:trPr>
          <w:trHeight w:val="196"/>
        </w:trPr>
        <w:tc>
          <w:tcPr>
            <w:tcW w:w="414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Executive Officers and Directors</w:t>
            </w:r>
            <w:r>
              <w:rPr>
                <w:rFonts w:ascii="Arial" w:cs="Arial" w:eastAsia="Arial" w:hAnsi="Arial"/>
                <w:sz w:val="22"/>
                <w:szCs w:val="22"/>
                <w:color w:val="auto"/>
                <w:vertAlign w:val="superscript"/>
              </w:rPr>
              <w:t>(2)</w:t>
            </w:r>
          </w:p>
        </w:tc>
        <w:tc>
          <w:tcPr>
            <w:tcW w:w="4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Charles Zhaoxuan Yang</w:t>
            </w:r>
          </w:p>
        </w:tc>
        <w:tc>
          <w:tcPr>
            <w:tcW w:w="5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Alice Cheng</w:t>
            </w:r>
          </w:p>
        </w:tc>
        <w:tc>
          <w:tcPr>
            <w:tcW w:w="5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Denny Lee</w:t>
            </w:r>
          </w:p>
        </w:tc>
        <w:tc>
          <w:tcPr>
            <w:tcW w:w="5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Joseph Tong</w:t>
            </w:r>
          </w:p>
        </w:tc>
        <w:tc>
          <w:tcPr>
            <w:tcW w:w="5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Lun Feng</w:t>
            </w:r>
          </w:p>
        </w:tc>
        <w:tc>
          <w:tcPr>
            <w:tcW w:w="5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5"/>
        </w:trPr>
        <w:tc>
          <w:tcPr>
            <w:tcW w:w="4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Michael Leung</w:t>
            </w:r>
          </w:p>
        </w:tc>
        <w:tc>
          <w:tcPr>
            <w:tcW w:w="5800" w:type="dxa"/>
            <w:vAlign w:val="bottom"/>
            <w:gridSpan w:val="3"/>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w:t>
            </w:r>
          </w:p>
        </w:tc>
      </w:tr>
    </w:tbl>
    <w:p>
      <w:pPr>
        <w:sectPr>
          <w:pgSz w:w="11900" w:h="16900" w:orient="portrait"/>
          <w:cols w:equalWidth="0" w:num="1">
            <w:col w:w="11420"/>
          </w:cols>
          <w:pgMar w:left="240" w:top="341"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Michael Tong</w:t>
            </w:r>
          </w:p>
        </w:tc>
        <w:tc>
          <w:tcPr>
            <w:tcW w:w="35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23"/>
                <w:szCs w:val="23"/>
                <w:color w:val="auto"/>
                <w:vertAlign w:val="superscript"/>
              </w:rPr>
              <w:t>(3)</w:t>
            </w:r>
          </w:p>
        </w:tc>
        <w:tc>
          <w:tcPr>
            <w:tcW w:w="3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1,458,035,300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right="460" w:firstLine="656"/>
        <w:spacing w:after="0" w:line="277" w:lineRule="auto"/>
        <w:tabs>
          <w:tab w:leader="none" w:pos="13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Shining Globe International Limited is 100% owned by William Lei Ding, our founder, Chief Executive Officer and a director, and its holdings consist of 1,406,000,000 ordinary shares and 2,000,000 ADSs.</w:t>
      </w:r>
    </w:p>
    <w:p>
      <w:pPr>
        <w:spacing w:after="0" w:line="170" w:lineRule="exact"/>
        <w:rPr>
          <w:rFonts w:ascii="Arial" w:cs="Arial" w:eastAsia="Arial" w:hAnsi="Arial"/>
          <w:sz w:val="18"/>
          <w:szCs w:val="18"/>
          <w:color w:val="auto"/>
        </w:rPr>
      </w:pPr>
    </w:p>
    <w:p>
      <w:pPr>
        <w:ind w:right="220" w:firstLine="656"/>
        <w:spacing w:after="0" w:line="264" w:lineRule="auto"/>
        <w:tabs>
          <w:tab w:leader="none" w:pos="13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are c/o Building No. 7, West Zone, Zhongguancun Software Park (Phase II), No. 10 Xibeiwang East Road, Haidian District, Beijing, People’s Republic of China 100193 and c/o NetEase Building, No. 599 Wangshang Road, Binjiang District, Hangzhou, People’s Republic of China 310052.</w:t>
      </w:r>
    </w:p>
    <w:p>
      <w:pPr>
        <w:spacing w:after="0" w:line="181" w:lineRule="exact"/>
        <w:rPr>
          <w:rFonts w:ascii="Arial" w:cs="Arial" w:eastAsia="Arial" w:hAnsi="Arial"/>
          <w:sz w:val="18"/>
          <w:szCs w:val="18"/>
          <w:color w:val="auto"/>
        </w:rPr>
      </w:pPr>
    </w:p>
    <w:p>
      <w:pPr>
        <w:ind w:right="380" w:firstLine="656"/>
        <w:spacing w:after="0" w:line="342" w:lineRule="auto"/>
        <w:tabs>
          <w:tab w:leader="none" w:pos="1304" w:val="left"/>
        </w:tabs>
        <w:numPr>
          <w:ilvl w:val="1"/>
          <w:numId w:val="58"/>
        </w:numPr>
        <w:rPr>
          <w:rFonts w:ascii="Arial" w:cs="Arial" w:eastAsia="Arial" w:hAnsi="Arial"/>
          <w:sz w:val="16"/>
          <w:szCs w:val="16"/>
          <w:color w:val="auto"/>
        </w:rPr>
      </w:pPr>
      <w:r>
        <w:rPr>
          <w:rFonts w:ascii="Arial" w:cs="Arial" w:eastAsia="Arial" w:hAnsi="Arial"/>
          <w:sz w:val="16"/>
          <w:szCs w:val="16"/>
          <w:color w:val="auto"/>
        </w:rPr>
        <w:t>Shares owned by all of our current directors and executive officers as a group includes shares beneficially owned by William Lei Ding. Such amount includes ordinary shares and ordinary shares issuable upon vesting of RSUs held by our directors and executive officers as a group.</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2017, based on public filings with the SEC, there are no major shareholders holding 5% or more of our ordinary shares or ADSs representing ordinary shares, except as described above.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31, 2017, there were five ordinary shareholders of record with an address in the United States, including The Bank of New York Mellon, depositary of our ADS program, which held 1,877,585,915 ordinary shares as of that date.</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our knowledge, there are no arrangements the operation of which may at a subsequent date result in us undergoing a change in control.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major shareholders do not have different voting rights than any of our other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Please refer to Item 6.E. “Directors, Senior Management and Employees—Share Ownership.”</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NetEase, Inc. and certain of its wholly owned subsidiaries have entered into a series of agreements with Guangzhou NetEase, NetEase Advertising, Hangzhou Leihuo and Youdao Computer and the shareholders of these entities under which we provide our Internet and e-commerce applications, services and technologies and advertising services to Guangzhou NetEase, NetEase Advertising, Hangzhou Leihuo and Youdao Computer, and they in turn provide certain of our online games and operate the NetEase websites, our e-commerce platforms, our online advertising business, and e-mail and certain of our other fee-based premium services. We believe that the terms of each agreement are no less favorable than the terms that we could obtain from disinterested third parties and that the shareholders of Guangzhou NetEase, NetEase Advertising, Hangzhou Leihuo and Youdao Computer will not receive material benefits from these agreements except as shareholders of NetEase. These agreements are described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Guangzhou NetEase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William Lei Ding, our Chief Executive Officer, and Xiaojun Hui, our vice president of game development, own 99.0% and 1.0% of the equity interest in Guangzhou NetEase, respectively.</w:t>
      </w:r>
    </w:p>
    <w:p>
      <w:pPr>
        <w:spacing w:after="0" w:line="170" w:lineRule="exact"/>
        <w:rPr>
          <w:sz w:val="20"/>
          <w:szCs w:val="20"/>
          <w:color w:val="auto"/>
        </w:rPr>
      </w:pPr>
    </w:p>
    <w:p>
      <w:pPr>
        <w:jc w:val="both"/>
        <w:ind w:left="980" w:right="100" w:hanging="324"/>
        <w:spacing w:after="0" w:line="264" w:lineRule="auto"/>
        <w:tabs>
          <w:tab w:leader="none" w:pos="94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Domain Name License Agreement between NetEase and Guangzhou NetEase. </w:t>
      </w:r>
      <w:r>
        <w:rPr>
          <w:rFonts w:ascii="Arial" w:cs="Arial" w:eastAsia="Arial" w:hAnsi="Arial"/>
          <w:sz w:val="18"/>
          <w:szCs w:val="18"/>
          <w:color w:val="auto"/>
        </w:rPr>
        <w:t>NetEase granted Guangzhou NetEase the right to use the domain</w:t>
      </w:r>
      <w:r>
        <w:rPr>
          <w:rFonts w:ascii="Arial" w:cs="Arial" w:eastAsia="Arial" w:hAnsi="Arial"/>
          <w:sz w:val="18"/>
          <w:szCs w:val="18"/>
          <w:i w:val="1"/>
          <w:iCs w:val="1"/>
          <w:color w:val="auto"/>
        </w:rPr>
        <w:t xml:space="preserve"> </w:t>
      </w:r>
      <w:r>
        <w:rPr>
          <w:rFonts w:ascii="Arial" w:cs="Arial" w:eastAsia="Arial" w:hAnsi="Arial"/>
          <w:sz w:val="18"/>
          <w:szCs w:val="18"/>
          <w:color w:val="auto"/>
        </w:rPr>
        <w:t>names “netease.com,” “163.com,” “126.com,” “yeah.net” and “nease.net” on the NetEase websites in China for license fees of RMB10,000 per year. NetEase may waive this fee at any time.</w:t>
      </w:r>
    </w:p>
    <w:p>
      <w:pPr>
        <w:spacing w:after="0" w:line="181" w:lineRule="exact"/>
        <w:rPr>
          <w:rFonts w:ascii="Arial" w:cs="Arial" w:eastAsia="Arial" w:hAnsi="Arial"/>
          <w:sz w:val="18"/>
          <w:szCs w:val="18"/>
          <w:color w:val="auto"/>
        </w:rPr>
      </w:pPr>
    </w:p>
    <w:p>
      <w:pPr>
        <w:ind w:left="980" w:right="120" w:hanging="324"/>
        <w:spacing w:after="0" w:line="342" w:lineRule="auto"/>
        <w:tabs>
          <w:tab w:leader="none" w:pos="944"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Copyright License Agreement between NetEase Beijing and Guangzhou NetEase. </w:t>
      </w:r>
      <w:r>
        <w:rPr>
          <w:rFonts w:ascii="Arial" w:cs="Arial" w:eastAsia="Arial" w:hAnsi="Arial"/>
          <w:sz w:val="16"/>
          <w:szCs w:val="16"/>
          <w:color w:val="auto"/>
        </w:rPr>
        <w:t>NetEase Beijing granted Guangzhou NetEase the right to use</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Beijing’s web page layout in China for a royalty of RMB10,000 per year. NetEase Beijing may waive this fee at any time.</w:t>
      </w:r>
    </w:p>
    <w:p>
      <w:pPr>
        <w:spacing w:after="0" w:line="123" w:lineRule="exact"/>
        <w:rPr>
          <w:rFonts w:ascii="Arial" w:cs="Arial" w:eastAsia="Arial" w:hAnsi="Arial"/>
          <w:sz w:val="16"/>
          <w:szCs w:val="16"/>
          <w:color w:val="auto"/>
        </w:rPr>
      </w:pPr>
    </w:p>
    <w:p>
      <w:pPr>
        <w:jc w:val="both"/>
        <w:ind w:left="980" w:right="40" w:hanging="324"/>
        <w:spacing w:after="0" w:line="264" w:lineRule="auto"/>
        <w:tabs>
          <w:tab w:leader="none" w:pos="94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between NetEase Beijing and Guangzhou NetEase. </w:t>
      </w:r>
      <w:r>
        <w:rPr>
          <w:rFonts w:ascii="Arial" w:cs="Arial" w:eastAsia="Arial" w:hAnsi="Arial"/>
          <w:sz w:val="18"/>
          <w:szCs w:val="18"/>
          <w:color w:val="auto"/>
        </w:rPr>
        <w:t>NetEase Beijing granted Guangzhou NetEase a license to use</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Beijing’s registered trademarks on the NetEase websites in China for license fees of RMB10,000 per year. NetEase Beijing may waive this fee at any time.</w:t>
      </w:r>
    </w:p>
    <w:p>
      <w:pPr>
        <w:spacing w:after="0" w:line="181"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t>
      </w:r>
      <w:r>
        <w:rPr>
          <w:rFonts w:ascii="Arial" w:cs="Arial" w:eastAsia="Arial" w:hAnsi="Arial"/>
          <w:sz w:val="18"/>
          <w:szCs w:val="18"/>
          <w:color w:val="auto"/>
        </w:rPr>
        <w:t>Guangzhou NetEase has entered into cooperative agreements with each of NetEase Beijing, Boguan and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Hangzhou pursuant to which such subsidiaries have agreed to provide the following services:</w:t>
      </w:r>
    </w:p>
    <w:p>
      <w:pPr>
        <w:spacing w:after="0" w:line="170" w:lineRule="exact"/>
        <w:rPr>
          <w:rFonts w:ascii="Arial" w:cs="Arial" w:eastAsia="Arial" w:hAnsi="Arial"/>
          <w:sz w:val="18"/>
          <w:szCs w:val="18"/>
          <w:color w:val="auto"/>
        </w:rPr>
      </w:pPr>
    </w:p>
    <w:p>
      <w:pPr>
        <w:ind w:left="1300" w:right="900" w:hanging="320"/>
        <w:spacing w:after="0" w:line="277" w:lineRule="auto"/>
        <w:tabs>
          <w:tab w:leader="none" w:pos="1264"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online games software) and technical support and maintenance for the operation of computer software;</w:t>
      </w:r>
    </w:p>
    <w:p>
      <w:pPr>
        <w:spacing w:after="0" w:line="170" w:lineRule="exact"/>
        <w:rPr>
          <w:rFonts w:ascii="Arial" w:cs="Arial" w:eastAsia="Arial" w:hAnsi="Arial"/>
          <w:sz w:val="18"/>
          <w:szCs w:val="18"/>
          <w:color w:val="auto"/>
        </w:rPr>
      </w:pPr>
    </w:p>
    <w:p>
      <w:pPr>
        <w:ind w:left="1300" w:right="420" w:hanging="320"/>
        <w:spacing w:after="0" w:line="277" w:lineRule="auto"/>
        <w:tabs>
          <w:tab w:leader="none" w:pos="126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ectPr>
          <w:pgSz w:w="11900" w:h="16838" w:orient="portrait"/>
          <w:cols w:equalWidth="0" w:num="1">
            <w:col w:w="11420"/>
          </w:cols>
          <w:pgMar w:left="240" w:top="125" w:right="239" w:bottom="0" w:gutter="0" w:footer="0" w:header="0"/>
        </w:sectPr>
      </w:pPr>
    </w:p>
    <w:bookmarkStart w:id="70" w:name="page71"/>
    <w:bookmarkEnd w:id="70"/>
    <w:p>
      <w:pPr>
        <w:ind w:right="20" w:firstLine="648"/>
        <w:spacing w:after="0" w:line="259" w:lineRule="auto"/>
        <w:rPr>
          <w:sz w:val="20"/>
          <w:szCs w:val="20"/>
          <w:color w:val="auto"/>
        </w:rPr>
      </w:pPr>
      <w:r>
        <w:rPr>
          <w:rFonts w:ascii="Arial" w:cs="Arial" w:eastAsia="Arial" w:hAnsi="Arial"/>
          <w:sz w:val="18"/>
          <w:szCs w:val="18"/>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87" w:lineRule="exact"/>
        <w:rPr>
          <w:sz w:val="20"/>
          <w:szCs w:val="20"/>
          <w:color w:val="auto"/>
        </w:rPr>
      </w:pPr>
    </w:p>
    <w:p>
      <w:pPr>
        <w:ind w:left="980" w:right="120" w:hanging="324"/>
        <w:spacing w:after="0" w:line="259" w:lineRule="auto"/>
        <w:tabs>
          <w:tab w:leader="none" w:pos="94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Online Advertising Agreement between Guangzhou NetEase and NetEase Advertising. </w:t>
      </w:r>
      <w:r>
        <w:rPr>
          <w:rFonts w:ascii="Arial" w:cs="Arial" w:eastAsia="Arial" w:hAnsi="Arial"/>
          <w:sz w:val="18"/>
          <w:szCs w:val="18"/>
          <w:color w:val="auto"/>
        </w:rPr>
        <w:t>Guangzhou NetEase sells all of the banner space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websites to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of the foregoing agreement is automatically renewable for successive one year term.</w:t>
      </w:r>
    </w:p>
    <w:p>
      <w:pPr>
        <w:spacing w:after="0" w:line="225" w:lineRule="exact"/>
        <w:rPr>
          <w:sz w:val="20"/>
          <w:szCs w:val="20"/>
          <w:color w:val="auto"/>
        </w:rPr>
      </w:pPr>
    </w:p>
    <w:p>
      <w:pPr>
        <w:ind w:left="980" w:right="240" w:hanging="324"/>
        <w:spacing w:after="0" w:line="277"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Trademark Transfer Agreement between Guangzhou NetEase and NetEase Beijing. </w:t>
      </w:r>
      <w:r>
        <w:rPr>
          <w:rFonts w:ascii="Arial" w:cs="Arial" w:eastAsia="Arial" w:hAnsi="Arial"/>
          <w:sz w:val="18"/>
          <w:szCs w:val="18"/>
          <w:color w:val="auto"/>
        </w:rPr>
        <w:t>Under this agreement, Guangzhou NetEase transferred its</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trademarks to NetEase Beijing.</w:t>
      </w:r>
    </w:p>
    <w:p>
      <w:pPr>
        <w:spacing w:after="0" w:line="170" w:lineRule="exact"/>
        <w:rPr>
          <w:rFonts w:ascii="Arial" w:cs="Arial" w:eastAsia="Arial" w:hAnsi="Arial"/>
          <w:sz w:val="18"/>
          <w:szCs w:val="18"/>
          <w:color w:val="auto"/>
        </w:rPr>
      </w:pPr>
    </w:p>
    <w:p>
      <w:pPr>
        <w:ind w:left="980" w:right="80" w:hanging="324"/>
        <w:spacing w:after="0" w:line="342" w:lineRule="auto"/>
        <w:tabs>
          <w:tab w:leader="none" w:pos="944"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Agreement between NetEase Beijing and Guangzhou NetEase. </w:t>
      </w:r>
      <w:r>
        <w:rPr>
          <w:rFonts w:ascii="Arial" w:cs="Arial" w:eastAsia="Arial" w:hAnsi="Arial"/>
          <w:sz w:val="16"/>
          <w:szCs w:val="16"/>
          <w:color w:val="auto"/>
        </w:rPr>
        <w:t>NetEase Beijing may not grant the license to use its domain name,</w:t>
      </w:r>
      <w:r>
        <w:rPr>
          <w:rFonts w:ascii="Arial" w:cs="Arial" w:eastAsia="Arial" w:hAnsi="Arial"/>
          <w:sz w:val="16"/>
          <w:szCs w:val="16"/>
          <w:i w:val="1"/>
          <w:iCs w:val="1"/>
          <w:color w:val="auto"/>
        </w:rPr>
        <w:t xml:space="preserve"> </w:t>
      </w:r>
      <w:r>
        <w:rPr>
          <w:rFonts w:ascii="Arial" w:cs="Arial" w:eastAsia="Arial" w:hAnsi="Arial"/>
          <w:sz w:val="16"/>
          <w:szCs w:val="16"/>
          <w:color w:val="auto"/>
        </w:rPr>
        <w:t>copyright and trademark to any third party without Guangzhou NetEase’s consent and may not provide technical service to any third party.</w:t>
      </w:r>
    </w:p>
    <w:p>
      <w:pPr>
        <w:spacing w:after="0" w:line="123" w:lineRule="exact"/>
        <w:rPr>
          <w:rFonts w:ascii="Arial" w:cs="Arial" w:eastAsia="Arial" w:hAnsi="Arial"/>
          <w:sz w:val="16"/>
          <w:szCs w:val="16"/>
          <w:color w:val="auto"/>
        </w:rPr>
      </w:pPr>
    </w:p>
    <w:p>
      <w:pPr>
        <w:ind w:left="980" w:right="20" w:hanging="324"/>
        <w:spacing w:after="0" w:line="297" w:lineRule="auto"/>
        <w:tabs>
          <w:tab w:leader="none" w:pos="944"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Voting Rights Trust Agreement among NetEase Beijing and the Individual Shareholders of Guangzhou NetEase. </w:t>
      </w:r>
      <w:r>
        <w:rPr>
          <w:rFonts w:ascii="Arial" w:cs="Arial" w:eastAsia="Arial" w:hAnsi="Arial"/>
          <w:sz w:val="16"/>
          <w:szCs w:val="16"/>
          <w:color w:val="auto"/>
        </w:rPr>
        <w:t>William Lei 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Agreement between NetEase Beijing and Guangzhou NetEase. </w:t>
      </w:r>
      <w:r>
        <w:rPr>
          <w:rFonts w:ascii="Arial" w:cs="Arial" w:eastAsia="Arial" w:hAnsi="Arial"/>
          <w:sz w:val="17"/>
          <w:szCs w:val="17"/>
          <w:color w:val="auto"/>
        </w:rPr>
        <w:t>NetEase Beijing agrees to pay the operating costs of Guangzhou NetEase.</w:t>
      </w:r>
    </w:p>
    <w:p>
      <w:pPr>
        <w:spacing w:after="0" w:line="236" w:lineRule="exact"/>
        <w:rPr>
          <w:rFonts w:ascii="Arial" w:cs="Arial" w:eastAsia="Arial" w:hAnsi="Arial"/>
          <w:sz w:val="17"/>
          <w:szCs w:val="17"/>
          <w:color w:val="auto"/>
        </w:rPr>
      </w:pPr>
    </w:p>
    <w:p>
      <w:pPr>
        <w:ind w:left="980" w:right="20" w:hanging="324"/>
        <w:spacing w:after="0" w:line="253"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Letter of Agreement. </w:t>
      </w:r>
      <w:r>
        <w:rPr>
          <w:rFonts w:ascii="Arial" w:cs="Arial" w:eastAsia="Arial" w:hAnsi="Arial"/>
          <w:sz w:val="18"/>
          <w:szCs w:val="18"/>
          <w:color w:val="auto"/>
        </w:rPr>
        <w:t>Each of William Lei Ding and Xiaojun Hui have agreed that any amendments to be made to the Shareholder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 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94" w:lineRule="exact"/>
        <w:rPr>
          <w:rFonts w:ascii="Arial" w:cs="Arial" w:eastAsia="Arial" w:hAnsi="Arial"/>
          <w:sz w:val="18"/>
          <w:szCs w:val="18"/>
          <w:color w:val="auto"/>
        </w:rPr>
      </w:pPr>
    </w:p>
    <w:p>
      <w:pPr>
        <w:ind w:left="980" w:right="80" w:hanging="324"/>
        <w:spacing w:after="0" w:line="288" w:lineRule="auto"/>
        <w:tabs>
          <w:tab w:leader="none" w:pos="944"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Loan Agreement and Equity Pledge Agreement</w:t>
      </w:r>
      <w:r>
        <w:rPr>
          <w:rFonts w:ascii="Arial" w:cs="Arial" w:eastAsia="Arial" w:hAnsi="Arial"/>
          <w:sz w:val="16"/>
          <w:szCs w:val="16"/>
          <w:color w:val="auto"/>
        </w:rPr>
        <w:t>. Concurrent with Mr. Hui’s acquisition of his equity interest in Guangzhou NetEase from a prior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Mr. Hui entered into a Loan Agreement and Equity Pledge Agreement with NetEase Beijing, each dated May 1, 2014. Under the Loan Agreement, NetEase Beijing provided Mr. Hui with an interest-free loan in the principal amount of RMB0.2 million (US$32,000) to</w:t>
      </w:r>
    </w:p>
    <w:p>
      <w:pPr>
        <w:ind w:left="980"/>
        <w:spacing w:after="0" w:line="252" w:lineRule="auto"/>
        <w:rPr>
          <w:rFonts w:ascii="Arial" w:cs="Arial" w:eastAsia="Arial" w:hAnsi="Arial"/>
          <w:sz w:val="16"/>
          <w:szCs w:val="16"/>
          <w:color w:val="auto"/>
        </w:rPr>
      </w:pPr>
      <w:r>
        <w:rPr>
          <w:rFonts w:ascii="Arial" w:cs="Arial" w:eastAsia="Arial" w:hAnsi="Arial"/>
          <w:sz w:val="18"/>
          <w:szCs w:val="18"/>
          <w:color w:val="auto"/>
        </w:rPr>
        <w:t>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NetEase Advertising</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William Lei Ding and Li Li, the chief executive officer of our Internet media business, own 99.0% and 1.0% of the equity interest in NetEase Advertising, respectively.</w:t>
      </w:r>
    </w:p>
    <w:p>
      <w:pPr>
        <w:spacing w:after="0" w:line="170" w:lineRule="exact"/>
        <w:rPr>
          <w:sz w:val="20"/>
          <w:szCs w:val="20"/>
          <w:color w:val="auto"/>
        </w:rPr>
      </w:pPr>
    </w:p>
    <w:p>
      <w:pPr>
        <w:ind w:left="660" w:right="40" w:hanging="328"/>
        <w:spacing w:after="0" w:line="288" w:lineRule="auto"/>
        <w:tabs>
          <w:tab w:leader="none" w:pos="624"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Loan Agreements and Equity Pledge Agreements between Media Beijing and each of the ultimate shareholders of NetEase Advertising</w:t>
      </w:r>
      <w:r>
        <w:rPr>
          <w:rFonts w:ascii="Arial" w:cs="Arial" w:eastAsia="Arial" w:hAnsi="Arial"/>
          <w:sz w:val="16"/>
          <w:szCs w:val="16"/>
          <w:color w:val="auto"/>
        </w:rPr>
        <w:t>.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Mr. Ding and Ms. Li has entered into a Loan Agreement and an Equity Pledge Agreement with Media Beijing, each dated November 30, 2015. Under the Loan Agreements, Media Beijing provided each of Mr. Ding and Ms. Li with an interest-free loan in the principal amount of approximately RMB7.7 million (US$1.2 million) and RMB98,000 (US$15,100), which funds were used by each of Mr. Ding and Ms. Li to pay the consideration to acquire their 79.0% and 1.0% of the equity interests in NetEase Advertising, respectively. Each loan can be repaid by transferring the ultimate shareholder’s equity interest in NetEase Advertising to Media Beijing or its designee or through such other method as Media Beijing shall determine. The term of each Loan Agreement is 10 years from the date of the agreement and will be automatically extended for further 10 year terms unless otherwise decided by Media Beijing. Under the Equity Pledge Agreements, each of Mr. Ding and Ms. Li pledges his/her equity interest in NetEase Advertising to Media Beijing to secure his/her respective obligations under the Loan Agreement as well as the Exclusive Purchase Option Agreement, the Shareholder Voting Rights Trust Agreement and the Operating Agreement. Each of Mr. Ding and Ms. Li agrees he/she shall</w:t>
      </w:r>
    </w:p>
    <w:p>
      <w:pPr>
        <w:sectPr>
          <w:pgSz w:w="11900" w:h="16838" w:orient="portrait"/>
          <w:cols w:equalWidth="0" w:num="1">
            <w:col w:w="11420"/>
          </w:cols>
          <w:pgMar w:left="240" w:top="341" w:right="239" w:bottom="0" w:gutter="0" w:footer="0" w:header="0"/>
        </w:sectPr>
      </w:pPr>
    </w:p>
    <w:bookmarkStart w:id="71" w:name="page72"/>
    <w:bookmarkEnd w:id="71"/>
    <w:p>
      <w:pPr>
        <w:ind w:left="660" w:right="200"/>
        <w:spacing w:after="0" w:line="308" w:lineRule="auto"/>
        <w:rPr>
          <w:sz w:val="20"/>
          <w:szCs w:val="20"/>
          <w:color w:val="auto"/>
        </w:rPr>
      </w:pPr>
      <w:r>
        <w:rPr>
          <w:rFonts w:ascii="Arial" w:cs="Arial" w:eastAsia="Arial" w:hAnsi="Arial"/>
          <w:sz w:val="17"/>
          <w:szCs w:val="17"/>
          <w:color w:val="auto"/>
        </w:rPr>
        <w:t>not transfer, assign or pledge his/her equity interest in NetEase Advertising without the prior written consent of Media Beijing. The Equity Pledge Agreements will remain binding until the pledgor discharges all his/her obligations under the above-mentioned agreements.</w:t>
      </w:r>
    </w:p>
    <w:p>
      <w:pPr>
        <w:spacing w:after="0" w:line="147" w:lineRule="exact"/>
        <w:rPr>
          <w:sz w:val="20"/>
          <w:szCs w:val="20"/>
          <w:color w:val="auto"/>
        </w:rPr>
      </w:pPr>
    </w:p>
    <w:p>
      <w:pPr>
        <w:ind w:left="660" w:right="40" w:hanging="328"/>
        <w:spacing w:after="0" w:line="270" w:lineRule="auto"/>
        <w:tabs>
          <w:tab w:leader="none" w:pos="624"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Exclusive Purchase Option Agreements among Media Beijing, NetEase Advertising and each of the ultimate shareholders of NetEase Advertising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Exclusive Purchase Option Agreements, each dated November 30, 2015, each of Mr. Ding and Ms. Li has granted Media Beijing an option to purchase all or a portion of his/her equity interest in NetEase Advertising at a price equal to the original paid-in capital paid by the ultimate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ultimate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81" w:lineRule="exact"/>
        <w:rPr>
          <w:rFonts w:ascii="Arial" w:cs="Arial" w:eastAsia="Arial" w:hAnsi="Arial"/>
          <w:sz w:val="17"/>
          <w:szCs w:val="17"/>
          <w:color w:val="auto"/>
        </w:rPr>
      </w:pPr>
    </w:p>
    <w:p>
      <w:pPr>
        <w:ind w:left="620" w:hanging="288"/>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Shareholder Voting Rights Trust Agreement between Media Beijing and each of the Individual Shareholders of NetEase Advertising. </w:t>
      </w:r>
      <w:r>
        <w:rPr>
          <w:rFonts w:ascii="Arial" w:cs="Arial" w:eastAsia="Arial" w:hAnsi="Arial"/>
          <w:sz w:val="17"/>
          <w:szCs w:val="17"/>
          <w:color w:val="auto"/>
        </w:rPr>
        <w:t>Each of</w:t>
      </w:r>
    </w:p>
    <w:p>
      <w:pPr>
        <w:spacing w:after="0" w:line="35" w:lineRule="exact"/>
        <w:rPr>
          <w:sz w:val="20"/>
          <w:szCs w:val="20"/>
          <w:color w:val="auto"/>
        </w:rPr>
      </w:pPr>
    </w:p>
    <w:p>
      <w:pPr>
        <w:jc w:val="both"/>
        <w:ind w:left="660" w:right="140"/>
        <w:spacing w:after="0" w:line="302" w:lineRule="auto"/>
        <w:rPr>
          <w:sz w:val="20"/>
          <w:szCs w:val="20"/>
          <w:color w:val="auto"/>
        </w:rPr>
      </w:pPr>
      <w:r>
        <w:rPr>
          <w:rFonts w:ascii="Arial" w:cs="Arial" w:eastAsia="Arial" w:hAnsi="Arial"/>
          <w:sz w:val="16"/>
          <w:szCs w:val="16"/>
          <w:color w:val="auto"/>
        </w:rPr>
        <w:t>Mr. Ding and Ms. Li agreed to irrevocably entrust a person designated by Media Beijing to represent him or her to exercise all the voting rights and other shareholders’ rights to which he/she is entitled as a shareholder of NetEase Advertising. Each agreement shall remain effective for as long as Mr. Ding or Ms. Li remains a shareholder of NetEase Advertising unless Media Beijing unilaterally terminates the agreement by written notice.</w:t>
      </w:r>
    </w:p>
    <w:p>
      <w:pPr>
        <w:spacing w:after="0" w:line="155" w:lineRule="exact"/>
        <w:rPr>
          <w:sz w:val="20"/>
          <w:szCs w:val="20"/>
          <w:color w:val="auto"/>
        </w:rPr>
      </w:pPr>
    </w:p>
    <w:p>
      <w:pPr>
        <w:ind w:left="660" w:right="100" w:hanging="328"/>
        <w:spacing w:after="0" w:line="290" w:lineRule="auto"/>
        <w:tabs>
          <w:tab w:leader="none" w:pos="624"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Media Beijing, NetEase Advertising and the ultimate shareholders of NetEase Advertising.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NetEase Advertising and its ultimate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ultimate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66" w:lineRule="exact"/>
        <w:rPr>
          <w:rFonts w:ascii="Arial" w:cs="Arial" w:eastAsia="Arial" w:hAnsi="Arial"/>
          <w:sz w:val="16"/>
          <w:szCs w:val="16"/>
          <w:color w:val="auto"/>
        </w:rPr>
      </w:pPr>
    </w:p>
    <w:p>
      <w:pPr>
        <w:ind w:left="660" w:hanging="328"/>
        <w:spacing w:after="0" w:line="277" w:lineRule="auto"/>
        <w:tabs>
          <w:tab w:leader="none" w:pos="62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Media Beijing and NetEase Advertising. </w:t>
      </w:r>
      <w:r>
        <w:rPr>
          <w:rFonts w:ascii="Arial" w:cs="Arial" w:eastAsia="Arial" w:hAnsi="Arial"/>
          <w:sz w:val="18"/>
          <w:szCs w:val="18"/>
          <w:color w:val="auto"/>
        </w:rPr>
        <w:t>Under this cooperative agreement, Media Beijing has agreed to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right="620" w:hanging="315"/>
        <w:spacing w:after="0" w:line="308" w:lineRule="auto"/>
        <w:tabs>
          <w:tab w:leader="none" w:pos="9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research and development of computer software (including, but not limited to, the production, distribution, monitoring and management software of online advertisement) and technical support and maintenance for the operation of computer software;</w:t>
      </w:r>
    </w:p>
    <w:p>
      <w:pPr>
        <w:spacing w:after="0" w:line="146" w:lineRule="exact"/>
        <w:rPr>
          <w:rFonts w:ascii="Arial" w:cs="Arial" w:eastAsia="Arial" w:hAnsi="Arial"/>
          <w:sz w:val="17"/>
          <w:szCs w:val="17"/>
          <w:color w:val="auto"/>
        </w:rPr>
      </w:pPr>
    </w:p>
    <w:p>
      <w:pPr>
        <w:ind w:left="1000" w:hanging="295"/>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 development, update and upgrade of advertisement distribution platform;</w:t>
      </w:r>
    </w:p>
    <w:p>
      <w:pPr>
        <w:spacing w:after="0" w:line="225" w:lineRule="exact"/>
        <w:rPr>
          <w:rFonts w:ascii="Arial" w:cs="Arial" w:eastAsia="Arial" w:hAnsi="Arial"/>
          <w:sz w:val="18"/>
          <w:szCs w:val="18"/>
          <w:color w:val="auto"/>
        </w:rPr>
      </w:pPr>
    </w:p>
    <w:p>
      <w:pPr>
        <w:ind w:left="1020" w:right="700" w:hanging="315"/>
        <w:spacing w:after="0" w:line="277" w:lineRule="auto"/>
        <w:tabs>
          <w:tab w:leader="none" w:pos="9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1000" w:hanging="295"/>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NetEase Advertising has agreed to pay a monthly service fee to Media Beijing in accordance with a formula based on its expenses incurred. This agreement was effective from October 1, 2013 and will continue to be effective unless any one of the two parties terminates such agreement by written notice.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Hangzhou Leihuo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Zhipeng Hu and Tianlei Hu, two of our employees, each own 50.0% of the equity interest in Hangzhou Leihuo.</w:t>
      </w:r>
    </w:p>
    <w:p>
      <w:pPr>
        <w:spacing w:after="0" w:line="225" w:lineRule="exact"/>
        <w:rPr>
          <w:sz w:val="20"/>
          <w:szCs w:val="20"/>
          <w:color w:val="auto"/>
        </w:rPr>
      </w:pPr>
    </w:p>
    <w:p>
      <w:pPr>
        <w:ind w:left="660" w:right="40" w:hanging="328"/>
        <w:spacing w:after="0" w:line="268" w:lineRule="auto"/>
        <w:tabs>
          <w:tab w:leader="none" w:pos="624"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Loan Agreements and Equity Pledge Agreements between NetEase Hangzhou and each of the ultimate shareholders of Hangzhou Leihuo</w:t>
      </w:r>
      <w:r>
        <w:rPr>
          <w:rFonts w:ascii="Arial" w:cs="Arial" w:eastAsia="Arial" w:hAnsi="Arial"/>
          <w:sz w:val="17"/>
          <w:szCs w:val="17"/>
          <w:color w:val="auto"/>
        </w:rPr>
        <w:t>.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(US$0.8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 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87" w:lineRule="exact"/>
        <w:rPr>
          <w:rFonts w:ascii="Arial" w:cs="Arial" w:eastAsia="Arial" w:hAnsi="Arial"/>
          <w:sz w:val="17"/>
          <w:szCs w:val="17"/>
          <w:color w:val="auto"/>
        </w:rPr>
      </w:pPr>
    </w:p>
    <w:p>
      <w:pPr>
        <w:ind w:left="660" w:hanging="328"/>
        <w:spacing w:after="0" w:line="289" w:lineRule="auto"/>
        <w:tabs>
          <w:tab w:leader="none" w:pos="624"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Exclusive Purchase Option Agreements among NetEase Hangzhou, Hangzhou Leihuo and each of the ultimate shareholders of Hangzhou Leihuo</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Exclusive Purchase Option Agreements, each dated December 1, 2015, each of the ultimate shareholders of Hangzhou Leihuo has granted NetEase Hangzhou an option to purchase all or a portion of his equity interest in Hangzhou Leihuo at a price equal to the original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ectPr>
          <w:pgSz w:w="11900" w:h="16838" w:orient="portrait"/>
          <w:cols w:equalWidth="0" w:num="1">
            <w:col w:w="11420"/>
          </w:cols>
          <w:pgMar w:left="240" w:top="125" w:right="239" w:bottom="0" w:gutter="0" w:footer="0" w:header="0"/>
        </w:sectPr>
      </w:pPr>
    </w:p>
    <w:bookmarkStart w:id="72" w:name="page73"/>
    <w:bookmarkEnd w:id="72"/>
    <w:p>
      <w:pPr>
        <w:ind w:left="660" w:right="60" w:hanging="328"/>
        <w:spacing w:after="0" w:line="276" w:lineRule="auto"/>
        <w:tabs>
          <w:tab w:leader="none" w:pos="624"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Shareholder Voting Rights Trust Agreement between NetEase Hangzhou and each of the ultimate shareholders of Hangzhou Leihuo</w:t>
      </w:r>
      <w:r>
        <w:rPr>
          <w:rFonts w:ascii="Arial" w:cs="Arial" w:eastAsia="Arial" w:hAnsi="Arial"/>
          <w:sz w:val="17"/>
          <w:szCs w:val="17"/>
          <w:color w:val="auto"/>
        </w:rPr>
        <w:t>. Under these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hanging="328"/>
        <w:spacing w:after="0" w:line="290" w:lineRule="auto"/>
        <w:tabs>
          <w:tab w:leader="none" w:pos="624"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Hangzhou, Hangzhou Leihuo and the ultimate shareholders of Hangzhou Leihuo.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66" w:lineRule="exact"/>
        <w:rPr>
          <w:rFonts w:ascii="Arial" w:cs="Arial" w:eastAsia="Arial" w:hAnsi="Arial"/>
          <w:sz w:val="16"/>
          <w:szCs w:val="16"/>
          <w:color w:val="auto"/>
        </w:rPr>
      </w:pPr>
    </w:p>
    <w:p>
      <w:pPr>
        <w:ind w:left="660" w:right="200" w:hanging="328"/>
        <w:spacing w:after="0" w:line="277" w:lineRule="auto"/>
        <w:tabs>
          <w:tab w:leader="none" w:pos="62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Cooperation Agreement between NetEase Hangzhou and Hangzhou Leihuo. </w:t>
      </w:r>
      <w:r>
        <w:rPr>
          <w:rFonts w:ascii="Arial" w:cs="Arial" w:eastAsia="Arial" w:hAnsi="Arial"/>
          <w:sz w:val="18"/>
          <w:szCs w:val="18"/>
          <w:color w:val="auto"/>
        </w:rPr>
        <w:t>Under this Cooperation Agreement, NetEase Hangzhou has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following services:</w:t>
      </w:r>
    </w:p>
    <w:p>
      <w:pPr>
        <w:spacing w:after="0" w:line="170" w:lineRule="exact"/>
        <w:rPr>
          <w:rFonts w:ascii="Arial" w:cs="Arial" w:eastAsia="Arial" w:hAnsi="Arial"/>
          <w:sz w:val="18"/>
          <w:szCs w:val="18"/>
          <w:color w:val="auto"/>
        </w:rPr>
      </w:pPr>
    </w:p>
    <w:p>
      <w:pPr>
        <w:ind w:left="1020" w:right="580" w:hanging="315"/>
        <w:spacing w:after="0" w:line="277" w:lineRule="auto"/>
        <w:tabs>
          <w:tab w:leader="none" w:pos="98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development of computer software (including, but not limited to, online games) and technical support and maintenance for computer software operation;</w:t>
      </w:r>
    </w:p>
    <w:p>
      <w:pPr>
        <w:spacing w:after="0" w:line="170" w:lineRule="exact"/>
        <w:rPr>
          <w:rFonts w:ascii="Arial" w:cs="Arial" w:eastAsia="Arial" w:hAnsi="Arial"/>
          <w:sz w:val="18"/>
          <w:szCs w:val="18"/>
          <w:color w:val="auto"/>
        </w:rPr>
      </w:pPr>
    </w:p>
    <w:p>
      <w:pPr>
        <w:ind w:left="1000" w:hanging="295"/>
        <w:spacing w:after="0"/>
        <w:tabs>
          <w:tab w:leader="none" w:pos="10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provision of broadband Internet access and other operational support; and</w:t>
      </w:r>
    </w:p>
    <w:p>
      <w:pPr>
        <w:spacing w:after="0" w:line="225" w:lineRule="exact"/>
        <w:rPr>
          <w:rFonts w:ascii="Arial" w:cs="Arial" w:eastAsia="Arial" w:hAnsi="Arial"/>
          <w:sz w:val="18"/>
          <w:szCs w:val="18"/>
          <w:color w:val="auto"/>
        </w:rPr>
      </w:pPr>
    </w:p>
    <w:p>
      <w:pPr>
        <w:ind w:left="1020" w:right="160" w:hanging="315"/>
        <w:spacing w:after="0" w:line="277" w:lineRule="auto"/>
        <w:tabs>
          <w:tab w:leader="none" w:pos="984" w:val="left"/>
        </w:tabs>
        <w:numPr>
          <w:ilvl w:val="1"/>
          <w:numId w:val="69"/>
        </w:numPr>
        <w:rPr>
          <w:rFonts w:ascii="Arial" w:cs="Arial" w:eastAsia="Arial" w:hAnsi="Arial"/>
          <w:sz w:val="18"/>
          <w:szCs w:val="18"/>
          <w:color w:val="auto"/>
        </w:rPr>
      </w:pPr>
      <w:r>
        <w:rPr>
          <w:rFonts w:ascii="Arial" w:cs="Arial" w:eastAsia="Arial" w:hAnsi="Arial"/>
          <w:sz w:val="18"/>
          <w:szCs w:val="18"/>
          <w:color w:val="auto"/>
        </w:rPr>
        <w:t>jointly with Hangzhou Leihuo, the provision of value-added telecommunication and other services to users of the Leihuo website and relevant products.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Youdao Computer</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Prior to November 20, 2017, William Lei Ding and certain employees or former employees of Youdao Computer owned 71.1% and 28.9% of the equity interest in Youdao Computer, respectively. As a result of an internal reorganization completed on November 20, 2017, Zhou Feng, one of our employees, became the holder of the 28.9% equity interest in Youdao Computer, with William Lei Ding continuing to hold 71.1% of the equity interest in Youdao Computer.</w:t>
      </w:r>
    </w:p>
    <w:p>
      <w:pPr>
        <w:spacing w:after="0" w:line="187" w:lineRule="exact"/>
        <w:rPr>
          <w:sz w:val="20"/>
          <w:szCs w:val="20"/>
          <w:color w:val="auto"/>
        </w:rPr>
      </w:pPr>
    </w:p>
    <w:p>
      <w:pPr>
        <w:ind w:left="980" w:right="20" w:hanging="324"/>
        <w:spacing w:after="0" w:line="290" w:lineRule="auto"/>
        <w:tabs>
          <w:tab w:leader="none" w:pos="971"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Loan Agreements between Youdao Information and each of William Lei Ding and Zhou Feng</w:t>
      </w:r>
      <w:r>
        <w:rPr>
          <w:rFonts w:ascii="Arial" w:cs="Arial" w:eastAsia="Arial" w:hAnsi="Arial"/>
          <w:sz w:val="16"/>
          <w:szCs w:val="16"/>
          <w:color w:val="auto"/>
        </w:rPr>
        <w:t>. Each of William Lei Ding and Zhou Feng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 Loan Agreement with Youdao Information, dated September 26, 2016 and November 20, 2017, respectively. Under these Loan Agreements, Youdao Information provided each of William Lei Ding and Zhou Feng with an interest-free loan in the principal amount of approximately RMB3.6 million (US$0.6 million) and RMB1.4 million (US$0.2 million), respectively. These funds were used by each of William Lei Ding and Zhou Feng to pay the consideration to acquire his respective equity interest in Youdao Computer. Such loans can be repaid by transferring each of William Lei Ding and Zhou Feng’s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166" w:lineRule="exact"/>
        <w:rPr>
          <w:rFonts w:ascii="Arial" w:cs="Arial" w:eastAsia="Arial" w:hAnsi="Arial"/>
          <w:sz w:val="16"/>
          <w:szCs w:val="16"/>
          <w:color w:val="auto"/>
        </w:rPr>
      </w:pPr>
    </w:p>
    <w:p>
      <w:pPr>
        <w:ind w:left="980" w:right="40" w:hanging="324"/>
        <w:spacing w:after="0" w:line="254" w:lineRule="auto"/>
        <w:tabs>
          <w:tab w:leader="none" w:pos="971"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Equity Pledge Agreements between Youdao Information and each of William Lei Ding and Zhou Feng</w:t>
      </w:r>
      <w:r>
        <w:rPr>
          <w:rFonts w:ascii="Arial" w:cs="Arial" w:eastAsia="Arial" w:hAnsi="Arial"/>
          <w:sz w:val="18"/>
          <w:szCs w:val="18"/>
          <w:color w:val="auto"/>
        </w:rPr>
        <w:t>. Each of William Lei Ding and Zhou</w:t>
      </w:r>
      <w:r>
        <w:rPr>
          <w:rFonts w:ascii="Arial" w:cs="Arial" w:eastAsia="Arial" w:hAnsi="Arial"/>
          <w:sz w:val="18"/>
          <w:szCs w:val="18"/>
          <w:i w:val="1"/>
          <w:iCs w:val="1"/>
          <w:color w:val="auto"/>
        </w:rPr>
        <w:t xml:space="preserve"> </w:t>
      </w:r>
      <w:r>
        <w:rPr>
          <w:rFonts w:ascii="Arial" w:cs="Arial" w:eastAsia="Arial" w:hAnsi="Arial"/>
          <w:sz w:val="18"/>
          <w:szCs w:val="18"/>
          <w:color w:val="auto"/>
        </w:rPr>
        <w:t>Feng entered into an Equity Pledge Agreement with Youdao Information, dated September 26, 2016 and November 20, 2017, respectively. Under such Equity Pledge Agreements, each of William Lei Ding and Zhou Feng pledged his respective equity interest in Youdao Computer to Youdao Information to secure his obligations under the applicable Loan Agreement, Exclusive Purchase Option Agreement, Shareholder Voting Rights Trust Agreement, and Operating Agreement. Each of William Lei Ding and Zhou Feng further agreed to not transfer or pledge his respective equity interest in Youdao Computer without the prior written consent of Youdao Information. Each of the Equity Pledge Agreement will remain binding until the respective pledger, William Lei Ding or Zhou Feng, as the case may be, discharges all his obligations under the above-mentioned agreements.</w:t>
      </w:r>
    </w:p>
    <w:p>
      <w:pPr>
        <w:spacing w:after="0" w:line="192" w:lineRule="exact"/>
        <w:rPr>
          <w:rFonts w:ascii="Arial" w:cs="Arial" w:eastAsia="Arial" w:hAnsi="Arial"/>
          <w:sz w:val="18"/>
          <w:szCs w:val="18"/>
          <w:color w:val="auto"/>
        </w:rPr>
      </w:pPr>
    </w:p>
    <w:p>
      <w:pPr>
        <w:ind w:left="980" w:hanging="324"/>
        <w:spacing w:after="0" w:line="253" w:lineRule="auto"/>
        <w:tabs>
          <w:tab w:leader="none" w:pos="971"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Exclusive Purchase Option Agreements</w:t>
      </w:r>
      <w:r>
        <w:rPr>
          <w:rFonts w:ascii="Arial" w:cs="Arial" w:eastAsia="Arial" w:hAnsi="Arial"/>
          <w:sz w:val="18"/>
          <w:szCs w:val="18"/>
          <w:color w:val="auto"/>
        </w:rPr>
        <w:t>. Under the Exclusive Purchase Option Agreements entered into by Youdao Information, Youdao</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and each of William Lei Ding and Zhou Feng, dated September 26, 2016 and November 20, 2017, respectively, each of William Lei Ding and Zhou Feng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Zhou Feng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73" w:name="page74"/>
    <w:bookmarkEnd w:id="73"/>
    <w:p>
      <w:pPr>
        <w:ind w:left="980" w:right="60" w:hanging="324"/>
        <w:spacing w:after="0" w:line="293" w:lineRule="auto"/>
        <w:tabs>
          <w:tab w:leader="none" w:pos="971"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Shareholder Voting Rights Trust Agreements between Youdao Information and each of William Lei Ding and Zhou Feng</w:t>
      </w:r>
      <w:r>
        <w:rPr>
          <w:rFonts w:ascii="Arial" w:cs="Arial" w:eastAsia="Arial" w:hAnsi="Arial"/>
          <w:sz w:val="16"/>
          <w:szCs w:val="16"/>
          <w:color w:val="auto"/>
        </w:rPr>
        <w:t>. Under the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Trust Agreements between Youdao Information and each of William Lei Ding and Zhou Feng, dated September 26, 2016 and November 20, 2017, respectively, each of William Lei Ding and Zhou Feng,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Zhou Feng, as applicable, remains a shareholder of Youdao Computer unless Youdao Information unilaterally terminates the agreement by written notice.</w:t>
      </w:r>
    </w:p>
    <w:p>
      <w:pPr>
        <w:spacing w:after="0" w:line="164" w:lineRule="exact"/>
        <w:rPr>
          <w:rFonts w:ascii="Arial" w:cs="Arial" w:eastAsia="Arial" w:hAnsi="Arial"/>
          <w:sz w:val="16"/>
          <w:szCs w:val="16"/>
          <w:color w:val="auto"/>
        </w:rPr>
      </w:pPr>
    </w:p>
    <w:p>
      <w:pPr>
        <w:ind w:left="980" w:hanging="324"/>
        <w:spacing w:after="0" w:line="253" w:lineRule="auto"/>
        <w:tabs>
          <w:tab w:leader="none" w:pos="971"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Operating Agreements among Youdao Computer, Youdao Information and each of William Lei Ding and Zhou Feng. </w:t>
      </w:r>
      <w:r>
        <w:rPr>
          <w:rFonts w:ascii="Arial" w:cs="Arial" w:eastAsia="Arial" w:hAnsi="Arial"/>
          <w:sz w:val="18"/>
          <w:szCs w:val="18"/>
          <w:color w:val="auto"/>
        </w:rPr>
        <w:t>To ensure the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various agreements between the parties, each of Youdao Computer, William Lei Ding and Zhou Feng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Furthermore, each of William Lei Ding and Zhou Feng agreed that, upon instruction from Youdao Information, he would appoint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97" w:lineRule="exact"/>
        <w:rPr>
          <w:rFonts w:ascii="Arial" w:cs="Arial" w:eastAsia="Arial" w:hAnsi="Arial"/>
          <w:sz w:val="18"/>
          <w:szCs w:val="18"/>
          <w:color w:val="auto"/>
        </w:rPr>
      </w:pPr>
    </w:p>
    <w:p>
      <w:pPr>
        <w:ind w:left="980" w:right="440" w:hanging="324"/>
        <w:spacing w:after="0" w:line="277" w:lineRule="auto"/>
        <w:tabs>
          <w:tab w:leader="none" w:pos="971"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Cooperation Agreement between Youdao Information and Youdao Computer</w:t>
      </w:r>
      <w:r>
        <w:rPr>
          <w:rFonts w:ascii="Arial" w:cs="Arial" w:eastAsia="Arial" w:hAnsi="Arial"/>
          <w:sz w:val="18"/>
          <w:szCs w:val="18"/>
          <w:color w:val="auto"/>
        </w:rPr>
        <w:t>. Under this Cooperation Agreement, Youdao Information has</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provide the following services: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291" w:val="left"/>
        </w:tabs>
        <w:numPr>
          <w:ilvl w:val="1"/>
          <w:numId w:val="71"/>
        </w:numPr>
        <w:rPr>
          <w:rFonts w:ascii="Arial" w:cs="Arial" w:eastAsia="Arial" w:hAnsi="Arial"/>
          <w:sz w:val="18"/>
          <w:szCs w:val="18"/>
          <w:u w:val="single" w:color="auto"/>
          <w:color w:val="auto"/>
        </w:rPr>
      </w:pPr>
      <w:r>
        <w:rPr>
          <w:rFonts w:ascii="Arial" w:cs="Arial" w:eastAsia="Arial" w:hAnsi="Arial"/>
          <w:sz w:val="18"/>
          <w:szCs w:val="18"/>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70" w:lineRule="exact"/>
        <w:rPr>
          <w:rFonts w:ascii="Arial" w:cs="Arial" w:eastAsia="Arial" w:hAnsi="Arial"/>
          <w:sz w:val="18"/>
          <w:szCs w:val="18"/>
          <w:u w:val="single" w:color="auto"/>
          <w:color w:val="auto"/>
        </w:rPr>
      </w:pPr>
    </w:p>
    <w:p>
      <w:pPr>
        <w:ind w:left="1300" w:right="160" w:hanging="320"/>
        <w:spacing w:after="0" w:line="277" w:lineRule="auto"/>
        <w:tabs>
          <w:tab w:leader="none" w:pos="12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development of computer software related to generating online advertisement, establishment of platforms for online advertisement and related updates and operational support; and</w:t>
      </w:r>
    </w:p>
    <w:p>
      <w:pPr>
        <w:spacing w:after="0" w:line="170" w:lineRule="exact"/>
        <w:rPr>
          <w:rFonts w:ascii="Arial" w:cs="Arial" w:eastAsia="Arial" w:hAnsi="Arial"/>
          <w:sz w:val="18"/>
          <w:szCs w:val="18"/>
          <w:color w:val="auto"/>
        </w:rPr>
      </w:pPr>
    </w:p>
    <w:p>
      <w:pPr>
        <w:ind w:left="1300" w:right="760" w:hanging="320"/>
        <w:spacing w:after="0" w:line="277" w:lineRule="auto"/>
        <w:tabs>
          <w:tab w:leader="none" w:pos="12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provision of technology support, including, but not limited to, server maintenance, development of server software and related maintenance and updates.</w:t>
      </w:r>
    </w:p>
    <w:p>
      <w:pPr>
        <w:spacing w:after="0" w:line="17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in connection with the licensing of certain online games by Blizzard to Shanghai EaseNet for operation in the PRC starting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2008, there are certain contractual arrangements among Shanghai EaseNet, the joint venture established between Blizzard and us, and us.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arrangements, Shanghai EaseNet is a controlled VIE, and William Lei Ding, our Chief Executive Officer, director and major shareholder, does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any benefits in his capacity as the shareholder of Shanghai EaseNet or exercise any personal control over it. We have consolidated Shanghai EaseNet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our financial statements as of and for the years ended December 31, 2015, 2016 and 2017. Mr. Ding’s role as the shareholder of Shanghai EaseNet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designed to address Chinese regulations which place restrictions on the percentage interest foreign or foreign-invested companies may have in Chinese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providing value-added telecommunications services in China, which include the provision of online games. See Item 5.A —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Structure.”</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In the year ended December 31, 2017, we also entered into several guarantee agreements in the aggregate amount of US$510.0 million in respect of certain credit facilities taken by our subsidiaries. As of December 31, 2017, US$265.0 million of such credit facilities had not been utilized.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right="8240" w:hanging="652"/>
        <w:spacing w:after="0" w:line="501" w:lineRule="auto"/>
        <w:tabs>
          <w:tab w:leader="none" w:pos="67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 “Financial Statements” for our audited consolidated financial statements filed as part of this annual report.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A.7</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7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April 2018, PUBG Corporation and PUBG Santa Monica, Inc. filed suit against defendants NetEase, Inc., NetEase Information Technology Corp. and NetEase (Hong Kong) Limited in the U.S. District Court for the Northern District of California. The complaint generally alleges that two of our mobile games, Rules of Survival and Knives out, infringe the plaintiffs’ copyrights and trademarks and that we have engaged in unfair business competition under California law. For relief, the plaintiffs request unspecified compensatory and statutory damages and an injunction requiring us to remove each version of allegedly infringing games. We intend to defend the action vigorously and respond in due course.</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ectPr>
          <w:pgSz w:w="11900" w:h="16838" w:orient="portrait"/>
          <w:cols w:equalWidth="0" w:num="1">
            <w:col w:w="11420"/>
          </w:cols>
          <w:pgMar w:left="240" w:top="125" w:right="239" w:bottom="0" w:gutter="0" w:footer="0" w:header="0"/>
        </w:sectPr>
      </w:pPr>
    </w:p>
    <w:bookmarkStart w:id="74" w:name="page75"/>
    <w:bookmarkEnd w:id="74"/>
    <w:p>
      <w:pPr>
        <w:spacing w:after="0"/>
        <w:tabs>
          <w:tab w:leader="none" w:pos="640" w:val="left"/>
        </w:tabs>
        <w:rPr>
          <w:sz w:val="20"/>
          <w:szCs w:val="20"/>
          <w:color w:val="auto"/>
        </w:rPr>
      </w:pPr>
      <w:r>
        <w:rPr>
          <w:rFonts w:ascii="Arial" w:cs="Arial" w:eastAsia="Arial" w:hAnsi="Arial"/>
          <w:sz w:val="18"/>
          <w:szCs w:val="18"/>
          <w:b w:val="1"/>
          <w:bCs w:val="1"/>
          <w:color w:val="auto"/>
        </w:rPr>
        <w:t>A.8</w:t>
      </w:r>
      <w:r>
        <w:rPr>
          <w:sz w:val="20"/>
          <w:szCs w:val="20"/>
          <w:color w:val="auto"/>
        </w:rPr>
        <w:tab/>
      </w: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May 2014, our board of directors approved a quarterly dividend policy commencing in 2016. Under this policy, quarterly dividends are set at an amount equivalent to approximately 25%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US$1.08, US$0.83, US$0.72 and US$0.38 per ADS for the first, second, third and fourth quarters of 2017, respectively.</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87"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83"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We have not experienced any significant changes since the date of our audited consolidated financial statements included in this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except for Item 9.A.4. and Item 9.C.</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ADSs have been listed on the NASDAQ Global Select Market (formerly the NASDAQ National Market) since June 30, 2000. Our ADSs trade under the symbol “NTES.”</w:t>
      </w:r>
    </w:p>
    <w:p>
      <w:pPr>
        <w:spacing w:after="0" w:line="170"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following table provides the high and low prices for our ADSs on the NASDAQ Global Select Market for (1) each of the most recent five financial years, (2) each quarter in the two most recent financial years and the most recent quarter and (3) each of the most recent six months.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Sales Price</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2"/>
                <w:szCs w:val="12"/>
                <w:color w:val="auto"/>
              </w:rPr>
            </w:pPr>
          </w:p>
        </w:tc>
        <w:tc>
          <w:tcPr>
            <w:tcW w:w="100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 highs and lows</w:t>
            </w:r>
          </w:p>
        </w:tc>
        <w:tc>
          <w:tcPr>
            <w:tcW w:w="30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2013</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78.60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105.82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2015</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269.60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371.36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Quarterly highs and lows</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173.86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Second Quarter 2016</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193.22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Fourth Quarter 2016</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269.60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305.06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Second Quarter 2017</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333.56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Fourth Quarter 2017</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371.36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highs and lows</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October 2017</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283.53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367.50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December 2017</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371.36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January 2018</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February 2018</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317.40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March 2018</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326.94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April 2018 (through 19, 2018)</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282.49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271.22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jc w:val="both"/>
        <w:ind w:left="660" w:right="9660" w:hanging="652"/>
        <w:spacing w:after="0" w:line="563" w:lineRule="auto"/>
        <w:tabs>
          <w:tab w:leader="none" w:pos="673"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description of the terms and provisions of our restated memorandum and articles of association.</w:t>
      </w:r>
    </w:p>
    <w:p>
      <w:pPr>
        <w:sectPr>
          <w:pgSz w:w="11900" w:h="16838" w:orient="portrait"/>
          <w:cols w:equalWidth="0" w:num="1">
            <w:col w:w="11420"/>
          </w:cols>
          <w:pgMar w:left="240" w:top="121" w:right="239" w:bottom="5" w:gutter="0" w:footer="0" w:header="0"/>
        </w:sectPr>
      </w:pPr>
    </w:p>
    <w:bookmarkStart w:id="75" w:name="page76"/>
    <w:bookmarkEnd w:id="75"/>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were incorporated in the Cayman Islands on July 6, 1999 and operate under the Cayman Islands Companies Law (2018 Revision), as revised and amended from time to time, or the Companies Law. Our corporate objectives and purpose are unrestricted.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73"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shareholding qualification for directors may be fixed by the Company in a general meeting, but unless and until so fixed, there are no shareholding qualifications. Further, there are no age limitations or retirement requirements and no share ownership qualifications for directors unless so fixed by shareholders in a general meeting.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Preferences and Restrictions of Ordinary Shares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shares are fully paid and non-assessable. Certificates representing the shares are issued in registered form.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who are non-residents of the Cayman Islands may freely hold and vote their shares.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shares are entitled to such dividends as may be declared by our board of directors. Under Cayman Islands law,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8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share is entitled to one vote on all matters upon which the shares are entitled to vote, including the election of directors. Voting</w:t>
      </w:r>
      <w:r>
        <w:rPr>
          <w:rFonts w:ascii="Arial" w:cs="Arial" w:eastAsia="Arial" w:hAnsi="Arial"/>
          <w:sz w:val="16"/>
          <w:szCs w:val="16"/>
          <w:i w:val="1"/>
          <w:iCs w:val="1"/>
          <w:color w:val="auto"/>
        </w:rPr>
        <w:t xml:space="preserve"> </w:t>
      </w:r>
      <w:r>
        <w:rPr>
          <w:rFonts w:ascii="Arial" w:cs="Arial" w:eastAsia="Arial" w:hAnsi="Arial"/>
          <w:sz w:val="16"/>
          <w:szCs w:val="16"/>
          <w:color w:val="auto"/>
        </w:rPr>
        <w:t>at 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On a return of capital on winding up or otherwise (other than on conversion, redemption or purchase of shares) assets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or times of payment. The shares that have been called upon and remain unpaid are subject to forfeiture.</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Subject to the provisions of the Companies Law and the memorandum and articles of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Variations of Rights of Shares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51" w:orient="portrait"/>
          <w:cols w:equalWidth="0" w:num="1">
            <w:col w:w="11420"/>
          </w:cols>
          <w:pgMar w:left="240" w:top="125"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General Meetings of Shareholders</w:t>
      </w:r>
    </w:p>
    <w:p>
      <w:pPr>
        <w:sectPr>
          <w:pgSz w:w="11900" w:h="16851" w:orient="portrait"/>
          <w:cols w:equalWidth="0" w:num="1">
            <w:col w:w="11420"/>
          </w:cols>
          <w:pgMar w:left="240" w:top="125" w:right="239" w:bottom="0" w:gutter="0" w:footer="0" w:header="0"/>
          <w:type w:val="continuous"/>
        </w:sectPr>
      </w:pPr>
    </w:p>
    <w:bookmarkStart w:id="76" w:name="page77"/>
    <w:bookmarkEnd w:id="76"/>
    <w:p>
      <w:pPr>
        <w:ind w:right="40" w:firstLine="648"/>
        <w:spacing w:after="0" w:line="273" w:lineRule="auto"/>
        <w:rPr>
          <w:sz w:val="20"/>
          <w:szCs w:val="20"/>
          <w:color w:val="auto"/>
        </w:rPr>
      </w:pPr>
      <w:r>
        <w:rPr>
          <w:rFonts w:ascii="Arial" w:cs="Arial" w:eastAsia="Arial" w:hAnsi="Arial"/>
          <w:sz w:val="17"/>
          <w:szCs w:val="17"/>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limitations on the right to own our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Transfer of Shares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of Shareholder Ownership</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governing the ownership threshold above which shareholder ownership must be disclosed.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Capital</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81"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25"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restated memorandum of association or into shares without nominal or par value;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Differences in Corporate Law</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Companies Law is modeled after that of the United Kingdom but does not follow recent United Kingdom statutory enactments and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Law, subject to certain exceptions. Court approval is not required for a merger or consolidation which is effected in compliance with these statutory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78" w:lineRule="exact"/>
        <w:rPr>
          <w:sz w:val="20"/>
          <w:szCs w:val="20"/>
          <w:color w:val="auto"/>
        </w:rPr>
      </w:pPr>
    </w:p>
    <w:p>
      <w:pPr>
        <w:ind w:left="620" w:hanging="288"/>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complied with;</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ectPr>
          <w:pgSz w:w="11900" w:h="16838" w:orient="portrait"/>
          <w:cols w:equalWidth="0" w:num="1">
            <w:col w:w="11420"/>
          </w:cols>
          <w:pgMar w:left="240" w:top="341" w:right="239" w:bottom="0" w:gutter="0" w:footer="0" w:header="0"/>
        </w:sectPr>
      </w:pPr>
    </w:p>
    <w:bookmarkStart w:id="77" w:name="page78"/>
    <w:bookmarkEnd w:id="77"/>
    <w:p>
      <w:pPr>
        <w:spacing w:after="0" w:line="25" w:lineRule="exact"/>
        <w:rPr>
          <w:sz w:val="20"/>
          <w:szCs w:val="20"/>
          <w:color w:val="auto"/>
        </w:rPr>
      </w:pPr>
    </w:p>
    <w:p>
      <w:pPr>
        <w:ind w:left="620" w:hanging="288"/>
        <w:spacing w:after="0"/>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arrangement is such that may be reasonably approved by an intelligent and honest man of that class acting in respect of his interest; and</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Companies Law contains a statutory power of compulsory acquisition which may facilitate the “squeeze out” of dissentient minority shareholders upon a take-over offer. When a take-over offer is made and accepted by holders of 90% of the affected shares within four months, the offeror may, within a two-month period after expiry of such four-month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the arrangement and reconstruction is thus approved, or if a take-over offer is made and accepted,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and as a general rule a derivative action may not be brought by a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Cayman Islands law does not (other than as set forth hereafter) limit the extent to which a company’s organizational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8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66"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Regulations of Settlement, Sale and Payment of Foreign Exchange, foreign invested enterprises including wholly foreign owned enterprises, may buy, sell or remit foreign currencies only at those banks that are authorized to conduct foreign exchange business after providing such banks with valid commercial supporting documents and, in the case of capital account item transactions, after obtaining approvals from SAFE. Capital investments by foreign invested enterprises outside the PRC are also subject to limitations, which include approvals by the Ministry of Commerce, SAFE and the National Development and Reform Commission.</w:t>
      </w:r>
    </w:p>
    <w:p>
      <w:pPr>
        <w:spacing w:after="0" w:line="18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circular also stipulates that FIEs’ usage of capital and settled foreign exchange capital shall comply with relevant provisions concerning foreign exchange control and be subject to the management of a negative list. The FIEs’ capital and Renminbi capital gained from the settlement of foreign exchange capital may not be directly or indirectly used for expenditure beyond the business scope of the FIEs or as prohibited by laws and regulations of the PRC. Such capital also may not be directly or indirectly used for issuing Renminbi entrusted loans except as permitted by the business scope of the FIE,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foreign-invested enterprise elects the conversion-at-will system for foreign currency settlement, it may convert, in part or in whole, the amount of the foreign currency in its capital account into Renminbi at any time. The converted Renminbi will be kept in a designated account labeled as settled but pending payment, and if such FIE needs to make payment from such designated account, it does not need to go through a lengthy approval process, but instead is only required to declare its intended use for such converted Renminbi.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w:t>
      </w:r>
    </w:p>
    <w:p>
      <w:pPr>
        <w:sectPr>
          <w:pgSz w:w="11900" w:h="16863" w:orient="portrait"/>
          <w:cols w:equalWidth="0" w:num="1">
            <w:col w:w="11400"/>
          </w:cols>
          <w:pgMar w:left="240" w:top="125" w:right="259" w:bottom="0" w:gutter="0" w:footer="0" w:header="0"/>
        </w:sectPr>
      </w:pPr>
    </w:p>
    <w:bookmarkStart w:id="78" w:name="page79"/>
    <w:bookmarkEnd w:id="78"/>
    <w:p>
      <w:pPr>
        <w:jc w:val="both"/>
        <w:ind w:right="100"/>
        <w:spacing w:after="0" w:line="264" w:lineRule="auto"/>
        <w:rPr>
          <w:sz w:val="20"/>
          <w:szCs w:val="20"/>
          <w:color w:val="auto"/>
        </w:rPr>
      </w:pPr>
      <w:r>
        <w:rPr>
          <w:rFonts w:ascii="Arial" w:cs="Arial" w:eastAsia="Arial" w:hAnsi="Arial"/>
          <w:sz w:val="18"/>
          <w:szCs w:val="18"/>
          <w:color w:val="auto"/>
        </w:rPr>
        <w:t>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requisite SAFE registrations.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Moreover, to discourage the outflow of capital from China, the overall current regulatory environment relating to foreign exchange controls in China suggests that, as a matter of practice, SAFE has been making it increasingly difficult to exchange Renmibi into foreign currencies for offshore dividend payments or capital account settlement.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more information about foreign exchange control, see Item 3.D. “Risk Factors—Risks Related to Our Company—Our corporate structure may restrict our ability to receive dividends, loans or advances from, and transfer funds to, our PRC subsidiaries and VIEs, which could restrict our ability to act in response to changing market conditions and reallocate funds internally in a timely manner.” and “Risk Factors—Risks Related to Doing Business in China— Restrictions on currency exchange may limit our ability to utilize our revenues effectively.”</w:t>
      </w:r>
    </w:p>
    <w:p>
      <w:pPr>
        <w:spacing w:after="0" w:line="167"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summary of the material Cayman Islands and United States federal income tax consequences relevant to the purchase, ownership or sale of our ordinary shares or ADSs is based upon laws and relevant interpretations thereof in effect as of the date of this annual report, all of which are subject to change. To the extent that the discussion relates to matters of Cayman Islands tax law, it represents the opinion of Maples and Calder (Hong Kong) LLP, or Maples and Calder, our Cayman Islands counsel.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following discussion is a summary of certain United States federal income tax considerations applicable to the purchase, ownership and disposition of shares or ADSs by a U.S. Holder (as defined below) who holds such shares or ADSs as capital assets within the meaning of Section 1221 of the Internal Revenue Code of 1986, as amended (the “Code”). This summary does not purport to be a complete analysis of all potential United States federal income tax effects. This summary is based on the Code, United States Treasury regulations promulgated thereunder, Internal Revenue Service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81" w:lineRule="exact"/>
        <w:rPr>
          <w:sz w:val="20"/>
          <w:szCs w:val="20"/>
          <w:color w:val="auto"/>
        </w:rPr>
      </w:pPr>
    </w:p>
    <w:p>
      <w:pPr>
        <w:ind w:left="620" w:hanging="288"/>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broker dealers in stocks, securities, commodeties or currencies;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 (including securities traders) that use a mark-to-market accounting method;</w:t>
      </w:r>
    </w:p>
    <w:p>
      <w:pPr>
        <w:sectPr>
          <w:pgSz w:w="11900" w:h="16838" w:orient="portrait"/>
          <w:cols w:equalWidth="0" w:num="1">
            <w:col w:w="11400"/>
          </w:cols>
          <w:pgMar w:left="240" w:top="125" w:right="259" w:bottom="0" w:gutter="0" w:footer="0" w:header="0"/>
        </w:sectPr>
      </w:pPr>
    </w:p>
    <w:bookmarkStart w:id="79" w:name="page80"/>
    <w:bookmarkEnd w:id="79"/>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vote or value of all classes of our equity.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1" w:lineRule="exact"/>
        <w:rPr>
          <w:sz w:val="20"/>
          <w:szCs w:val="20"/>
          <w:color w:val="auto"/>
        </w:rPr>
      </w:pPr>
    </w:p>
    <w:p>
      <w:pPr>
        <w:ind w:left="620" w:hanging="288"/>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discussion below is written on the basis that the representations contained in the deposit agreement are true and that the obligations in the deposit agreement and any related agreement will be performed in accordance with the terms. If you hold ADSs, you generally will be treated as the owner of the underlying shares represented by those ADSs for United States federal income tax purposes. Accordingly, deposits or withdrawal of shares for ADSs will not be subject to United States federal income tax.</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 and Other Distributions on the Shares or ADSs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Subject to the passive foreign investment company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ectPr>
          <w:pgSz w:w="11900" w:h="16838" w:orient="portrait"/>
          <w:cols w:equalWidth="0" w:num="1">
            <w:col w:w="11420"/>
          </w:cols>
          <w:pgMar w:left="240" w:top="125" w:right="239" w:bottom="56" w:gutter="0" w:footer="0" w:header="0"/>
        </w:sectPr>
      </w:pPr>
    </w:p>
    <w:bookmarkStart w:id="80" w:name="page81"/>
    <w:bookmarkEnd w:id="80"/>
    <w:p>
      <w:pPr>
        <w:ind w:firstLine="648"/>
        <w:spacing w:after="0" w:line="289" w:lineRule="auto"/>
        <w:rPr>
          <w:sz w:val="20"/>
          <w:szCs w:val="20"/>
          <w:color w:val="auto"/>
        </w:rPr>
      </w:pPr>
      <w:r>
        <w:rPr>
          <w:rFonts w:ascii="Arial" w:cs="Arial" w:eastAsia="Arial" w:hAnsi="Arial"/>
          <w:sz w:val="16"/>
          <w:szCs w:val="16"/>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devidends paid on our shares or ADSs will be treated as income from sources outside the United States, and will generally consititute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The U.S. foreign tax credit rules are complex. U.S. Holders should consult their own tax advisors regarding the foreign tax credit rules in light of their particular circumstances.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Disposition of Shares or ADSs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(determined on a quartly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Based on certain estimates of our gross income and gross assets (which estimates are inherently imprecise), we do not believe that we were a PFIC for taxable year 2017 for United States federal income tax purposes. The determination of whether we will be classified as a PFIC is made annually and depands on particular facts and circumstances. In particular, the fair market value of some of our company’s assets may be determined in large part by the market price of the ADSs, which is likely to fluctuate. In addition, the composition of our company’s income and assets will be affected by how, and how quickly, our company spends any cash that is raised. Thus, no assurance can be provided that our company would not be classified as a PFIC for any future taxable year. Furthermore, while we believe our valuation approach is reasonable, it is possible that the IRS could challenge our determination concerning our PFIC status. For these reasons, there can be no assurance that we were not a PFIC in 2017 or that we will not be a PFIC for any future taxable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Treatment of a Shareholder of a PFIC</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If our company is classified as a PFIC for any taxable year during which a U.S. Holder owns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w:t>
      </w:r>
    </w:p>
    <w:p>
      <w:pPr>
        <w:sectPr>
          <w:pgSz w:w="11900" w:h="16838" w:orient="portrait"/>
          <w:cols w:equalWidth="0" w:num="1">
            <w:col w:w="11380"/>
          </w:cols>
          <w:pgMar w:left="240" w:top="125" w:right="279" w:bottom="0" w:gutter="0" w:footer="0" w:header="0"/>
        </w:sectPr>
      </w:pPr>
    </w:p>
    <w:bookmarkStart w:id="81" w:name="page82"/>
    <w:bookmarkEnd w:id="81"/>
    <w:p>
      <w:pPr>
        <w:spacing w:after="0" w:line="46"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24"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w:t>
      </w:r>
    </w:p>
    <w:p>
      <w:pPr>
        <w:jc w:val="both"/>
        <w:ind w:right="140" w:firstLine="8"/>
        <w:spacing w:after="0" w:line="255"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90"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If we are a PFIC in any year with respect to a U.S. Holder, and any of our subsidiaries are also a PFIC, such U.S. Holder will be treated as owning a proportionate share (by value) of the shares of the lower-tier PFIC for purposes of these rules. Non-corporate U.S. Holders will not be eligible for the reduced tax rate on any dividends received from us if we are a PFIC in the taxable year in which such dividends are paid or in the preceding taxable year.</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Election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5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181" w:lineRule="exact"/>
        <w:rPr>
          <w:sz w:val="20"/>
          <w:szCs w:val="20"/>
          <w:color w:val="auto"/>
        </w:rPr>
      </w:pPr>
    </w:p>
    <w:p>
      <w:pPr>
        <w:ind w:right="120" w:firstLine="720"/>
        <w:spacing w:after="0" w:line="272" w:lineRule="auto"/>
        <w:rPr>
          <w:sz w:val="20"/>
          <w:szCs w:val="20"/>
          <w:color w:val="auto"/>
        </w:rPr>
      </w:pPr>
      <w:r>
        <w:rPr>
          <w:rFonts w:ascii="Arial" w:cs="Arial" w:eastAsia="Arial" w:hAnsi="Arial"/>
          <w:sz w:val="17"/>
          <w:szCs w:val="17"/>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8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 mark-to-market election is not permitted for the shares of any of our subsidiaries that are also classified as PFICs. Prospective investors should consult their own tax advisors regarding the availability of, and the procedure for, and the effect of making, a mark-to-market election, and whether making the election would be advisable, including in light of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“QEF” Election</w:t>
      </w:r>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If we are a PFIC in any year with respect to a U.S. Holder, and any of our subsidiaries are also a PFIC, such U.S. Holder will be treated as owning a proportionate share (by value) of the shares of the lower-tier PFIC for purposes of these rules. Non-corporate U.S. Holders will not be eligible for the reduced tax rate on any dividends received from us if we are a PFIC in the taxable year in which such dividends are paid or in the preceding taxable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Specified Foreign Financial Assets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may apply to these payments if the U.S. Holder fails to timely provide an accurate taxpayer identification number or otherwise fails</w:t>
      </w:r>
    </w:p>
    <w:p>
      <w:pPr>
        <w:sectPr>
          <w:pgSz w:w="11900" w:h="16885" w:orient="portrait"/>
          <w:cols w:equalWidth="0" w:num="1">
            <w:col w:w="11420"/>
          </w:cols>
          <w:pgMar w:left="240" w:top="125" w:right="239" w:bottom="0" w:gutter="0" w:footer="0" w:header="0"/>
        </w:sectPr>
      </w:pPr>
    </w:p>
    <w:bookmarkStart w:id="82" w:name="page83"/>
    <w:bookmarkEnd w:id="82"/>
    <w:p>
      <w:pPr>
        <w:ind w:right="320"/>
        <w:spacing w:after="0" w:line="286" w:lineRule="auto"/>
        <w:rPr>
          <w:sz w:val="20"/>
          <w:szCs w:val="20"/>
          <w:color w:val="auto"/>
        </w:rPr>
      </w:pPr>
      <w:r>
        <w:rPr>
          <w:rFonts w:ascii="Arial" w:cs="Arial" w:eastAsia="Arial" w:hAnsi="Arial"/>
          <w:sz w:val="17"/>
          <w:szCs w:val="17"/>
          <w:color w:val="auto"/>
        </w:rPr>
        <w:t>to comply with, or establish an exemption from, such backup withholding tax requirements. Certain U.S. Holders (including, among others, certain corporations) are not subject to the information reporting or backup withholding tax requirements described herein. U.S. Holders should consult their tax advisors as to their qualification for exemption from backup withholding tax and the procedure for establishing an exemption.</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ABOVE DISCUSSION DOES NOT COVER ALL TAX MATTERS THAT MAY BE OF IMPORTANCE TO A PARTICULAR INVESTOR. PROSPECTIVE INVESTORS ARE STRONGLY URGED TO CONSULT THEIR OWN TAX ADVISORS ABOUT THE TAX CONSEQUENCES OF AN INVESTMENT IN OUR ORDINARY SHARES OR ADSs.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an exempted company incorporated in the Cayman Islands because of the following benefits found there:</w:t>
      </w:r>
    </w:p>
    <w:p>
      <w:pPr>
        <w:spacing w:after="0" w:line="225" w:lineRule="exact"/>
        <w:rPr>
          <w:sz w:val="20"/>
          <w:szCs w:val="20"/>
          <w:color w:val="auto"/>
        </w:rPr>
      </w:pPr>
    </w:p>
    <w:p>
      <w:pPr>
        <w:ind w:left="620" w:hanging="288"/>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48" w:lineRule="exact"/>
        <w:rPr>
          <w:sz w:val="20"/>
          <w:szCs w:val="20"/>
          <w:color w:val="auto"/>
        </w:rPr>
      </w:pPr>
    </w:p>
    <w:p>
      <w:pPr>
        <w:ind w:left="660" w:right="540" w:hanging="328"/>
        <w:spacing w:after="0" w:line="277" w:lineRule="auto"/>
        <w:tabs>
          <w:tab w:leader="none" w:pos="6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Maples and Calder (Hong Kong) LLP, our counsel as to Cayman Islands law, and Jun He Lawyers, our counsel as to Chinese law, have advised us, respectively, that there is uncertainty as to whether the courts of the Cayman Islands or China would:</w:t>
      </w:r>
    </w:p>
    <w:p>
      <w:pPr>
        <w:spacing w:after="0" w:line="170" w:lineRule="exact"/>
        <w:rPr>
          <w:sz w:val="20"/>
          <w:szCs w:val="20"/>
          <w:color w:val="auto"/>
        </w:rPr>
      </w:pPr>
    </w:p>
    <w:p>
      <w:pPr>
        <w:ind w:right="700" w:firstLine="656"/>
        <w:spacing w:after="0" w:line="277"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recognised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8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Jun He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77"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ectPr>
          <w:pgSz w:w="11900" w:h="16838" w:orient="portrait"/>
          <w:cols w:equalWidth="0" w:num="1">
            <w:col w:w="11380"/>
          </w:cols>
          <w:pgMar w:left="240" w:top="125" w:right="279" w:bottom="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9100" w:hanging="652"/>
        <w:spacing w:after="0" w:line="563" w:lineRule="auto"/>
        <w:tabs>
          <w:tab w:leader="none" w:pos="669"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have previously filed with the SEC our registration statement on Form F-1 and prospectus under the Securities Act of 1933, as amended, with respect to our ADSs.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77" w:lineRule="exact"/>
        <w:rPr>
          <w:sz w:val="20"/>
          <w:szCs w:val="20"/>
          <w:color w:val="auto"/>
        </w:rPr>
      </w:pPr>
    </w:p>
    <w:p>
      <w:pPr>
        <w:ind w:left="660" w:right="8940" w:hanging="652"/>
        <w:spacing w:after="0" w:line="563" w:lineRule="auto"/>
        <w:tabs>
          <w:tab w:leader="none" w:pos="667"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refer to Item 5.F. “Operating and Financial Review and Prospects—Quantitative and Qualitative Disclosures About Market Risk.”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ind w:left="660" w:right="9580" w:hanging="652"/>
        <w:spacing w:after="0" w:line="563" w:lineRule="auto"/>
        <w:tabs>
          <w:tab w:leader="none" w:pos="673"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right="9140" w:hanging="652"/>
        <w:spacing w:after="0" w:line="563" w:lineRule="auto"/>
        <w:tabs>
          <w:tab w:leader="none" w:pos="663"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right="9500" w:hanging="652"/>
        <w:spacing w:after="0" w:line="563" w:lineRule="auto"/>
        <w:tabs>
          <w:tab w:leader="none" w:pos="673"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Bank of New York Mellon, the depositary of our ADS program,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Persons depositing or withdrawing shares must pay:</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For:</w:t>
            </w:r>
          </w:p>
        </w:tc>
      </w:tr>
      <w:tr>
        <w:trPr>
          <w:trHeight w:val="411"/>
        </w:trPr>
        <w:tc>
          <w:tcPr>
            <w:tcW w:w="5820" w:type="dxa"/>
            <w:vAlign w:val="bottom"/>
            <w:gridSpan w:val="2"/>
          </w:tcPr>
          <w:p>
            <w:pPr>
              <w:spacing w:after="0"/>
              <w:rPr>
                <w:sz w:val="20"/>
                <w:szCs w:val="20"/>
                <w:color w:val="auto"/>
              </w:rPr>
            </w:pPr>
            <w:r>
              <w:rPr>
                <w:rFonts w:ascii="Arial" w:cs="Arial" w:eastAsia="Arial" w:hAnsi="Arial"/>
                <w:sz w:val="18"/>
                <w:szCs w:val="18"/>
                <w:color w:val="auto"/>
              </w:rPr>
              <w:t>Up to US$0.05 per ADS</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120"/>
              <w:spacing w:after="0"/>
              <w:rPr>
                <w:sz w:val="20"/>
                <w:szCs w:val="20"/>
                <w:color w:val="auto"/>
              </w:rPr>
            </w:pPr>
            <w:r>
              <w:rPr>
                <w:rFonts w:ascii="Arial" w:cs="Arial" w:eastAsia="Arial" w:hAnsi="Arial"/>
                <w:sz w:val="18"/>
                <w:szCs w:val="18"/>
                <w:color w:val="auto"/>
                <w:w w:val="95"/>
              </w:rPr>
              <w:t>Issuance of ADSs, including issuances resulting from a distribution of</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ordinary shares or rights or other property</w:t>
            </w:r>
          </w:p>
        </w:tc>
      </w:tr>
      <w:tr>
        <w:trPr>
          <w:trHeight w:val="432"/>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120"/>
              <w:spacing w:after="0"/>
              <w:rPr>
                <w:sz w:val="20"/>
                <w:szCs w:val="20"/>
                <w:color w:val="auto"/>
              </w:rPr>
            </w:pPr>
            <w:r>
              <w:rPr>
                <w:rFonts w:ascii="Arial" w:cs="Arial" w:eastAsia="Arial" w:hAnsi="Arial"/>
                <w:sz w:val="18"/>
                <w:szCs w:val="18"/>
                <w:color w:val="auto"/>
              </w:rPr>
              <w:t>Cancellation or withdrawals of ADSs</w:t>
            </w:r>
          </w:p>
        </w:tc>
      </w:tr>
      <w:tr>
        <w:trPr>
          <w:trHeight w:val="418"/>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5420" w:type="dxa"/>
            <w:vAlign w:val="bottom"/>
          </w:tcPr>
          <w:p>
            <w:pPr>
              <w:ind w:left="120"/>
              <w:spacing w:after="0"/>
              <w:rPr>
                <w:sz w:val="20"/>
                <w:szCs w:val="20"/>
                <w:color w:val="auto"/>
              </w:rPr>
            </w:pPr>
            <w:r>
              <w:rPr>
                <w:rFonts w:ascii="Arial" w:cs="Arial" w:eastAsia="Arial" w:hAnsi="Arial"/>
                <w:sz w:val="18"/>
                <w:szCs w:val="18"/>
                <w:color w:val="auto"/>
                <w:w w:val="92"/>
              </w:rPr>
              <w:t>Distribution of ADSs pursuant to stock dividends, free stock distributions</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or exercise of rights</w:t>
            </w:r>
          </w:p>
        </w:tc>
      </w:tr>
    </w:tbl>
    <w:p>
      <w:pPr>
        <w:sectPr>
          <w:pgSz w:w="11900" w:h="16838" w:orient="portrait"/>
          <w:cols w:equalWidth="0" w:num="1">
            <w:col w:w="11420"/>
          </w:cols>
          <w:pgMar w:left="240" w:top="341" w:right="239" w:bottom="0" w:gutter="0" w:footer="0" w:header="0"/>
        </w:sectPr>
      </w:pPr>
    </w:p>
    <w:bookmarkStart w:id="84" w:name="page85"/>
    <w:bookmarkEnd w:id="84"/>
    <w:p>
      <w:pPr>
        <w:ind w:left="5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640" w:hanging="35"/>
        <w:spacing w:after="0" w:line="277" w:lineRule="auto"/>
        <w:rPr>
          <w:sz w:val="20"/>
          <w:szCs w:val="20"/>
          <w:color w:val="auto"/>
        </w:rPr>
      </w:pPr>
      <w:r>
        <w:rPr>
          <w:rFonts w:ascii="Arial" w:cs="Arial" w:eastAsia="Arial" w:hAnsi="Arial"/>
          <w:sz w:val="18"/>
          <w:szCs w:val="18"/>
          <w:color w:val="auto"/>
        </w:rPr>
        <w:t>Distributions of securities other than ADSs or rights to purchase additional ADSs</w:t>
      </w:r>
    </w:p>
    <w:p>
      <w:pPr>
        <w:spacing w:after="0" w:line="170" w:lineRule="exact"/>
        <w:rPr>
          <w:sz w:val="20"/>
          <w:szCs w:val="20"/>
          <w:color w:val="auto"/>
        </w:rPr>
      </w:pPr>
    </w:p>
    <w:p>
      <w:pPr>
        <w:sectPr>
          <w:pgSz w:w="11900" w:h="16838" w:orient="portrait"/>
          <w:cols w:equalWidth="0" w:num="2">
            <w:col w:w="5880" w:space="280"/>
            <w:col w:w="5220"/>
          </w:cols>
          <w:pgMar w:left="240" w:top="125" w:right="279" w:bottom="0" w:gutter="0" w:footer="0" w:header="0"/>
        </w:sectPr>
      </w:pPr>
    </w:p>
    <w:p>
      <w:pPr>
        <w:spacing w:after="0"/>
        <w:rPr>
          <w:sz w:val="20"/>
          <w:szCs w:val="20"/>
          <w:color w:val="auto"/>
        </w:rPr>
      </w:pPr>
      <w:r>
        <w:rPr>
          <w:rFonts w:ascii="Arial" w:cs="Arial" w:eastAsia="Arial" w:hAnsi="Arial"/>
          <w:sz w:val="16"/>
          <w:szCs w:val="16"/>
          <w:color w:val="auto"/>
        </w:rPr>
        <w:t>Up to US$0.01 per 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Distributions of cash dividends or other cash distributions</w:t>
      </w:r>
    </w:p>
    <w:p>
      <w:pPr>
        <w:spacing w:after="0" w:line="222" w:lineRule="exact"/>
        <w:rPr>
          <w:sz w:val="20"/>
          <w:szCs w:val="20"/>
          <w:color w:val="auto"/>
        </w:rPr>
      </w:pPr>
    </w:p>
    <w:p>
      <w:pPr>
        <w:sectPr>
          <w:pgSz w:w="11900" w:h="16838" w:orient="portrait"/>
          <w:cols w:equalWidth="0" w:num="3">
            <w:col w:w="5100" w:space="720"/>
            <w:col w:w="60" w:space="240"/>
            <w:col w:w="5260"/>
          </w:cols>
          <w:pgMar w:left="240" w:top="125" w:right="27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US$1.5 per certificate presented for transfer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Transfer of American depositary receipts, or ADRs</w:t>
      </w:r>
    </w:p>
    <w:p>
      <w:pPr>
        <w:spacing w:after="0" w:line="222" w:lineRule="exact"/>
        <w:rPr>
          <w:sz w:val="20"/>
          <w:szCs w:val="20"/>
          <w:color w:val="auto"/>
        </w:rPr>
      </w:pPr>
    </w:p>
    <w:p>
      <w:pPr>
        <w:sectPr>
          <w:pgSz w:w="11900" w:h="16838" w:orient="portrait"/>
          <w:cols w:equalWidth="0" w:num="3">
            <w:col w:w="5100" w:space="720"/>
            <w:col w:w="60" w:space="240"/>
            <w:col w:w="5260"/>
          </w:cols>
          <w:pgMar w:left="240" w:top="125" w:right="27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Taxes and other governmental charges the depositary or the custodian have 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As necessary</w:t>
      </w:r>
    </w:p>
    <w:p>
      <w:pPr>
        <w:spacing w:after="0" w:line="57" w:lineRule="exact"/>
        <w:rPr>
          <w:sz w:val="20"/>
          <w:szCs w:val="20"/>
          <w:color w:val="auto"/>
        </w:rPr>
      </w:pPr>
    </w:p>
    <w:p>
      <w:pPr>
        <w:sectPr>
          <w:pgSz w:w="11900" w:h="16838" w:orient="portrait"/>
          <w:cols w:equalWidth="0" w:num="3">
            <w:col w:w="5600" w:space="220"/>
            <w:col w:w="60" w:space="240"/>
            <w:col w:w="5260"/>
          </w:cols>
          <w:pgMar w:left="240" w:top="125" w:right="279" w:bottom="0" w:gutter="0" w:footer="0" w:header="0"/>
          <w:type w:val="continuous"/>
        </w:sectPr>
      </w:pPr>
    </w:p>
    <w:p>
      <w:pPr>
        <w:spacing w:after="0"/>
        <w:rPr>
          <w:sz w:val="20"/>
          <w:szCs w:val="20"/>
          <w:color w:val="auto"/>
        </w:rPr>
      </w:pPr>
      <w:r>
        <w:rPr>
          <w:rFonts w:ascii="Arial" w:cs="Arial" w:eastAsia="Arial" w:hAnsi="Arial"/>
          <w:sz w:val="16"/>
          <w:szCs w:val="16"/>
          <w:color w:val="auto"/>
        </w:rPr>
        <w:t>pay on any ADS or ordinary shares underlying an ADS, for example,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 taxes, stamp duty or withholding taxes</w:t>
      </w:r>
    </w:p>
    <w:p>
      <w:pPr>
        <w:sectPr>
          <w:pgSz w:w="11900" w:h="16838" w:orient="portrait"/>
          <w:cols w:equalWidth="0" w:num="1">
            <w:col w:w="11380"/>
          </w:cols>
          <w:pgMar w:left="240" w:top="125" w:right="279" w:bottom="0" w:gutter="0" w:footer="0" w:header="0"/>
          <w:type w:val="continuous"/>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We did not receive any direct or indirect payment from the depositary in 2017, except that the depositary has agreed to waive certain fees for standard costs associated with the administration of the ADS program and waived such costs in an aggregate amount of US$26,050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management, with the participation of William Lei Ding, our Chief Executive Officer, and Charles Zhaoxuan Yang, our Chief Financial Officer, have conducted an evaluation pursuant to Rule 13a-15 promulgated under the Exchange Act, as amended, of the effectiveness of our disclosure controls and procedures as of December 31, 2017. Based on this evaluation, our Chief Executive Officer and Chief Financial Officer concluded that such disclosure controls and procedures were effective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management’s annual report on internal control over financial reporting is included in this annual report on pages F-1. PricewaterhouseCoopers Zhong Tian LLP, our independent registered public accounting firm, audited the effectiveness of our company’s internal control over the financial reporting period of December 31, 2017 as stated in this annual report on pages F-2.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Fees Charged by Independent Accountants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fees charged by PricewaterhouseCoopers Zhong Tian LLP for certain services rendered to our company during 2016 and 2017.</w:t>
      </w:r>
    </w:p>
    <w:p>
      <w:pPr>
        <w:sectPr>
          <w:pgSz w:w="11900" w:h="16838" w:orient="portrait"/>
          <w:cols w:equalWidth="0" w:num="1">
            <w:col w:w="11380"/>
          </w:cols>
          <w:pgMar w:left="240" w:top="125" w:right="279"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140" w:type="dxa"/>
            <w:vAlign w:val="bottom"/>
            <w:gridSpan w:val="3"/>
          </w:tcPr>
          <w:p>
            <w:pPr>
              <w:jc w:val="center"/>
              <w:ind w:left="780"/>
              <w:spacing w:after="0"/>
              <w:rPr>
                <w:sz w:val="20"/>
                <w:szCs w:val="20"/>
                <w:color w:val="auto"/>
              </w:rPr>
            </w:pPr>
            <w:r>
              <w:rPr>
                <w:rFonts w:ascii="Arial" w:cs="Arial" w:eastAsia="Arial" w:hAnsi="Arial"/>
                <w:sz w:val="14"/>
                <w:szCs w:val="14"/>
                <w:b w:val="1"/>
                <w:bCs w:val="1"/>
                <w:color w:val="auto"/>
                <w:w w:val="92"/>
              </w:rPr>
              <w:t>For the year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30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78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16"/>
                <w:szCs w:val="16"/>
                <w:b w:val="1"/>
                <w:bCs w:val="1"/>
                <w:color w:val="auto"/>
                <w:vertAlign w:val="superscript"/>
              </w:rPr>
              <w:t>(1)</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w w:val="81"/>
              </w:rPr>
              <w:t>2017</w:t>
            </w:r>
            <w:r>
              <w:rPr>
                <w:rFonts w:ascii="Arial" w:cs="Arial" w:eastAsia="Arial" w:hAnsi="Arial"/>
                <w:sz w:val="16"/>
                <w:szCs w:val="16"/>
                <w:b w:val="1"/>
                <w:bCs w:val="1"/>
                <w:color w:val="auto"/>
                <w:w w:val="81"/>
                <w:vertAlign w:val="superscript"/>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2140" w:type="dxa"/>
            <w:vAlign w:val="bottom"/>
            <w:gridSpan w:val="3"/>
          </w:tcPr>
          <w:p>
            <w:pPr>
              <w:jc w:val="center"/>
              <w:ind w:left="800"/>
              <w:spacing w:after="0" w:line="142" w:lineRule="exact"/>
              <w:rPr>
                <w:sz w:val="20"/>
                <w:szCs w:val="20"/>
                <w:color w:val="auto"/>
              </w:rPr>
            </w:pPr>
            <w:r>
              <w:rPr>
                <w:rFonts w:ascii="Arial" w:cs="Arial" w:eastAsia="Arial" w:hAnsi="Arial"/>
                <w:sz w:val="14"/>
                <w:szCs w:val="14"/>
                <w:b w:val="1"/>
                <w:bCs w:val="1"/>
                <w:color w:val="auto"/>
                <w:w w:val="95"/>
              </w:rPr>
              <w:t>RMB (in thousands)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20,039</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11,400</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line="216"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1,169</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760" w:firstLine="656"/>
        <w:spacing w:after="0" w:line="277"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fees disclosed are exclusive of out-of-pocket expenses on the amounts paid, which totaled approximately RMB1,209,000 and RMB771,000 in 2016 and 2017, respectively.</w:t>
      </w:r>
    </w:p>
    <w:p>
      <w:pPr>
        <w:spacing w:after="0" w:line="170"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for professional services rendered by our principal auditors for the audit of our annual financial statements and our internal controls over financial reporting.</w:t>
      </w:r>
    </w:p>
    <w:p>
      <w:pPr>
        <w:spacing w:after="0" w:line="170"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 fees” means the aggregate fees billed in each of the fiscal years for professional services rendered by our principal auditors for tax compliance and tax advice.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other fees” includes the aggregate fees billed in each of the fiscal years for non-audit services rendered which were not listed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181" w:lineRule="exact"/>
        <w:rPr>
          <w:sz w:val="20"/>
          <w:szCs w:val="20"/>
          <w:color w:val="auto"/>
        </w:rPr>
      </w:pPr>
    </w:p>
    <w:p>
      <w:pPr>
        <w:ind w:left="660" w:right="40" w:hanging="328"/>
        <w:spacing w:after="0" w:line="277" w:lineRule="auto"/>
        <w:tabs>
          <w:tab w:leader="none" w:pos="6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sought an exemption from the applicable listing standards for the audit committee of our board of directors.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On November 15, 2016, we announced a share repurchase program authorized by our board of directors, pursuant to which we were authorized to purchase up to US$1.0 billion worth of our issued and outstanding ADSs on the NASDAQ Global Select Market. As of November 14, 2017, the last day of such program, we had purchased 1.1 million ADSs. The table below shows the ADSs that we purchased under this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On November 15, 2017, we announced a new share repurchase program authorized by our board of directors. Under the terms of the approved share repurchase program, we were authorized to purchase up to US$1.0 billion worth of our issued and outstanding ADSs on the NASDAQ Global Select Market. This share repurchase program will expire on November 16, 2018. As of December 31, 2017, no ADSs were purchased under this program.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ADSs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ADSs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vMerge w:val="restart"/>
          </w:tcPr>
          <w:p>
            <w:pPr>
              <w:jc w:val="center"/>
              <w:ind w:right="276"/>
              <w:spacing w:after="0"/>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7"/>
              </w:rPr>
              <w:t>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3"/>
              </w:rPr>
              <w:t>Price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ADSs</w:t>
            </w:r>
          </w:p>
        </w:tc>
        <w:tc>
          <w:tcPr>
            <w:tcW w:w="158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4"/>
              </w:rPr>
              <w:t>Paid</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1720" w:type="dxa"/>
            <w:vAlign w:val="bottom"/>
            <w:gridSpan w:val="2"/>
          </w:tcPr>
          <w:p>
            <w:pPr>
              <w:jc w:val="center"/>
              <w:ind w:right="360"/>
              <w:spacing w:after="0" w:line="172" w:lineRule="exact"/>
              <w:rPr>
                <w:sz w:val="20"/>
                <w:szCs w:val="20"/>
                <w:color w:val="auto"/>
              </w:rPr>
            </w:pPr>
            <w:r>
              <w:rPr>
                <w:rFonts w:ascii="Arial" w:cs="Arial" w:eastAsia="Arial" w:hAnsi="Arial"/>
                <w:sz w:val="14"/>
                <w:szCs w:val="14"/>
                <w:b w:val="1"/>
                <w:bCs w:val="1"/>
                <w:color w:val="auto"/>
                <w:w w:val="88"/>
              </w:rPr>
              <w:t>Purchased</w:t>
            </w:r>
            <w:r>
              <w:rPr>
                <w:rFonts w:ascii="Arial" w:cs="Arial" w:eastAsia="Arial" w:hAnsi="Arial"/>
                <w:sz w:val="17"/>
                <w:szCs w:val="17"/>
                <w:b w:val="1"/>
                <w:bCs w:val="1"/>
                <w:color w:val="auto"/>
                <w:w w:val="88"/>
                <w:vertAlign w:val="superscript"/>
              </w:rPr>
              <w:t>(1)</w:t>
            </w:r>
          </w:p>
        </w:tc>
        <w:tc>
          <w:tcPr>
            <w:tcW w:w="158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Per ADS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276"/>
              <w:spacing w:after="0" w:line="142" w:lineRule="exact"/>
              <w:rPr>
                <w:sz w:val="20"/>
                <w:szCs w:val="20"/>
                <w:color w:val="auto"/>
              </w:rPr>
            </w:pPr>
            <w:r>
              <w:rPr>
                <w:rFonts w:ascii="Arial" w:cs="Arial" w:eastAsia="Arial" w:hAnsi="Arial"/>
                <w:sz w:val="14"/>
                <w:szCs w:val="14"/>
                <w:b w:val="1"/>
                <w:bCs w:val="1"/>
                <w:color w:val="auto"/>
                <w:w w:val="95"/>
              </w:rPr>
              <w:t>US$</w:t>
            </w: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 through March 31, 2017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56,618</w:t>
            </w: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285.89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983,813,525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April 2017</w:t>
            </w:r>
          </w:p>
        </w:tc>
        <w:tc>
          <w:tcPr>
            <w:tcW w:w="1360" w:type="dxa"/>
            <w:vAlign w:val="bottom"/>
          </w:tcPr>
          <w:p>
            <w:pPr>
              <w:jc w:val="right"/>
              <w:spacing w:after="0"/>
              <w:rPr>
                <w:sz w:val="20"/>
                <w:szCs w:val="20"/>
                <w:color w:val="auto"/>
              </w:rPr>
            </w:pPr>
            <w:r>
              <w:rPr>
                <w:rFonts w:ascii="Arial" w:cs="Arial" w:eastAsia="Arial" w:hAnsi="Arial"/>
                <w:sz w:val="18"/>
                <w:szCs w:val="18"/>
                <w:color w:val="auto"/>
              </w:rPr>
              <w:t>298,253</w:t>
            </w:r>
          </w:p>
        </w:tc>
        <w:tc>
          <w:tcPr>
            <w:tcW w:w="360" w:type="dxa"/>
            <w:vAlign w:val="bottom"/>
          </w:tcPr>
          <w:p>
            <w:pPr>
              <w:spacing w:after="0"/>
              <w:rPr>
                <w:sz w:val="18"/>
                <w:szCs w:val="18"/>
                <w:color w:val="auto"/>
              </w:rPr>
            </w:pPr>
          </w:p>
        </w:tc>
        <w:tc>
          <w:tcPr>
            <w:tcW w:w="1580" w:type="dxa"/>
            <w:vAlign w:val="bottom"/>
          </w:tcPr>
          <w:p>
            <w:pPr>
              <w:jc w:val="right"/>
              <w:ind w:right="196"/>
              <w:spacing w:after="0"/>
              <w:rPr>
                <w:sz w:val="20"/>
                <w:szCs w:val="20"/>
                <w:color w:val="auto"/>
              </w:rPr>
            </w:pPr>
            <w:r>
              <w:rPr>
                <w:rFonts w:ascii="Arial" w:cs="Arial" w:eastAsia="Arial" w:hAnsi="Arial"/>
                <w:sz w:val="18"/>
                <w:szCs w:val="18"/>
                <w:color w:val="auto"/>
              </w:rPr>
              <w:t>271.81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298,253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902,746,860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10,195</w:t>
            </w: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268.70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June 2017</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1580" w:type="dxa"/>
            <w:vAlign w:val="bottom"/>
          </w:tcPr>
          <w:p>
            <w:pPr>
              <w:jc w:val="right"/>
              <w:ind w:right="196"/>
              <w:spacing w:after="0"/>
              <w:rPr>
                <w:sz w:val="20"/>
                <w:szCs w:val="20"/>
                <w:color w:val="auto"/>
              </w:rPr>
            </w:pPr>
            <w:r>
              <w:rPr>
                <w:rFonts w:ascii="Arial" w:cs="Arial" w:eastAsia="Arial" w:hAnsi="Arial"/>
                <w:sz w:val="18"/>
                <w:szCs w:val="18"/>
                <w:color w:val="auto"/>
              </w:rPr>
              <w:t>287.94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899,748,338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August 2017</w:t>
            </w:r>
          </w:p>
        </w:tc>
        <w:tc>
          <w:tcPr>
            <w:tcW w:w="1360" w:type="dxa"/>
            <w:vAlign w:val="bottom"/>
          </w:tcPr>
          <w:p>
            <w:pPr>
              <w:jc w:val="right"/>
              <w:spacing w:after="0"/>
              <w:rPr>
                <w:sz w:val="20"/>
                <w:szCs w:val="20"/>
                <w:color w:val="auto"/>
              </w:rPr>
            </w:pPr>
            <w:r>
              <w:rPr>
                <w:rFonts w:ascii="Arial" w:cs="Arial" w:eastAsia="Arial" w:hAnsi="Arial"/>
                <w:sz w:val="18"/>
                <w:szCs w:val="18"/>
                <w:color w:val="auto"/>
              </w:rPr>
              <w:t>203,310</w:t>
            </w:r>
          </w:p>
        </w:tc>
        <w:tc>
          <w:tcPr>
            <w:tcW w:w="360" w:type="dxa"/>
            <w:vAlign w:val="bottom"/>
          </w:tcPr>
          <w:p>
            <w:pPr>
              <w:spacing w:after="0"/>
              <w:rPr>
                <w:sz w:val="18"/>
                <w:szCs w:val="18"/>
                <w:color w:val="auto"/>
              </w:rPr>
            </w:pPr>
          </w:p>
        </w:tc>
        <w:tc>
          <w:tcPr>
            <w:tcW w:w="1580" w:type="dxa"/>
            <w:vAlign w:val="bottom"/>
          </w:tcPr>
          <w:p>
            <w:pPr>
              <w:jc w:val="right"/>
              <w:ind w:right="196"/>
              <w:spacing w:after="0"/>
              <w:rPr>
                <w:sz w:val="20"/>
                <w:szCs w:val="20"/>
                <w:color w:val="auto"/>
              </w:rPr>
            </w:pPr>
            <w:r>
              <w:rPr>
                <w:rFonts w:ascii="Arial" w:cs="Arial" w:eastAsia="Arial" w:hAnsi="Arial"/>
                <w:sz w:val="18"/>
                <w:szCs w:val="18"/>
                <w:color w:val="auto"/>
              </w:rPr>
              <w:t>274.45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203,310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843,949,283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311,647</w:t>
            </w: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269.94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311,647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759,824,328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October 2017</w:t>
            </w:r>
          </w:p>
        </w:tc>
        <w:tc>
          <w:tcPr>
            <w:tcW w:w="1360" w:type="dxa"/>
            <w:vAlign w:val="bottom"/>
          </w:tcPr>
          <w:p>
            <w:pPr>
              <w:jc w:val="right"/>
              <w:spacing w:after="0"/>
              <w:rPr>
                <w:sz w:val="20"/>
                <w:szCs w:val="20"/>
                <w:color w:val="auto"/>
              </w:rPr>
            </w:pPr>
            <w:r>
              <w:rPr>
                <w:rFonts w:ascii="Arial" w:cs="Arial" w:eastAsia="Arial" w:hAnsi="Arial"/>
                <w:sz w:val="18"/>
                <w:szCs w:val="18"/>
                <w:color w:val="auto"/>
              </w:rPr>
              <w:t>206,603</w:t>
            </w:r>
          </w:p>
        </w:tc>
        <w:tc>
          <w:tcPr>
            <w:tcW w:w="360" w:type="dxa"/>
            <w:vAlign w:val="bottom"/>
          </w:tcPr>
          <w:p>
            <w:pPr>
              <w:spacing w:after="0"/>
              <w:rPr>
                <w:sz w:val="18"/>
                <w:szCs w:val="18"/>
                <w:color w:val="auto"/>
              </w:rPr>
            </w:pPr>
          </w:p>
        </w:tc>
        <w:tc>
          <w:tcPr>
            <w:tcW w:w="1580" w:type="dxa"/>
            <w:vAlign w:val="bottom"/>
          </w:tcPr>
          <w:p>
            <w:pPr>
              <w:jc w:val="right"/>
              <w:ind w:right="196"/>
              <w:spacing w:after="0"/>
              <w:rPr>
                <w:sz w:val="20"/>
                <w:szCs w:val="20"/>
                <w:color w:val="auto"/>
              </w:rPr>
            </w:pPr>
            <w:r>
              <w:rPr>
                <w:rFonts w:ascii="Arial" w:cs="Arial" w:eastAsia="Arial" w:hAnsi="Arial"/>
                <w:sz w:val="18"/>
                <w:szCs w:val="18"/>
                <w:color w:val="auto"/>
              </w:rPr>
              <w:t>271.50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206,603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703,731,861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November 1 through November 7, 2017</w:t>
            </w:r>
            <w:r>
              <w:rPr>
                <w:rFonts w:ascii="Arial" w:cs="Arial" w:eastAsia="Arial" w:hAnsi="Arial"/>
                <w:sz w:val="23"/>
                <w:szCs w:val="23"/>
                <w:color w:val="auto"/>
                <w:vertAlign w:val="superscript"/>
              </w:rPr>
              <w:t>(2)</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35,191</w:t>
            </w: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278.44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35,191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693,933,256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1,122,717</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1,122,717</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ADS to ordinary share ratio is one ADS for every 25 ordinary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repurchase program expired on November 14, 2017.</w:t>
      </w:r>
    </w:p>
    <w:p>
      <w:pPr>
        <w:sectPr>
          <w:pgSz w:w="11900" w:h="16838" w:orient="portrait"/>
          <w:cols w:equalWidth="0" w:num="1">
            <w:col w:w="11420"/>
          </w:cols>
          <w:pgMar w:left="240" w:top="104" w:right="239" w:bottom="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for NetEase, Inc. and its subsidiaries are included at the end of this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740" w:type="dxa"/>
            <w:vAlign w:val="bottom"/>
            <w:gridSpan w:val="12"/>
            <w:vMerge w:val="restart"/>
          </w:tcPr>
          <w:p>
            <w:pPr>
              <w:ind w:left="46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74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6"/>
                <w:szCs w:val="16"/>
                <w:color w:val="auto"/>
              </w:rPr>
            </w:pPr>
          </w:p>
        </w:tc>
        <w:tc>
          <w:tcPr>
            <w:tcW w:w="9900" w:type="dxa"/>
            <w:vAlign w:val="bottom"/>
            <w:tcBorders>
              <w:top w:val="single" w:sz="8" w:color="auto"/>
            </w:tcBorders>
            <w:gridSpan w:val="17"/>
          </w:tcPr>
          <w:p>
            <w:pPr>
              <w:spacing w:after="0" w:line="195" w:lineRule="exact"/>
              <w:rPr>
                <w:sz w:val="20"/>
                <w:szCs w:val="20"/>
                <w:color w:val="auto"/>
              </w:rPr>
            </w:pPr>
            <w:r>
              <w:rPr>
                <w:rFonts w:ascii="Arial" w:cs="Arial" w:eastAsia="Arial" w:hAnsi="Arial"/>
                <w:sz w:val="18"/>
                <w:szCs w:val="18"/>
                <w:color w:val="auto"/>
                <w:w w:val="94"/>
              </w:rPr>
              <w:t>Amended and Restated Memorandum of Association of NetEase.com, Inc. (incorporated by reference to Exhibit 3.1 to Amendment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No. 1 to the 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3"/>
              </w:rPr>
              <w:t>Amended and Restated Articles of Association of NetEase.com, Inc. (incorporated by reference to Exhibit 3.2 to Amendment No. 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the company’s Registration Statement on Form F-1 (file no. 333-11724) filed with the SEC on May 15, 2000)</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Amendment to Amended and Restated Articles of Association of NetEase.com, Inc. dated as of June 6, 2003 (incorporated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to Exhibit 1.3 to the company’s Annual Report on Form 20-F for the year ended December 31, 2002 filed with the SEC on June 27,</w:t>
              </w:r>
            </w:hyperlink>
          </w:p>
        </w:tc>
        <w:tc>
          <w:tcPr>
            <w:tcW w:w="24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gridSpan w:val="2"/>
          </w:tcPr>
          <w:p>
            <w:pPr>
              <w:ind w:left="340"/>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2003)</w:t>
              </w:r>
            </w:hyperlink>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60" w:type="dxa"/>
            <w:vAlign w:val="bottom"/>
            <w:gridSpan w:val="2"/>
          </w:tcPr>
          <w:p>
            <w:pPr>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5"/>
              </w:rPr>
              <w:t>Specimen American Depositary Receipt of NetEase.com, Inc. (incorporated by reference to Exhibit 4.1 to Amendment No. 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w w:val="96"/>
              </w:rPr>
              <w:t>Specimen Stock Certificate of NetEase.com, Inc. (incorporated by reference to Exhibit 4.2 to Amendment No. 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00" w:type="dxa"/>
            <w:vAlign w:val="bottom"/>
            <w:gridSpan w:val="17"/>
          </w:tcPr>
          <w:p>
            <w:pPr>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Proxy Agreement dated April 15, 2009 between NetEase (Hangzhou) Network Co., Ltd. and Zhipeng Hu (incorporated by reference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Exhibit 3.3 to the company’s Annual Report on Form 20-F for the year ended December 31, 2014 filed with the SEC on April 24, 2015)</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620" w:type="dxa"/>
            <w:vAlign w:val="bottom"/>
            <w:tcBorders>
              <w:bottom w:val="single" w:sz="8" w:color="0000EE"/>
            </w:tcBorders>
            <w:gridSpan w:val="10"/>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Shareholder Voting Rights Trust Agreement dated December 1, 2015 between NetEase (Hangzhou) Network Co., Ltd. and Tianlei Hu</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(incorporated by reference to Exhibit 3.8 to the company’s Annual Report on Form 20-F for the year ended December 31, 2015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the SEC on April 22, 2016)</w:t>
              </w:r>
            </w:hyperlink>
          </w:p>
        </w:tc>
        <w:tc>
          <w:tcPr>
            <w:tcW w:w="7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Shareholder Voting Rights Trust Agreement dated December 1, 2015 between NetEase (Hangzhou) Network Co., Ltd. and Zhipeng Hu</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(incorporated by reference to Exhibit 3.9 to the company’s Annual Report on Form 20-F for the year ended December 31, 2015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the SEC on April 22, 2016)</w:t>
              </w:r>
            </w:hyperlink>
          </w:p>
        </w:tc>
        <w:tc>
          <w:tcPr>
            <w:tcW w:w="7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9840" w:type="dxa"/>
            <w:vAlign w:val="bottom"/>
            <w:tcBorders>
              <w:bottom w:val="single" w:sz="8" w:color="0000EE"/>
            </w:tcBorders>
            <w:gridSpan w:val="16"/>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Shareholder Voting Rights Trust Agreement dated November 30, 2015 between NetEase Media Technology (Beijing) Co., Ltd. and Li Li</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(incorporated by reference to Exhibit 3.6 to the company’s Annual Report on Form 20-F for the year ended December 31, 2015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the SEC on April 22, 2016)</w:t>
              </w:r>
            </w:hyperlink>
          </w:p>
        </w:tc>
        <w:tc>
          <w:tcPr>
            <w:tcW w:w="79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4"/>
              </w:rPr>
            </w:pPr>
            <w:hyperlink r:id="rId156">
              <w:r>
                <w:rPr>
                  <w:rFonts w:ascii="Arial" w:cs="Arial" w:eastAsia="Arial" w:hAnsi="Arial"/>
                  <w:sz w:val="18"/>
                  <w:szCs w:val="18"/>
                  <w:color w:val="0000EE"/>
                  <w:w w:val="94"/>
                </w:rPr>
                <w:t>Shareholder Voting Rights Trust Agreement dated November 30, 2015 between NetEase Media Technology (Beijing) Co., Ltd.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2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William Lei Ding (incorporated by reference to Exhibit 3.5 to the company’s Annual Report on Form 20-F for the year ended</w:t>
              </w:r>
            </w:hyperlink>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December 31, 2015 filed with the SEC on April 22, 2016)</w:t>
              </w:r>
            </w:hyperlink>
          </w:p>
        </w:tc>
        <w:tc>
          <w:tcPr>
            <w:tcW w:w="4840" w:type="dxa"/>
            <w:vAlign w:val="bottom"/>
            <w:tcBorders>
              <w:top w:val="single" w:sz="8" w:color="0000EE"/>
            </w:tcBorders>
          </w:tcPr>
          <w:p>
            <w:pPr>
              <w:spacing w:after="0"/>
              <w:rPr>
                <w:sz w:val="17"/>
                <w:szCs w:val="17"/>
                <w:color w:val="auto"/>
              </w:rPr>
            </w:pPr>
          </w:p>
        </w:tc>
        <w:tc>
          <w:tcPr>
            <w:tcW w:w="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9680" w:type="dxa"/>
            <w:vAlign w:val="bottom"/>
            <w:tcBorders>
              <w:bottom w:val="single" w:sz="8" w:color="0000EE"/>
            </w:tcBorders>
            <w:gridSpan w:val="11"/>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Amended and Restated Shareholder Voting Right Trust Agreement dated November 30, 2015 among NetEase Information Technology</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w w:val="95"/>
              </w:rPr>
            </w:pPr>
            <w:hyperlink r:id="rId157">
              <w:r>
                <w:rPr>
                  <w:rFonts w:ascii="Arial" w:cs="Arial" w:eastAsia="Arial" w:hAnsi="Arial"/>
                  <w:sz w:val="18"/>
                  <w:szCs w:val="18"/>
                  <w:color w:val="0000EE"/>
                  <w:w w:val="95"/>
                </w:rPr>
                <w:t>(Beijing) Co., Ltd., Beijing Guangyitong Advertising Co., Ltd. (now known as Beijing NetEase Media Co., Ltd.) William Lei Ding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Xiaojun Hui (incorporated by reference to Exhibit 3.7 to the company’s Annual Report on Form 20-F for the year ended December 31,</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2015 filed with the SEC on April 22, 2016)</w:t>
              </w:r>
            </w:hyperlink>
          </w:p>
        </w:tc>
        <w:tc>
          <w:tcPr>
            <w:tcW w:w="6580" w:type="dxa"/>
            <w:vAlign w:val="bottom"/>
            <w:tcBorders>
              <w:top w:val="single" w:sz="8" w:color="0000EE"/>
            </w:tcBorders>
            <w:gridSpan w:val="7"/>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Shareholder Voting Rights Trust Agreement dated September 26, 2016 between NetEase Youdao Information Technology (Beijing)</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44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Co., Ltd. and William Lei Ding (incorporated by reference to Exhibit 3.6 to the company’s Annual Report on Form 20-F for the year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87" w:name="page88"/>
    <w:bookmarkEnd w:id="8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9"/>
          </w:tcPr>
          <w:p>
            <w:pPr>
              <w:spacing w:after="0"/>
              <w:rPr>
                <w:rFonts w:ascii="Arial" w:cs="Arial" w:eastAsia="Arial" w:hAnsi="Arial"/>
                <w:sz w:val="18"/>
                <w:szCs w:val="18"/>
                <w:color w:val="0000EE"/>
              </w:rPr>
            </w:pPr>
            <w:hyperlink r:id="rId158">
              <w:r>
                <w:rPr>
                  <w:rFonts w:ascii="Arial" w:cs="Arial" w:eastAsia="Arial" w:hAnsi="Arial"/>
                  <w:sz w:val="18"/>
                  <w:szCs w:val="18"/>
                  <w:color w:val="0000EE"/>
                </w:rPr>
                <w:t>ended December 31, 2016 filed with the SEC on April 21,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EE"/>
                <w:w w:val="96"/>
              </w:rPr>
            </w:pPr>
            <w:hyperlink r:id="rId159">
              <w:r>
                <w:rPr>
                  <w:rFonts w:ascii="Arial" w:cs="Arial" w:eastAsia="Arial" w:hAnsi="Arial"/>
                  <w:sz w:val="18"/>
                  <w:szCs w:val="18"/>
                  <w:color w:val="0000EE"/>
                  <w:w w:val="96"/>
                </w:rPr>
                <w:t>Shareholder Voting Right Trust Agreement dated November 20, 2017 between NetEase Youdao Information Technology (Beijing)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Co., Ltd. and Feng Zhou</w:t>
              </w:r>
            </w:hyperlink>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0000EE"/>
            </w:tcBorders>
            <w:gridSpan w:val="6"/>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2009 Restricted Share Unit Plan (incorporated by reference to Exhibit 10.1 to the company’s Registration Statement on Form S-8 (file</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9"/>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no. 333-164249) filed with the SEC on January 8, 2010)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Form of Employment Agreement between NetEase.com, Inc. and its executive officers (incorporated by reference to Exhibit 4.3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company’s Annual Report on Form 20-F for the year ended December 31, 2009 filed with the SEC on June 29, 2010)</w:t>
              </w:r>
            </w:hyperlink>
          </w:p>
        </w:tc>
        <w:tc>
          <w:tcPr>
            <w:tcW w:w="1220" w:type="dxa"/>
            <w:vAlign w:val="bottom"/>
            <w:tcBorders>
              <w:top w:val="single" w:sz="8" w:color="0000EE"/>
            </w:tcBorders>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2"/>
              </w:rPr>
              <w:t>Domain Name License Agreement dated February 3, 2000 between NetEase.com, Inc. (now known as NetEase, Inc.) and Guangzhou</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3"/>
              </w:rPr>
              <w:t>NetEase Computer System Co., Ltd. (incorporated by reference to Exhibit 10.7 to the company’s Registration Statement on Form F-1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ind w:left="4080"/>
              <w:spacing w:after="0"/>
              <w:rPr>
                <w:sz w:val="20"/>
                <w:szCs w:val="20"/>
                <w:color w:val="auto"/>
              </w:rPr>
            </w:pPr>
            <w:r>
              <w:rPr>
                <w:rFonts w:ascii="Arial" w:cs="Arial" w:eastAsia="Arial" w:hAnsi="Arial"/>
                <w:sz w:val="18"/>
                <w:szCs w:val="18"/>
                <w:color w:val="auto"/>
              </w:rPr>
              <w:t>118</w:t>
            </w: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6"/>
            <w:vMerge w:val="restart"/>
          </w:tcPr>
          <w:p>
            <w:pPr>
              <w:ind w:left="60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gridSpan w:val="2"/>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gridSpan w:val="6"/>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4"/>
              </w:rPr>
              <w:t>Copyright License Agreement dated February 3, 2000 between NetEase Information Technology (Beijing) Co., Ltd. and Guangzhou</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3"/>
              </w:rPr>
              <w:t>NetEase Computer System Co., Ltd. (incorporated by reference to Exhibit 10.8 to the company’s Registration Statement on Form F-1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4"/>
              </w:rPr>
              <w:t>Trademark License Agreement dated February 3, 2000 between NetEase Information Technology (Beijing) Co., Ltd. and Guangzhou</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3"/>
              </w:rPr>
              <w:t>NetEase Computer System Co., Ltd. (incorporated by reference to Exhibit 10.9 to the company’s Registration Statement on Form F-1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6"/>
              </w:rPr>
              <w:t>Supplemental Agreement (to Copyright License Agreement and Domain Name License Agreement) dated April 27, 2000 between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2"/>
              </w:rPr>
              <w:t>NetEase Information Technology (Beijing) Co., Ltd. and Guangzhou NetEase Computer System Co., Ltd. (incorporated by reference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5"/>
              </w:rPr>
              <w:t>Exhibit 10.10 to Amendment No.1 to the company’s Registration Statement on Form F-1 (file no. 333-11724) filed with the SEC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May 15,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2"/>
              </w:rPr>
              <w:t>Notice of Renewal dated April 2, 2001 relating to the Copyright License Agreement and the Trademark License Agreement each 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3"/>
              </w:rPr>
              <w:t>February 3, 2000 and made between NetEase Information Technology (Beijing) Co., Ltd. and Guangzhou NetEase Computer System</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4"/>
              </w:rPr>
              <w:t>Co., Ltd. (incorporated by reference to Exhibit 4.14 to the company’s Annual Report on Form 20-F for the year ended December 31,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2000 filed with the SEC on August 31, 2001)</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9"/>
              </w:rPr>
              <w:t>Online Advertising Agreement dated February 15, 2000 between Guangzhou NetEase Computer System Co., Ltd. and Beijing</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4"/>
              </w:rPr>
              <w:t>Guangyitong Advertising Co., Ltd. (incorporated by reference to Exhibit 10.15 to the company’s Registration Statement on Form F-1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7"/>
              </w:rPr>
              <w:t>Notice of Renewal dated April 2, 2001 relating to the Online Advertising Agreement dated February 15, 2000 and made between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Guangzhou NetEase Computer System Co., Ltd. and Beijing Guangyitong Advertising Co., Ltd. (incorporated by reference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4"/>
              </w:rPr>
              <w:t>Exhibit 4.21 to the company’s Annual Report on Form 20-F for the year ended December 31, 2000 filed with the SEC on August 31,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2001)</w:t>
            </w:r>
          </w:p>
        </w:tc>
        <w:tc>
          <w:tcPr>
            <w:tcW w:w="2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6"/>
              </w:rPr>
              <w:t>Supplemental Agreement dated May 15, 2000 (amending the Domain Name License Agreement) between NetEase.com, Inc.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5"/>
              </w:rPr>
              <w:t>Guangzhou NetEase Computer System Co., Ltd. (incorporated by reference to Exhibit 10.37 to Amendment No. 1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0"/>
              </w:rPr>
              <w:t>Agreement dated May 12, 2000 between NetEase Information Technology (Beijing) Co., Ltd. and Guangzhou NetEase Computer System</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1"/>
              </w:rPr>
              <w:t>Co., Ltd. (incorporated by reference to Exhibit 10.41 to Amendment No. 1 to the company’s Registration Statement on Form F-1 (file no.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333-11724) filed with the SEC on May 15, 2000)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ind w:left="4080"/>
              <w:spacing w:after="0"/>
              <w:rPr>
                <w:sz w:val="20"/>
                <w:szCs w:val="20"/>
                <w:color w:val="auto"/>
              </w:rPr>
            </w:pPr>
            <w:r>
              <w:rPr>
                <w:rFonts w:ascii="Arial" w:cs="Arial" w:eastAsia="Arial" w:hAnsi="Arial"/>
                <w:sz w:val="18"/>
                <w:szCs w:val="18"/>
                <w:color w:val="auto"/>
              </w:rPr>
              <w:t>119</w:t>
            </w: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6"/>
            <w:vMerge w:val="restart"/>
          </w:tcPr>
          <w:p>
            <w:pPr>
              <w:ind w:left="60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gridSpan w:val="2"/>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gridSpan w:val="6"/>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4"/>
              </w:rPr>
              <w:t>Supplemental Agreement dated May 12, 2000 (supplementing the Online Advertising Agreement dated February 15, 2000) between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Guangzhou NetEase Computer System Co., Ltd. and Beijing Guangyitong Advertising Co., Ltd. (incorporated by reference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5"/>
              </w:rPr>
              <w:t>Exhibit 10.47 to Amendment No. 1 to the company’s Registration Statement on Form F-1 (file no. 333-11724) filed with the SEC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May 15,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2"/>
              </w:rPr>
              <w:t>Supplemental Agreement dated May 15, 2000 (supplementing the Domain Name License Agreement dated February 3, 2000) between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1"/>
              </w:rPr>
              <w:t>NetEase.com, Inc. and Guangzhou NetEase Computer System Co., Ltd. (incorporated by reference to Exhibit 10.48 to Amendment No. 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to the 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7"/>
              </w:rPr>
              <w:t>Letter of Agreement, dated June 6, 2000, among William Lei Ding, Bo Ding and NetEase.com, Inc. (incorporated by reference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w w:val="95"/>
              </w:rPr>
              <w:t>Exhibit 10.49 to Amendment No. 2 to the company’s Registration Statement on Form F-1 (file no. 333-11724) filed with the SEC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-8234045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-8234045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08" w:right="199"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auto"/>
              </w:rPr>
              <w:t>June 15, 2000)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auto"/>
                <w:w w:val="93"/>
              </w:rPr>
              <w:t>Supplemental Agreement dated June 15, 2000 (supplementing the Online Advertising Agreement dated February 15, 2000), between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auto"/>
              </w:rPr>
              <w:t>Beijing Guangyitong Advertising Co., Ltd. and Guangzhou NetEase Computer System Co., Ltd. (incorporated by reference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auto"/>
                <w:w w:val="95"/>
              </w:rPr>
              <w:t>Exhibit 10.50 to Amendment No. 2 to the company’s Registration Statement on Form F-1 (file no. 333-11724) filed with the SEC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auto"/>
              </w:rPr>
              <w:t>June 15, 2000)</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3"/>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Supplemental Letter of Agreement dated May 17, 2004 (supplementing the Letter Agreement dated June 6, 2000 by and among William</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Lei Ding, Bo Ding and NetEase.com, Inc.) by and among William Lei Ding, Bo Ding, Jun Liang and NetEase.com, Inc. (incorporated by</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reference to Exhibit 4.39 to the company’s Annual Report on Form 20-F for the year ended December 31, 2004 filed with the SEC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June 27, 2005)</w:t>
              </w:r>
            </w:hyperlink>
          </w:p>
        </w:tc>
        <w:tc>
          <w:tcPr>
            <w:tcW w:w="8520" w:type="dxa"/>
            <w:vAlign w:val="bottom"/>
            <w:tcBorders>
              <w:top w:val="single" w:sz="8" w:color="0000EE"/>
            </w:tcBorders>
            <w:gridSpan w:val="15"/>
          </w:tcPr>
          <w:p>
            <w:pPr>
              <w:spacing w:after="0"/>
              <w:rPr>
                <w:sz w:val="17"/>
                <w:szCs w:val="17"/>
                <w:color w:val="auto"/>
              </w:rPr>
            </w:pPr>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Second Supplemental Letter of Agreement dated July 15, 2004 (supplementing the Letter Agreement dated June 6, 2000 by and among</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William Lei Ding, Bo Ding and NetEase.com, Inc., as supplemented by the Supplemental Letter of Agreement dated May 17, 2004 by</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6"/>
              </w:rPr>
            </w:pPr>
            <w:hyperlink r:id="rId167">
              <w:r>
                <w:rPr>
                  <w:rFonts w:ascii="Arial" w:cs="Arial" w:eastAsia="Arial" w:hAnsi="Arial"/>
                  <w:sz w:val="18"/>
                  <w:szCs w:val="18"/>
                  <w:color w:val="0000EE"/>
                  <w:w w:val="96"/>
                </w:rPr>
                <w:t>and among William Lei Ding, Bo Ding, Jun Liang and NetEase.com, Inc.) by and among William Lei Ding, Bo Ding, Jun Liang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NetEase.com, Inc. (incorporated by reference to Exhibit 4.40 to the company’s Annual Report on Form 20-F for the year ended</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December 31, 2004 filed with the SEC on June 27, 2005)</w:t>
              </w:r>
            </w:hyperlink>
          </w:p>
        </w:tc>
        <w:tc>
          <w:tcPr>
            <w:tcW w:w="8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No. 3 Supplemental Letter of Agreement dated July 20, 2004 (supplementing the Letter Agreement dated June 6, 2000 by and among</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William Lei Ding, Bo Ding and NetEase.com, Inc., as supplemented by the Supplemental Letter of Agreement dated May 17, 2004 and</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the Second Supplemental Letter of Agreement dated July 15, 2004, each by and among William Lei Ding, Bo Ding, Jun Liang and</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NetEase.com, Inc.) by and among William Lei Ding, Bo Ding, Jun Liang and NetEase.com, Inc. (incorporated by reference to</w:t>
              </w:r>
            </w:hyperlink>
          </w:p>
        </w:tc>
        <w:tc>
          <w:tcPr>
            <w:tcW w:w="8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Exhibit 4.41 to the company’s Annual Report on Form 20-F for the year ended December 31, 2004 filed with the SEC on June 27, 2005)</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Form of Cooperative Agreement (incorporated by reference to Exhibit 4.25 to the company’s Annual Report on Form 20-F for the year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ended December 31, 2012 filed with the SEC on April 22, 2013)</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Loan Agreement dated March 23, 2009 between NetEase (Hangzhou) Network Co., Ltd. and Zhipeng Hu (incorporated by reference to</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Exhibit 4.25 to the company’s 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tcBorders>
              <w:top w:val="single" w:sz="8" w:color="0000EE"/>
            </w:tcBorders>
            <w:gridSpan w:val="5"/>
          </w:tcPr>
          <w:p>
            <w:pPr>
              <w:ind w:left="4080"/>
              <w:spacing w:after="0"/>
              <w:rPr>
                <w:sz w:val="20"/>
                <w:szCs w:val="20"/>
                <w:color w:val="auto"/>
              </w:rPr>
            </w:pPr>
            <w:r>
              <w:rPr>
                <w:rFonts w:ascii="Arial" w:cs="Arial" w:eastAsia="Arial" w:hAnsi="Arial"/>
                <w:sz w:val="18"/>
                <w:szCs w:val="18"/>
                <w:color w:val="auto"/>
              </w:rPr>
              <w:t>120</w:t>
            </w:r>
          </w:p>
        </w:tc>
        <w:tc>
          <w:tcPr>
            <w:tcW w:w="304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3"/>
            <w:vMerge w:val="restart"/>
          </w:tcPr>
          <w:p>
            <w:pPr>
              <w:ind w:left="46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740" w:type="dxa"/>
            <w:vAlign w:val="bottom"/>
            <w:tcBorders>
              <w:bottom w:val="single" w:sz="8" w:color="auto"/>
            </w:tcBorders>
            <w:gridSpan w:val="2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Loan Agreement dated March 23, 2009 between NetEase (Hangzhou) Network Co., Ltd. and Gang Chen (incorporated by reference to</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Exhibit 4.26 to the company’s 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Equity Pledge Agreement dated April 15, 2009 between NetEase (Hangzhou) Network Co., Ltd. and Zhipeng Hu (incorporated by</w:t>
              </w:r>
            </w:hyperlink>
          </w:p>
        </w:tc>
        <w:tc>
          <w:tcPr>
            <w:tcW w:w="480" w:type="dxa"/>
            <w:vAlign w:val="bottom"/>
            <w:tcBorders>
              <w:top w:val="single" w:sz="8" w:color="0000EE"/>
            </w:tcBorders>
            <w:gridSpan w:val="16"/>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reference to Exhibit 4.27 to the company’s Annual Report on Form 20-F for the year ended December 31, 2014 filed with the SEC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April 24, 2015)</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6"/>
              </w:rPr>
            </w:pPr>
            <w:hyperlink r:id="rId173">
              <w:r>
                <w:rPr>
                  <w:rFonts w:ascii="Arial" w:cs="Arial" w:eastAsia="Arial" w:hAnsi="Arial"/>
                  <w:sz w:val="18"/>
                  <w:szCs w:val="18"/>
                  <w:color w:val="0000EE"/>
                  <w:w w:val="96"/>
                </w:rPr>
                <w:t>Equity Pledge Agreement dated April 15, 2009 between NetEase (Hangzhou) Network Co., Ltd. and Gang Chen (incorporated by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4"/>
              </w:rPr>
            </w:pPr>
            <w:hyperlink r:id="rId173">
              <w:r>
                <w:rPr>
                  <w:rFonts w:ascii="Arial" w:cs="Arial" w:eastAsia="Arial" w:hAnsi="Arial"/>
                  <w:sz w:val="18"/>
                  <w:szCs w:val="18"/>
                  <w:color w:val="0000EE"/>
                  <w:w w:val="94"/>
                </w:rPr>
                <w:t>reference to Exhibit 4.28 to the company’s Annual Report on Form 20-F for the year ended December 31, 2014 filed with the SEC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April 24, 2015)</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Exclusive Purchase Option Agreement dated April 15, 2009 among NetEase (Hangzhou) Network Co., Ltd., Gang Chen and Hangzhou</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Leihuo Network Co., Ltd (incorporated by reference to Exhibit 4.29 to the company’s Annual Report on Form 20-F for the year ended</w:t>
              </w:r>
            </w:hyperlink>
          </w:p>
        </w:tc>
        <w:tc>
          <w:tcPr>
            <w:tcW w:w="80" w:type="dxa"/>
            <w:vAlign w:val="bottom"/>
            <w:tcBorders>
              <w:top w:val="single" w:sz="8" w:color="0000EE"/>
            </w:tcBorders>
            <w:gridSpan w:val="4"/>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December 31, 2014 filed with the SEC on April 24, 2015)</w:t>
              </w:r>
            </w:hyperlink>
          </w:p>
        </w:tc>
        <w:tc>
          <w:tcPr>
            <w:tcW w:w="57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3"/>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Exclusive Purchase Option Agreement dated April 15, 2009 among NetEase (Hangzhou) Network Co., Ltd., Zhipeng Hu and Hangzhou</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Leihuo Network Co., Ltd (incorporated by reference to Exhibit 4.30 to the company’s Annual Report on Form 20-F for the year ended</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December 31, 2014 filed with the SEC on April 24, 2015)</w:t>
              </w:r>
            </w:hyperlink>
          </w:p>
        </w:tc>
        <w:tc>
          <w:tcPr>
            <w:tcW w:w="57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5"/>
              </w:rPr>
            </w:pPr>
            <w:hyperlink r:id="rId176">
              <w:r>
                <w:rPr>
                  <w:rFonts w:ascii="Arial" w:cs="Arial" w:eastAsia="Arial" w:hAnsi="Arial"/>
                  <w:sz w:val="18"/>
                  <w:szCs w:val="18"/>
                  <w:color w:val="0000EE"/>
                  <w:w w:val="95"/>
                </w:rPr>
                <w:t>Operating Agreement dated April 15, 2009 among NetEase (Hangzhou) Network Co., Ltd., Zhipeng Hu, Gang Chen and Hangzhou</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5340" w:type="dxa"/>
            <w:vAlign w:val="bottom"/>
            <w:gridSpan w:val="4"/>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Leihuo Network Co., Ltd (incorporated by reference to Exhibit 4.31 to the company’s Annual Report on Form 20-F for the year ended</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December 31, 2014 filed with the SEC on April 24, 2015)</w:t>
              </w:r>
            </w:hyperlink>
          </w:p>
        </w:tc>
        <w:tc>
          <w:tcPr>
            <w:tcW w:w="57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Cooperation Agreement dated January 1, 2010 between NetEase (Hangzhou) Network Co., Ltd. and Hangzhou Leihuo Network Co., Ltd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(incorporated by reference to Exhibit 4.32 to the company’s Annual Report on Form 20-F for the year ended December 31, 2014 filed</w:t>
              </w:r>
            </w:hyperlink>
          </w:p>
        </w:tc>
        <w:tc>
          <w:tcPr>
            <w:tcW w:w="22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with the SEC on April 24, 2015)</w:t>
              </w:r>
            </w:hyperlink>
          </w:p>
        </w:tc>
        <w:tc>
          <w:tcPr>
            <w:tcW w:w="7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Amendment and Novation of Operating Agreement dated May 1, 2014 among NetEase Information Technology (Beijing) Co., Ltd.,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5340" w:type="dxa"/>
            <w:vAlign w:val="bottom"/>
            <w:gridSpan w:val="4"/>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4"/>
              </w:rPr>
            </w:pPr>
            <w:hyperlink r:id="rId178">
              <w:r>
                <w:rPr>
                  <w:rFonts w:ascii="Arial" w:cs="Arial" w:eastAsia="Arial" w:hAnsi="Arial"/>
                  <w:sz w:val="18"/>
                  <w:szCs w:val="18"/>
                  <w:color w:val="0000EE"/>
                  <w:w w:val="94"/>
                </w:rPr>
                <w:t>Beijing Guangyitong Advertising Co., Ltd., Bo Ding and William Lei Ding (incorporated by reference to Exhibit 4.33 to the company’s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Annual Report on Form 20-F for the year ended December 31, 2014 filed with the SEC on April 24, 2015)</w:t>
              </w:r>
            </w:hyperlink>
          </w:p>
        </w:tc>
        <w:tc>
          <w:tcPr>
            <w:tcW w:w="2080" w:type="dxa"/>
            <w:vAlign w:val="bottom"/>
            <w:tcBorders>
              <w:top w:val="single" w:sz="8" w:color="0000EE"/>
            </w:tcBorders>
            <w:gridSpan w:val="16"/>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3"/>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Amendment and Novation of Letter of Agreement dated May 1, 2014 among NetEase Inc., William Lei Ding, Bo Ding and Xiaojun Hui</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(incorporated by reference to Exhibit 4.34 to the company’s Annual Report on Form 20-F for the year ended December 31, 2014 filed</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with the SEC on April 24, 2015)</w:t>
              </w:r>
            </w:hyperlink>
          </w:p>
        </w:tc>
        <w:tc>
          <w:tcPr>
            <w:tcW w:w="7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tcBorders>
              <w:bottom w:val="single" w:sz="8" w:color="0000EE"/>
            </w:tcBorders>
            <w:gridSpan w:val="15"/>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Loan Agreement dated May 1, 2014 between NetEase Information Technology (Beijing) Co., Ltd. and Xiaojun Hui (incorporated by</w:t>
              </w:r>
            </w:hyperlink>
          </w:p>
        </w:tc>
        <w:tc>
          <w:tcPr>
            <w:tcW w:w="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4"/>
              </w:rPr>
            </w:pPr>
            <w:hyperlink r:id="rId180">
              <w:r>
                <w:rPr>
                  <w:rFonts w:ascii="Arial" w:cs="Arial" w:eastAsia="Arial" w:hAnsi="Arial"/>
                  <w:sz w:val="18"/>
                  <w:szCs w:val="18"/>
                  <w:color w:val="0000EE"/>
                  <w:w w:val="94"/>
                </w:rPr>
                <w:t>reference to Exhibit 4.35 to the company’s Annual Report on Form 20-F for the year ended December 31, 2014 filed with the SEC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April 24, 2015)</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-6055995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-6055995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tcBorders>
              <w:bottom w:val="single" w:sz="8" w:color="0000EE"/>
            </w:tcBorders>
            <w:gridSpan w:val="12"/>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Equity Pledge Agreement dated May 1, 2014 between NetEase Information Technology (Beijing) Co., Ltd. and Xiaojun Hui</w:t>
              </w:r>
            </w:hyperlink>
          </w:p>
        </w:tc>
        <w:tc>
          <w:tcPr>
            <w:tcW w:w="10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(incorporated by reference to Exhibit 4.36 to the company’s Annual Report on Form 20-F for the year ended December 31, 2014 filed</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with the SEC on April 24, 2015)</w:t>
              </w:r>
            </w:hyperlink>
          </w:p>
        </w:tc>
        <w:tc>
          <w:tcPr>
            <w:tcW w:w="76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26"/>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Loan Agreement dated November 30, 2015 between NetEase Media Technology (Beijing) Co., Ltd. and William Lei Ding (incorporated</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by reference to Exhibit 4.37 to the company’s Annual Report on Form 20-F for the year ended December 31, 2015 filed with the SEC on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April 22,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60" w:type="dxa"/>
            <w:vAlign w:val="bottom"/>
            <w:tcBorders>
              <w:bottom w:val="single" w:sz="8" w:color="0000EE"/>
            </w:tcBorders>
            <w:gridSpan w:val="27"/>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Loan Agreement dated November 30, 2015 between NetEase Media Technology (Beijing) Co., Ltd. and Li Li (incorporated by reference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to Exhibit 4.38 to the company’s Annual Report on Form 20-F for the year ended December 31, 2015 filed with the SEC on April 22,</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85">
              <w:r>
                <w:rPr>
                  <w:rFonts w:ascii="Arial" w:cs="Arial" w:eastAsia="Arial" w:hAnsi="Arial"/>
                  <w:sz w:val="18"/>
                  <w:szCs w:val="18"/>
                  <w:color w:val="0000EE"/>
                  <w:w w:val="86"/>
                </w:rPr>
                <w:t>2016)</w:t>
              </w:r>
            </w:hyperlink>
          </w:p>
        </w:tc>
        <w:tc>
          <w:tcPr>
            <w:tcW w:w="6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7"/>
          </w:tcPr>
          <w:p>
            <w:pPr>
              <w:ind w:left="408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4"/>
            <w:vMerge w:val="restart"/>
          </w:tcPr>
          <w:p>
            <w:pPr>
              <w:ind w:left="192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gridSpan w:val="2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Equity Pledge Agreement dated November 30, 2015 between NetEase Media Technology (Beijing) Co., Ltd. and William Lei Ding</w:t>
              </w:r>
            </w:hyperlink>
          </w:p>
        </w:tc>
        <w:tc>
          <w:tcPr>
            <w:tcW w:w="5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(incorporated by reference to Exhibit 4.39 to the company’s Annual Report on Form 20-F for the year ended December 31, 2015 filed</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with the SEC on April 22, 2016)</w:t>
              </w:r>
            </w:hyperlink>
          </w:p>
        </w:tc>
        <w:tc>
          <w:tcPr>
            <w:tcW w:w="76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5"/>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Equity Pledge Agreement dated November 30, 2015 between NetEase Media Technology (Beijing) Co., Ltd. and Li Li (incorporated by</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w w:val="94"/>
              </w:rPr>
            </w:pPr>
            <w:hyperlink r:id="rId187">
              <w:r>
                <w:rPr>
                  <w:rFonts w:ascii="Arial" w:cs="Arial" w:eastAsia="Arial" w:hAnsi="Arial"/>
                  <w:sz w:val="18"/>
                  <w:szCs w:val="18"/>
                  <w:color w:val="0000EE"/>
                  <w:w w:val="94"/>
                </w:rPr>
                <w:t>reference to Exhibit 4.40 to the company’s Annual Report on Form 20-F for the year ended December 31, 2015 filed with the SEC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April 22, 2016)</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80" w:type="dxa"/>
            <w:vAlign w:val="bottom"/>
            <w:tcBorders>
              <w:bottom w:val="single" w:sz="8" w:color="0000EE"/>
            </w:tcBorders>
            <w:gridSpan w:val="15"/>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Exclusive Purchase Option Agreement dated November 30, 2015 among NetEase Media Technology (Beijing) Co., Ltd., Beijing</w:t>
              </w:r>
            </w:hyperlink>
          </w:p>
        </w:tc>
        <w:tc>
          <w:tcPr>
            <w:tcW w:w="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Guangyitong Advertising Co., Ltd. and William Lei Ding (incorporated by reference to Exhibit 4.41 to the company’s Annual Report on</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Form 20-F for the year ended December 31, 2015 filed with the SEC on April 22, 2016)</w:t>
              </w:r>
            </w:hyperlink>
          </w:p>
        </w:tc>
        <w:tc>
          <w:tcPr>
            <w:tcW w:w="36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80" w:type="dxa"/>
            <w:vAlign w:val="bottom"/>
            <w:tcBorders>
              <w:bottom w:val="single" w:sz="8" w:color="0000EE"/>
            </w:tcBorders>
            <w:gridSpan w:val="15"/>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Exclusive Purchase Option Agreement dated November 30, 2015 among NetEase Media Technology (Beijing) Co., Ltd., Beijing</w:t>
              </w:r>
            </w:hyperlink>
          </w:p>
        </w:tc>
        <w:tc>
          <w:tcPr>
            <w:tcW w:w="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Guangyitong Advertising Co., Ltd. and Li Li (incorporated by reference to Exhibit 4.42 to the company’s Annual Report on Form 20-F</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for the year ended December 31, 2015 filed with the SEC on April 22,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0000EE"/>
            </w:tcBorders>
            <w:gridSpan w:val="13"/>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Operating Agreement dated November 30, 2015 among NetEase Media Technology (Beijing) Co., Ltd., Beijing Guangyitong</w:t>
              </w:r>
            </w:hyperlink>
          </w:p>
        </w:tc>
        <w:tc>
          <w:tcPr>
            <w:tcW w:w="9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w w:val="99"/>
              </w:rPr>
            </w:pPr>
            <w:hyperlink r:id="rId190">
              <w:r>
                <w:rPr>
                  <w:rFonts w:ascii="Arial" w:cs="Arial" w:eastAsia="Arial" w:hAnsi="Arial"/>
                  <w:sz w:val="18"/>
                  <w:szCs w:val="18"/>
                  <w:color w:val="0000EE"/>
                  <w:w w:val="99"/>
                </w:rPr>
                <w:t>Advertising Co., Ltd., William Lei Ding and Li Li (incorporated by reference to Exhibit 4.43 to the company’s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Form 20-F for the year ended December 31, 2015 filed with the SEC on April 22, 2016)</w:t>
              </w:r>
            </w:hyperlink>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EE"/>
                <w:w w:val="98"/>
              </w:rPr>
            </w:pPr>
            <w:hyperlink r:id="rId191">
              <w:r>
                <w:rPr>
                  <w:rFonts w:ascii="Arial" w:cs="Arial" w:eastAsia="Arial" w:hAnsi="Arial"/>
                  <w:sz w:val="18"/>
                  <w:szCs w:val="18"/>
                  <w:color w:val="0000EE"/>
                  <w:w w:val="98"/>
                </w:rPr>
                <w:t>Amended and Restated Letter of Agreement dated November 30, 2015 among NetEase, Inc., William Lei Ding and Xiaojun Hui</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40" w:type="dxa"/>
            <w:vAlign w:val="bottom"/>
            <w:gridSpan w:val="6"/>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(incorporated by reference to Exhibit 4.44 to the company’s Annual Report on Form 20-F for the year ended December 31, 2015 filed</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with the SEC on April 22, 2016)</w:t>
              </w:r>
            </w:hyperlink>
          </w:p>
        </w:tc>
        <w:tc>
          <w:tcPr>
            <w:tcW w:w="76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Loan Agreement dated December 1, 2015 between NetEase (Hangzhou) Network Co., Ltd. and Tianlei Hu (incorporated by reference to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Exhibit 4.45 to the company’s Annual Report on Form 20-F for the year ended December 31, 2015 filed with the SEC on April 22, 2016)</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5"/>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Loan Agreement dated December 1, 2015 between NetEase (Hangzhou) Network Co., Ltd. and Zhipeng Hu. (incorporated by reference</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to Exhibit 4.46 to the company’s Annual Report on Form 20-F for the year ended December 31, 2015 filed with the SEC on April 22,</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93">
              <w:r>
                <w:rPr>
                  <w:rFonts w:ascii="Arial" w:cs="Arial" w:eastAsia="Arial" w:hAnsi="Arial"/>
                  <w:sz w:val="18"/>
                  <w:szCs w:val="18"/>
                  <w:color w:val="0000EE"/>
                  <w:w w:val="86"/>
                </w:rPr>
                <w:t>2016)</w:t>
              </w:r>
            </w:hyperlink>
          </w:p>
        </w:tc>
        <w:tc>
          <w:tcPr>
            <w:tcW w:w="6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80" w:type="dxa"/>
            <w:vAlign w:val="bottom"/>
            <w:tcBorders>
              <w:bottom w:val="single" w:sz="8" w:color="0000EE"/>
            </w:tcBorders>
            <w:gridSpan w:val="24"/>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Amended and Restated Equity Pledge Agreement dated December 1, 2015 between NetEase (Hangzhou) Network Co., Ltd. and Tianlei</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Hu (incorporated by reference to Exhibit 4.47 to the company’s Annual Report on Form 20-F for the year ended December 31, 2015 filed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with the SEC on April 22, 2016)</w:t>
              </w:r>
            </w:hyperlink>
          </w:p>
        </w:tc>
        <w:tc>
          <w:tcPr>
            <w:tcW w:w="7560" w:type="dxa"/>
            <w:vAlign w:val="bottom"/>
            <w:tcBorders>
              <w:top w:val="single" w:sz="8" w:color="0000EE"/>
            </w:tcBorders>
            <w:gridSpan w:val="2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28"/>
          </w:tcPr>
          <w:p>
            <w:pPr>
              <w:spacing w:after="0"/>
              <w:rPr>
                <w:rFonts w:ascii="Arial" w:cs="Arial" w:eastAsia="Arial" w:hAnsi="Arial"/>
                <w:sz w:val="18"/>
                <w:szCs w:val="18"/>
                <w:color w:val="0000EE"/>
                <w:w w:val="89"/>
              </w:rPr>
            </w:pPr>
            <w:hyperlink r:id="rId195">
              <w:r>
                <w:rPr>
                  <w:rFonts w:ascii="Arial" w:cs="Arial" w:eastAsia="Arial" w:hAnsi="Arial"/>
                  <w:sz w:val="18"/>
                  <w:szCs w:val="18"/>
                  <w:color w:val="0000EE"/>
                  <w:w w:val="89"/>
                </w:rPr>
                <w:t>Amended and Restated Equity Pledge Agreement dated December 1, 2015 between NetEase (Hangzhou) Network Co., Ltd. and Zhipeng</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Hu. (incorporated by reference to Exhibit 4.48 to the company’s Annual Report on Form 20-F for the year ended December 31, 2015</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filed with the SEC on April 22, 2016)</w:t>
              </w:r>
            </w:hyperlink>
          </w:p>
        </w:tc>
        <w:tc>
          <w:tcPr>
            <w:tcW w:w="72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Exclusive Purchase Option Agreement dated December 1, 2015 among NetEase (Hangzhou) Network Co., Ltd., Hangzhou NetEase</w:t>
              </w:r>
            </w:hyperlink>
          </w:p>
        </w:tc>
        <w:tc>
          <w:tcPr>
            <w:tcW w:w="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Leihuo Network Co., Ltd. and Tianlei Hu (incorporated by reference to Exhibit 4.49 to the company’s Annual Report on Form 20-F for</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the year ended December 31, 2015 filed with the SEC on April 22, 2016)</w:t>
              </w:r>
            </w:hyperlink>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tcBorders>
              <w:top w:val="single" w:sz="8" w:color="0000EE"/>
            </w:tcBorders>
            <w:gridSpan w:val="7"/>
          </w:tcPr>
          <w:p>
            <w:pPr>
              <w:ind w:left="408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4"/>
            <w:vMerge w:val="restart"/>
          </w:tcPr>
          <w:p>
            <w:pPr>
              <w:ind w:left="194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gridSpan w:val="2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Exclusive Purchase Option Agreement dated December 1, 2015 among NetEase (Hangzhou) Network Co., Ltd., Hangzhou NetEase</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Leihuo Network Co., Ltd. and Zhipeng Hu (incorporated by reference to Exhibit 4.50 to the company’s Annual Report on Form 20-F for</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the year ended December 31, 2015 filed with the SEC on April 22,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gridSpan w:val="7"/>
            <w:shd w:val="clear" w:color="auto" w:fill="0000EE"/>
          </w:tcPr>
          <w:p>
            <w:pPr>
              <w:spacing w:after="0" w:line="20" w:lineRule="exact"/>
              <w:rPr>
                <w:sz w:val="1"/>
                <w:szCs w:val="1"/>
                <w:color w:val="auto"/>
              </w:rPr>
            </w:pPr>
          </w:p>
        </w:tc>
        <w:tc>
          <w:tcPr>
            <w:tcW w:w="4600" w:type="dxa"/>
            <w:vAlign w:val="bottom"/>
            <w:gridSpan w:val="2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EE"/>
            </w:tcBorders>
            <w:gridSpan w:val="28"/>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Operating Agreement dated December 1, 2015 among NetEase (Hangzhou) Network Co., Ltd., Hangzhou NetEase Leihuo Network Co.,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-8405495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-8405495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-1442085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-1442085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bottom w:val="single" w:sz="8" w:color="0000EE"/>
            </w:tcBorders>
            <w:gridSpan w:val="26"/>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Ltd., Tianlei Hu and Zhipeng Hu (incorporated by reference to Exhibit 4.51 to the company’s Annual Report on Form 20-F for the year</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ended December 31, 2015 filed with the SEC on April 22, 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EE"/>
            </w:tcBorders>
            <w:gridSpan w:val="29"/>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Loan Agreement dated September 26, 2016 between William Lei Ding and NetEase Youdao Information Technology (Beijing) Co., Ltd.</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(incorporated by reference to Exhibit 4.51 to the company’s Annual Report on Form 20-F for the year ended December 31, 2016 filed</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with the SEC on April 21, 2017)</w:t>
              </w:r>
            </w:hyperlink>
          </w:p>
        </w:tc>
        <w:tc>
          <w:tcPr>
            <w:tcW w:w="75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80" w:type="dxa"/>
            <w:vAlign w:val="bottom"/>
            <w:tcBorders>
              <w:bottom w:val="single" w:sz="8" w:color="0000EE"/>
            </w:tcBorders>
            <w:gridSpan w:val="28"/>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Equity Pledge Agreement dated September 26, 2016 between William Lei Ding and NetEase Youdao Information Technology (Beijing)</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Co., Ltd. (incorporated by reference to Exhibit 4.52 to the company’s Annual Report on Form 20-F for the year ended December 31,</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2016 filed with the SEC on April 21, 2017)</w:t>
              </w:r>
            </w:hyperlink>
          </w:p>
        </w:tc>
        <w:tc>
          <w:tcPr>
            <w:tcW w:w="68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3"/>
              </w:rPr>
            </w:pPr>
            <w:hyperlink r:id="rId205">
              <w:r>
                <w:rPr>
                  <w:rFonts w:ascii="Arial" w:cs="Arial" w:eastAsia="Arial" w:hAnsi="Arial"/>
                  <w:sz w:val="18"/>
                  <w:szCs w:val="18"/>
                  <w:color w:val="0000EE"/>
                  <w:w w:val="93"/>
                </w:rPr>
                <w:t>Exclusive Purchase Option Agreement dated September 26, 2016 among William Lei Ding, NetEase Youdao Information Technology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(Beijing) Co., Ltd. and Youdao Computer System Co., Ltd. (incorporated by reference to Exhibit 4.53 to the company’s Annual Report</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on Form 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Operating Agreement dated September 26, 2016 among Youdao Computer System Co., Ltd., NetEase Youdao Information Technology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(Beijing) Co., Ltd. and William Lei Ding. (incorporated by reference to Exhibit 4.54 to the company’s Annual Report on Form 20-F for</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Cooperation Agreement dated July 1, 2015 between NetEase Youdao Information Technology (Beijing) Co., Ltd. and Youdao Computer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System Co., Ltd. (incorporated by reference to Exhibit 4.55 to the company’s Annual Report on Form 20-F for the year ended December</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31, 2016 filed with the SEC on April 21,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6"/>
              </w:rPr>
            </w:pPr>
            <w:hyperlink r:id="rId208">
              <w:r>
                <w:rPr>
                  <w:rFonts w:ascii="Arial" w:cs="Arial" w:eastAsia="Arial" w:hAnsi="Arial"/>
                  <w:sz w:val="18"/>
                  <w:szCs w:val="18"/>
                  <w:color w:val="0000EE"/>
                  <w:w w:val="96"/>
                </w:rPr>
                <w:t>Loan Agreement dated November 20, 2017 between Feng Zhou and NetEase Youdao Information Technology (Beijing) Co., Ltd.</w:t>
              </w:r>
            </w:hyperlink>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tcBorders>
              <w:top w:val="single" w:sz="8" w:color="0000EE"/>
            </w:tcBorders>
            <w:gridSpan w:val="19"/>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Equity Pledge Agreement dated November 20, 2017 between Feng Zhou and NetEase Youdao Information Technology (Beijing)</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Co., Ltd.</w:t>
              </w:r>
            </w:hyperlink>
          </w:p>
        </w:tc>
        <w:tc>
          <w:tcPr>
            <w:tcW w:w="8640" w:type="dxa"/>
            <w:vAlign w:val="bottom"/>
            <w:tcBorders>
              <w:top w:val="single" w:sz="8" w:color="0000EE"/>
            </w:tcBorders>
            <w:gridSpan w:val="16"/>
          </w:tcPr>
          <w:p>
            <w:pPr>
              <w:spacing w:after="0"/>
              <w:rPr>
                <w:sz w:val="17"/>
                <w:szCs w:val="17"/>
                <w:color w:val="auto"/>
              </w:rPr>
            </w:pPr>
          </w:p>
        </w:tc>
        <w:tc>
          <w:tcPr>
            <w:tcW w:w="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w w:val="92"/>
              </w:rPr>
            </w:pPr>
            <w:hyperlink r:id="rId210">
              <w:r>
                <w:rPr>
                  <w:rFonts w:ascii="Arial" w:cs="Arial" w:eastAsia="Arial" w:hAnsi="Arial"/>
                  <w:sz w:val="18"/>
                  <w:szCs w:val="18"/>
                  <w:color w:val="0000EE"/>
                  <w:w w:val="92"/>
                </w:rPr>
                <w:t>Exclusive Purchase Option Agreement dated November 20, 2017 among NetEase Youdao Information Technology (Beijing) Co., Ltd.,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Feng Zhou and Youdao Computer System Co., Ltd.</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tcBorders>
              <w:bottom w:val="single" w:sz="8" w:color="0000EE"/>
            </w:tcBorders>
            <w:gridSpan w:val="30"/>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Operating Agreement dated November 20, 2017 among NetEase Youdao Information Technology (Beijing) Co., Ltd., Youdao Computer</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System Co., Ltd. and Feng Zhou</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rPr>
            </w:pPr>
            <w:hyperlink r:id="rId212">
              <w:r>
                <w:rPr>
                  <w:rFonts w:ascii="Arial" w:cs="Arial" w:eastAsia="Arial" w:hAnsi="Arial"/>
                  <w:sz w:val="18"/>
                  <w:szCs w:val="18"/>
                  <w:color w:val="0000EE"/>
                </w:rPr>
                <w:t>Subsidiaries and Variable Interest Entities of NetEase,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60" w:type="dxa"/>
            <w:vAlign w:val="bottom"/>
            <w:tcBorders>
              <w:bottom w:val="single" w:sz="8" w:color="0000EE"/>
            </w:tcBorders>
            <w:gridSpan w:val="27"/>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Code of Business Conduct (incorporated by reference to Exhibit 11.1 to the company’s Annual Report on Form 20-F for the year ended</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December 31, 2006 filed with the SEC on June 26, 2007)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rPr>
            </w:pPr>
            <w:hyperlink r:id="rId214">
              <w:r>
                <w:rPr>
                  <w:rFonts w:ascii="Arial" w:cs="Arial" w:eastAsia="Arial" w:hAnsi="Arial"/>
                  <w:sz w:val="18"/>
                  <w:szCs w:val="18"/>
                  <w:color w:val="0000EE"/>
                </w:rPr>
                <w:t>Certification of Chief Executive Officer Required by Rule 13a-14(a)</w:t>
              </w:r>
            </w:hyperlink>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r:id="rId215">
              <w:r>
                <w:rPr>
                  <w:rFonts w:ascii="Arial" w:cs="Arial" w:eastAsia="Arial" w:hAnsi="Arial"/>
                  <w:sz w:val="18"/>
                  <w:szCs w:val="18"/>
                  <w:color w:val="0000EE"/>
                  <w:w w:val="92"/>
                </w:rPr>
                <w:t>Certification of Chief Financial Officer Required by Rule 13a-14(a)</w:t>
              </w:r>
            </w:hyperlink>
          </w:p>
        </w:tc>
        <w:tc>
          <w:tcPr>
            <w:tcW w:w="40" w:type="dxa"/>
            <w:vAlign w:val="bottom"/>
            <w:tcBorders>
              <w:top w:val="single" w:sz="8" w:color="0000EE"/>
            </w:tcBorders>
          </w:tcPr>
          <w:p>
            <w:pPr>
              <w:spacing w:after="0"/>
              <w:rPr>
                <w:sz w:val="24"/>
                <w:szCs w:val="24"/>
                <w:color w:val="auto"/>
              </w:rPr>
            </w:pPr>
          </w:p>
        </w:tc>
        <w:tc>
          <w:tcPr>
            <w:tcW w:w="50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tcBorders>
              <w:bottom w:val="single" w:sz="8" w:color="0000EE"/>
            </w:tcBorders>
            <w:gridSpan w:val="22"/>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Certification of Chief Executive Officer Required by Rule 13a-14(b) and Section 1350 of Chapter 63 of Title 18 of the United States</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3"/>
              </w:rPr>
            </w:pPr>
            <w:hyperlink r:id="rId216">
              <w:r>
                <w:rPr>
                  <w:rFonts w:ascii="Arial" w:cs="Arial" w:eastAsia="Arial" w:hAnsi="Arial"/>
                  <w:sz w:val="18"/>
                  <w:szCs w:val="18"/>
                  <w:color w:val="0000EE"/>
                  <w:w w:val="83"/>
                </w:rPr>
                <w:t>Code</w:t>
              </w:r>
            </w:hyperlink>
          </w:p>
        </w:tc>
        <w:tc>
          <w:tcPr>
            <w:tcW w:w="95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Certification of Chief Financial Officer Required by Rule 13a-14(b) and Section 1350 of Chapter 63 of Title 18 of the United States</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3"/>
              </w:rPr>
            </w:pPr>
            <w:hyperlink r:id="rId217">
              <w:r>
                <w:rPr>
                  <w:rFonts w:ascii="Arial" w:cs="Arial" w:eastAsia="Arial" w:hAnsi="Arial"/>
                  <w:sz w:val="18"/>
                  <w:szCs w:val="18"/>
                  <w:color w:val="0000EE"/>
                  <w:w w:val="83"/>
                </w:rPr>
                <w:t>Code</w:t>
              </w:r>
            </w:hyperlink>
          </w:p>
        </w:tc>
        <w:tc>
          <w:tcPr>
            <w:tcW w:w="95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Charter of Audit Committee of the Board of Directors of the Registrant (incorporated by reference to Exhibit 15.1 to the company’s</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Annual Report on Form 20-F for the year ended December 31, 2014 filed with the SEC on April 24, 2015)</w:t>
              </w:r>
            </w:hyperlink>
          </w:p>
        </w:tc>
        <w:tc>
          <w:tcPr>
            <w:tcW w:w="22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rPr>
            </w:pPr>
            <w:hyperlink r:id="rId219">
              <w:r>
                <w:rPr>
                  <w:rFonts w:ascii="Arial" w:cs="Arial" w:eastAsia="Arial" w:hAnsi="Arial"/>
                  <w:sz w:val="18"/>
                  <w:szCs w:val="18"/>
                  <w:color w:val="0000EE"/>
                </w:rPr>
                <w:t>Consent of PricewaterhouseCoopers Zhong Tian LLP, Independent Registered Public Accounting Firm</w:t>
              </w:r>
            </w:hyperlink>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Consent of Maples and Calder (Hong Kong) LLP</w:t>
              </w:r>
            </w:hyperlink>
          </w:p>
        </w:tc>
        <w:tc>
          <w:tcPr>
            <w:tcW w:w="3860" w:type="dxa"/>
            <w:vAlign w:val="bottom"/>
            <w:tcBorders>
              <w:top w:val="single" w:sz="8" w:color="0000EE"/>
            </w:tcBorders>
            <w:gridSpan w:val="9"/>
          </w:tcPr>
          <w:p>
            <w:pPr>
              <w:spacing w:after="0"/>
              <w:rPr>
                <w:sz w:val="24"/>
                <w:szCs w:val="24"/>
                <w:color w:val="auto"/>
              </w:rPr>
            </w:pPr>
          </w:p>
        </w:tc>
        <w:tc>
          <w:tcPr>
            <w:tcW w:w="2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rFonts w:ascii="Arial" w:cs="Arial" w:eastAsia="Arial" w:hAnsi="Arial"/>
                <w:sz w:val="18"/>
                <w:szCs w:val="18"/>
                <w:color w:val="0000EE"/>
              </w:rPr>
            </w:pPr>
            <w:hyperlink r:id="rId221">
              <w:r>
                <w:rPr>
                  <w:rFonts w:ascii="Arial" w:cs="Arial" w:eastAsia="Arial" w:hAnsi="Arial"/>
                  <w:sz w:val="18"/>
                  <w:szCs w:val="18"/>
                  <w:color w:val="0000EE"/>
                </w:rPr>
                <w:t>Consent of Jun He Law Offices</w:t>
              </w:r>
            </w:hyperlink>
          </w:p>
        </w:tc>
        <w:tc>
          <w:tcPr>
            <w:tcW w:w="0" w:type="dxa"/>
            <w:vAlign w:val="bottom"/>
          </w:tcPr>
          <w:p>
            <w:pPr>
              <w:spacing w:after="0"/>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660" w:type="dxa"/>
            <w:vAlign w:val="bottom"/>
            <w:gridSpan w:val="30"/>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3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3"/>
          </w:tcPr>
          <w:p>
            <w:pPr>
              <w:ind w:left="420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22"/>
            <w:vMerge w:val="restart"/>
          </w:tcPr>
          <w:p>
            <w:pPr>
              <w:ind w:left="40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2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35"/>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35"/>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35"/>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35"/>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-1819275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-1819275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*Filed with this annual report on Form 20-F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with this annual report on Form 20-F</w:t>
      </w:r>
    </w:p>
    <w:p>
      <w:pPr>
        <w:sectPr>
          <w:pgSz w:w="11900" w:h="16838" w:orient="portrait"/>
          <w:cols w:equalWidth="0" w:num="1">
            <w:col w:w="11460"/>
          </w:cols>
          <w:pgMar w:left="240" w:top="108" w:right="199" w:bottom="0" w:gutter="0" w:footer="0" w:header="0"/>
        </w:sectPr>
      </w:pPr>
    </w:p>
    <w:bookmarkStart w:id="91" w:name="page92"/>
    <w:bookmarkEnd w:id="91"/>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NETEASE,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ind w:left="106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William Lei Ding</w:t>
            </w:r>
          </w:p>
        </w:tc>
        <w:tc>
          <w:tcPr>
            <w:tcW w:w="14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0" w:type="dxa"/>
            <w:vAlign w:val="bottom"/>
            <w:gridSpan w:val="4"/>
          </w:tcPr>
          <w:p>
            <w:pPr>
              <w:spacing w:after="0" w:line="195" w:lineRule="exact"/>
              <w:rPr>
                <w:sz w:val="20"/>
                <w:szCs w:val="20"/>
                <w:color w:val="auto"/>
              </w:rPr>
            </w:pPr>
            <w:r>
              <w:rPr>
                <w:rFonts w:ascii="Arial" w:cs="Arial" w:eastAsia="Arial" w:hAnsi="Arial"/>
                <w:sz w:val="18"/>
                <w:szCs w:val="18"/>
                <w:color w:val="auto"/>
              </w:rPr>
              <w:t>William Lei Ding</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8"/>
                <w:szCs w:val="18"/>
                <w:color w:val="auto"/>
              </w:rPr>
              <w:t>Date:</w:t>
            </w:r>
          </w:p>
        </w:tc>
        <w:tc>
          <w:tcPr>
            <w:tcW w:w="3600" w:type="dxa"/>
            <w:vAlign w:val="bottom"/>
            <w:gridSpan w:val="4"/>
          </w:tcPr>
          <w:p>
            <w:pPr>
              <w:spacing w:after="0"/>
              <w:rPr>
                <w:sz w:val="20"/>
                <w:szCs w:val="20"/>
                <w:color w:val="auto"/>
              </w:rPr>
            </w:pPr>
            <w:r>
              <w:rPr>
                <w:rFonts w:ascii="Arial" w:cs="Arial" w:eastAsia="Arial" w:hAnsi="Arial"/>
                <w:sz w:val="18"/>
                <w:szCs w:val="18"/>
                <w:color w:val="auto"/>
              </w:rPr>
              <w:t>April 20, 2018</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380" w:type="dxa"/>
            <w:vAlign w:val="bottom"/>
            <w:gridSpan w:val="6"/>
          </w:tcPr>
          <w:p>
            <w:pPr>
              <w:ind w:left="5580"/>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63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6380" w:type="dxa"/>
            <w:vAlign w:val="bottom"/>
            <w:gridSpan w:val="6"/>
          </w:tcPr>
          <w:p>
            <w:pPr>
              <w:spacing w:after="0"/>
              <w:rPr>
                <w:sz w:val="20"/>
                <w:szCs w:val="20"/>
                <w:color w:val="auto"/>
              </w:rPr>
            </w:pPr>
            <w:r>
              <w:rPr>
                <w:rFonts w:ascii="Arial" w:cs="Arial" w:eastAsia="Arial" w:hAnsi="Arial"/>
                <w:sz w:val="18"/>
                <w:szCs w:val="18"/>
                <w:b w:val="1"/>
                <w:bCs w:val="1"/>
                <w:color w:val="auto"/>
              </w:rPr>
              <w:t>NETEASE, INC.</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6380" w:type="dxa"/>
            <w:vAlign w:val="bottom"/>
            <w:gridSpan w:val="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Management’s report on internal control over financial reporting</w:t>
              </w:r>
            </w:hyperlink>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F-1</w:t>
            </w:r>
          </w:p>
        </w:tc>
      </w:tr>
      <w:tr>
        <w:trPr>
          <w:trHeight w:val="412"/>
        </w:trPr>
        <w:tc>
          <w:tcPr>
            <w:tcW w:w="40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Report of independent registered public accounting firm</w:t>
              </w:r>
            </w:hyperlink>
          </w:p>
        </w:tc>
        <w:tc>
          <w:tcPr>
            <w:tcW w:w="600" w:type="dxa"/>
            <w:vAlign w:val="bottom"/>
            <w:tcBorders>
              <w:top w:val="single" w:sz="8" w:color="0000EE"/>
            </w:tcBorders>
            <w:gridSpan w:val="2"/>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F-2</w:t>
            </w:r>
          </w:p>
        </w:tc>
      </w:tr>
      <w:tr>
        <w:trPr>
          <w:trHeight w:val="412"/>
        </w:trPr>
        <w:tc>
          <w:tcPr>
            <w:tcW w:w="6380" w:type="dxa"/>
            <w:vAlign w:val="bottom"/>
            <w:gridSpan w:val="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balance sheets at December 31, 2016 and 2017</w:t>
              </w:r>
            </w:hyperlink>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F-3</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412"/>
        </w:trPr>
        <w:tc>
          <w:tcPr>
            <w:tcW w:w="9980" w:type="dxa"/>
            <w:vAlign w:val="bottom"/>
            <w:gridSpan w:val="1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statements of operations and comprehensive income for the years ended December 31, 2015, 2016 and 2017</w:t>
              </w:r>
            </w:hyperlink>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F-4</w:t>
            </w:r>
          </w:p>
        </w:tc>
      </w:tr>
      <w:tr>
        <w:trPr>
          <w:trHeight w:val="412"/>
        </w:trPr>
        <w:tc>
          <w:tcPr>
            <w:tcW w:w="8800" w:type="dxa"/>
            <w:vAlign w:val="bottom"/>
            <w:tcBorders>
              <w:top w:val="single" w:sz="8" w:color="0000EE"/>
            </w:tcBorders>
            <w:gridSpan w:val="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statements of shareholders’ equity for the years ended December 31, 2015, 2016 and 2017</w:t>
              </w:r>
            </w:hyperlink>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F-5</w:t>
            </w:r>
          </w:p>
        </w:tc>
      </w:tr>
      <w:tr>
        <w:trPr>
          <w:trHeight w:val="412"/>
        </w:trPr>
        <w:tc>
          <w:tcPr>
            <w:tcW w:w="7500" w:type="dxa"/>
            <w:vAlign w:val="bottom"/>
            <w:tcBorders>
              <w:top w:val="single" w:sz="8" w:color="0000EE"/>
            </w:tcBorders>
            <w:gridSpan w:val="8"/>
          </w:tcPr>
          <w:p>
            <w:pPr>
              <w:spacing w:after="0"/>
              <w:rPr>
                <w:rFonts w:ascii="Arial" w:cs="Arial" w:eastAsia="Arial" w:hAnsi="Arial"/>
                <w:sz w:val="18"/>
                <w:szCs w:val="18"/>
                <w:color w:val="0000EE"/>
                <w:w w:val="98"/>
              </w:rPr>
            </w:pPr>
            <w:hyperlink w:anchor="page96">
              <w:r>
                <w:rPr>
                  <w:rFonts w:ascii="Arial" w:cs="Arial" w:eastAsia="Arial" w:hAnsi="Arial"/>
                  <w:sz w:val="18"/>
                  <w:szCs w:val="18"/>
                  <w:color w:val="0000EE"/>
                  <w:w w:val="98"/>
                </w:rPr>
                <w:t>Consolidated statements of cash flows for the years ended December 31, 2015, 2016 and 2017</w:t>
              </w:r>
            </w:hyperlink>
          </w:p>
        </w:tc>
        <w:tc>
          <w:tcPr>
            <w:tcW w:w="2480" w:type="dxa"/>
            <w:vAlign w:val="bottom"/>
            <w:gridSpan w:val="2"/>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F-6</w:t>
            </w:r>
          </w:p>
        </w:tc>
      </w:tr>
      <w:tr>
        <w:trPr>
          <w:trHeight w:val="412"/>
        </w:trPr>
        <w:tc>
          <w:tcPr>
            <w:tcW w:w="6380" w:type="dxa"/>
            <w:vAlign w:val="bottom"/>
            <w:tcBorders>
              <w:top w:val="single" w:sz="8" w:color="0000EE"/>
            </w:tcBorders>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Notes to the consolidated financial statements</w:t>
              </w:r>
            </w:hyperlink>
          </w:p>
        </w:tc>
        <w:tc>
          <w:tcPr>
            <w:tcW w:w="4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w w:val="96"/>
              </w:rPr>
              <w:t>F-7</w:t>
            </w:r>
          </w:p>
        </w:tc>
      </w:tr>
      <w:tr>
        <w:trPr>
          <w:trHeight w:val="368"/>
        </w:trPr>
        <w:tc>
          <w:tcPr>
            <w:tcW w:w="1280" w:type="dxa"/>
            <w:vAlign w:val="bottom"/>
            <w:tcBorders>
              <w:top w:val="single" w:sz="8" w:color="0000EE"/>
              <w:bottom w:val="single" w:sz="8" w:color="808080"/>
            </w:tcBorders>
          </w:tcPr>
          <w:p>
            <w:pPr>
              <w:spacing w:after="0"/>
              <w:rPr>
                <w:sz w:val="24"/>
                <w:szCs w:val="24"/>
                <w:color w:val="auto"/>
              </w:rPr>
            </w:pPr>
          </w:p>
        </w:tc>
        <w:tc>
          <w:tcPr>
            <w:tcW w:w="2040" w:type="dxa"/>
            <w:vAlign w:val="bottom"/>
            <w:tcBorders>
              <w:top w:val="single" w:sz="8" w:color="0000EE"/>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-2816225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-2816225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2017. In making this assessment, the Company’s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concluded that, as of the end of the Company’s most recent fiscal year,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Company’s internal control over financial reporting is effective based on those criteria.</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PricewaterhouseCoopers Zhong Tian LLP, the Company’s independent registered public accounting firm, has audited the effectiveness of the Company’s internal control over financial reporting as of December 31, 2017, as stated in their report, which is included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NetEase,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audited the accompanying consolidated balance sheets of NetEase, Inc. and its subsidiaries (the “Company”) as of December 31, 2017 and 2016, and the related consolidated statements of operations and comprehensive income, of shareholders’ equity and of cash flows for each of the three years in the period ended December 31, 2017, including the related notes (collectively referred to as the “consolidated financial statements”). We also have audited the</w:t>
      </w:r>
    </w:p>
    <w:p>
      <w:pPr>
        <w:sectPr>
          <w:pgSz w:w="11900" w:h="16885" w:orient="portrait"/>
          <w:cols w:equalWidth="0" w:num="1">
            <w:col w:w="11460"/>
          </w:cols>
          <w:pgMar w:left="240" w:top="125" w:right="199" w:bottom="0" w:gutter="0" w:footer="0" w:header="0"/>
        </w:sectPr>
      </w:pPr>
    </w:p>
    <w:bookmarkStart w:id="92" w:name="page93"/>
    <w:bookmarkEnd w:id="92"/>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Company’s internal control over financial reporting as of December 31, 2017 , based on criteria established in Internal Control - Integrated Framework (2013) issued by the Committee of Sponsoring Organizations of the Treadway Commission (COSO).</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Note 2(n)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5,439,499</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2,764,140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19,361,098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30,603,369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4,703,652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3,473,273</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5,926,906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380" w:type="dxa"/>
            <w:vAlign w:val="bottom"/>
          </w:tcPr>
          <w:p>
            <w:pPr>
              <w:jc w:val="right"/>
              <w:spacing w:after="0"/>
              <w:rPr>
                <w:sz w:val="20"/>
                <w:szCs w:val="20"/>
                <w:color w:val="auto"/>
              </w:rPr>
            </w:pPr>
            <w:r>
              <w:rPr>
                <w:rFonts w:ascii="Arial" w:cs="Arial" w:eastAsia="Arial" w:hAnsi="Arial"/>
                <w:sz w:val="18"/>
                <w:szCs w:val="18"/>
                <w:color w:val="auto"/>
              </w:rPr>
              <w:t>4,251,297</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3,619,725</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1,578,130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5,474,929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3,697,952</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3,816,028</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11,582,116</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9,742,663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49,383,365</w:t>
            </w: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61,947,760</w:t>
            </w: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9,521,199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Non-current assets: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software,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2,419,510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3,769,326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Land use right, net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588,887</w:t>
            </w:r>
          </w:p>
        </w:tc>
        <w:tc>
          <w:tcPr>
            <w:tcW w:w="1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593,279</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91,185</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560,323</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823,495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Long-term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1,970,027</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2,684,776</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499,748</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1,112,579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non-current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8,648,495</w:t>
            </w: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9,083,655</w:t>
            </w: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1,396,131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58,031,860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71,031,415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10,917,330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60"/>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VIEs without recourse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w w:val="99"/>
              </w:rPr>
              <w:t>to the primary beneficiaries of RMB917,264 and RMB941,358 as of December 31,</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2016 and 2017, respectively)</w:t>
            </w:r>
          </w:p>
        </w:tc>
        <w:tc>
          <w:tcPr>
            <w:tcW w:w="1380" w:type="dxa"/>
            <w:vAlign w:val="bottom"/>
          </w:tcPr>
          <w:p>
            <w:pPr>
              <w:jc w:val="right"/>
              <w:spacing w:after="0"/>
              <w:rPr>
                <w:sz w:val="20"/>
                <w:szCs w:val="20"/>
                <w:color w:val="auto"/>
              </w:rPr>
            </w:pPr>
            <w:r>
              <w:rPr>
                <w:rFonts w:ascii="Arial" w:cs="Arial" w:eastAsia="Arial" w:hAnsi="Arial"/>
                <w:sz w:val="18"/>
                <w:szCs w:val="18"/>
                <w:color w:val="auto"/>
              </w:rPr>
              <w:t>1,396,187</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2,442,531</w:t>
            </w: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375,410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Salary and welfare payables (including salary and welfare payables of the consolidated</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VIEs without recourse to the primary beneficiaries of RMB89,578 and RMB106,265 as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December 31, 2016 and 2017, respectively)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1,491,448</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2,189,110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336,460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60"/>
              <w:spacing w:after="0" w:line="201" w:lineRule="exact"/>
              <w:rPr>
                <w:sz w:val="20"/>
                <w:szCs w:val="20"/>
                <w:color w:val="auto"/>
              </w:rPr>
            </w:pPr>
            <w:r>
              <w:rPr>
                <w:rFonts w:ascii="Arial" w:cs="Arial" w:eastAsia="Arial" w:hAnsi="Arial"/>
                <w:sz w:val="18"/>
                <w:szCs w:val="18"/>
                <w:color w:val="auto"/>
                <w:w w:val="94"/>
              </w:rPr>
              <w:t>Taxes payable (including taxes payable of the consolidated VIEs without recourse to the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w w:val="97"/>
              </w:rPr>
              <w:t>primary beneficiaries of RMB43,309 and RMB22,058 as of December 31, 2016 and</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2017, respectively)</w:t>
            </w:r>
          </w:p>
        </w:tc>
        <w:tc>
          <w:tcPr>
            <w:tcW w:w="1380" w:type="dxa"/>
            <w:vAlign w:val="bottom"/>
          </w:tcPr>
          <w:p>
            <w:pPr>
              <w:jc w:val="right"/>
              <w:spacing w:after="0"/>
              <w:rPr>
                <w:sz w:val="20"/>
                <w:szCs w:val="20"/>
                <w:color w:val="auto"/>
              </w:rPr>
            </w:pPr>
            <w:r>
              <w:rPr>
                <w:rFonts w:ascii="Arial" w:cs="Arial" w:eastAsia="Arial" w:hAnsi="Arial"/>
                <w:sz w:val="18"/>
                <w:szCs w:val="18"/>
                <w:color w:val="auto"/>
              </w:rPr>
              <w:t>1,722,501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1,564,692</w:t>
            </w: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240,489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loans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3,815,691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6,623,502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60"/>
              <w:spacing w:after="0" w:line="201" w:lineRule="exact"/>
              <w:rPr>
                <w:sz w:val="20"/>
                <w:szCs w:val="20"/>
                <w:color w:val="auto"/>
              </w:rPr>
            </w:pPr>
            <w:r>
              <w:rPr>
                <w:rFonts w:ascii="Arial" w:cs="Arial" w:eastAsia="Arial" w:hAnsi="Arial"/>
                <w:sz w:val="18"/>
                <w:szCs w:val="18"/>
                <w:color w:val="auto"/>
                <w:w w:val="95"/>
              </w:rPr>
              <w:t>Deferred revenue (including deferred revenue of the consolidated VIEs without recourse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w w:val="94"/>
              </w:rPr>
              <w:t>to the primary beneficiaries of RMB7,223,764 and RMB5,853,904 as of December 31,</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2016 and 2017, respectively)</w:t>
            </w:r>
          </w:p>
        </w:tc>
        <w:tc>
          <w:tcPr>
            <w:tcW w:w="1380" w:type="dxa"/>
            <w:vAlign w:val="bottom"/>
          </w:tcPr>
          <w:p>
            <w:pPr>
              <w:jc w:val="right"/>
              <w:spacing w:after="0"/>
              <w:rPr>
                <w:sz w:val="20"/>
                <w:szCs w:val="20"/>
                <w:color w:val="auto"/>
              </w:rPr>
            </w:pPr>
            <w:r>
              <w:rPr>
                <w:rFonts w:ascii="Arial" w:cs="Arial" w:eastAsia="Arial" w:hAnsi="Arial"/>
                <w:sz w:val="18"/>
                <w:szCs w:val="18"/>
                <w:color w:val="auto"/>
              </w:rPr>
              <w:t>7,531,238</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6,237,969</w:t>
            </w: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958,758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Accrued liabilities and other payables (including accrued liabilities and other payables of</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the consolidated VIEs without recourse to the primary beneficiaries of RMB1,697,195</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RMB1,966,436 as of December 31, 2016 and 2017, respectively)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3,219,419</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4,692,310</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721,195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19,176,484</w:t>
            </w: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23,750,114</w:t>
            </w: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3,650,326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payable: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392,235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213,215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60"/>
              <w:spacing w:after="0" w:line="201" w:lineRule="exact"/>
              <w:rPr>
                <w:sz w:val="20"/>
                <w:szCs w:val="20"/>
                <w:color w:val="auto"/>
              </w:rPr>
            </w:pPr>
            <w:r>
              <w:rPr>
                <w:rFonts w:ascii="Arial" w:cs="Arial" w:eastAsia="Arial" w:hAnsi="Arial"/>
                <w:sz w:val="18"/>
                <w:szCs w:val="18"/>
                <w:color w:val="auto"/>
                <w:w w:val="97"/>
              </w:rPr>
              <w:t>Other long-term payable (including long-term payable of the consolidated VIEs without</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w w:val="97"/>
              </w:rPr>
              <w:t>recourse to the primary beneficiaries of nil and RMB7,500 as of December 31, 2016</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and 2017, respectively)</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18,250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19,568,919</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23,981,579</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3,685,902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21)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614,696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Ordinary shares, US$0.0001 par value: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1,000,300,000 shares authorized, 3,281,480 shares issued and outstanding as of</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December 31, 2016 and 3,283,217 shares issued and outstanding as of December 31,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80" w:type="dxa"/>
            <w:vAlign w:val="bottom"/>
          </w:tcPr>
          <w:p>
            <w:pPr>
              <w:jc w:val="right"/>
              <w:spacing w:after="0"/>
              <w:rPr>
                <w:sz w:val="20"/>
                <w:szCs w:val="20"/>
                <w:color w:val="auto"/>
              </w:rPr>
            </w:pPr>
            <w:r>
              <w:rPr>
                <w:rFonts w:ascii="Arial" w:cs="Arial" w:eastAsia="Arial" w:hAnsi="Arial"/>
                <w:sz w:val="18"/>
                <w:szCs w:val="18"/>
                <w:color w:val="auto"/>
              </w:rPr>
              <w:t>1,637,953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1,753,439</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269,499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1,160,161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1,206,224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61,479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36,585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5,623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35,328,812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42,733,081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6,567,954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NetEase, Inc’s shareholders’ equity</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38,191,081</w:t>
            </w:r>
          </w:p>
        </w:tc>
        <w:tc>
          <w:tcPr>
            <w:tcW w:w="1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45,732,007</w:t>
            </w:r>
          </w:p>
        </w:tc>
        <w:tc>
          <w:tcPr>
            <w:tcW w:w="1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271,860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703,133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38,462,941</w:t>
            </w:r>
          </w:p>
        </w:tc>
        <w:tc>
          <w:tcPr>
            <w:tcW w:w="1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46,435,140</w:t>
            </w:r>
          </w:p>
        </w:tc>
        <w:tc>
          <w:tcPr>
            <w:tcW w:w="1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7,136,951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Total liabilities, redeemable noncontrolling interests and shareholders’ equity</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58,031,860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71,031,415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10,917,330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 or per ADS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For the year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360" w:type="dxa"/>
            <w:vAlign w:val="bottom"/>
          </w:tcPr>
          <w:p>
            <w:pPr>
              <w:jc w:val="right"/>
              <w:ind w:right="435"/>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6"/>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Pr>
          <w:p>
            <w:pPr>
              <w:jc w:val="right"/>
              <w:ind w:right="415"/>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Note 2(n)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21,685,341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33,748,455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42,654,982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6,555,951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1,117,554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4,430,389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11,447,037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22,802,895</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54,102,019</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8,315,328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(8,345,541)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(12,602,876)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(17,741,107)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(2,726,758)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(1,053,719)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(3,912,156)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(10,448,219)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(1,605,862)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(9,399,260)</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(16,515,032)</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(28,189,326)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(4,332,620)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13,403,635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21,663,812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25,912,693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3,982,708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94" w:name="page95"/>
    <w:bookmarkEnd w:id="9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(2,958,229)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(4,481,815)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(6,957,596)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(1,014,395)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(1,506,154)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(2,429,858)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(373,462)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(2,158,888)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(3,046,979)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(4,371,428)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(6,131,512)</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(9,034,948)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(13,758,882)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(2,114,700)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tcPr>
          <w:p>
            <w:pPr>
              <w:jc w:val="right"/>
              <w:spacing w:after="0"/>
              <w:rPr>
                <w:sz w:val="20"/>
                <w:szCs w:val="20"/>
                <w:color w:val="auto"/>
              </w:rPr>
            </w:pPr>
            <w:r>
              <w:rPr>
                <w:rFonts w:ascii="Arial" w:cs="Arial" w:eastAsia="Arial" w:hAnsi="Arial"/>
                <w:sz w:val="18"/>
                <w:szCs w:val="18"/>
                <w:color w:val="auto"/>
              </w:rPr>
              <w:t>7,272,123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12,628,864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12,153,811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1,868,008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Investment income, net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62,341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200,333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362,113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596,930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541,969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667,323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Exchange gains/(losses)</w:t>
            </w:r>
          </w:p>
        </w:tc>
        <w:tc>
          <w:tcPr>
            <w:tcW w:w="1360" w:type="dxa"/>
            <w:vAlign w:val="bottom"/>
          </w:tcPr>
          <w:p>
            <w:pPr>
              <w:jc w:val="right"/>
              <w:spacing w:after="0"/>
              <w:rPr>
                <w:sz w:val="20"/>
                <w:szCs w:val="20"/>
                <w:color w:val="auto"/>
              </w:rPr>
            </w:pPr>
            <w:r>
              <w:rPr>
                <w:rFonts w:ascii="Arial" w:cs="Arial" w:eastAsia="Arial" w:hAnsi="Arial"/>
                <w:sz w:val="18"/>
                <w:szCs w:val="18"/>
                <w:color w:val="auto"/>
              </w:rPr>
              <w:t>133,776</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146,510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(448,827)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377,685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277,080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8,110,308</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13,895,361</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13,011,500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(1,273,408)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(2,102,498)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(2,162,363)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(332,349)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6,836,900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11,792,863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10,849,137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(101,792)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(188,343)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(126,502)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redeemable noncontrolling interests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(14,696)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w w:val="98"/>
              </w:rPr>
              <w:t>Net income attributable to the NetEase, Inc.’s shareholders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6,735,108</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11,604,520</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10,707,939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6,836,900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11,792,863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10,849,137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1,667,484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8"/>
              </w:rPr>
              <w:t>Unrealized gains/(losses) on available-for-sale securities, net of</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tax</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27,452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(232,633)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(23,321)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adjustment for losses on available-for-sale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recorded in net income, nil of tax</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266,660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(1,573)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comprehensive income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6,864,352</w:t>
            </w: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11,826,890</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10,824,243</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Comprehensive income attributable to noncontrolling interests</w:t>
            </w: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redeemable noncontrolling interests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(101,792)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(188,343)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(141,198)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Comprehensive income attributable to the NetEase, Inc.’s</w:t>
            </w: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6,762,560</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11,638,547</w:t>
            </w:r>
          </w:p>
        </w:tc>
        <w:tc>
          <w:tcPr>
            <w:tcW w:w="280" w:type="dxa"/>
            <w:vAlign w:val="bottom"/>
            <w:vMerge w:val="restart"/>
          </w:tcPr>
          <w:p>
            <w:pPr>
              <w:spacing w:after="0"/>
              <w:rPr>
                <w:sz w:val="15"/>
                <w:szCs w:val="15"/>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10,683,045</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1,641,956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13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3.25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ADS, basic</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88.40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Net income per share, 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3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ADS, diluted</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50.94</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87.72</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80.74</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w w:val="97"/>
              </w:rPr>
              <w:t>Weighted average number of ordinary shares outstanding, basic</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3,284,382</w:t>
            </w:r>
          </w:p>
        </w:tc>
        <w:tc>
          <w:tcPr>
            <w:tcW w:w="3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3,281,729</w:t>
            </w:r>
          </w:p>
        </w:tc>
        <w:tc>
          <w:tcPr>
            <w:tcW w:w="2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3,290,312</w:t>
            </w:r>
          </w:p>
        </w:tc>
        <w:tc>
          <w:tcPr>
            <w:tcW w:w="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3,290,312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ADS outstanding, basic</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131,375</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131,269</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131,612</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ordinary shares outstanding,</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3,305,213</w:t>
            </w:r>
          </w:p>
        </w:tc>
        <w:tc>
          <w:tcPr>
            <w:tcW w:w="3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3,307,109</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3,315,478</w:t>
            </w:r>
          </w:p>
        </w:tc>
        <w:tc>
          <w:tcPr>
            <w:tcW w:w="280" w:type="dxa"/>
            <w:vAlign w:val="bottom"/>
          </w:tcPr>
          <w:p>
            <w:pPr>
              <w:spacing w:after="0"/>
              <w:rPr>
                <w:sz w:val="13"/>
                <w:szCs w:val="13"/>
                <w:color w:val="auto"/>
              </w:rPr>
            </w:pP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3,315,478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ADS outstanding, diluted</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132,209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132,284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132,619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132,619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and share numbers,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jc w:val="center"/>
              <w:ind w:right="33"/>
              <w:spacing w:after="0"/>
              <w:rPr>
                <w:sz w:val="20"/>
                <w:szCs w:val="20"/>
                <w:color w:val="auto"/>
              </w:rPr>
            </w:pPr>
            <w:r>
              <w:rPr>
                <w:rFonts w:ascii="Arial" w:cs="Arial" w:eastAsia="Arial" w:hAnsi="Arial"/>
                <w:sz w:val="14"/>
                <w:szCs w:val="14"/>
                <w:b w:val="1"/>
                <w:bCs w:val="1"/>
                <w:color w:val="auto"/>
                <w:w w:val="94"/>
              </w:rPr>
              <w:t>Additional paid-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20" w:type="dxa"/>
            <w:vAlign w:val="bottom"/>
          </w:tcPr>
          <w:p>
            <w:pPr>
              <w:spacing w:after="0"/>
              <w:rPr>
                <w:sz w:val="9"/>
                <w:szCs w:val="9"/>
                <w:color w:val="auto"/>
              </w:rPr>
            </w:pPr>
          </w:p>
        </w:tc>
        <w:tc>
          <w:tcPr>
            <w:tcW w:w="15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Ordinary shares</w:t>
            </w:r>
          </w:p>
        </w:tc>
        <w:tc>
          <w:tcPr>
            <w:tcW w:w="1100" w:type="dxa"/>
            <w:vAlign w:val="bottom"/>
            <w:gridSpan w:val="2"/>
            <w:vMerge w:val="continue"/>
          </w:tcPr>
          <w:p>
            <w:pPr>
              <w:spacing w:after="0"/>
              <w:rPr>
                <w:sz w:val="9"/>
                <w:szCs w:val="9"/>
                <w:color w:val="auto"/>
              </w:rPr>
            </w:pPr>
          </w:p>
        </w:tc>
        <w:tc>
          <w:tcPr>
            <w:tcW w:w="148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Statutory</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other comprehensive</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10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w w:val="96"/>
              </w:rPr>
              <w:t>in</w:t>
            </w:r>
          </w:p>
        </w:tc>
        <w:tc>
          <w:tcPr>
            <w:tcW w:w="1480" w:type="dxa"/>
            <w:vAlign w:val="bottom"/>
            <w:gridSpan w:val="4"/>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00" w:type="dxa"/>
            <w:vAlign w:val="bottom"/>
            <w:gridSpan w:val="2"/>
          </w:tcPr>
          <w:p>
            <w:pPr>
              <w:jc w:val="center"/>
              <w:ind w:right="33"/>
              <w:spacing w:after="0" w:line="142" w:lineRule="exact"/>
              <w:rPr>
                <w:sz w:val="20"/>
                <w:szCs w:val="20"/>
                <w:color w:val="auto"/>
              </w:rPr>
            </w:pPr>
            <w:r>
              <w:rPr>
                <w:rFonts w:ascii="Arial" w:cs="Arial" w:eastAsia="Arial" w:hAnsi="Arial"/>
                <w:sz w:val="14"/>
                <w:szCs w:val="14"/>
                <w:b w:val="1"/>
                <w:bCs w:val="1"/>
                <w:color w:val="auto"/>
                <w:w w:val="90"/>
              </w:rPr>
              <w:t>capital</w:t>
            </w: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w:t>
            </w:r>
          </w:p>
        </w:tc>
        <w:tc>
          <w:tcPr>
            <w:tcW w:w="6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reserves</w:t>
            </w:r>
          </w:p>
        </w:tc>
        <w:tc>
          <w:tcPr>
            <w:tcW w:w="13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income</w:t>
            </w:r>
          </w:p>
        </w:tc>
        <w:tc>
          <w:tcPr>
            <w:tcW w:w="7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earnings</w:t>
            </w: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Interests</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Balance as of December 31, 2014</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3,268,019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1,226,416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937,282</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21,223,973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(32,185)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23,358,160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Ordinary shares issued upon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settlement of restricted share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units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23,541</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687,332</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687,332</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w w:val="98"/>
              </w:rPr>
              <w:t>Appropriation to statutory reserves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73,635</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(73,635)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attributable to</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NetEase, Inc. and</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6,737,321</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100,689</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6,838,010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(4,628)</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(132,192)</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(132,192)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(4,628)</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(132,189)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4,628</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132,192</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w w:val="99"/>
              </w:rPr>
              <w:t>Net change in unrealized gains 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27,452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27,452</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Capital injection in subsidiaries by</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15,012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15,015</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Dividends to shareholders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(1,467,965)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(1,467,965)</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Exchanges losses on repurchase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 noncontrolling</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Balance as of December 31, 2015</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3,286,932</w:t>
            </w:r>
          </w:p>
        </w:tc>
        <w:tc>
          <w:tcPr>
            <w:tcW w:w="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2,685</w:t>
            </w:r>
          </w:p>
        </w:tc>
        <w:tc>
          <w:tcPr>
            <w:tcW w:w="1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1,779,331</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1,010,917</w:t>
            </w:r>
          </w:p>
        </w:tc>
        <w:tc>
          <w:tcPr>
            <w:tcW w:w="10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27,452</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26,419,698</w:t>
            </w:r>
          </w:p>
        </w:tc>
        <w:tc>
          <w:tcPr>
            <w:tcW w:w="1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83,516</w:t>
            </w:r>
          </w:p>
        </w:tc>
        <w:tc>
          <w:tcPr>
            <w:tcW w:w="1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29,323,599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Ordinary shares issued upon</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27,664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 of restricted share</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95" w:name="page96"/>
    <w:bookmarkEnd w:id="9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1,057,715</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1,057,715</w:t>
            </w:r>
          </w:p>
        </w:tc>
        <w:tc>
          <w:tcPr>
            <w:tcW w:w="100" w:type="dxa"/>
            <w:vAlign w:val="bottom"/>
          </w:tcPr>
          <w:p>
            <w:pPr>
              <w:spacing w:after="0"/>
              <w:rPr>
                <w:sz w:val="12"/>
                <w:szCs w:val="12"/>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Appropriation to statutory reserves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149,244</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(149,244)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Net income attributable to</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NetEase, Inc. and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11,604,520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188,343</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11,792,863</w:t>
            </w: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(33,116)</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(1,199,102)</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(1,199,102)</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(33,116)</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(1,199,075)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33,116</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1,199,102</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Net change in unrealized gains 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securities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34,027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34,027</w:t>
            </w: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w w:val="99"/>
              </w:rPr>
              <w:t>Capital injection in subsidiaries by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shareholders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(2,546,165)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(2,546,165)</w:t>
            </w:r>
          </w:p>
        </w:tc>
      </w:tr>
      <w:tr>
        <w:trPr>
          <w:trHeight w:val="142"/>
        </w:trPr>
        <w:tc>
          <w:tcPr>
            <w:tcW w:w="2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9"/>
              </w:rPr>
              <w:t>Balance as of December 31, 2016</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3,281,480</w:t>
            </w:r>
          </w:p>
        </w:tc>
        <w:tc>
          <w:tcPr>
            <w:tcW w:w="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2,676</w:t>
            </w:r>
          </w:p>
        </w:tc>
        <w:tc>
          <w:tcPr>
            <w:tcW w:w="1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1,637,953</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1,160,161</w:t>
            </w:r>
          </w:p>
        </w:tc>
        <w:tc>
          <w:tcPr>
            <w:tcW w:w="10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61,479</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35,328,812</w:t>
            </w:r>
          </w:p>
        </w:tc>
        <w:tc>
          <w:tcPr>
            <w:tcW w:w="1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271,860</w:t>
            </w:r>
          </w:p>
        </w:tc>
        <w:tc>
          <w:tcPr>
            <w:tcW w:w="1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38,462,941</w:t>
            </w:r>
          </w:p>
        </w:tc>
        <w:tc>
          <w:tcPr>
            <w:tcW w:w="100" w:type="dxa"/>
            <w:vAlign w:val="bottom"/>
            <w:tcBorders>
              <w:bottom w:val="single" w:sz="8" w:color="CCEEFF"/>
            </w:tcBorders>
          </w:tcPr>
          <w:p>
            <w:pPr>
              <w:spacing w:after="0"/>
              <w:rPr>
                <w:sz w:val="12"/>
                <w:szCs w:val="12"/>
                <w:color w:val="auto"/>
              </w:rPr>
            </w:pPr>
          </w:p>
        </w:tc>
      </w:tr>
      <w:tr>
        <w:trPr>
          <w:trHeight w:val="110"/>
        </w:trPr>
        <w:tc>
          <w:tcPr>
            <w:tcW w:w="21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Ordinary shares issued upon</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settlement of restricted share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29,805</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2,177,079</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2,177,079</w:t>
            </w:r>
          </w:p>
        </w:tc>
        <w:tc>
          <w:tcPr>
            <w:tcW w:w="100" w:type="dxa"/>
            <w:vAlign w:val="bottom"/>
          </w:tcPr>
          <w:p>
            <w:pPr>
              <w:spacing w:after="0"/>
              <w:rPr>
                <w:sz w:val="12"/>
                <w:szCs w:val="12"/>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Appropriation to statutory reserves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46,063</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(46,063)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Net income attributable to</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NetEase, Inc. and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10,707,939</w:t>
            </w:r>
          </w:p>
        </w:tc>
        <w:tc>
          <w:tcPr>
            <w:tcW w:w="1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126,502</w:t>
            </w:r>
          </w:p>
        </w:tc>
        <w:tc>
          <w:tcPr>
            <w:tcW w:w="1180" w:type="dxa"/>
            <w:vAlign w:val="bottom"/>
          </w:tcPr>
          <w:p>
            <w:pPr>
              <w:jc w:val="right"/>
              <w:spacing w:after="0"/>
              <w:rPr>
                <w:sz w:val="20"/>
                <w:szCs w:val="20"/>
                <w:color w:val="auto"/>
              </w:rPr>
            </w:pPr>
            <w:r>
              <w:rPr>
                <w:rFonts w:ascii="Arial" w:cs="Arial" w:eastAsia="Arial" w:hAnsi="Arial"/>
                <w:sz w:val="14"/>
                <w:szCs w:val="14"/>
                <w:color w:val="auto"/>
              </w:rPr>
              <w:t>10,834,441</w:t>
            </w:r>
          </w:p>
        </w:tc>
        <w:tc>
          <w:tcPr>
            <w:tcW w:w="100" w:type="dxa"/>
            <w:vAlign w:val="bottom"/>
          </w:tcPr>
          <w:p>
            <w:pPr>
              <w:spacing w:after="0"/>
              <w:rPr>
                <w:sz w:val="14"/>
                <w:szCs w:val="14"/>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(28,068)</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(2,061,591)</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(2,061,591)</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(28,068)</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(2,061,572)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28,068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2,061,591</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Net change in unrealized gains 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securities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(23,321)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(23,321)</w:t>
            </w: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w w:val="99"/>
              </w:rPr>
              <w:t>Capital injection in subsidiaries by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311,500</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311,500</w:t>
            </w:r>
          </w:p>
        </w:tc>
        <w:tc>
          <w:tcPr>
            <w:tcW w:w="100" w:type="dxa"/>
            <w:vAlign w:val="bottom"/>
          </w:tcPr>
          <w:p>
            <w:pPr>
              <w:spacing w:after="0"/>
              <w:rPr>
                <w:sz w:val="14"/>
                <w:szCs w:val="14"/>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shareholders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(3,257,607)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(3,257,607)</w:t>
            </w: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2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(1,573)</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(1,573)</w:t>
            </w: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a subsidiary</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(6,729)</w:t>
            </w: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(6,729)</w:t>
            </w:r>
          </w:p>
        </w:tc>
      </w:tr>
      <w:tr>
        <w:trPr>
          <w:trHeight w:val="142"/>
        </w:trPr>
        <w:tc>
          <w:tcPr>
            <w:tcW w:w="2120" w:type="dxa"/>
            <w:vAlign w:val="bottom"/>
          </w:tcPr>
          <w:p>
            <w:pPr>
              <w:spacing w:after="0" w:line="142" w:lineRule="exact"/>
              <w:rPr>
                <w:sz w:val="20"/>
                <w:szCs w:val="20"/>
                <w:color w:val="auto"/>
              </w:rPr>
            </w:pPr>
            <w:r>
              <w:rPr>
                <w:rFonts w:ascii="Arial" w:cs="Arial" w:eastAsia="Arial" w:hAnsi="Arial"/>
                <w:sz w:val="14"/>
                <w:szCs w:val="14"/>
                <w:color w:val="auto"/>
                <w:w w:val="99"/>
              </w:rPr>
              <w:t>Balance as of December 31, 2017</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3,283,217</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2,678</w:t>
            </w: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1,753,439</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1,206,224</w:t>
            </w:r>
          </w:p>
        </w:tc>
        <w:tc>
          <w:tcPr>
            <w:tcW w:w="10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36,585</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42,733,081</w:t>
            </w:r>
          </w:p>
        </w:tc>
        <w:tc>
          <w:tcPr>
            <w:tcW w:w="1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703,133</w:t>
            </w:r>
          </w:p>
        </w:tc>
        <w:tc>
          <w:tcPr>
            <w:tcW w:w="1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46,435,140</w:t>
            </w:r>
          </w:p>
        </w:tc>
        <w:tc>
          <w:tcPr>
            <w:tcW w:w="100" w:type="dxa"/>
            <w:vAlign w:val="bottom"/>
          </w:tcPr>
          <w:p>
            <w:pPr>
              <w:spacing w:after="0"/>
              <w:rPr>
                <w:sz w:val="12"/>
                <w:szCs w:val="12"/>
                <w:color w:val="auto"/>
              </w:rPr>
            </w:pPr>
          </w:p>
        </w:tc>
      </w:tr>
      <w:tr>
        <w:trPr>
          <w:trHeight w:val="20"/>
        </w:trPr>
        <w:tc>
          <w:tcPr>
            <w:tcW w:w="2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360" w:type="dxa"/>
            <w:vAlign w:val="bottom"/>
          </w:tcPr>
          <w:p>
            <w:pPr>
              <w:jc w:val="right"/>
              <w:ind w:right="431"/>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2"/>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Pr>
          <w:p>
            <w:pPr>
              <w:jc w:val="right"/>
              <w:ind w:right="411"/>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Note 2(n)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6,836,900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11,792,863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10,849,137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1,667,484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Adjustments to reconcile net income to net cash provided by</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182,450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327,515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801,804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impairment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278,906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Share-based compensation cost</w:t>
            </w:r>
          </w:p>
        </w:tc>
        <w:tc>
          <w:tcPr>
            <w:tcW w:w="1360" w:type="dxa"/>
            <w:vAlign w:val="bottom"/>
          </w:tcPr>
          <w:p>
            <w:pPr>
              <w:jc w:val="right"/>
              <w:spacing w:after="0"/>
              <w:rPr>
                <w:sz w:val="20"/>
                <w:szCs w:val="20"/>
                <w:color w:val="auto"/>
              </w:rPr>
            </w:pPr>
            <w:r>
              <w:rPr>
                <w:rFonts w:ascii="Arial" w:cs="Arial" w:eastAsia="Arial" w:hAnsi="Arial"/>
                <w:sz w:val="18"/>
                <w:szCs w:val="18"/>
                <w:color w:val="auto"/>
              </w:rPr>
              <w:t>684,467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990,131</w:t>
            </w:r>
          </w:p>
        </w:tc>
        <w:tc>
          <w:tcPr>
            <w:tcW w:w="1360" w:type="dxa"/>
            <w:vAlign w:val="bottom"/>
          </w:tcPr>
          <w:p>
            <w:pPr>
              <w:jc w:val="right"/>
              <w:spacing w:after="0"/>
              <w:rPr>
                <w:sz w:val="20"/>
                <w:szCs w:val="20"/>
                <w:color w:val="auto"/>
              </w:rPr>
            </w:pPr>
            <w:r>
              <w:rPr>
                <w:rFonts w:ascii="Arial" w:cs="Arial" w:eastAsia="Arial" w:hAnsi="Arial"/>
                <w:sz w:val="18"/>
                <w:szCs w:val="18"/>
                <w:color w:val="auto"/>
              </w:rPr>
              <w:t>2,004,263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308,050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provision for doubtful accounts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Loss on disposal of property, equipment and software</w:t>
            </w:r>
          </w:p>
        </w:tc>
        <w:tc>
          <w:tcPr>
            <w:tcW w:w="1360" w:type="dxa"/>
            <w:vAlign w:val="bottom"/>
          </w:tcPr>
          <w:p>
            <w:pPr>
              <w:jc w:val="right"/>
              <w:spacing w:after="0"/>
              <w:rPr>
                <w:sz w:val="20"/>
                <w:szCs w:val="20"/>
                <w:color w:val="auto"/>
              </w:rPr>
            </w:pPr>
            <w:r>
              <w:rPr>
                <w:rFonts w:ascii="Arial" w:cs="Arial" w:eastAsia="Arial" w:hAnsi="Arial"/>
                <w:sz w:val="18"/>
                <w:szCs w:val="18"/>
                <w:color w:val="auto"/>
              </w:rPr>
              <w:t>5,903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1,276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5,072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exchange (gains)/losses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(116,772)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437,868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Gain on disposal of long-term investments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(234,050)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(9,595)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(147,285)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66,676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(438,043)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Net equity share of losses from associated companies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76,134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85,813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12,232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changes of short-term investments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(140,104)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(304,605)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(389,793)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(1,744,059)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(1,646,885)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565,228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(789,514)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(760,365)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(3,896,799)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(598,927)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 and other current assets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(1,249,573)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(1,063,997)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(116,240)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243,140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604,089</w:t>
            </w:r>
          </w:p>
        </w:tc>
        <w:tc>
          <w:tcPr>
            <w:tcW w:w="1360" w:type="dxa"/>
            <w:vAlign w:val="bottom"/>
          </w:tcPr>
          <w:p>
            <w:pPr>
              <w:jc w:val="right"/>
              <w:spacing w:after="0"/>
              <w:rPr>
                <w:sz w:val="20"/>
                <w:szCs w:val="20"/>
                <w:color w:val="auto"/>
              </w:rPr>
            </w:pPr>
            <w:r>
              <w:rPr>
                <w:rFonts w:ascii="Arial" w:cs="Arial" w:eastAsia="Arial" w:hAnsi="Arial"/>
                <w:sz w:val="18"/>
                <w:szCs w:val="18"/>
                <w:color w:val="auto"/>
              </w:rPr>
              <w:t>1,100,787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169,188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Salary and welfare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386,417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570,466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700,479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Taxes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401,924</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986,390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(155,904)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2,683,970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2,879,489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(1,291,890)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Accrued liabilities and other payables</w:t>
            </w:r>
          </w:p>
        </w:tc>
        <w:tc>
          <w:tcPr>
            <w:tcW w:w="1360" w:type="dxa"/>
            <w:vAlign w:val="bottom"/>
          </w:tcPr>
          <w:p>
            <w:pPr>
              <w:jc w:val="right"/>
              <w:spacing w:after="0"/>
              <w:rPr>
                <w:sz w:val="20"/>
                <w:szCs w:val="20"/>
                <w:color w:val="auto"/>
              </w:rPr>
            </w:pPr>
            <w:r>
              <w:rPr>
                <w:rFonts w:ascii="Arial" w:cs="Arial" w:eastAsia="Arial" w:hAnsi="Arial"/>
                <w:sz w:val="18"/>
                <w:szCs w:val="18"/>
                <w:color w:val="auto"/>
              </w:rPr>
              <w:t>746,844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1,071,240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1,591,269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244,574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8,076,920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15,488,266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11,889,238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Purchase of property, equipment and software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(866,314)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(1,135,533)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(1,842,933)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(283,254)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equipment and software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60"/>
              <w:spacing w:after="0" w:line="201" w:lineRule="exact"/>
              <w:rPr>
                <w:sz w:val="20"/>
                <w:szCs w:val="20"/>
                <w:color w:val="auto"/>
              </w:rPr>
            </w:pPr>
            <w:r>
              <w:rPr>
                <w:rFonts w:ascii="Arial" w:cs="Arial" w:eastAsia="Arial" w:hAnsi="Arial"/>
                <w:sz w:val="18"/>
                <w:szCs w:val="18"/>
                <w:color w:val="auto"/>
              </w:rPr>
              <w:t>Purchase of intangible assets and licensed copyrights of</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Pr>
          <w:p>
            <w:pPr>
              <w:ind w:left="540"/>
              <w:spacing w:after="0"/>
              <w:rPr>
                <w:sz w:val="20"/>
                <w:szCs w:val="20"/>
                <w:color w:val="auto"/>
              </w:rPr>
            </w:pPr>
            <w:r>
              <w:rPr>
                <w:rFonts w:ascii="Arial" w:cs="Arial" w:eastAsia="Arial" w:hAnsi="Arial"/>
                <w:sz w:val="18"/>
                <w:szCs w:val="18"/>
                <w:color w:val="auto"/>
              </w:rPr>
              <w:t>music content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(4,434)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(674,803)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land use right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(163,998)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60"/>
              <w:spacing w:after="0" w:line="201" w:lineRule="exact"/>
              <w:rPr>
                <w:sz w:val="20"/>
                <w:szCs w:val="20"/>
                <w:color w:val="auto"/>
              </w:rPr>
            </w:pPr>
            <w:r>
              <w:rPr>
                <w:rFonts w:ascii="Arial" w:cs="Arial" w:eastAsia="Arial" w:hAnsi="Arial"/>
                <w:sz w:val="18"/>
                <w:szCs w:val="18"/>
                <w:color w:val="auto"/>
              </w:rPr>
              <w:t>Net change of short-term investments with terms of three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540"/>
              <w:spacing w:after="0"/>
              <w:rPr>
                <w:sz w:val="20"/>
                <w:szCs w:val="20"/>
                <w:color w:val="auto"/>
              </w:rPr>
            </w:pPr>
            <w:r>
              <w:rPr>
                <w:rFonts w:ascii="Arial" w:cs="Arial" w:eastAsia="Arial" w:hAnsi="Arial"/>
                <w:sz w:val="18"/>
                <w:szCs w:val="18"/>
                <w:color w:val="auto"/>
              </w:rPr>
              <w:t>months or less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(231,306)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(3,704,332)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(895,298)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short-term investments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(5,687,000)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(12,439,000)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(12,491,000)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Proceeds from maturities of short-term investments</w:t>
            </w:r>
          </w:p>
        </w:tc>
        <w:tc>
          <w:tcPr>
            <w:tcW w:w="1360" w:type="dxa"/>
            <w:vAlign w:val="bottom"/>
          </w:tcPr>
          <w:p>
            <w:pPr>
              <w:jc w:val="right"/>
              <w:spacing w:after="0"/>
              <w:rPr>
                <w:sz w:val="20"/>
                <w:szCs w:val="20"/>
                <w:color w:val="auto"/>
              </w:rPr>
            </w:pPr>
            <w:r>
              <w:rPr>
                <w:rFonts w:ascii="Arial" w:cs="Arial" w:eastAsia="Arial" w:hAnsi="Arial"/>
                <w:sz w:val="18"/>
                <w:szCs w:val="18"/>
                <w:color w:val="auto"/>
              </w:rPr>
              <w:t>3,103,463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9,879,319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15,615,544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2,400,065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an associated company</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(187,532)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(364,486)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(235,769)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Acquisitions of other long-term investments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(1,178,929)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(181,117)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(900,712)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(138,437)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Proceeds from disposal of investment in associated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company and long-term investments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249,569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350,418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53,858</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7" w:right="2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Transfer to restricted cash</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(763,493)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(2,140,421)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(394,021)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Placement/rollover of matured time deposits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(19,017,824)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(20,367,430)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(33,984,148)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Proceeds from maturity of time deposits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22,582,480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16,377,449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22,429,597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3,447,366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other assets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(127,016)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(224,103)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(2,536,524)</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(14,001,814)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(13,249,291)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(2,036,382)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of short-term bank loans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5,828,758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11,354,866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61,333,209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Payment of short-term bank loans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(5,741,616)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(9,860,110)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(58,228,239)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(8,949,516)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 to shareholders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(1,467,965)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(2,546,165)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(3,257,607)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(500,685)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60"/>
              <w:spacing w:after="0" w:line="201" w:lineRule="exact"/>
              <w:rPr>
                <w:sz w:val="20"/>
                <w:szCs w:val="20"/>
                <w:color w:val="auto"/>
              </w:rPr>
            </w:pPr>
            <w:r>
              <w:rPr>
                <w:rFonts w:ascii="Arial" w:cs="Arial" w:eastAsia="Arial" w:hAnsi="Arial"/>
                <w:sz w:val="18"/>
                <w:szCs w:val="18"/>
                <w:color w:val="auto"/>
              </w:rPr>
              <w:t>Capital (repurchase of)/injection from redeemable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540"/>
              <w:spacing w:after="0"/>
              <w:rPr>
                <w:sz w:val="20"/>
                <w:szCs w:val="20"/>
                <w:color w:val="auto"/>
              </w:rPr>
            </w:pPr>
            <w:r>
              <w:rPr>
                <w:rFonts w:ascii="Arial" w:cs="Arial" w:eastAsia="Arial" w:hAnsi="Arial"/>
                <w:sz w:val="18"/>
                <w:szCs w:val="18"/>
                <w:color w:val="auto"/>
              </w:rPr>
              <w:t>noncontrolling interest shareholders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(134,736)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injection from noncontrolling interest shareholders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15,015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Repurchase of shares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(132,192)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(1,199,102)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(2,061,591)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(316,862)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(1,632,736)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(2,250,507)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(1,302,728)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Effect of exchange rate changes on cash held in foreign</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currencies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142,374</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132,067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4,050,034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(631,988)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(2,675,359)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the year</w:t>
            </w:r>
          </w:p>
        </w:tc>
        <w:tc>
          <w:tcPr>
            <w:tcW w:w="1360" w:type="dxa"/>
            <w:vAlign w:val="bottom"/>
          </w:tcPr>
          <w:p>
            <w:pPr>
              <w:jc w:val="right"/>
              <w:spacing w:after="0"/>
              <w:rPr>
                <w:sz w:val="20"/>
                <w:szCs w:val="20"/>
                <w:color w:val="auto"/>
              </w:rPr>
            </w:pPr>
            <w:r>
              <w:rPr>
                <w:rFonts w:ascii="Arial" w:cs="Arial" w:eastAsia="Arial" w:hAnsi="Arial"/>
                <w:sz w:val="18"/>
                <w:szCs w:val="18"/>
                <w:color w:val="auto"/>
              </w:rPr>
              <w:t>2,021,453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6,071,487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5,439,499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836,036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6,071,487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5,439,499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2,764,140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Cash paid for income taxes, net of tax refund</w:t>
            </w:r>
          </w:p>
        </w:tc>
        <w:tc>
          <w:tcPr>
            <w:tcW w:w="1360" w:type="dxa"/>
            <w:vAlign w:val="bottom"/>
          </w:tcPr>
          <w:p>
            <w:pPr>
              <w:jc w:val="right"/>
              <w:spacing w:after="0"/>
              <w:rPr>
                <w:sz w:val="20"/>
                <w:szCs w:val="20"/>
                <w:color w:val="auto"/>
              </w:rPr>
            </w:pPr>
            <w:r>
              <w:rPr>
                <w:rFonts w:ascii="Arial" w:cs="Arial" w:eastAsia="Arial" w:hAnsi="Arial"/>
                <w:sz w:val="18"/>
                <w:szCs w:val="18"/>
                <w:color w:val="auto"/>
              </w:rPr>
              <w:t>1,124,339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1,097,178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2,712,875</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416,961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Supplemental schedule of non-cash investing and financing</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Fixed asset purchases financed by accounts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216,328</w:t>
            </w: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260,277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293,194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45,063</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Renminbi (“RMB”), unless otherwise stated)</w:t>
      </w:r>
    </w:p>
    <w:p>
      <w:pPr>
        <w:spacing w:after="0" w:line="207"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The Group</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NetEase.com, Inc. was incorporated in the Cayman Islands on July 6, 1999 and changed its name to “NetEase, Inc.” (“the Company”) with effect from March 29, 2012. The Company has been listed on the Nasdaq National Market (now the Nasdaq Global Select Market) in the United States of America since July 2000. As of December 31, 2017, the Company has wholly-owned and majority-owned subsidiaries incorporated in countries and jurisdictions mainly in the People’s Republic of China (“PRC”), Hong Kong, Cayman Islands and British Virgin Islands (“BVI”). The Company also effectively controls a number of variable interest entities (“VIEs”) for which the Company is the primary beneficiary. The Company, its subsidiaries and VIEs are hereinafter collectively referred to as the “Group”. The major subsidiaries and VIEs through which the Company conducts its business operations as of December 31, 2017 are described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Subsidiaries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year of</w:t>
            </w:r>
          </w:p>
        </w:tc>
        <w:tc>
          <w:tcPr>
            <w:tcW w:w="0" w:type="dxa"/>
            <w:vAlign w:val="bottom"/>
          </w:tcPr>
          <w:p>
            <w:pPr>
              <w:spacing w:after="0"/>
              <w:rPr>
                <w:sz w:val="1"/>
                <w:szCs w:val="1"/>
                <w:color w:val="auto"/>
              </w:rPr>
            </w:pPr>
          </w:p>
        </w:tc>
      </w:tr>
      <w:tr>
        <w:trPr>
          <w:trHeight w:val="171"/>
        </w:trPr>
        <w:tc>
          <w:tcPr>
            <w:tcW w:w="8120" w:type="dxa"/>
            <w:vAlign w:val="bottom"/>
            <w:gridSpan w:val="2"/>
            <w:vMerge w:val="continue"/>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 (“NetEase Beijing”)</w:t>
            </w:r>
          </w:p>
        </w:tc>
        <w:tc>
          <w:tcPr>
            <w:tcW w:w="2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Beijing, China 1999</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Guangzhou Boguan Telecommunication Technology Co., Ltd. (“Boguan”)</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Guangzhou, China 2003</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 (“Youdao Information”)</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Beijing, China 2006</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NetEase (Hangzhou) Network Co., Ltd. (“NetEase Hangzhou”)</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Hangzhou, China 2006</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Langhe Technology Co., Ltd. (“Hangzhou Langhe”)</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 2009</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Lede Technology Co., Ltd. (“Lede Technology”)</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Beijing, China 2011</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Technology (Beijing) Co., Ltd. (“Media Beijing”)</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Beijing, China 2012</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HQG, Limited (“HQG”)</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Hong Kong, China 2014</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Youmai Technology Co., Ltd. (“Hangzhou Youmai”)</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 2014</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Tianjin Wang Zhi Yi Innovation and Technology Co., Ltd. (“Tianjin Technology”)</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Tianjin, China 2015</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Netease Yanxuan Trading Co., Ltd. (“Hangzhou Yanxuan”)</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 2016</w:t>
            </w:r>
          </w:p>
        </w:tc>
        <w:tc>
          <w:tcPr>
            <w:tcW w:w="0" w:type="dxa"/>
            <w:vAlign w:val="bottom"/>
          </w:tcPr>
          <w:p>
            <w:pPr>
              <w:spacing w:after="0"/>
              <w:rPr>
                <w:sz w:val="1"/>
                <w:szCs w:val="1"/>
                <w:color w:val="auto"/>
              </w:rPr>
            </w:pPr>
          </w:p>
        </w:tc>
      </w:tr>
      <w:tr>
        <w:trPr>
          <w:trHeight w:val="342"/>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VIEs and VIEs’ subsidiaries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year of</w:t>
            </w:r>
          </w:p>
        </w:tc>
        <w:tc>
          <w:tcPr>
            <w:tcW w:w="0" w:type="dxa"/>
            <w:vAlign w:val="bottom"/>
          </w:tcPr>
          <w:p>
            <w:pPr>
              <w:spacing w:after="0"/>
              <w:rPr>
                <w:sz w:val="1"/>
                <w:szCs w:val="1"/>
                <w:color w:val="auto"/>
              </w:rPr>
            </w:pPr>
          </w:p>
        </w:tc>
      </w:tr>
      <w:tr>
        <w:trPr>
          <w:trHeight w:val="171"/>
        </w:trPr>
        <w:tc>
          <w:tcPr>
            <w:tcW w:w="8120" w:type="dxa"/>
            <w:vAlign w:val="bottom"/>
            <w:gridSpan w:val="2"/>
            <w:vMerge w:val="continue"/>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 (“Guangzhou NetEase”)</w:t>
            </w:r>
          </w:p>
        </w:tc>
        <w:tc>
          <w:tcPr>
            <w:tcW w:w="2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Guangzhou, China 1997</w:t>
            </w:r>
          </w:p>
        </w:tc>
        <w:tc>
          <w:tcPr>
            <w:tcW w:w="0" w:type="dxa"/>
            <w:vAlign w:val="bottom"/>
          </w:tcPr>
          <w:p>
            <w:pPr>
              <w:spacing w:after="0"/>
              <w:rPr>
                <w:sz w:val="1"/>
                <w:szCs w:val="1"/>
                <w:color w:val="auto"/>
              </w:rPr>
            </w:pPr>
          </w:p>
        </w:tc>
      </w:tr>
      <w:tr>
        <w:trPr>
          <w:trHeight w:val="202"/>
        </w:trPr>
        <w:tc>
          <w:tcPr>
            <w:tcW w:w="8120" w:type="dxa"/>
            <w:vAlign w:val="bottom"/>
            <w:gridSpan w:val="2"/>
          </w:tcPr>
          <w:p>
            <w:pPr>
              <w:spacing w:after="0" w:line="201" w:lineRule="exact"/>
              <w:rPr>
                <w:sz w:val="20"/>
                <w:szCs w:val="20"/>
                <w:color w:val="auto"/>
              </w:rPr>
            </w:pPr>
            <w:r>
              <w:rPr>
                <w:rFonts w:ascii="Arial" w:cs="Arial" w:eastAsia="Arial" w:hAnsi="Arial"/>
                <w:sz w:val="18"/>
                <w:szCs w:val="18"/>
                <w:color w:val="auto"/>
              </w:rPr>
              <w:t>Beijing NetEase Media Co., Ltd. (previously named “Beijing Guangyitong Advertising Co., Ltd.”)</w:t>
            </w:r>
          </w:p>
        </w:tc>
        <w:tc>
          <w:tcPr>
            <w:tcW w:w="3300" w:type="dxa"/>
            <w:vAlign w:val="bottom"/>
          </w:tcPr>
          <w:p>
            <w:pPr>
              <w:jc w:val="center"/>
              <w:spacing w:after="0" w:line="201" w:lineRule="exact"/>
              <w:rPr>
                <w:sz w:val="20"/>
                <w:szCs w:val="20"/>
                <w:color w:val="auto"/>
              </w:rPr>
            </w:pPr>
            <w:r>
              <w:rPr>
                <w:rFonts w:ascii="Arial" w:cs="Arial" w:eastAsia="Arial" w:hAnsi="Arial"/>
                <w:sz w:val="18"/>
                <w:szCs w:val="18"/>
                <w:color w:val="auto"/>
                <w:w w:val="93"/>
              </w:rPr>
              <w:t>Beijing, China 1999</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(“NetEase Advertising”)</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EaseNet Network Technology Co., Ltd. (“Shanghai EaseNet”)</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Shanghai, China 2008</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StormNet Information Technology (Hong Kong) Limited (“StormNet IT HK”)</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Hong Kong, China 2008</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StormNet Information Technology (Shanghai) Co., Ltd. (“StormNet IT SH”)</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Shanghai, China 2008</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Hangzhou NetEase Leihuo Network Co., Ltd. (“HZ Leihuo”)</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Hangzhou, China 2009</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Wangyibao Co., Ltd. (“Wangyibao Company”)</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 2010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Guangzhou NetEase, a principal VIE of the Company, was incorporated in June 1997 in China and owned by William Lei Ding, or Mr. Ding, the Company’s Chief Executive Officer, director and major shareholder, and another Chinese employee of the Group. It is responsible for providing online game, e-mail and other value-added telecommunication services.</w:t>
      </w:r>
    </w:p>
    <w:p>
      <w:pPr>
        <w:sectPr>
          <w:pgSz w:w="11900" w:h="16838" w:orient="portrait"/>
          <w:cols w:equalWidth="0" w:num="1">
            <w:col w:w="11420"/>
          </w:cols>
          <w:pgMar w:left="240" w:top="125" w:right="239" w:bottom="0" w:gutter="0" w:footer="0" w:header="0"/>
        </w:sectPr>
      </w:pPr>
    </w:p>
    <w:bookmarkStart w:id="97" w:name="page98"/>
    <w:bookmarkEnd w:id="97"/>
    <w:p>
      <w:pPr>
        <w:ind w:right="220"/>
        <w:spacing w:after="0" w:line="277" w:lineRule="auto"/>
        <w:rPr>
          <w:sz w:val="20"/>
          <w:szCs w:val="20"/>
          <w:color w:val="auto"/>
        </w:rPr>
      </w:pPr>
      <w:r>
        <w:rPr>
          <w:rFonts w:ascii="Arial" w:cs="Arial" w:eastAsia="Arial" w:hAnsi="Arial"/>
          <w:sz w:val="18"/>
          <w:szCs w:val="18"/>
          <w:color w:val="auto"/>
        </w:rPr>
        <w:t>NetEase Advertising, owned by Mr. Ding and another Chinese employee of the Group, was incorporated in November 1999 in China. NetEase Advertising operates the Company’s portal business.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HZ Leihuo was incorporated in April 2009 in China by two Chinese employees of the Group and currently operates the Company’s mobile game business.</w:t>
      </w:r>
    </w:p>
    <w:p>
      <w:pPr>
        <w:spacing w:after="0" w:line="24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Wangyibao Company was incorporated in July 2010 in China as a wholly-owned subsidiary of Guangzhou NetEase for the purpose of operating the Wangyibao online payment platform of the Company to facilitate e-payments by online game or other services customers to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Shanghai EaseNet is a PRC company owned by Mr. Ding, and has contractual arrangements with the joint venture established between, and owned equally by, Blizzard Entertainment, Inc. (“Blizzard”) and the Company, and with the Company. The joint venture was established concurrently with the licensing of certain online games in August 2008 and provides technical services to Shanghai EaseNet. The joint venture currently consists of two companies, StormNet IT HK and its wholly-owned subsidiary StormNet IT SH.</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combined financial information of the Group’s VIEs was included in the accompanying consolidated financial statements of the Group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10,631,045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9,729,718</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9,971,110</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8,897,521</w:t>
            </w:r>
          </w:p>
        </w:tc>
      </w:tr>
      <w:tr>
        <w:trPr>
          <w:trHeight w:val="350"/>
        </w:trPr>
        <w:tc>
          <w:tcPr>
            <w:tcW w:w="6640" w:type="dxa"/>
            <w:vAlign w:val="bottom"/>
          </w:tcPr>
          <w:p>
            <w:pPr>
              <w:spacing w:after="0"/>
              <w:rPr>
                <w:sz w:val="24"/>
                <w:szCs w:val="24"/>
                <w:color w:val="auto"/>
              </w:rPr>
            </w:pPr>
          </w:p>
        </w:tc>
        <w:tc>
          <w:tcPr>
            <w:tcW w:w="3460" w:type="dxa"/>
            <w:vAlign w:val="bottom"/>
            <w:tcBorders>
              <w:bottom w:val="single" w:sz="8" w:color="auto"/>
            </w:tcBorders>
            <w:gridSpan w:val="5"/>
          </w:tcPr>
          <w:p>
            <w:pPr>
              <w:jc w:val="center"/>
              <w:ind w:left="1140"/>
              <w:spacing w:after="0"/>
              <w:rPr>
                <w:sz w:val="20"/>
                <w:szCs w:val="20"/>
                <w:color w:val="auto"/>
              </w:rPr>
            </w:pPr>
            <w:r>
              <w:rPr>
                <w:rFonts w:ascii="Arial" w:cs="Arial" w:eastAsia="Arial" w:hAnsi="Arial"/>
                <w:sz w:val="14"/>
                <w:szCs w:val="14"/>
                <w:b w:val="1"/>
                <w:bCs w:val="1"/>
                <w:color w:val="auto"/>
                <w:w w:val="92"/>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19,819,474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31,043,737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40,584,251</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343,942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448,771</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357,163</w:t>
            </w:r>
          </w:p>
        </w:tc>
      </w:tr>
      <w:tr>
        <w:trPr>
          <w:trHeight w:val="350"/>
        </w:trPr>
        <w:tc>
          <w:tcPr>
            <w:tcW w:w="6640" w:type="dxa"/>
            <w:vAlign w:val="bottom"/>
          </w:tcPr>
          <w:p>
            <w:pPr>
              <w:spacing w:after="0"/>
              <w:rPr>
                <w:sz w:val="24"/>
                <w:szCs w:val="24"/>
                <w:color w:val="auto"/>
              </w:rPr>
            </w:pPr>
          </w:p>
        </w:tc>
        <w:tc>
          <w:tcPr>
            <w:tcW w:w="3460" w:type="dxa"/>
            <w:vAlign w:val="bottom"/>
            <w:tcBorders>
              <w:bottom w:val="single" w:sz="8" w:color="auto"/>
            </w:tcBorders>
            <w:gridSpan w:val="5"/>
          </w:tcPr>
          <w:p>
            <w:pPr>
              <w:jc w:val="center"/>
              <w:ind w:left="1140"/>
              <w:spacing w:after="0"/>
              <w:rPr>
                <w:sz w:val="20"/>
                <w:szCs w:val="20"/>
                <w:color w:val="auto"/>
              </w:rPr>
            </w:pPr>
            <w:r>
              <w:rPr>
                <w:rFonts w:ascii="Arial" w:cs="Arial" w:eastAsia="Arial" w:hAnsi="Arial"/>
                <w:sz w:val="14"/>
                <w:szCs w:val="14"/>
                <w:b w:val="1"/>
                <w:bCs w:val="1"/>
                <w:color w:val="auto"/>
                <w:w w:val="92"/>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931,049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1,736,702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(124,670)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in)/provided by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(327,330)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(270,733)</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122,286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(89,996)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RMB533.2 million and RMB536.2 million, respectively, as of December 31, 2016 and 2017, as well as certain non-distributable statutory reserves amounting to approximately RMB21.3 million and RMB27.2 million, respectively, as of December 31, 2016 and 2017. As the respective VIEs are incorporated as limited liability companies under the PRC Company Law, creditors do not have recourse to the general credit of the Company for the liabilities of the respective VIEs.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There is no entity in the Company’s group for which the Company has a variable interest but is not the primary beneficiary as of December 31, 2017.</w:t>
      </w: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Nature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generates revenues from providing online game services, e-commerce, advertising services, and e-mail and other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industry in which the Group operates is subject to a number of industry-specific risk factors, including, but not limited to, rapidly changing technologies; government regulations of the Internet, online game and e-commerce industry in China; significant numbers of new entrants; dependence on key individuals; competition of similar services from larger companies; customer preferences; and the need for the continued successful development, marketing and selling of its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 Arrangements with Guangzhou NetEase, NetEase Advertising, HZ Leihuo, and Shanghai EaseNet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principal VIEs with respect to the operation of the NetEase websites, operation of self-developed and licensed online and mobile games, Internet content and wireless value-added services, as well as the provision of advertising services. Our major VIEs include: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20" w:hanging="664"/>
        <w:spacing w:after="0"/>
        <w:tabs>
          <w:tab w:leader="none" w:pos="1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Guangzhou NetEase (owned by Mr. Ding and a Chinese employee of the Group, (together referred as “the VIE shareholders”)),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NetEase Advertising (owned by Mr. Ding and another Chinese employee of the Group*),</w:t>
      </w:r>
    </w:p>
    <w:p>
      <w:pPr>
        <w:sectPr>
          <w:pgSz w:w="11900" w:h="16838" w:orient="portrait"/>
          <w:cols w:equalWidth="0" w:num="1">
            <w:col w:w="11420"/>
          </w:cols>
          <w:pgMar w:left="240" w:top="125" w:right="239" w:bottom="0" w:gutter="0" w:footer="0" w:header="0"/>
        </w:sectPr>
      </w:pPr>
    </w:p>
    <w:bookmarkStart w:id="98" w:name="page99"/>
    <w:bookmarkEnd w:id="98"/>
    <w:p>
      <w:pPr>
        <w:spacing w:after="0" w:line="40" w:lineRule="exact"/>
        <w:rPr>
          <w:sz w:val="20"/>
          <w:szCs w:val="20"/>
          <w:color w:val="auto"/>
        </w:rPr>
      </w:pPr>
    </w:p>
    <w:p>
      <w:pPr>
        <w:ind w:left="1320" w:hanging="66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HZ Leihuo (owned by two employees of the Group),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Shanghai EaseNet (owned by Mr. Ding).</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Based on the agreements with these VIEs, the Company’s subsidiaries NetEase Beijing, Media Beijing, Boguan and NetEase Hangzhou provided technical consulting and related services to these VIEs. In 2012, these agreements were replaced with the following new cooperative agreements to reflect a change in the tax rules in China which resulted in the Company’s business in China becoming subject to a value-added tax instead of a business tax. The principal agreements that transfer economic benefits of Guangzhou NetEase and NetEase Advertising to the Company and its subsidiaries are:</w:t>
      </w:r>
    </w:p>
    <w:p>
      <w:pPr>
        <w:spacing w:after="0" w:line="154" w:lineRule="exact"/>
        <w:rPr>
          <w:sz w:val="20"/>
          <w:szCs w:val="20"/>
          <w:color w:val="auto"/>
        </w:rPr>
      </w:pPr>
    </w:p>
    <w:p>
      <w:pPr>
        <w:jc w:val="both"/>
        <w:ind w:left="1340" w:right="300" w:hanging="684"/>
        <w:spacing w:after="0" w:line="264" w:lineRule="auto"/>
        <w:tabs>
          <w:tab w:leader="none" w:pos="1304"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with Guangzhou NetEase — </w:t>
      </w:r>
      <w:r>
        <w:rPr>
          <w:rFonts w:ascii="Arial" w:cs="Arial" w:eastAsia="Arial" w:hAnsi="Arial"/>
          <w:sz w:val="18"/>
          <w:szCs w:val="18"/>
          <w:color w:val="auto"/>
        </w:rPr>
        <w:t>under these agreements, the Company’s subsidiaries NetEase Beijing, Boguan and</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Hangzhou provide various technical consulting and related services to Guangzhou NetEase in exchange for substantially all of Guangzhou NetEase’s net profits.</w:t>
      </w:r>
    </w:p>
    <w:p>
      <w:pPr>
        <w:spacing w:after="0" w:line="181" w:lineRule="exact"/>
        <w:rPr>
          <w:rFonts w:ascii="Arial" w:cs="Arial" w:eastAsia="Arial" w:hAnsi="Arial"/>
          <w:sz w:val="18"/>
          <w:szCs w:val="18"/>
          <w:color w:val="auto"/>
        </w:rPr>
      </w:pPr>
    </w:p>
    <w:p>
      <w:pPr>
        <w:jc w:val="both"/>
        <w:ind w:left="1340" w:right="20" w:hanging="684"/>
        <w:spacing w:after="0" w:line="264" w:lineRule="auto"/>
        <w:tabs>
          <w:tab w:leader="none" w:pos="1304"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with NetEase Advertising </w:t>
      </w:r>
      <w:r>
        <w:rPr>
          <w:rFonts w:ascii="Arial" w:cs="Arial" w:eastAsia="Arial" w:hAnsi="Arial"/>
          <w:sz w:val="18"/>
          <w:szCs w:val="18"/>
          <w:color w:val="auto"/>
        </w:rPr>
        <w:t>— under these agreements, NetEase Beijing until October 2013, and Media Beijing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2013 onwards, provide various technical consulting and related services in exchange for substantially all of NetEase Advertising’s profits.</w:t>
      </w:r>
    </w:p>
    <w:p>
      <w:pPr>
        <w:spacing w:after="0" w:line="181"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Each cooperative agreement will remain in effect indefinitely unless any one of the contract parties terminates such agreement by written notice or otherwise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Guangzhou NetEase are:</w:t>
      </w:r>
    </w:p>
    <w:p>
      <w:pPr>
        <w:spacing w:after="0" w:line="225" w:lineRule="exact"/>
        <w:rPr>
          <w:sz w:val="20"/>
          <w:szCs w:val="20"/>
          <w:color w:val="auto"/>
        </w:rPr>
      </w:pPr>
    </w:p>
    <w:p>
      <w:pPr>
        <w:ind w:left="1340" w:right="140" w:hanging="684"/>
        <w:spacing w:after="0" w:line="259"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Shareholder Voting Rights Trust Agreement among the VIE shareholders and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86" w:lineRule="exact"/>
        <w:rPr>
          <w:rFonts w:ascii="Arial" w:cs="Arial" w:eastAsia="Arial" w:hAnsi="Arial"/>
          <w:sz w:val="18"/>
          <w:szCs w:val="18"/>
          <w:color w:val="auto"/>
        </w:rPr>
      </w:pPr>
    </w:p>
    <w:p>
      <w:pPr>
        <w:ind w:left="1340" w:hanging="684"/>
        <w:spacing w:after="0" w:line="255"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 mentioned agreements require a vote of the shareholders of NetEase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89" w:lineRule="exact"/>
        <w:rPr>
          <w:rFonts w:ascii="Arial" w:cs="Arial" w:eastAsia="Arial" w:hAnsi="Arial"/>
          <w:sz w:val="18"/>
          <w:szCs w:val="18"/>
          <w:color w:val="auto"/>
        </w:rPr>
      </w:pPr>
    </w:p>
    <w:p>
      <w:pPr>
        <w:ind w:left="1340" w:right="180" w:hanging="684"/>
        <w:spacing w:after="0" w:line="259"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Governance Arrangements. The parties have agreed that upon NetEase’s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80" w:hanging="4"/>
        <w:spacing w:after="0" w:line="264" w:lineRule="auto"/>
        <w:tabs>
          <w:tab w:leader="none" w:pos="8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November 2015, Guangzhou NetEase transferred its 80.0% interest in NetEase Advertising to Mr. Ding (79.0%) and one Chinese employee of the Group (1.0%). As a result of this transfer, Mr. Ding and that employee of the Group own 99.0% and 1.0% of the equity interest in NetEase Advertising,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NetEase Advertising are:</w:t>
      </w:r>
    </w:p>
    <w:p>
      <w:pPr>
        <w:spacing w:after="0" w:line="225" w:lineRule="exact"/>
        <w:rPr>
          <w:sz w:val="20"/>
          <w:szCs w:val="20"/>
          <w:color w:val="auto"/>
        </w:rPr>
      </w:pPr>
    </w:p>
    <w:p>
      <w:pPr>
        <w:ind w:left="1340" w:right="20" w:hanging="684"/>
        <w:spacing w:after="0" w:line="270" w:lineRule="auto"/>
        <w:tabs>
          <w:tab w:leader="none" w:pos="130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Operating Agreement among Media Beijing, NetEase Advertising and the VIE shareholders of NetEase Advertising. To ensure the successful performance of the various agreements between the parties, NetEase Advertising and its VIE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VIE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81" w:lineRule="exact"/>
        <w:rPr>
          <w:rFonts w:ascii="Arial" w:cs="Arial" w:eastAsia="Arial" w:hAnsi="Arial"/>
          <w:sz w:val="17"/>
          <w:szCs w:val="17"/>
          <w:color w:val="auto"/>
        </w:rPr>
      </w:pPr>
    </w:p>
    <w:p>
      <w:pPr>
        <w:ind w:left="1340" w:right="20" w:hanging="684"/>
        <w:spacing w:after="0" w:line="257" w:lineRule="auto"/>
        <w:tabs>
          <w:tab w:leader="none" w:pos="13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Shareholder Voting Rights Trust Agreement among Media Beijing and the VIE Shareholders of NetEase Advertising. Under these agreements, each dated November 30, 2015, each of the VIE shareholders agreed to irrevocably entrust a person designated by Media Beijing to represent him to exercise all the voting rights and other shareholders’ rights to which he is entitled as a shareholder of NetEase Advertising. Each agreement shall remain effective for as long as the VIE shareholder remains a shareholder of NetEase Advertising unless Media Beijing unilaterally terminates the agreement by written notice.</w:t>
      </w:r>
    </w:p>
    <w:p>
      <w:pPr>
        <w:spacing w:after="0" w:line="188" w:lineRule="exact"/>
        <w:rPr>
          <w:rFonts w:ascii="Arial" w:cs="Arial" w:eastAsia="Arial" w:hAnsi="Arial"/>
          <w:sz w:val="18"/>
          <w:szCs w:val="18"/>
          <w:color w:val="auto"/>
        </w:rPr>
      </w:pPr>
    </w:p>
    <w:p>
      <w:pPr>
        <w:ind w:left="1340" w:right="160" w:hanging="684"/>
        <w:spacing w:after="0" w:line="291" w:lineRule="auto"/>
        <w:tabs>
          <w:tab w:leader="none" w:pos="130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Exclusive Purchase Option Agreements among Media Beijing, NetEase Advertising and the VIE shareholders of NetEase Advertising. Under the Exclusive Purchase Option Agreements, each dated November 30, 2015, each of the VIE shareholders has granted Media Beijing an option to purchase all or a portion of his equity interest in NetEase Advertising at a price equal to the original paid-in capital paid by the VIE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VIE shareholders of NetEase Advertising agrees not to transfer, mortgage or permit any security interest to be created on any equity interest in or assets of NetEase Advertising without the prior written consent of Media</w:t>
      </w:r>
    </w:p>
    <w:p>
      <w:pPr>
        <w:sectPr>
          <w:pgSz w:w="11900" w:h="16878" w:orient="portrait"/>
          <w:cols w:equalWidth="0" w:num="1">
            <w:col w:w="11420"/>
          </w:cols>
          <w:pgMar w:left="240" w:top="341" w:right="239" w:bottom="0" w:gutter="0" w:footer="0" w:header="0"/>
        </w:sectPr>
      </w:pPr>
    </w:p>
    <w:bookmarkStart w:id="99" w:name="page100"/>
    <w:bookmarkEnd w:id="99"/>
    <w:p>
      <w:pPr>
        <w:ind w:left="1340" w:right="260"/>
        <w:spacing w:after="0" w:line="264" w:lineRule="auto"/>
        <w:rPr>
          <w:sz w:val="20"/>
          <w:szCs w:val="20"/>
          <w:color w:val="auto"/>
        </w:rPr>
      </w:pPr>
      <w:r>
        <w:rPr>
          <w:rFonts w:ascii="Arial" w:cs="Arial" w:eastAsia="Arial" w:hAnsi="Arial"/>
          <w:sz w:val="18"/>
          <w:szCs w:val="18"/>
          <w:color w:val="auto"/>
        </w:rPr>
        <w:t>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HZ Leihuo are:</w:t>
      </w:r>
    </w:p>
    <w:p>
      <w:pPr>
        <w:spacing w:after="0" w:line="225" w:lineRule="exact"/>
        <w:rPr>
          <w:sz w:val="20"/>
          <w:szCs w:val="20"/>
          <w:color w:val="auto"/>
        </w:rPr>
      </w:pPr>
    </w:p>
    <w:p>
      <w:pPr>
        <w:ind w:left="1340" w:right="80" w:hanging="684"/>
        <w:spacing w:after="0" w:line="290" w:lineRule="auto"/>
        <w:tabs>
          <w:tab w:leader="none" w:pos="130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Operating Agreement among NetEase Hangzhou, HZ Leihuo and the VIE shareholders of HZ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166" w:lineRule="exact"/>
        <w:rPr>
          <w:rFonts w:ascii="Arial" w:cs="Arial" w:eastAsia="Arial" w:hAnsi="Arial"/>
          <w:sz w:val="16"/>
          <w:szCs w:val="16"/>
          <w:color w:val="auto"/>
        </w:rPr>
      </w:pPr>
    </w:p>
    <w:p>
      <w:pPr>
        <w:ind w:left="1340" w:right="140" w:hanging="684"/>
        <w:spacing w:after="0" w:line="279" w:lineRule="auto"/>
        <w:tabs>
          <w:tab w:leader="none" w:pos="13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Cooperation Agreement between NetEase Hangzhou and HZ Leihuo. Under this agreement, starting from January 1, 2010, NetEase Hangzhou agreed to provide various technical consulting and related services to HZ Leihuo in exchange for a monthly service fee paid by HZ Leihuo. The agreement will continue to be effective unless it is terminated by written notice of NetEase Hangzhou or, in case of a material breach of the agreement, it is terminated by written notice of the non-breaching party.</w:t>
      </w:r>
    </w:p>
    <w:p>
      <w:pPr>
        <w:spacing w:after="0" w:line="171" w:lineRule="exact"/>
        <w:rPr>
          <w:rFonts w:ascii="Arial" w:cs="Arial" w:eastAsia="Arial" w:hAnsi="Arial"/>
          <w:sz w:val="17"/>
          <w:szCs w:val="17"/>
          <w:color w:val="auto"/>
        </w:rPr>
      </w:pPr>
    </w:p>
    <w:p>
      <w:pPr>
        <w:ind w:left="1340" w:right="160" w:hanging="684"/>
        <w:spacing w:after="0" w:line="276" w:lineRule="auto"/>
        <w:tabs>
          <w:tab w:leader="none" w:pos="13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Shareholder Voting Rights Trust Agreement among NetEase Hangzhou and the VIE shareholders of HZ Leihuo. Under these agreements, each dated December 1, 2015, each of the VIE shareholders of HZ Leihuo has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72" w:lineRule="exact"/>
        <w:rPr>
          <w:rFonts w:ascii="Arial" w:cs="Arial" w:eastAsia="Arial" w:hAnsi="Arial"/>
          <w:sz w:val="17"/>
          <w:szCs w:val="17"/>
          <w:color w:val="auto"/>
        </w:rPr>
      </w:pPr>
    </w:p>
    <w:p>
      <w:pPr>
        <w:ind w:left="1340" w:hanging="684"/>
        <w:spacing w:after="0" w:line="270" w:lineRule="auto"/>
        <w:tabs>
          <w:tab w:leader="none" w:pos="13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Exclusive Purchase Option Agreements among NetEase Hangzhou, HZ Leihuo and the VIE shareholders of HZ Leihuo. Under the Exclusive Purchase Option Agreements, each dated December 1, 2015, each of VIE shareholders of HZ Leihuo has granted NetEase Hangzhou an option to purchase all or a portion of his equity interest in HZ Leihuo at a price equal to the original paid-in capital paid by the ultimate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Joint Venture</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addition to the foregoing, in connection with the licensing of certain online games by Blizzard to Shanghai EaseNet for operation in the PRC, there are certain contractual arrangements among Shanghai EaseNet, the joint venture established between Blizzard and the Company, and the Company.</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Due to the restriction on the disposition of their respective shares in the joint venture, Blizzard and NetEase are considered related parties for purposes of identifying which party is the primary beneficiary under ASC 810. Since the aggregate variable interests held by Blizzard and NetEase would, if held by a single party, identify that party as the primary beneficiary, either Blizzard or NetEase will be the primary beneficiary. Based on the assessment of all relevant facts and circumstances, the Company determined that NetEase is most closely associated with the JV Group and therefore is the primary beneficiary. As a result, the JV Group’s results of operations, assets and liabilities have been included in the Company’s consolidated financial statements.</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VIE arrangements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believes that its contractual arrangements with the VIEs are in compliance with PRC law and are legally enforceable. Mr. Ding, who is the major shareholder of Guangzhou NetEase, and is in turn the major shareholder of Wangyibao Company, and of Shanghai EaseNet, NetEase Advertising and Youdao Computer,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ectPr>
          <w:pgSz w:w="11900" w:h="16838" w:orient="portrait"/>
          <w:cols w:equalWidth="0" w:num="1">
            <w:col w:w="11420"/>
          </w:cols>
          <w:pgMar w:left="240" w:top="125" w:right="239" w:bottom="0" w:gutter="0" w:footer="0" w:header="0"/>
        </w:sectPr>
      </w:pPr>
    </w:p>
    <w:bookmarkStart w:id="100" w:name="page101"/>
    <w:bookmarkEnd w:id="100"/>
    <w:p>
      <w:pPr>
        <w:spacing w:after="0" w:line="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It is unclear, however, how such restructuring could impact the Company’s business and operating results, as the Chinese government has not yet found any such contractual arrangements non-compliant. If the legal structure and contractual arrangements were found to be in violation of any existing PRC laws and regulations, the PRC government could potentially:</w:t>
      </w:r>
    </w:p>
    <w:p>
      <w:pPr>
        <w:spacing w:after="0" w:line="192"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require the Group to discontinue or restrict operations;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9" w:lineRule="exact"/>
        <w:rPr>
          <w:rFonts w:ascii="Arial" w:cs="Arial" w:eastAsia="Arial" w:hAnsi="Arial"/>
          <w:sz w:val="18"/>
          <w:szCs w:val="18"/>
          <w:color w:val="auto"/>
        </w:rPr>
      </w:pPr>
    </w:p>
    <w:p>
      <w:pPr>
        <w:ind w:left="1340" w:right="700" w:hanging="684"/>
        <w:spacing w:after="0" w:line="250" w:lineRule="auto"/>
        <w:tabs>
          <w:tab w:leader="none" w:pos="13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require the Group to restructure the operations in such a way as to compel the Group to establish a new enterprise, re-apply for the necessary licenses or relocate the Group’s businesses, staff and assets;</w:t>
      </w: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183" w:lineRule="exact"/>
        <w:rPr>
          <w:sz w:val="20"/>
          <w:szCs w:val="20"/>
          <w:color w:val="auto"/>
        </w:rPr>
      </w:pPr>
    </w:p>
    <w:p>
      <w:pPr>
        <w:ind w:left="380" w:hanging="372"/>
        <w:spacing w:after="0"/>
        <w:tabs>
          <w:tab w:leader="none" w:pos="3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Basis of consolidation</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These estimates and assumptions include, but are not limited to, assessing the following: lives of the permanent in-game items, average playing period of paying players of mobile games, the determination of whether sales prices are fixed or determinable and collectability is reasonably assured, realization of deferred tax assets and the determination of uncertain tax positions, lower of cost and market value of inventories, useful lives and impairment provision of property, equipment and software and intangibles, assumptions related to stock-based compensation and assumptions related to the valuation of long-term investments.</w:t>
      </w:r>
    </w:p>
    <w:p>
      <w:pPr>
        <w:spacing w:after="0" w:line="174" w:lineRule="exact"/>
        <w:rPr>
          <w:sz w:val="20"/>
          <w:szCs w:val="20"/>
          <w:color w:val="auto"/>
        </w:rPr>
      </w:pPr>
    </w:p>
    <w:p>
      <w:pPr>
        <w:ind w:left="400" w:hanging="392"/>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Group recognizes revenue when persuasive evidence of an arrangement exists, delivery has occurred, the sales price is fixed or determinable and collectability is reasonably assured.</w:t>
      </w:r>
    </w:p>
    <w:p>
      <w:pPr>
        <w:spacing w:after="0" w:line="1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Net revenues presented in the consolidated statements of operations and comprehensive income represent revenues from service and product sales net off sales discount, and value-added tax (“VAT”). Service sales represent revenues from online game services, advertising services, e-mail and other services. Service sales are recognized when service has been rendered. Product sales represent revenue from the sale of products through its e-commerce platform where the Group record revenue on a gross basis. Product sales are recorded when the products are shipped and title passes to customers.</w:t>
      </w:r>
    </w:p>
    <w:p>
      <w:pPr>
        <w:spacing w:after="0" w:line="154" w:lineRule="exact"/>
        <w:rPr>
          <w:sz w:val="20"/>
          <w:szCs w:val="20"/>
          <w:color w:val="auto"/>
        </w:rPr>
      </w:pPr>
    </w:p>
    <w:p>
      <w:pPr>
        <w:ind w:left="400" w:hanging="392"/>
        <w:spacing w:after="0"/>
        <w:tabs>
          <w:tab w:leader="none" w:pos="40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Online game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Group operates mobile games including both self-developed and licensed mobile games primarily through HZ Leihuo and generates mobile game revenues from the sale of in-game virtual items, including items, avatars, skills, privileges or other in-game consumables, features or functionality, within the games.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Group records revenue generated from mobile games on a gross basis as the Group is acting as the principal to fulfill all obligations related to the mobile game operation. Fees paid to game developers, distribution channels (app stores) and payment channels are recorded as cost of revenues.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purposes of determining when the service has been provided to the end-users, the Group determined that an implied obligation exists to provide on-going services to the end-users who purchased virtual items to gain an enhanced game-playing experience over an average playing period of the paying players. Accordingly, the Group recognizes the revenues ratably over the estimated average playing period of these paying players, starting from the point in time when virtual items are delivered to the players’ accounts and all other revenue recognition criteria are met.</w:t>
      </w:r>
    </w:p>
    <w:p>
      <w:pPr>
        <w:sectPr>
          <w:pgSz w:w="11900" w:h="16860" w:orient="portrait"/>
          <w:cols w:equalWidth="0" w:num="1">
            <w:col w:w="11400"/>
          </w:cols>
          <w:pgMar w:left="240" w:top="125" w:right="259" w:bottom="0" w:gutter="0" w:footer="0" w:header="0"/>
        </w:sectPr>
      </w:pPr>
    </w:p>
    <w:bookmarkStart w:id="101" w:name="page102"/>
    <w:bookmarkEnd w:id="101"/>
    <w:p>
      <w:pPr>
        <w:spacing w:after="0" w:line="6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Group considers the average period that players typically play the games and other game player behavior patterns, as well as various other factors to arrive at the best estimates for the estimated playing period of the paying players for each game.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PC-client games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Group sells prepaid point cards through Guangzhou NetEase and Shanghai EaseNet to the end user. Customers can purchase physical prepaid point cards in different locations in China, including Internet cafés, software stores, convenience stores and bookstores. Customers can also purchase “virtual” prepaid points from vendors who register the points in the Group’s system and “virtual” prepaid cards online via debit and credit cards or bank transfers via the online payment services platforms, and receive the prepaid point information over the Internet. Customers can use the points to play the Group’s online games, pay for in-game items and use other fee-based services. Proceeds received from the sales of prepaid point cards and online points to players are recorded as deferred revenues. The Group earns revenue through providing online game services to players under two types of revenue models: time-based revenue model and item-based revenue model. For online games using the time-based model, players are charged based on the time they spend playing games.</w:t>
      </w:r>
    </w:p>
    <w:p>
      <w:pPr>
        <w:spacing w:after="0" w:line="16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item-based model, the basic game play functions are free of charge, and players are charged for purchases of in-game items. Revenues from the sales of in-game items are recognized when the items are consumed by the customers or over the estimated lives of the in-game items. 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in-game items. The Group assesses the estimated lives of the permanent in-game items for the item-based games on a quarterly basis. Adjustments arising from the changes of estimated lives of permanent in-game items are applied prospectively as such changes are resulted from new information indicating a change in the game player behavior patterns.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Unused online points in a personal game account are recognized as revenues when the likelihood that the Group would provide further online game services with respect to such online points is remote. The revenue recognized from the inactive accounts was insignificant in 2015, 2016 and 2017.</w:t>
      </w:r>
    </w:p>
    <w:p>
      <w:pPr>
        <w:spacing w:after="0" w:line="147" w:lineRule="exact"/>
        <w:rPr>
          <w:sz w:val="20"/>
          <w:szCs w:val="20"/>
          <w:color w:val="auto"/>
        </w:rPr>
      </w:pPr>
    </w:p>
    <w:p>
      <w:pPr>
        <w:ind w:left="400" w:hanging="392"/>
        <w:spacing w:after="0"/>
        <w:tabs>
          <w:tab w:leader="none" w:pos="40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E-commerce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Group’s e-commerce businesses mainly include cross-border and domestic e-commerce business. The Group established its cross-border e-commerce platform, Kaola.com (“Kaola”), in January 2015 and primarily sells imported maternity and baby products, skincare and cosmetics and other general merchandise through online direct sales. The Group also established its domestic e-commerce platform, You.163.com (“Yanxuan”), in April 2016 and sells its private label products, including apparel, homeware, kitchenware and other general merchandise which are sourced primarily directly from original design manufacturers in China.</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E-commerce revenues are recognized when persuasive evidence of an arrangement exists, delivery has occurred, the sales price is fixed or determinable and collectability is reasonably assured. The Group evaluates whether it is appropriate to record the net amount earned as commissions or the gross amount of product sales. When the Group is not the primary obligor, doesn’t bear the inventory risk and doesn’t have the ability to establish the price, revenues are recorded on a net basis. When the Group is primarily obligated in a transaction, is subject to inventory risk, has latitude in establishing prices and selecting suppliers, or has several but not all of these indicators, revenues are recorded on a gross basis.</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Group also provides discount coupons to its customers for use in purchases on the Kaola and Yanxuan platform, which are treated as a reduction of revenue when the related transaction is recognized.</w:t>
      </w:r>
    </w:p>
    <w:p>
      <w:pPr>
        <w:spacing w:after="0" w:line="170" w:lineRule="exact"/>
        <w:rPr>
          <w:sz w:val="20"/>
          <w:szCs w:val="20"/>
          <w:color w:val="auto"/>
        </w:rPr>
      </w:pPr>
    </w:p>
    <w:p>
      <w:pPr>
        <w:ind w:left="380" w:hanging="372"/>
        <w:spacing w:after="0"/>
        <w:tabs>
          <w:tab w:leader="none" w:pos="38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Advertising services</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Group derives its advertising revenues principally from short-term online advertising contracts engaged by NetEase Advertising. Advertising service contracts may consist of multiple elements with a typical term of less than three months. Such elements generally represent different formats of advertisement, including but not limited to banners, text-links, videos, logos, buttons and rich media. Each element is time-based and the service period of the element is usually within three months. In accordance with ASU No.2009-13 Revenue Recognition - Multiple-Deliverable Revenue Arrangements (“ASU No.2009 -13”), the Group treats advertising contracts with multiple deliverable elements as separate units of accounting for revenue recognition purposes and recognizes revenue over the advertising period during the contract when each deliverable elements of advertisements is provided and all the other revenue recognition criteria are met. Since the contract price is for all deliverables, the Group allocates the arrangement consideration to all deliverables at the inception of the arrangement on the basis of their relative selling price according to the selling price hierarchy established by ASU No.2009-13. The Group uses (a) vendor-specific objective evidence of selling price (“VSOE”), if it exists, otherwise, (b) third-party evidence of selling price. If neither (a) nor</w:t>
      </w:r>
    </w:p>
    <w:p>
      <w:pPr>
        <w:spacing w:after="0" w:line="7" w:lineRule="exact"/>
        <w:rPr>
          <w:sz w:val="20"/>
          <w:szCs w:val="20"/>
          <w:color w:val="auto"/>
        </w:rPr>
      </w:pPr>
    </w:p>
    <w:p>
      <w:pPr>
        <w:ind w:right="140" w:firstLine="8"/>
        <w:spacing w:after="0" w:line="254"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exists, the Group will use (c) the management’s best estimate of the selling price for that deliverable. As the deliverables are not sold separately, the best estimate of the selling price has taken into consideration the pricing of advertising areas of the Group’s platform with a similar popularities and advertisements with similar formats and quoted prices from competitors as well as other market conditions. Revenues recognized with reference to best estimation of selling price were immaterial for all periods presented.</w:t>
      </w:r>
    </w:p>
    <w:p>
      <w:pPr>
        <w:spacing w:after="0" w:line="1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Group also enters into performance-based advertising arrangements with customers. The Group enters into cost per mille (“CPM”), or cost per thousand impressions, advertising arrangements with customers, under which the Group recognizes revenues based on the number of times that the advertisement has been displayed.</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Group also enters into cost per action (“CPA”) advertising arrangements with customers, under which the Group recognizes revenues based on the number of actions completed resulted from the advertisements, including but not limited to when users click on links.</w:t>
      </w:r>
    </w:p>
    <w:p>
      <w:pPr>
        <w:spacing w:after="0" w:line="14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Group recognizes revenue and expense at fair value from a barter transaction involving advertising services provided by the Group only if the fair value of the advertising services surrendered in the transaction is determinable based on the entity’s own historical practice of receiving cash and cash equivalents,</w:t>
      </w:r>
    </w:p>
    <w:p>
      <w:pPr>
        <w:sectPr>
          <w:pgSz w:w="11900" w:h="16908" w:orient="portrait"/>
          <w:cols w:equalWidth="0" w:num="1">
            <w:col w:w="11380"/>
          </w:cols>
          <w:pgMar w:left="240" w:top="341" w:right="279" w:bottom="0" w:gutter="0" w:footer="0" w:header="0"/>
        </w:sectPr>
      </w:pPr>
    </w:p>
    <w:bookmarkStart w:id="102" w:name="page103"/>
    <w:bookmarkEnd w:id="102"/>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marketable securities, or other consideration that is readily convertible to a known amount of cash for similar advertising from buyers unrelated to the counterparty in the barter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years ended December 31, 2015, 2016 and 2017, the Group was engaged in certain advertising barter transactions for which the fair value was not determinable and therefore no revenues or expenses derived from these barter transactions were recognized. These transactions primarily involved exchanges of advertising services rendered by the Group for advertising, promotional benefits, content, consulting services and software provided by the counterparties.</w:t>
      </w:r>
    </w:p>
    <w:p>
      <w:pPr>
        <w:spacing w:after="0" w:line="147"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E-mail and others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from e-mail and others is predominantly derived from activities related to fee-based premium services, online payment platform services and other online services.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Fee-based premium services revenues, operated on a monthly subscription basis, are derived principally from providing premium e-mail and other wireless value-added services. Prepaid subscription revenues are deferred and are recognized by the Group over the period in which the services are provided.</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February 2009, the Group launched its Wangyibao payment platform, through which game players registered for Wangyibao operations can deposit money in their accounts and use the accounts to pay for game point cards and other fee-based services and products rendered by the Group. The Group recognizes revenue when services are rendered to account holders in accordance with service agreement.</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Group offer online services related to third-party virtual products to facilitate the sale of products from third-party providers. The Group acts as an agent and do not buy, sell, manufacture, or design such products. Revenues are recognized when services are rendered to customers based on the pre-determined service fee rate. The Group also operates its “Duobao” platform, which provides services that allow users to purchase the virtual currency, “Duobao Bi”, and use them to exchange for products. For the services where the Group acts as an agent, products are provided by third-party suppliers and revenues are recognized on a net basis when services are rendered. The Group discontinued the Duobao platform in early 2017.</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Group also generate revenue from the operation of its live streaming platforms whereby users can enjoy live performances provided by the hosts and interact with the hosts. Most of the hosts host the performance on their own. The Group creates and sells virtual items to users so that the users present them simultaneously to hosts to show their support. The virtual items sold by the Group comprise of either (i) consumable items or (ii) time-based item, such as privilege titles etc. Under the arrangements with the hosts,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Group also earns membership revenue from customers in respect of the sale of membership packages which allow them to access premium content on the Group’s paid content platforms, such as Cloud Music platform. These service fees are paid in advance for a specific contracted service period. All these fees are initially deferred when received and revenue is recognized ratably over the term of the respective service contracts as the services are rendered.</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Cost of revenues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Costs of revenue consist primarily of purchase price, inbound shipping costs and inventory write downs relating to merchandise sold, staff costs, royalties and consultancy fees related to licensed games, revenue sharing cost related to mobile games, depreciation and amortization of computers and software, server custody fees, bandwidth, and other direct costs of providing these services. These costs are charged to the consolidated statements of operations and comprehensive income as incurred. Shipping and handling costs, which primarily include third-party delivery costs relating to the delivery of products from distribution centers to customers, fulfillment expenses occurred in the Group’s various distribution facilities and packing material expenses, are classified as selling and marketing expenses. Shipping and handling costs included in selling and marketing expenses were approximately RMB155.4 million, RMB503.0 million and RMB1,182.7 million (US$181.8 million) for the years ended December 31, 2015, 2016 and 2017, respectively.</w:t>
      </w:r>
    </w:p>
    <w:p>
      <w:pPr>
        <w:spacing w:after="0" w:line="163" w:lineRule="exact"/>
        <w:rPr>
          <w:sz w:val="20"/>
          <w:szCs w:val="20"/>
          <w:color w:val="auto"/>
        </w:rPr>
      </w:pPr>
    </w:p>
    <w:p>
      <w:pPr>
        <w:ind w:left="400" w:hanging="392"/>
        <w:spacing w:after="0"/>
        <w:tabs>
          <w:tab w:leader="none" w:pos="4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For the years ended December 31, 2015, 2016 and 2017, the costs incurred for development of online game products have not been capitalized because the period after the date technical feasibility is reached and the time when the game is marketed is short historically and the development cost incurred in the period are insignificant.</w:t>
      </w:r>
    </w:p>
    <w:p>
      <w:pPr>
        <w:spacing w:after="0" w:line="150"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time deposits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and cash equivalents mainly represent cash on hand, demand deposits placed with large reputable banks in Hong Kong or China, and highly liquid investments that are readily convertible to known amounts of cash and with original maturities from the date of purchase with terms of less than three months. As of December 31, 2016, there were cash at bank and demand deposits with terms of less than three months denominated in US dollars and Euro amounting to approximately US$394.8 million and Euro1.3 million, respectively. As of December 31, 2017, there were cash at bank and demand deposits with terms of less than three months denominated in US dollars and Euro amounting to approximately US$112.5 million and Euro1.6 million, respectively (equivalent to approximately RMB733.4 million and RMB12.8 million,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Time deposits represent time deposits placed with banks with original maturities of three months or more. As of December 31, 2016, there were time deposits denominated in US dollars amounting to approximately US$750.2 million. As of December 31, 2017, there were time deposits denominated in US dollars amounting to approximately US$2,547.8 million (equivalent to approximately RMB16,648.1 million).</w:t>
      </w:r>
    </w:p>
    <w:p>
      <w:pPr>
        <w:sectPr>
          <w:pgSz w:w="11900" w:h="16918" w:orient="portrait"/>
          <w:cols w:equalWidth="0" w:num="1">
            <w:col w:w="11420"/>
          </w:cols>
          <w:pgMar w:left="240" w:top="125" w:right="239" w:bottom="0" w:gutter="0" w:footer="0" w:header="0"/>
        </w:sectPr>
      </w:pPr>
    </w:p>
    <w:bookmarkStart w:id="103" w:name="page104"/>
    <w:bookmarkEnd w:id="103"/>
    <w:p>
      <w:pPr>
        <w:spacing w:after="0" w:line="308" w:lineRule="auto"/>
        <w:rPr>
          <w:sz w:val="20"/>
          <w:szCs w:val="20"/>
          <w:color w:val="auto"/>
        </w:rPr>
      </w:pPr>
      <w:r>
        <w:rPr>
          <w:rFonts w:ascii="Arial" w:cs="Arial" w:eastAsia="Arial" w:hAnsi="Arial"/>
          <w:sz w:val="17"/>
          <w:szCs w:val="17"/>
          <w:color w:val="auto"/>
        </w:rPr>
        <w:t>As of December 31, 2016 and 2017, the Group had approximately RMB17.0 billion and RMB15.1 billion cash and cash equivalents and time deposits held by its PRC subsidiaries and VIEs, representing 66.9% and 45.1% of total cash and cash equivalents and time deposits of the Group, respectively.</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2016 and 2017, the Group had a restricted cash balance approximately RMB5,533.3 million and RMB5,927.1 million, respectively, comprising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Escrow account deposit for sales and marketing activities of Blizzard’s licensed games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Customer deposit of Wangyibao accounts</w:t>
            </w:r>
          </w:p>
        </w:tc>
        <w:tc>
          <w:tcPr>
            <w:tcW w:w="1360" w:type="dxa"/>
            <w:vAlign w:val="bottom"/>
          </w:tcPr>
          <w:p>
            <w:pPr>
              <w:jc w:val="right"/>
              <w:spacing w:after="0"/>
              <w:rPr>
                <w:sz w:val="20"/>
                <w:szCs w:val="20"/>
                <w:color w:val="auto"/>
              </w:rPr>
            </w:pPr>
            <w:r>
              <w:rPr>
                <w:rFonts w:ascii="Arial" w:cs="Arial" w:eastAsia="Arial" w:hAnsi="Arial"/>
                <w:sz w:val="18"/>
                <w:szCs w:val="18"/>
                <w:color w:val="auto"/>
              </w:rPr>
              <w:t>1,318.0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1,554.8</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Pledge deposits for short-term bank borrowings — Current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85.9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281.1</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Pledge deposits for short-term bank borrowings — Non-current</w:t>
            </w:r>
          </w:p>
        </w:tc>
        <w:tc>
          <w:tcPr>
            <w:tcW w:w="1360" w:type="dxa"/>
            <w:vAlign w:val="bottom"/>
          </w:tcPr>
          <w:p>
            <w:pPr>
              <w:jc w:val="right"/>
              <w:spacing w:after="0"/>
              <w:rPr>
                <w:sz w:val="20"/>
                <w:szCs w:val="20"/>
                <w:color w:val="auto"/>
              </w:rPr>
            </w:pPr>
            <w:r>
              <w:rPr>
                <w:rFonts w:ascii="Arial" w:cs="Arial" w:eastAsia="Arial" w:hAnsi="Arial"/>
                <w:sz w:val="18"/>
                <w:szCs w:val="18"/>
                <w:color w:val="auto"/>
              </w:rPr>
              <w:t>2,060.0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8"/>
                <w:szCs w:val="18"/>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other lien arrangements during 2016 and 2017.</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Group’s financial instruments include cash and cash equivalents and time deposits, accounts receivable, prepayments and other current assets, short-term investments, accounts payable, short-term loan, deferred revenue and accrued liabilities and other payables, which the carrying values approximate their fair value. Please see Note 26 for additional information.</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6"/>
          <w:szCs w:val="16"/>
          <w:b w:val="1"/>
          <w:bCs w:val="1"/>
          <w:color w:val="auto"/>
        </w:rPr>
        <w:t>Inventories, net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Inventories,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89" w:lineRule="exact"/>
        <w:rPr>
          <w:sz w:val="20"/>
          <w:szCs w:val="20"/>
          <w:color w:val="auto"/>
        </w:rPr>
      </w:pPr>
    </w:p>
    <w:p>
      <w:pPr>
        <w:ind w:left="400" w:hanging="392"/>
        <w:spacing w:after="0"/>
        <w:tabs>
          <w:tab w:leader="none" w:pos="4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Short-term investments include investments in financial instruments with a variable interest rate indexed to performance of underlying assets and investments that the Group has positive intent and ability to hold to maturity, all of which are with an original maturities of less than 12 months.</w:t>
      </w:r>
    </w:p>
    <w:p>
      <w:pPr>
        <w:spacing w:after="0" w:line="14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 /(expense). Fair value is estimated based on quoted prices of similar products provided by banks at the end of each period. The Group classifies the valuation techniques that use these inputs as Level 2 of fair value measurements. Please see Note 6 and Note 26 for additional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investments that the Group has positive intent and ability to hold to maturity are classified as held-to-maturity investments and stated at amortized cost. For individual investment classified as held-to-maturity investments, the Group evaluates whether a decline in fair value below the amortized cost basis is other than temporary in accordance with the Group’s policy and ASC 320-10. If the Group concludes that, it does not intend or is not required to sell an impaired debt investment before the recovery of its amortized cost basis, the impairment is considered temporary and the held-to-maturity investments continue to be recognized at the amortized cost.</w:t>
      </w:r>
    </w:p>
    <w:p>
      <w:pPr>
        <w:spacing w:after="0" w:line="18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Investments not classified as trading or as held-to-maturity are classified as available-for-sale securities. An available-for-sale investment is reported at fair value, with unrealized gains and losses recorded in accumulated other comprehensive income (loss). Realized gains or losses are charged to earnings during</w:t>
      </w:r>
    </w:p>
    <w:p>
      <w:pPr>
        <w:sectPr>
          <w:pgSz w:w="11900" w:h="16838" w:orient="portrait"/>
          <w:cols w:equalWidth="0" w:num="1">
            <w:col w:w="11420"/>
          </w:cols>
          <w:pgMar w:left="240" w:top="341" w:right="239" w:bottom="0" w:gutter="0" w:footer="0" w:header="0"/>
        </w:sectPr>
      </w:pPr>
    </w:p>
    <w:bookmarkStart w:id="104" w:name="page105"/>
    <w:bookmarkEnd w:id="104"/>
    <w:p>
      <w:pPr>
        <w:ind w:right="440"/>
        <w:spacing w:after="0" w:line="264" w:lineRule="auto"/>
        <w:rPr>
          <w:sz w:val="20"/>
          <w:szCs w:val="20"/>
          <w:color w:val="auto"/>
        </w:rPr>
      </w:pPr>
      <w:r>
        <w:rPr>
          <w:rFonts w:ascii="Arial" w:cs="Arial" w:eastAsia="Arial" w:hAnsi="Arial"/>
          <w:sz w:val="18"/>
          <w:szCs w:val="18"/>
          <w:color w:val="auto"/>
        </w:rPr>
        <w:t>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long-term investments.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investments in an investee over which the Group does not have significant influence and which do not have readily determinable fair value, the Group carries the investment at cost and only adjusts for other-than-temporary declines in fair value and distributions of earnings that exceed the Group’s share of earnings since its investment. Management regularly evaluates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85" w:lineRule="exact"/>
        <w:rPr>
          <w:sz w:val="20"/>
          <w:szCs w:val="20"/>
          <w:color w:val="auto"/>
        </w:rPr>
      </w:pPr>
    </w:p>
    <w:p>
      <w:pPr>
        <w:ind w:left="400" w:hanging="392"/>
        <w:spacing w:after="0"/>
        <w:tabs>
          <w:tab w:leader="none" w:pos="4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associated companies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Investments in associated companies in which the Group is in a position to exercise significant influence by participating in, but not controlling or jointly controlling, the financial and operating policies are accounted for using the equity method and are reported under long-term investments in the consolidated balance sheets.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6"/>
          <w:szCs w:val="16"/>
          <w:b w:val="1"/>
          <w:bCs w:val="1"/>
          <w:color w:val="auto"/>
        </w:rPr>
        <w:t>Property, equipment and software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Furniture, fixtures and office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Vehicles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Servers and computers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20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term of the lease and the estimated useful lives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3080" w:space="720"/>
            <w:col w:w="7600"/>
          </w:cols>
          <w:pgMar w:left="240" w:top="125" w:right="259" w:bottom="0" w:gutter="0" w:footer="0" w:header="0"/>
          <w:type w:val="continuous"/>
        </w:sectPr>
      </w:pPr>
    </w:p>
    <w:p>
      <w:pPr>
        <w:spacing w:after="0" w:line="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Repairs and maintenance expenditures, which are not considered improvements and do not extend the useful life of the property and equipment, are expensed as incurred.</w:t>
      </w:r>
    </w:p>
    <w:p>
      <w:pPr>
        <w:spacing w:after="0" w:line="166" w:lineRule="exact"/>
        <w:rPr>
          <w:sz w:val="20"/>
          <w:szCs w:val="20"/>
          <w:color w:val="auto"/>
        </w:rPr>
      </w:pPr>
    </w:p>
    <w:p>
      <w:pPr>
        <w:ind w:left="400" w:hanging="392"/>
        <w:spacing w:after="0"/>
        <w:tabs>
          <w:tab w:leader="none" w:pos="4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Finite-lived intangible assets are tested for impairment if impairment indicators arise. The Group amortizes its finite-lived intangible assets using the straight-line method:</w:t>
      </w:r>
    </w:p>
    <w:p>
      <w:pPr>
        <w:sectPr>
          <w:pgSz w:w="11900" w:h="16838" w:orient="portrait"/>
          <w:cols w:equalWidth="0" w:num="1">
            <w:col w:w="11400"/>
          </w:cols>
          <w:pgMar w:left="240" w:top="125" w:right="259"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Land use right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 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over the remaining term of the land use right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 the license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years</w:t>
      </w:r>
    </w:p>
    <w:p>
      <w:pPr>
        <w:spacing w:after="0" w:line="200" w:lineRule="exact"/>
        <w:rPr>
          <w:sz w:val="20"/>
          <w:szCs w:val="20"/>
          <w:color w:val="auto"/>
        </w:rPr>
      </w:pPr>
    </w:p>
    <w:p>
      <w:pPr>
        <w:sectPr>
          <w:pgSz w:w="11900" w:h="16838" w:orient="portrait"/>
          <w:cols w:equalWidth="0" w:num="2">
            <w:col w:w="3080" w:space="720"/>
            <w:col w:w="7600"/>
          </w:cols>
          <w:pgMar w:left="240" w:top="125" w:right="259" w:bottom="0" w:gutter="0" w:footer="0" w:header="0"/>
          <w:type w:val="continuous"/>
        </w:sectPr>
      </w:pPr>
    </w:p>
    <w:p>
      <w:pPr>
        <w:spacing w:after="0" w:line="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Group obtains music content for customers through licensing agreements. When the license fee for music title is determinable or reasonably estimable and the content is available for streaming,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Advertising expenses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Group expenses advertising costs as incurred and reports these costs under selling and marketing expense. Advertising expenses totaled approximately RMB697.9 million, RMB1,116.9 million and RMB2,310.6 million for the years ended December 31, 2015, 2016 and 2017, respectively.</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6"/>
          <w:szCs w:val="16"/>
          <w:b w:val="1"/>
          <w:bCs w:val="1"/>
          <w:color w:val="auto"/>
        </w:rPr>
        <w:t>Foreign currency translation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Group’s reporting currency is RMB. The Company and its subsidiaries and VIEs, with an exception of several subsidiaries incorporated in Cayman Islands, use RMB as their functional currency. In 2017, several of the Company’s subsidiaries incorporated in Cayman Islands changed their functional currency from RMB to US$. The determination of the respective functional currency is based on the criteria of ASC 830, Foreign Currency Matters and such change has not resulted in any material effect on the Group’s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financial statements of the Company’s subsidiaries and VIEs, 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ectPr>
          <w:pgSz w:w="11900" w:h="16838" w:orient="portrait"/>
          <w:cols w:equalWidth="0" w:num="1">
            <w:col w:w="11400"/>
          </w:cols>
          <w:pgMar w:left="240" w:top="125" w:right="259" w:bottom="0" w:gutter="0" w:footer="0" w:header="0"/>
          <w:type w:val="continuous"/>
        </w:sectPr>
      </w:pPr>
    </w:p>
    <w:bookmarkStart w:id="105" w:name="page106"/>
    <w:bookmarkEnd w:id="105"/>
    <w:p>
      <w:pPr>
        <w:spacing w:after="0" w:line="26"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Translations of amounts from RMB into United States dollars for the convenience of the reader were calculated at the noon buying rate of US$1.00 = RMB6.5063 on the last trading day of 2017 (December 29, 2017) as set forth in the H.10 statistical release of the U.S. Federal Reserve Board. No representation is made that the RMB amounts could have been, or could be, converted into United States dollars at such rate.</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its 2009 Restricted Share Unit Plan (see Note 19(a)),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 On the other hand, for RSUs which will either be settled in stock or cash as discussed above, the Company continues to mark to market such awards and, in accordance with the vesting schedules of such awards, record the resulting potential liabilities under other long-term payables and accrued liabilities. There were no significant cash payments for share-based liabilities for the years ended December 31, 2015, 2016 and 2017.</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subsidiaries of the Company granted options exercisable for ordinary shares to certain of the Group’s employees. The options expire five to seven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Forfeitures were estimated based on the Group’s weighted average historical forfeiture rate of the past five years. Differences between actual and estimated forfeitures are expensed in the period that the differences occur. See Note 19 for further information regarding share-based compensation assumptions and expense.</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allowances are established, when necessary, to reduce deferred tax assets to the amount “more likely than not” to be realized in future tax returns.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2015, 2016 and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have any significant unrecognized uncertain tax positions as of December 31, 2016 and 2017.</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Net earnings per share (“EPS”) and per American Depositary Share (“ADS”)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are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83" w:lineRule="exact"/>
        <w:rPr>
          <w:sz w:val="20"/>
          <w:szCs w:val="20"/>
          <w:color w:val="auto"/>
        </w:rPr>
      </w:pPr>
    </w:p>
    <w:p>
      <w:pPr>
        <w:ind w:left="400" w:hanging="392"/>
        <w:spacing w:after="0"/>
        <w:tabs>
          <w:tab w:leader="none" w:pos="4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w:t>
      </w:r>
    </w:p>
    <w:p>
      <w:pPr>
        <w:sectPr>
          <w:pgSz w:w="11900" w:h="16864" w:orient="portrait"/>
          <w:cols w:equalWidth="0" w:num="1">
            <w:col w:w="11420"/>
          </w:cols>
          <w:pgMar w:left="240" w:top="125" w:right="239" w:bottom="0" w:gutter="0" w:footer="0" w:header="0"/>
        </w:sectPr>
      </w:pPr>
    </w:p>
    <w:bookmarkStart w:id="106" w:name="page107"/>
    <w:bookmarkEnd w:id="106"/>
    <w:p>
      <w:pPr>
        <w:ind w:right="80"/>
        <w:spacing w:after="0" w:line="286" w:lineRule="auto"/>
        <w:rPr>
          <w:sz w:val="20"/>
          <w:szCs w:val="20"/>
          <w:color w:val="auto"/>
        </w:rPr>
      </w:pPr>
      <w:r>
        <w:rPr>
          <w:rFonts w:ascii="Arial" w:cs="Arial" w:eastAsia="Arial" w:hAnsi="Arial"/>
          <w:sz w:val="17"/>
          <w:szCs w:val="17"/>
          <w:color w:val="auto"/>
        </w:rPr>
        <w:t>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staff bonus and welfare fund is a liability in nature. The other statutory reserves are not transferable to the Company in the form of cash dividends, loans or advances, and therefore are not available for distribution except in liquidation.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Group’s appropriations to general reserve funds and statutory surplus funds for the years ended December 31, 2015, 2016 and 2017 (in thousands):</w:t>
      </w:r>
    </w:p>
    <w:p>
      <w:pPr>
        <w:spacing w:after="0" w:line="16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jc w:val="center"/>
              <w:ind w:left="448"/>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Appropriations to general reserve funds and statutory surplus funds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73,635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46,063</w:t>
            </w: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NetEase Beijing, Boguan and Netease Hangzhou did not make appropriations to statutory reserves for the years ended December 31, 2015, 2016 and 2017, Guangzhou NetEase did not make appropriations to statutory reserves for the years ended December 31, 2016 and 2017, and Media Beijing did not make appropriations to statutory reserves for the years ended December 31, 2017, as their cumulative appropriations in the past have already reached the statutory limit, namely 50% of the registered capital of the respective companies.</w:t>
      </w:r>
    </w:p>
    <w:p>
      <w:pPr>
        <w:spacing w:after="0" w:line="183" w:lineRule="exact"/>
        <w:rPr>
          <w:sz w:val="20"/>
          <w:szCs w:val="20"/>
          <w:color w:val="auto"/>
        </w:rPr>
      </w:pPr>
    </w:p>
    <w:p>
      <w:pPr>
        <w:ind w:left="400" w:hanging="392"/>
        <w:spacing w:after="0"/>
        <w:tabs>
          <w:tab w:leader="none" w:pos="4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and Redeemable noncontrolling interests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Noncontrolling interests are recognized to reflect the portion of the equity of majority-owned subsidiaries and VIEs which is not attributable, directly or indirectly, to the controlling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noncontrolling interest will continue to be attributed its share of losses even if that attribution results in a deficit noncontrolling interest balance.</w:t>
      </w:r>
    </w:p>
    <w:p>
      <w:pPr>
        <w:spacing w:after="0" w:line="23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Redeemable noncontrolling interests represent redeemable equity interests issued by one of the Group’s subsidiary to certain investors (see Note 16), and have been classified as mezzanine classified noncontrolling interests in the consolidated financial statements as these redeemable interests are contingently redeemable upon the occurrence of a conditional event, which is not solely within the control of the Company. The Group accreted the redeemable equity interests to their redemption value, which is purchase price plus interest per year over the period since issuance to the redemption date.</w:t>
      </w:r>
    </w:p>
    <w:p>
      <w:pPr>
        <w:spacing w:after="0" w:line="150" w:lineRule="exact"/>
        <w:rPr>
          <w:sz w:val="20"/>
          <w:szCs w:val="20"/>
          <w:color w:val="auto"/>
        </w:rPr>
      </w:pPr>
    </w:p>
    <w:p>
      <w:pPr>
        <w:ind w:left="400" w:hanging="392"/>
        <w:spacing w:after="0"/>
        <w:tabs>
          <w:tab w:leader="none" w:pos="4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5"/>
          <w:szCs w:val="15"/>
          <w:b w:val="1"/>
          <w:bCs w:val="1"/>
          <w:color w:val="auto"/>
        </w:rPr>
        <w:t>Comprehensive income</w:t>
      </w:r>
    </w:p>
    <w:p>
      <w:pPr>
        <w:spacing w:after="0" w:line="21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Comprehensive income for the periods presented includes net income, change in unrealized gains (losses) on marketable securities classified as available-for-sale securities (net of tax) and foreign currency translation adjustment.</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5"/>
          <w:szCs w:val="15"/>
          <w:b w:val="1"/>
          <w:bCs w:val="1"/>
          <w:color w:val="auto"/>
        </w:rPr>
        <w:t>Segment reporting</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Group’s internal organizational structure as well as information about geographical areas, business segments and major customers in financial statements is set out in detail under Note 25.</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(w)</w:t>
      </w:r>
      <w:r>
        <w:rPr>
          <w:sz w:val="20"/>
          <w:szCs w:val="20"/>
          <w:color w:val="auto"/>
        </w:rPr>
        <w:tab/>
      </w:r>
      <w:r>
        <w:rPr>
          <w:rFonts w:ascii="Arial" w:cs="Arial" w:eastAsia="Arial" w:hAnsi="Arial"/>
          <w:sz w:val="16"/>
          <w:szCs w:val="16"/>
          <w:b w:val="1"/>
          <w:bCs w:val="1"/>
          <w:color w:val="auto"/>
        </w:rPr>
        <w:t>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Dividends of the Company are recognized when declared.</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5"/>
          <w:szCs w:val="15"/>
          <w:b w:val="1"/>
          <w:bCs w:val="1"/>
          <w:color w:val="auto"/>
        </w:rPr>
        <w:t>Recently issued accounting pronouncements</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2014, the FASB issued ASU No. 2014-09, “Revenue from Contracts with Customers (Topic 606)”. This guidance supersedes current guidance on revenue recognition in Topic 605, ‘‘Revenue Recognition.’’ In addition, there are disclosure requirements related to the nature, amount, timing, and uncertainty of revenue recognition. In August 2015, the FASB issued ASU No.2015-14 to defer the effective date of ASU No. 2014-09 for all entities by one year. For public entities that follow U.S. GAAP, the deferral results in the new revenue standard are being effective for fiscal years, and interim periods within those fiscal years, beginning after December 15, 2017, with early adoption permitted for interim and annual periods beginning after December 15, 2016. The FASB has issued several amendments and updates to the new revenue standard, including ASU 2016-08 “Principal versus Agent Considerations (Reporting Revenue Gross versus Net)”, ASU 2016-10 “Identifying Performance Obligations and Licensing”, ASU 2016-12 “Narrow-Scope Improvements and Practical Expedients” and ASU 2016-20 “Technical Corrections and Improvements”.</w:t>
      </w:r>
    </w:p>
    <w:p>
      <w:pPr>
        <w:sectPr>
          <w:pgSz w:w="11900" w:h="16838" w:orient="portrait"/>
          <w:cols w:equalWidth="0" w:num="1">
            <w:col w:w="11420"/>
          </w:cols>
          <w:pgMar w:left="240" w:top="125" w:right="239" w:bottom="134" w:gutter="0" w:footer="0" w:header="0"/>
        </w:sectPr>
      </w:pPr>
    </w:p>
    <w:bookmarkStart w:id="107" w:name="page108"/>
    <w:bookmarkEnd w:id="107"/>
    <w:p>
      <w:pPr>
        <w:ind w:right="120"/>
        <w:spacing w:after="0" w:line="290" w:lineRule="auto"/>
        <w:rPr>
          <w:sz w:val="20"/>
          <w:szCs w:val="20"/>
          <w:color w:val="auto"/>
        </w:rPr>
      </w:pPr>
      <w:r>
        <w:rPr>
          <w:rFonts w:ascii="Arial" w:cs="Arial" w:eastAsia="Arial" w:hAnsi="Arial"/>
          <w:sz w:val="16"/>
          <w:szCs w:val="16"/>
          <w:color w:val="auto"/>
        </w:rPr>
        <w:t>The Group will adopt the new standard in the first quarter of fiscal 2018, using the modified-retrospective transition approach. Under this approach, the Group will apply the new revenue standard on a prospective basis, effective January 1, 2018, and record adjustments to its fiscal 2018 opening balance sheet (as of January 1, 2018) to reflect the cumulative effect of the new revenue standard. The Group will also provide quantitative and qualitative disclosures of the new standard’s impact to each of its financial statement line items during fiscal 2018. The new revenue standard will primarily impact the accounting of the recognition of breakage associated with its unused online points in a personal game account as a result of recording revenue based upon estimates of breakage under the new revenue standard. Under the historical accounting, revenue for unused points was not recorded until the points expired. Thus, for unused points, revenue will be recorded earlier under the new standard. The cumulative-effect adjustment will include a reduction of its deferred revenue of approximately RMB81.7 million and a net increase to its retained earnings of approximately RMB27.4 million (net of tax).</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which simplifies the presentation of deferred income taxes by requiring deferred tax assets and liabilities be classified as noncurrent on the balance sheet. The Group adopted this ASU in Q1 2017 and retrospectively presented the amount of current deferred tax assets and liabilities as noncurrent in the balance sheets of prior periods. Upon adoption, current deferred tax assets of RMB536.3 million and current deferred tax liabilities of RMB358.5 million in its consolidated balance sheet as of December 31, 2016 had been reclassified as non-current.</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2016, the FASB issued Accounting Standards Update No. 2016-01 (ASU No. 2016-01) “Financial Instruments-Overall (Subtopic 825-10): Recognition and Measurement of Financial Assets and Financial Liabilities.” ASU 2016-01 amends various aspects of the recognition, measurement, presentation, and disclosure for financial instruments. With respect to the Group’s consolidated financial statements, the most significant impact relates to the accounting for equity investments. In February 2018, the FASB issued ASU No. 2018-03, Technical Corrections and Improvements to Financial Instruments —Overall (Subtopic 825-10): Recognition and Measurement of Financial Assets and Financial Liabilities, that clarifies the guidance in ASU No. 2016-01 on equity securities and certain fair value option liabilities among other things. ASU 2016-01 and ASU 2018-03 are effective for annual reporting periods, and interim periods within those years beginning after December 15, 2017. The Group anticipate that the adoption of the new standard will increase the volatility of its investment income, net, as a result of the remeasurement of its equity and cost method investments. The Group will adopt this guidance in the first quarter of 2018 and RMB38.2 million of accumulated other comprehensive income for the Group’s available-for-sale equity securities that exist as of December 31, 2017 will be reclassified into retained earnings upon the adoption.</w:t>
      </w:r>
    </w:p>
    <w:p>
      <w:pPr>
        <w:spacing w:after="0" w:line="16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February 2016, the FASB issued ASU 2016-02 “Leases” to increase transparency and comparability among organizations by recognizing lease assets and lease liabilities on the balance sheet and disclosing key information about leasing arrangements. ASU 2016-02 creates a new Accounting Standards Codification Topic 842 “Leases” to replace the previous Topic 840 “Leases.” ASU 2016-02 affects both lessees and lessors, although for the latter the provisions are similar to the previous model, but updated to align with certain changes to the lessee model and also the new revenue recognition provisions contained in ASU 2014-09 (see above). ASU 2016-02 is effective for fiscal years and interim periods beginning after December 15, 2018. Early adoption is permitted. The Group is currently assessing the impact of ASU 2016-02 on its consolidated financial statements.</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March 2016, the FASB issued ASU 2016-07 “Investments—Equity method and joint ventures (Topic 323)”, to simplify the accounting for equity method investments, which eliminates the requirement in ASC 323 “Investments — equity method and joint ventures”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fiscal years and interim periods beginning after December 15, 2016. Early adoption is permitted. The implementation of this update did not have a material impact on the Group’s consolidated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Share-Based Payment Accounting”, which relates to accounting for employee share-based payments. This standard addresses several aspects of the accounting for share-based payment award transactions, including: (a) income tax consequences; (b) classification of awards as either equity or liabilities; and (c) classification in the statement of cash flows; and (d) accounting for forfeitures of share-based payments. This standard will be effective for fiscal years beginning after December 15, 2016, including interim periods within those fiscal years. The Group continues to estimate expected forfeitures and the implementation of this update did not have a material impact on the Group’s consolidated financial statements.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Group is currently evaluating the impact that the standard will have on its consolidated financial statements and related disclosures.</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August 2016, the FASB issued ASU 2016-15 “Statement of Cash Flows — Classification of Certain Cash Receipts and Cash Payments”, which clarifies the presentation and classification of certain cash receipts and cash payments in the statement of cash flows. This guidance is effective for financial statements issued for fiscal years beginning after December 15, 2017, and interim periods within those fiscal years. Early adoption is permitted. The Group will adopt this guidance in the first quarter of 2018 with no material impact on its consolidated financial statements at adoption.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The guidance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in the statement of cash flows. The standard is effective for fiscal years beginning after December 15, 2017, and interim period within those fiscal years. Early adoption is permitted, including adoption in an interim period. The standard should be applied using a retrospective transition method to each period presented. The Group will adopt this guidance in the first quarter of 2018. The adoption will impact the Group’s consolidated statements of cash flow as the Group has restricted cash totaling RMB5,927.1 million as of December 31, 2017.</w:t>
      </w:r>
    </w:p>
    <w:p>
      <w:pPr>
        <w:spacing w:after="0" w:line="188" w:lineRule="exact"/>
        <w:rPr>
          <w:sz w:val="20"/>
          <w:szCs w:val="20"/>
          <w:color w:val="auto"/>
        </w:rPr>
      </w:pPr>
    </w:p>
    <w:p>
      <w:pPr>
        <w:ind w:left="380" w:hanging="372"/>
        <w:spacing w:after="0"/>
        <w:tabs>
          <w:tab w:leader="none" w:pos="3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Risks</w:t>
      </w:r>
    </w:p>
    <w:p>
      <w:pPr>
        <w:sectPr>
          <w:pgSz w:w="11900" w:h="16838" w:orient="portrait"/>
          <w:cols w:equalWidth="0" w:num="1">
            <w:col w:w="11400"/>
          </w:cols>
          <w:pgMar w:left="240" w:top="125" w:right="259" w:bottom="0" w:gutter="0" w:footer="0" w:header="0"/>
        </w:sectPr>
      </w:pPr>
    </w:p>
    <w:bookmarkStart w:id="108" w:name="page109"/>
    <w:bookmarkEnd w:id="108"/>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Bandwidth and server custody service provider</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Group relied on telecommunications service providers and their affiliates for bandwidth and server custody service to support its operations during fiscal years 2015, 2016 and 2017 as follows:</w:t>
      </w:r>
    </w:p>
    <w:p>
      <w:pPr>
        <w:spacing w:after="0" w:line="162"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telecommunications service providers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02"/>
        </w:trPr>
        <w:tc>
          <w:tcPr>
            <w:tcW w:w="8060" w:type="dxa"/>
            <w:vAlign w:val="bottom"/>
            <w:gridSpan w:val="2"/>
          </w:tcPr>
          <w:p>
            <w:pPr>
              <w:spacing w:after="0" w:line="201" w:lineRule="exact"/>
              <w:rPr>
                <w:sz w:val="20"/>
                <w:szCs w:val="20"/>
                <w:color w:val="auto"/>
              </w:rPr>
            </w:pPr>
            <w:r>
              <w:rPr>
                <w:rFonts w:ascii="Arial" w:cs="Arial" w:eastAsia="Arial" w:hAnsi="Arial"/>
                <w:sz w:val="18"/>
                <w:szCs w:val="18"/>
                <w:color w:val="auto"/>
              </w:rPr>
              <w:t>Number of service providers provided by 10% or more of the Group’s bandwidth and server</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custody expenditure</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02"/>
        </w:trPr>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 of the Group’s bandwidth and server custody expenditure provided by 10% or greater</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8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 providers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83.0%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Credit risk</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Financial instruments that potentially subject the Group to significant concentrations of credit risk consist primarily of cash and cash equivalents, time deposits, restricted cash, accounts receivable and short-term investments. As of December 31, 2016 and 2017, substantially all of the Group’s cash equivalents, time deposits and restricted cash were held in major financial institutions located in the PRC or Hong Kong, which management consider being of high credit quality. Accounts receivable are typically unsecured and are generally derived from revenue earned from mobile games services (mainly related to remittances from distribution channels) and advertising services. One distribution channel had a receivable balance exceeding 10% of the total accounts receivable balance for the year ended December 31, 2016 and 2017,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r>
      <w:tr>
        <w:trPr>
          <w:trHeight w:val="171"/>
        </w:trPr>
        <w:tc>
          <w:tcPr>
            <w:tcW w:w="3960" w:type="dxa"/>
            <w:vAlign w:val="bottom"/>
          </w:tcPr>
          <w:p>
            <w:pPr>
              <w:spacing w:after="0"/>
              <w:rPr>
                <w:sz w:val="14"/>
                <w:szCs w:val="14"/>
                <w:color w:val="auto"/>
              </w:rPr>
            </w:pPr>
          </w:p>
        </w:tc>
        <w:tc>
          <w:tcPr>
            <w:tcW w:w="578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3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channel A</w:t>
            </w:r>
          </w:p>
        </w:tc>
        <w:tc>
          <w:tcPr>
            <w:tcW w:w="44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4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Not applicable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20"/>
                <w:szCs w:val="20"/>
                <w:color w:val="auto"/>
              </w:rPr>
            </w:pPr>
          </w:p>
        </w:tc>
      </w:tr>
      <w:tr>
        <w:trPr>
          <w:trHeight w:val="418"/>
        </w:trPr>
        <w:tc>
          <w:tcPr>
            <w:tcW w:w="3960" w:type="dxa"/>
            <w:vAlign w:val="bottom"/>
          </w:tcPr>
          <w:p>
            <w:pPr>
              <w:spacing w:after="0"/>
              <w:rPr>
                <w:sz w:val="24"/>
                <w:szCs w:val="24"/>
                <w:color w:val="auto"/>
              </w:rPr>
            </w:pPr>
          </w:p>
        </w:tc>
        <w:tc>
          <w:tcPr>
            <w:tcW w:w="5980" w:type="dxa"/>
            <w:vAlign w:val="bottom"/>
            <w:gridSpan w:val="3"/>
          </w:tcPr>
          <w:p>
            <w:pPr>
              <w:ind w:left="1580"/>
              <w:spacing w:after="0"/>
              <w:rPr>
                <w:sz w:val="20"/>
                <w:szCs w:val="20"/>
                <w:color w:val="auto"/>
              </w:rPr>
            </w:pPr>
            <w:r>
              <w:rPr>
                <w:rFonts w:ascii="Arial" w:cs="Arial" w:eastAsia="Arial" w:hAnsi="Arial"/>
                <w:sz w:val="18"/>
                <w:szCs w:val="18"/>
                <w:color w:val="auto"/>
              </w:rPr>
              <w:t>F-20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96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1.90% to 5.30%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50" w:lineRule="exact"/>
        <w:rPr>
          <w:sz w:val="20"/>
          <w:szCs w:val="20"/>
          <w:color w:val="auto"/>
        </w:rPr>
      </w:pPr>
    </w:p>
    <w:p>
      <w:pPr>
        <w:ind w:left="400" w:hanging="392"/>
        <w:spacing w:after="0"/>
        <w:tabs>
          <w:tab w:leader="none" w:pos="4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the Group’s total net revenues for the years ended December 31, 2015, 2016 and 2017.</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Online Games</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Group derived a combined total of 42.2%, 49.6% and 46.9% of its total net revenues for the years ended December 31, 2015, 2016 and 2017, respectively, from several of the Group’s mobile games including the Fantasy Westward Journey mobile game, the Westward Journey Online mobile game, Onmyoji, the mobile version of New Ghost, as well as Blizzard’s Hearthstone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and self-developed massively multi-player online role-playing games Fantasy Westward Journey Online (previously known as Fantasy Westward Journey II).</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Additionally, 45.7%, 61.9% and 70.8% of the Group’s total net game revenues were generated from mobile games for the years ended December 31, 2015, 2016 and 2017, respectively.</w:t>
      </w:r>
    </w:p>
    <w:p>
      <w:pPr>
        <w:spacing w:after="0" w:line="166" w:lineRule="exact"/>
        <w:rPr>
          <w:sz w:val="20"/>
          <w:szCs w:val="20"/>
          <w:color w:val="auto"/>
        </w:rPr>
      </w:pPr>
    </w:p>
    <w:p>
      <w:pPr>
        <w:ind w:left="400" w:hanging="392"/>
        <w:spacing w:after="0"/>
        <w:tabs>
          <w:tab w:leader="none" w:pos="4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Chinese Regulations</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Chinese market in which the Group operates exposes the Company to certain macro-economic and regulatory risks and uncertainties. These uncertainties extend to the ability of the Group to provide Internet services through contractual arrangements in China as this industry remains highly regulated. The Chinese government may issue from time to time new laws or new interpretations on existing laws to regulate this industry. In January 2015, the Ministry of Commerce published a discussion draft of the proposed Foreign Investment Law. Among other things, the draft Foreign Investment Law expands the definition of foreign investment and introduces the principle of ‘‘actual control’’ in determining whether a company is considered a foreign-invested enterprise. If the actual controlling person(s) is/are of foreign nationalities, then the variable interest entities will be treated as foreign-invested enterprises and any operation in the industry category on the ‘‘negative list’’ without market entry clearance may be considered as illegal. It is uncertain whether the Company would be considered as ultimately controlled by Chinese parties under the draft Foreign Investment Law. Moreover, the draft Foreign Investment Law has not taken a position on what actions will be taken with respect to the existing companies with a VIE structure. Further, it is uncertain when or if the draft Foreign Investment Law will be passed and if it is, when it will become effective. In addition, it is uncertain whether the industries of online games, portal and other virtual products, in which the Company’s VIEs operate, will be subject to the foreign investment restrictions or prohibitions set forth in the ‘‘negative list’’ that is to be issued. If the enacted version of the Foreign Investment Law and the final ‘‘negative list’’ mandate further actions, such as market entry clearance or certain restructuring of the Group’s corporate structure and operations, to be completed by companies with existing VIE structures, there may be substantial uncertainties as to whether the Group can complete these actions in a timely manner, or at all, and the Group’s business and financial condition may be materially and adversely affected.</w:t>
      </w:r>
    </w:p>
    <w:p>
      <w:pPr>
        <w:spacing w:after="0" w:line="18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Regulatory risk also encompasses the interpretation by the tax authorities of current tax laws, the status of properties leased for the Group’s operations, its legal structure and scope of operations in China, which could be subject to further restrictions resulting in limitations on the Group’s ability to conduct business in China.</w:t>
      </w:r>
    </w:p>
    <w:p>
      <w:pPr>
        <w:spacing w:after="0" w:line="177" w:lineRule="exact"/>
        <w:rPr>
          <w:sz w:val="20"/>
          <w:szCs w:val="20"/>
          <w:color w:val="auto"/>
        </w:rPr>
      </w:pPr>
    </w:p>
    <w:p>
      <w:pPr>
        <w:ind w:left="380" w:hanging="372"/>
        <w:spacing w:after="0"/>
        <w:tabs>
          <w:tab w:leader="none" w:pos="3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Group closely monitors the collection of its accounts receivables and records a reserve for doubtful accounts against aged accounts and for specifically identified non-recoverable amounts. If the economic situation and the financial condition of the customer deteriorate resulting in an impairment of the</w:t>
      </w:r>
    </w:p>
    <w:p>
      <w:pPr>
        <w:sectPr>
          <w:pgSz w:w="11900" w:h="16894" w:orient="portrait"/>
          <w:cols w:equalWidth="0" w:num="1">
            <w:col w:w="11460"/>
          </w:cols>
          <w:pgMar w:left="240" w:top="121" w:right="199" w:bottom="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customer’s ability to make payments, additional allowances might be required.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Receivable balances are written off when they are determined to be uncollectible. The following table sets out the movements of the allowance for doubtful accounts for the years ended December 31, 2015, 2016 and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Charged to (write-back</w:t>
            </w:r>
          </w:p>
        </w:tc>
        <w:tc>
          <w:tcPr>
            <w:tcW w:w="26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5"/>
              </w:rPr>
              <w:t>Write-off of receivable</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2320" w:type="dxa"/>
            <w:vAlign w:val="bottom"/>
            <w:gridSpan w:val="2"/>
            <w:vMerge w:val="continue"/>
          </w:tcPr>
          <w:p>
            <w:pPr>
              <w:spacing w:after="0"/>
              <w:rPr>
                <w:sz w:val="12"/>
                <w:szCs w:val="12"/>
                <w:color w:val="auto"/>
              </w:rPr>
            </w:pPr>
          </w:p>
        </w:tc>
        <w:tc>
          <w:tcPr>
            <w:tcW w:w="2680" w:type="dxa"/>
            <w:vAlign w:val="bottom"/>
            <w:gridSpan w:val="5"/>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balances and</w:t>
            </w: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against) cost and</w:t>
            </w:r>
          </w:p>
        </w:tc>
        <w:tc>
          <w:tcPr>
            <w:tcW w:w="2680" w:type="dxa"/>
            <w:vAlign w:val="bottom"/>
            <w:gridSpan w:val="5"/>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corresponding</w:t>
            </w:r>
          </w:p>
        </w:tc>
        <w:tc>
          <w:tcPr>
            <w:tcW w:w="14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26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0"/>
              </w:rPr>
              <w:t>provisions</w:t>
            </w: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9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4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11,162</w:t>
            </w:r>
          </w:p>
        </w:tc>
        <w:tc>
          <w:tcPr>
            <w:tcW w:w="2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4,041</w:t>
            </w:r>
          </w:p>
        </w:tc>
        <w:tc>
          <w:tcPr>
            <w:tcW w:w="2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4120" w:type="dxa"/>
            <w:vAlign w:val="bottom"/>
            <w:gridSpan w:val="4"/>
          </w:tcPr>
          <w:p>
            <w:pPr>
              <w:jc w:val="right"/>
              <w:ind w:right="280"/>
              <w:spacing w:after="0"/>
              <w:rPr>
                <w:sz w:val="20"/>
                <w:szCs w:val="20"/>
                <w:color w:val="auto"/>
              </w:rPr>
            </w:pPr>
            <w:r>
              <w:rPr>
                <w:rFonts w:ascii="Arial" w:cs="Arial" w:eastAsia="Arial" w:hAnsi="Arial"/>
                <w:sz w:val="18"/>
                <w:szCs w:val="18"/>
                <w:color w:val="auto"/>
              </w:rPr>
              <w:t>14,185</w:t>
            </w: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9,952</w:t>
            </w:r>
          </w:p>
        </w:tc>
        <w:tc>
          <w:tcPr>
            <w:tcW w:w="23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24,136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4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24,136</w:t>
            </w:r>
          </w:p>
        </w:tc>
        <w:tc>
          <w:tcPr>
            <w:tcW w:w="2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60,826</w:t>
            </w:r>
          </w:p>
        </w:tc>
        <w:tc>
          <w:tcPr>
            <w:tcW w:w="2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right"/>
              <w:ind w:right="940"/>
              <w:spacing w:after="0"/>
              <w:rPr>
                <w:sz w:val="20"/>
                <w:szCs w:val="20"/>
                <w:color w:val="auto"/>
              </w:rPr>
            </w:pPr>
            <w:r>
              <w:rPr>
                <w:rFonts w:ascii="Arial" w:cs="Arial" w:eastAsia="Arial" w:hAnsi="Arial"/>
                <w:sz w:val="18"/>
                <w:szCs w:val="18"/>
                <w:color w:val="auto"/>
              </w:rPr>
              <w:t>F-21</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220" w:type="dxa"/>
            <w:vAlign w:val="bottom"/>
            <w:tcBorders>
              <w:bottom w:val="single" w:sz="8" w:color="808080"/>
            </w:tcBorders>
            <w:gridSpan w:val="3"/>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41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w w:val="89"/>
              </w:rPr>
              <w:t>Prepayments and Other Current Assets</w:t>
            </w: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7"/>
          </w:tcPr>
          <w:p>
            <w:pPr>
              <w:spacing w:after="0"/>
              <w:rPr>
                <w:sz w:val="20"/>
                <w:szCs w:val="20"/>
                <w:color w:val="auto"/>
              </w:rPr>
            </w:pPr>
            <w:r>
              <w:rPr>
                <w:rFonts w:ascii="Arial" w:cs="Arial" w:eastAsia="Arial" w:hAnsi="Arial"/>
                <w:sz w:val="18"/>
                <w:szCs w:val="18"/>
                <w:color w:val="auto"/>
              </w:rPr>
              <w:t>The following is a summary of prepayments and other current assets (in thousands):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left="1316"/>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Guarantee payment made to Blizzard - royalty fees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154,009</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tcPr>
          <w:p>
            <w:pPr>
              <w:spacing w:after="0"/>
              <w:rPr>
                <w:sz w:val="20"/>
                <w:szCs w:val="20"/>
                <w:color w:val="auto"/>
              </w:rPr>
            </w:pPr>
            <w:r>
              <w:rPr>
                <w:rFonts w:ascii="Arial" w:cs="Arial" w:eastAsia="Arial" w:hAnsi="Arial"/>
                <w:sz w:val="18"/>
                <w:szCs w:val="18"/>
                <w:color w:val="auto"/>
              </w:rPr>
              <w:t>Prepayment for royalties, revenue sharing cost</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rPr>
              <w:t>2,399,434</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1,479,817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274,020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417,843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7"/>
          </w:tcPr>
          <w:p>
            <w:pPr>
              <w:spacing w:after="0"/>
              <w:rPr>
                <w:sz w:val="20"/>
                <w:szCs w:val="20"/>
                <w:color w:val="auto"/>
              </w:rPr>
            </w:pPr>
            <w:r>
              <w:rPr>
                <w:rFonts w:ascii="Arial" w:cs="Arial" w:eastAsia="Arial" w:hAnsi="Arial"/>
                <w:sz w:val="18"/>
                <w:szCs w:val="18"/>
                <w:color w:val="auto"/>
              </w:rPr>
              <w:t>Prepayments of content and marketing cost and other operational expenses</w:t>
            </w: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rPr>
              <w:t>209,147</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381,213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Prepayment for sales tax and deductible value added tax</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148,505</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698,902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tcPr>
          <w:p>
            <w:pPr>
              <w:spacing w:after="0"/>
              <w:rPr>
                <w:sz w:val="20"/>
                <w:szCs w:val="20"/>
                <w:color w:val="auto"/>
              </w:rPr>
            </w:pPr>
            <w:r>
              <w:rPr>
                <w:rFonts w:ascii="Arial" w:cs="Arial" w:eastAsia="Arial" w:hAnsi="Arial"/>
                <w:sz w:val="18"/>
                <w:szCs w:val="18"/>
                <w:color w:val="auto"/>
              </w:rPr>
              <w:t>Bridge loans in connection with ongoing investments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right"/>
              <w:ind w:right="280"/>
              <w:spacing w:after="0"/>
              <w:rPr>
                <w:sz w:val="20"/>
                <w:szCs w:val="20"/>
                <w:color w:val="auto"/>
              </w:rPr>
            </w:pPr>
            <w:r>
              <w:rPr>
                <w:rFonts w:ascii="Arial" w:cs="Arial" w:eastAsia="Arial" w:hAnsi="Arial"/>
                <w:sz w:val="18"/>
                <w:szCs w:val="18"/>
                <w:color w:val="auto"/>
              </w:rPr>
              <w:t>46,279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30,575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Deposits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156,020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138,633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tcPr>
          <w:p>
            <w:pPr>
              <w:spacing w:after="0"/>
              <w:rPr>
                <w:sz w:val="20"/>
                <w:szCs w:val="20"/>
                <w:color w:val="auto"/>
              </w:rPr>
            </w:pPr>
            <w:r>
              <w:rPr>
                <w:rFonts w:ascii="Arial" w:cs="Arial" w:eastAsia="Arial" w:hAnsi="Arial"/>
                <w:sz w:val="18"/>
                <w:szCs w:val="18"/>
                <w:color w:val="auto"/>
              </w:rPr>
              <w:t>Employee advances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right"/>
              <w:ind w:right="280"/>
              <w:spacing w:after="0"/>
              <w:rPr>
                <w:sz w:val="20"/>
                <w:szCs w:val="20"/>
                <w:color w:val="auto"/>
              </w:rPr>
            </w:pPr>
            <w:r>
              <w:rPr>
                <w:rFonts w:ascii="Arial" w:cs="Arial" w:eastAsia="Arial" w:hAnsi="Arial"/>
                <w:sz w:val="18"/>
                <w:szCs w:val="18"/>
                <w:color w:val="auto"/>
              </w:rPr>
              <w:t>50,244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55,045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Advance to suppliers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173,057</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337,938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5"/>
          </w:tcPr>
          <w:p>
            <w:pPr>
              <w:spacing w:after="0"/>
              <w:rPr>
                <w:sz w:val="20"/>
                <w:szCs w:val="20"/>
                <w:color w:val="auto"/>
              </w:rPr>
            </w:pPr>
            <w:r>
              <w:rPr>
                <w:rFonts w:ascii="Arial" w:cs="Arial" w:eastAsia="Arial" w:hAnsi="Arial"/>
                <w:sz w:val="18"/>
                <w:szCs w:val="18"/>
                <w:color w:val="auto"/>
              </w:rPr>
              <w:t>Others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right"/>
              <w:ind w:right="280"/>
              <w:spacing w:after="0"/>
              <w:rPr>
                <w:sz w:val="20"/>
                <w:szCs w:val="20"/>
                <w:color w:val="auto"/>
              </w:rPr>
            </w:pPr>
            <w:r>
              <w:rPr>
                <w:rFonts w:ascii="Arial" w:cs="Arial" w:eastAsia="Arial" w:hAnsi="Arial"/>
                <w:sz w:val="18"/>
                <w:szCs w:val="18"/>
                <w:color w:val="auto"/>
              </w:rPr>
              <w:t>87,237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233,365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3,697,952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-2908935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-2908935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60"/>
        <w:spacing w:after="0" w:line="226" w:lineRule="auto"/>
        <w:rPr>
          <w:sz w:val="20"/>
          <w:szCs w:val="20"/>
          <w:color w:val="auto"/>
        </w:rPr>
      </w:pPr>
      <w:r>
        <w:rPr>
          <w:rFonts w:ascii="Arial" w:cs="Arial" w:eastAsia="Arial" w:hAnsi="Arial"/>
          <w:sz w:val="17"/>
          <w:szCs w:val="17"/>
          <w:color w:val="auto"/>
        </w:rPr>
        <w:t>In accordance with the license agreements of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series, Hearthstone, Heroes of the Storm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III and Overwatch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the Group made certain guarantee payments to Blizzard on behalf of Shanghai EaseNet for the minimum guaranteed royalties as of December 31, 2016 and 2017. The guarantee amounts will be released to the Group when actual royalties are paid by Shanghai EaseNet to Blizzard.</w:t>
      </w:r>
    </w:p>
    <w:p>
      <w:pPr>
        <w:spacing w:after="0" w:line="2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2016 and 2017, prepayments for royalties and revenue sharing cost representing prepaid royalties or revenue sharing cost related to operations of licensed PC and mobile games.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amount of employee advances listed above included staff housing loan balances of RMB45.5 million and RMB48.5 million repayable within 12 months from December 31, 2016 and 2017, respectively (see Note 10). No advances were made directly or indirectly to the Group’s executive officers for their personal benefit for the years ended December 31, 2016 and 2017.</w:t>
      </w:r>
    </w:p>
    <w:p>
      <w:pPr>
        <w:spacing w:after="0" w:line="177" w:lineRule="exact"/>
        <w:rPr>
          <w:sz w:val="20"/>
          <w:szCs w:val="20"/>
          <w:color w:val="auto"/>
        </w:rPr>
      </w:pPr>
    </w:p>
    <w:p>
      <w:pPr>
        <w:ind w:left="380" w:hanging="372"/>
        <w:spacing w:after="0"/>
        <w:tabs>
          <w:tab w:leader="none" w:pos="3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December 31, 2016 and 2017, the Group’s short-term investments mainly consisted of financial products issued by commercial banks in China with a variable interest rate indexed to the performance of underlying assets and a maturity date within one year when purchased. As of December 31, 2017, the effective yields of short-term investments ranged from 2.00% to 5.30% per annum (2016: 1.90% to 5.30% per annum).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short-term investments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Unrecognized</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Gains/(Losses)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11,582,116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11,582,116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11,582,116</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11,582,116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Unrecognized</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Gains/(Losses)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9,742,663</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9,742,663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9,742,663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9,742,663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During the years ended December 31, 2015, 2016 and 2017, the Group recorded investment income related to short-term investments of RMB143.1 million, RMB303.4 million and RMB389.5 million in the consolidated statements of operations and comprehensive income, respectively.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5" w:gutter="0" w:footer="0" w:header="0"/>
        </w:sectPr>
      </w:pPr>
    </w:p>
    <w:bookmarkStart w:id="110" w:name="page111"/>
    <w:bookmarkEnd w:id="110"/>
    <w:p>
      <w:pPr>
        <w:spacing w:after="0"/>
        <w:tabs>
          <w:tab w:leader="none" w:pos="360" w:val="left"/>
        </w:tabs>
        <w:rPr>
          <w:sz w:val="20"/>
          <w:szCs w:val="20"/>
          <w:color w:val="auto"/>
        </w:rPr>
      </w:pPr>
      <w:r>
        <w:rPr>
          <w:rFonts w:ascii="Arial" w:cs="Arial" w:eastAsia="Arial" w:hAnsi="Arial"/>
          <w:sz w:val="18"/>
          <w:szCs w:val="18"/>
          <w:b w:val="1"/>
          <w:bCs w:val="1"/>
          <w:color w:val="auto"/>
        </w:rPr>
        <w:t>7.</w:t>
        <w:tab/>
        <w:t>Property, Equipment and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property, equipment and software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decoration</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1,207,607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39,880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Vehicles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52,396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68,414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Servers and computers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1,700,463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2,583,270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Software</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54,273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86,650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663,374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3,822,772</w:t>
            </w:r>
          </w:p>
        </w:tc>
        <w:tc>
          <w:tcPr>
            <w:tcW w:w="2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5,544,557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(1,403,262)</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(1,775,231)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book value</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2,419,510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3,769,326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Depreciation expense was RMB178.9 million, RMB312.9 million and RMB522.2 million for the years ended December 31, 2015, 2016 and 2017, respectively.</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December 31, 2016 and 2017, the construction in progress balance mainly represented a prepayment of RMB642.4 million and RMB1,084.6 million, respectively, for the construction of office buildings in Hangzhou, Zhoushan, Guangzhou and Ningbo. All the related cost is capitalized in construction in progress to the extent it is incurred for the purposes of bringing the construction development to a usable state.</w:t>
      </w:r>
    </w:p>
    <w:p>
      <w:pPr>
        <w:spacing w:after="0" w:line="162" w:lineRule="exact"/>
        <w:rPr>
          <w:sz w:val="20"/>
          <w:szCs w:val="20"/>
          <w:color w:val="auto"/>
        </w:rPr>
      </w:pPr>
    </w:p>
    <w:p>
      <w:pPr>
        <w:ind w:left="380" w:hanging="372"/>
        <w:spacing w:after="0"/>
        <w:tabs>
          <w:tab w:leader="none" w:pos="3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Land use right represents the land acquired for the purpose of constructing offices and warehouses. In 2016, the Group obtained the land use right certificate for Boguan from the local authorities. Amortization of the land use right is made over the remaining term of the land use right period from the date when the Group first obtained the land use right certificate from the local authorities. The land use right is summarized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3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620,127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637,057</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Incentive payment from local government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(16,240)</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(28,778)</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Land use right,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588,887</w:t>
            </w:r>
          </w:p>
        </w:tc>
        <w:tc>
          <w:tcPr>
            <w:tcW w:w="2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total amortization expense for each of the years ended December 31, 2015, 2016 and 2017 amounted to approximately RMB2,768,000, RMB11,384,000, and RMB12,538,000, respectively.</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9.</w:t>
        <w:tab/>
        <w:t>Long-term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associated companies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652,635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563,896</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461,664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1,292,620</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855,728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828,260</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1,970,027</w:t>
            </w:r>
          </w:p>
        </w:tc>
        <w:tc>
          <w:tcPr>
            <w:tcW w:w="2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2,684,776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w:t>
      </w:r>
    </w:p>
    <w:p>
      <w:pPr>
        <w:spacing w:after="0" w:line="22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 Group recorded equity share of loss of RMB76.1 million, RMB85.8 million, and RMB12.2 million for the years ended December 31, 2015, 2016 and 2017, respectively, which was included in “investment income, net” in the consolidated statements of comprehensive income. Significant investments in associated companies are summarized as follows.</w:t>
      </w:r>
    </w:p>
    <w:p>
      <w:pPr>
        <w:spacing w:after="0" w:line="181" w:lineRule="exact"/>
        <w:rPr>
          <w:sz w:val="20"/>
          <w:szCs w:val="20"/>
          <w:color w:val="auto"/>
        </w:rPr>
      </w:pPr>
    </w:p>
    <w:p>
      <w:pPr>
        <w:ind w:left="640" w:right="60" w:hanging="632"/>
        <w:spacing w:after="0" w:line="264" w:lineRule="auto"/>
        <w:tabs>
          <w:tab w:leader="none" w:pos="6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August 2013, the Group established a joint venture with China Telecom Corp. Ltd. (“China Telecom”), Hangzhou Yixin Technology Co., Ltd. (“Yixin”) to launch “YiChat”, a proprietary social instant messaging application for smart phones. The Group contributed RMB200.0 million cash in exchange for a 27.0% equity interest in Yixin.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investment was accounted for under the equity method of accounting with allocation of the investment cost as follows (in thousands):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Intangible assets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15,876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(3,969)</w:t>
            </w:r>
          </w:p>
        </w:tc>
      </w:tr>
      <w:tr>
        <w:trPr>
          <w:trHeight w:val="210"/>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11" w:name="page112"/>
    <w:bookmarkEnd w:id="111"/>
    <w:p>
      <w:pPr>
        <w:ind w:left="640" w:right="160"/>
        <w:spacing w:after="0" w:line="308" w:lineRule="auto"/>
        <w:rPr>
          <w:sz w:val="20"/>
          <w:szCs w:val="20"/>
          <w:color w:val="auto"/>
        </w:rPr>
      </w:pPr>
      <w:r>
        <w:rPr>
          <w:rFonts w:ascii="Arial" w:cs="Arial" w:eastAsia="Arial" w:hAnsi="Arial"/>
          <w:sz w:val="17"/>
          <w:szCs w:val="17"/>
          <w:color w:val="auto"/>
        </w:rPr>
        <w:t>In July 2015, the Group increased its equity shares in Yixin to 35.0% with a cash consideration of approximately RMB127.5 million. The allocation of the purchase price of the assets acquired and liabilities assumed based on their fair values was as follows (in thousands):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Intangible assets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15,564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107,280</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(3,891)</w:t>
            </w:r>
          </w:p>
        </w:tc>
      </w:tr>
      <w:tr>
        <w:trPr>
          <w:trHeight w:val="210"/>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right="80" w:hanging="632"/>
        <w:spacing w:after="0" w:line="264" w:lineRule="auto"/>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2016, the Group acquired a 49.0% equity interest in MAXWIN (B.V.I) LIMITED (“MAXWIN”), which is engaged in the retail business of casual and sportswear apparel, for a consideration of approximately RMB344.6 million in cash. In 2017, the Group disposed the 49.0% equity interest in MAXWIN for a cash consideration of approximately RMB340.4 million.</w:t>
      </w:r>
    </w:p>
    <w:p>
      <w:pPr>
        <w:spacing w:after="0" w:line="177"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w:t>
      </w:r>
    </w:p>
    <w:p>
      <w:pPr>
        <w:spacing w:after="0" w:line="229" w:lineRule="exact"/>
        <w:rPr>
          <w:rFonts w:ascii="Arial" w:cs="Arial" w:eastAsia="Arial" w:hAnsi="Arial"/>
          <w:sz w:val="18"/>
          <w:szCs w:val="18"/>
          <w:b w:val="1"/>
          <w:bCs w:val="1"/>
          <w:color w:val="auto"/>
        </w:rPr>
      </w:pPr>
    </w:p>
    <w:p>
      <w:pPr>
        <w:ind w:left="6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Equity investments represent investments in privately held companies with no readily determinable fair value. The Group carries the investment at cost as the Group does not have significant influence or the investments are not common stock or in substance common stock.</w:t>
      </w:r>
    </w:p>
    <w:p>
      <w:pPr>
        <w:spacing w:after="0" w:line="146" w:lineRule="exact"/>
        <w:rPr>
          <w:rFonts w:ascii="Arial" w:cs="Arial" w:eastAsia="Arial" w:hAnsi="Arial"/>
          <w:sz w:val="18"/>
          <w:szCs w:val="18"/>
          <w:b w:val="1"/>
          <w:bCs w:val="1"/>
          <w:color w:val="auto"/>
        </w:rPr>
      </w:pPr>
    </w:p>
    <w:p>
      <w:pPr>
        <w:ind w:left="660" w:right="4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 recognized a gain of RMB234.1 million and RMB9.6 million related to the partial disposal of the Group’s investment in an equity investee as “investment income, net” in the consolidated statements of comprehensive income for the years ended December 31, 2016 and 2017.</w:t>
      </w:r>
    </w:p>
    <w:p>
      <w:pPr>
        <w:spacing w:after="0" w:line="123" w:lineRule="exact"/>
        <w:rPr>
          <w:rFonts w:ascii="Arial" w:cs="Arial" w:eastAsia="Arial" w:hAnsi="Arial"/>
          <w:sz w:val="18"/>
          <w:szCs w:val="18"/>
          <w:b w:val="1"/>
          <w:bCs w:val="1"/>
          <w:color w:val="auto"/>
        </w:rPr>
      </w:pPr>
    </w:p>
    <w:p>
      <w:pPr>
        <w:ind w:left="66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Impairment provision of RMB12.0 million, RMB12.2 million and RMB58.5 million related to certain of the equity investments were recognized as “investment income, net” in the consolidated statements of comprehensive income for the years ended December 31, 2015, 2016 and 2017, respectively, as the Group determined that the decline in its fair value is determined to be other-than-temporary.</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229" w:lineRule="exact"/>
        <w:rPr>
          <w:rFonts w:ascii="Arial" w:cs="Arial" w:eastAsia="Arial" w:hAnsi="Arial"/>
          <w:sz w:val="18"/>
          <w:szCs w:val="18"/>
          <w:b w:val="1"/>
          <w:bCs w:val="1"/>
          <w:color w:val="auto"/>
        </w:rPr>
      </w:pPr>
    </w:p>
    <w:p>
      <w:pPr>
        <w:ind w:left="6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available-for-sale securities included RMB610.0 million invested in shares of Huatai Securities Company Limited (“Huatai”) and RMB218.3 million invested in shares of Caissa Touristic Group (“Caissa”). Total net unrealized gains of RMB34.0 million and net unrealized losses of RMB23.3 million (net of tax benefit of RMB47.7 million and RMB4.1 million) were recorded in other comprehensive income for the year ended December 31, 2016 and 2017,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Adjusted Cost</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Unrealized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Gains/(Losses)</w:t>
            </w: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Huatai</w:t>
            </w:r>
          </w:p>
        </w:tc>
        <w:tc>
          <w:tcPr>
            <w:tcW w:w="4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660,528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(39,684)</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620,844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Caissa</w:t>
            </w:r>
          </w:p>
        </w:tc>
        <w:tc>
          <w:tcPr>
            <w:tcW w:w="4720" w:type="dxa"/>
            <w:vAlign w:val="bottom"/>
            <w:gridSpan w:val="3"/>
          </w:tcPr>
          <w:p>
            <w:pPr>
              <w:jc w:val="right"/>
              <w:ind w:right="280"/>
              <w:spacing w:after="0"/>
              <w:rPr>
                <w:sz w:val="20"/>
                <w:szCs w:val="20"/>
                <w:color w:val="auto"/>
              </w:rPr>
            </w:pPr>
            <w:r>
              <w:rPr>
                <w:rFonts w:ascii="Arial" w:cs="Arial" w:eastAsia="Arial" w:hAnsi="Arial"/>
                <w:sz w:val="18"/>
                <w:szCs w:val="18"/>
                <w:color w:val="auto"/>
              </w:rPr>
              <w:t>100,000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134,884</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234,884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6"/>
              </w:rPr>
              <w:t>855,728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Adjusted Cost</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Unrealized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Gains/(Losses)</w:t>
            </w: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Huatai</w:t>
            </w:r>
          </w:p>
        </w:tc>
        <w:tc>
          <w:tcPr>
            <w:tcW w:w="4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660,528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(50,563)</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609,965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Caissa</w:t>
            </w:r>
          </w:p>
        </w:tc>
        <w:tc>
          <w:tcPr>
            <w:tcW w:w="4720" w:type="dxa"/>
            <w:vAlign w:val="bottom"/>
            <w:gridSpan w:val="3"/>
          </w:tcPr>
          <w:p>
            <w:pPr>
              <w:jc w:val="right"/>
              <w:ind w:right="280"/>
              <w:spacing w:after="0"/>
              <w:rPr>
                <w:sz w:val="20"/>
                <w:szCs w:val="20"/>
                <w:color w:val="auto"/>
              </w:rPr>
            </w:pPr>
            <w:r>
              <w:rPr>
                <w:rFonts w:ascii="Arial" w:cs="Arial" w:eastAsia="Arial" w:hAnsi="Arial"/>
                <w:sz w:val="18"/>
                <w:szCs w:val="18"/>
                <w:color w:val="auto"/>
              </w:rPr>
              <w:t>100,000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118,295</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218,295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6"/>
              </w:rPr>
              <w:t>828,260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720" w:type="dxa"/>
            <w:vAlign w:val="bottom"/>
            <w:gridSpan w:val="3"/>
          </w:tcPr>
          <w:p>
            <w:pPr>
              <w:jc w:val="right"/>
              <w:ind w:right="2280"/>
              <w:spacing w:after="0"/>
              <w:rPr>
                <w:sz w:val="20"/>
                <w:szCs w:val="20"/>
                <w:color w:val="auto"/>
              </w:rPr>
            </w:pPr>
            <w:r>
              <w:rPr>
                <w:rFonts w:ascii="Arial" w:cs="Arial" w:eastAsia="Arial" w:hAnsi="Arial"/>
                <w:sz w:val="18"/>
                <w:szCs w:val="18"/>
                <w:color w:val="auto"/>
              </w:rPr>
              <w:t>F-24</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The Group reviews its available-for-sale investments regularly to determine if an investment is other-than-temporarily impaired due to changes in quoted market price or other impairment indicators. Changes in market conditions and other facts and circumstances may change the business prospects of these issuers. The assessment that these investments are not other-than-temporarily impaired included a review of the business and financial outlook, the financial condition, the severity and duration of the drop in share price compared to the carrying value, as well as the Group’s ability and current intent to hold these securities until the prices recover. For the year ended December 31, 2016 and 2017, RMB266.7 million and nil impairment provision for Huatai were recognized as “investment income, net” in the consolidated statements of comprehensive income, respectively. The Group also received cash dividends from Huatai for the years ended December 31, 2016 and 2017 of RMB21.4 million and RMB20.9 million, respectively.</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Other Long-term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5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r>
      <w:tr>
        <w:trPr>
          <w:trHeight w:val="142"/>
        </w:trPr>
        <w:tc>
          <w:tcPr>
            <w:tcW w:w="75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Copyrights, licenses and domain names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254,067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820,362</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Staff housing loans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105,208</w:t>
            </w:r>
          </w:p>
        </w:tc>
        <w:tc>
          <w:tcPr>
            <w:tcW w:w="1340" w:type="dxa"/>
            <w:vAlign w:val="bottom"/>
          </w:tcPr>
          <w:p>
            <w:pPr>
              <w:jc w:val="right"/>
              <w:spacing w:after="0"/>
              <w:rPr>
                <w:sz w:val="20"/>
                <w:szCs w:val="20"/>
                <w:color w:val="auto"/>
              </w:rPr>
            </w:pPr>
            <w:r>
              <w:rPr>
                <w:rFonts w:ascii="Arial" w:cs="Arial" w:eastAsia="Arial" w:hAnsi="Arial"/>
                <w:sz w:val="18"/>
                <w:szCs w:val="18"/>
                <w:color w:val="auto"/>
              </w:rPr>
              <w:t>107,203</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88,398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93,147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52,075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91,867</w:t>
            </w:r>
          </w:p>
        </w:tc>
      </w:tr>
      <w:tr>
        <w:trPr>
          <w:trHeight w:val="210"/>
        </w:trPr>
        <w:tc>
          <w:tcPr>
            <w:tcW w:w="75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1,112,579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w:t>
      </w:r>
    </w:p>
    <w:p>
      <w:pPr>
        <w:sectPr>
          <w:pgSz w:w="11900" w:h="16838" w:orient="portrait"/>
          <w:cols w:equalWidth="0" w:num="1">
            <w:col w:w="11460"/>
          </w:cols>
          <w:pgMar w:left="240" w:top="125" w:right="199" w:bottom="0" w:gutter="0" w:footer="0" w:header="0"/>
        </w:sectPr>
      </w:pPr>
    </w:p>
    <w:bookmarkStart w:id="112" w:name="page113"/>
    <w:bookmarkEnd w:id="112"/>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granted. The repayment term is five years from the date of drawdown. The interest rate is fixed varying from 1.5% to 3.5% per annum for the years ended December 31, 2016 and 2017, respectively. The outstanding portion of the staff housing loans repayable within 12 months as of December 31, 2016 and 2017 amounted to approximately RMB45.5 million and RMB48.5 million, respectively, and are reported under prepayments and other current assets in the consolidated balance sheets (see Note 5).</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Subsidiaries in the BVI are exempted from income tax on its foreign-derived income in the BVI. There are no withholding taxes in the BVI.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Subsidiaries in Hong Kong are subject to 16.5% income tax for 2015, 2016 and 2017 on their taxable income generated from operations in Hong Kong. The payments of dividends by these companies to their shareholders are not subject to any Hong Kong withholding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Enterprise Income Tax Law became effective on January 1, 2008.</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NetEase Beijing, Boguan, NetEase Hangzhou, Media Beijing and Hangzhou Langhe were qualified as HNTEs and enjoyed a preferential tax rate of 15% for 2015, 2016 and 2017. In 2016 and 2017, Boguan, Netease Hangzhou and Media Beijing were qualified as a Key Software Enterprise and enjoyed a further reduced preferential tax rate of 10% for 2015 and 2016. The related tax benefit was recorded in 2016 and 2017, respectively.</w:t>
      </w:r>
    </w:p>
    <w:p>
      <w:pPr>
        <w:spacing w:after="0" w:line="16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Wangyibao was recognized as a Software Enterprise in 2011. Accordingly it was exempt from EIT for 2011 and 2012 and subject to a 50% reduction in its EIT rate from 2013 to 2015. In 2015, Wangyibao was also qualified as a HNTE and enjoyed a preferential tax rate of 15% from 2016 to 2017.</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Lede Technology was recognized as a Software Enterprise in 2014. It was exempt from EIT for 2014 and 2015 and subject to a 50% reduction in its EIT rate from 2016 to 2018.</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Tianjin Technology was recognised as a Software Enterprise in 2016 to enjoy exemption from EIT for 2015 and 2016 and subject to a 50% reduction in its EIT rate from 2017 to 2019. Hence, the related tax benefit for 2015 was recorded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StormNet IT SH was qualified as a HNTE in 2016 and applied a uniform tax rate of 25% for its 2016 and 2017 annual filling.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preferential tax rates are subject to annual review by the relevant tax authorities in China.</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combined effects of EIT exemptions and tax rate reductions enjoyed by the Group for the years ended December 31, 2015, 2016 and 2017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38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38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Aggregate amount of EIT exemptions and tax rate reductions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895,725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1,417,150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1,464,587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effect, basic</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per share effect, diluted</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 of income tax expenses of the Group for the years ended December 31, 2015, 2016 and 2017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138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38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1,420,693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2,035,822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2,600,406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(147,285)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66,676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(438,043)</w:t>
            </w:r>
          </w:p>
        </w:tc>
      </w:tr>
      <w:tr>
        <w:trPr>
          <w:trHeight w:val="21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2,102,498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a reconciliation of the differences between the statutory income tax rate and the Group’s effective income tax rate for the years ended December 31, 2015, 2016 and 2017:</w:t>
      </w:r>
    </w:p>
    <w:p>
      <w:pPr>
        <w:sectPr>
          <w:pgSz w:w="11900" w:h="16917" w:orient="portrait"/>
          <w:cols w:equalWidth="0" w:num="1">
            <w:col w:w="11380"/>
          </w:cols>
          <w:pgMar w:left="240" w:top="125" w:right="279" w:bottom="0" w:gutter="0" w:footer="0" w:header="0"/>
        </w:sectPr>
      </w:pPr>
    </w:p>
    <w:p>
      <w:pPr>
        <w:spacing w:after="0" w:line="162"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6350</wp:posOffset>
            </wp:positionV>
            <wp:extent cx="29502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6740"/>
        <w:spacing w:after="0"/>
        <w:tabs>
          <w:tab w:leader="none" w:pos="8380" w:val="left"/>
          <w:tab w:leader="none" w:pos="10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wp:posOffset>
            </wp:positionV>
            <wp:extent cx="29502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6820"/>
        <w:spacing w:after="0"/>
        <w:tabs>
          <w:tab w:leader="none" w:pos="8440" w:val="left"/>
          <w:tab w:leader="none" w:pos="100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ectPr>
          <w:pgSz w:w="11900" w:h="16917" w:orient="portrait"/>
          <w:cols w:equalWidth="0" w:num="1">
            <w:col w:w="11380"/>
          </w:cols>
          <w:pgMar w:left="240" w:top="125" w:right="279" w:bottom="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Statutory income tax rate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Effect due to overseas tax-exempt entities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Effect of lower tax rate applicable to Software Enterprises, Key Software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Enterprise and HNTEs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Effect of withholding income tax</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-1131570</wp:posOffset>
            </wp:positionV>
            <wp:extent cx="695515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1">
                      <a:extLst>
                        <a:ext uri="{28A0092B-C50C-407E-A947-70E740481C1C}"/>
                      </a:extLst>
                    </a:blip>
                    <a:srcRect/>
                    <a:stretch>
                      <a:fillRect/>
                    </a:stretch>
                  </pic:blipFill>
                  <pic:spPr bwMode="auto">
                    <a:xfrm>
                      <a:off x="0" y="0"/>
                      <a:ext cx="695515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695515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2">
                      <a:extLst>
                        <a:ext uri="{28A0092B-C50C-407E-A947-70E740481C1C}"/>
                      </a:extLst>
                    </a:blip>
                    <a:srcRect/>
                    <a:stretch>
                      <a:fillRect/>
                    </a:stretch>
                  </pic:blipFill>
                  <pic:spPr bwMode="auto">
                    <a:xfrm>
                      <a:off x="0" y="0"/>
                      <a:ext cx="695515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6955155"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3">
                      <a:extLst>
                        <a:ext uri="{28A0092B-C50C-407E-A947-70E740481C1C}"/>
                      </a:extLst>
                    </a:blip>
                    <a:srcRect/>
                    <a:stretch>
                      <a:fillRect/>
                    </a:stretch>
                  </pic:blipFill>
                  <pic:spPr bwMode="auto">
                    <a:xfrm>
                      <a:off x="0" y="0"/>
                      <a:ext cx="695515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695515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4">
                      <a:extLst>
                        <a:ext uri="{28A0092B-C50C-407E-A947-70E740481C1C}"/>
                      </a:extLst>
                    </a:blip>
                    <a:srcRect/>
                    <a:stretch>
                      <a:fillRect/>
                    </a:stretch>
                  </pic:blipFill>
                  <pic:spPr bwMode="auto">
                    <a:xfrm>
                      <a:off x="0" y="0"/>
                      <a:ext cx="6955155"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certain entities of the Group had net operating tax loss carry forwards as follows (in thousands):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3227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5">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73227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6">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expiring in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73227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8"/>
          <w:szCs w:val="18"/>
          <w:color w:val="auto"/>
        </w:rPr>
        <w:t>25.0</w:t>
      </w:r>
    </w:p>
    <w:p>
      <w:pPr>
        <w:spacing w:after="0" w:line="23"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(0.5)</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(0.5)</w:t>
      </w:r>
    </w:p>
    <w:p>
      <w:pPr>
        <w:spacing w:after="0" w:line="211"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(16.2)</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31750</wp:posOffset>
            </wp:positionV>
            <wp:extent cx="8578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RMB</w:t>
      </w:r>
    </w:p>
    <w:p>
      <w:pPr>
        <w:spacing w:after="0" w:line="2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142,614</w:t>
      </w:r>
    </w:p>
    <w:p>
      <w:pPr>
        <w:spacing w:after="0" w:line="8"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141,227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117,944</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346,214</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1,581,834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2,329,833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8578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31750</wp:posOffset>
            </wp:positionV>
            <wp:extent cx="8578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-130810</wp:posOffset>
            </wp:positionV>
            <wp:extent cx="8578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0" w:space="380"/>
            <w:col w:w="1760"/>
          </w:cols>
          <w:pgMar w:left="240" w:top="125" w:right="239" w:bottom="0" w:gutter="0" w:footer="0" w:header="0"/>
        </w:sectPr>
      </w:pPr>
    </w:p>
    <w:p>
      <w:pPr>
        <w:spacing w:after="0" w:line="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Sales tax</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Pursuant to the provision regulation of the PRC on Value Added Tax (“VAT”) and its implementation rules, the Company’s subsidiaries and VIEs are generally subject to VAT at a rate of 6% from revenues earned from services provided. All entities engaged in the sale of goods in China are generally required to pay VAT at a rate of 17% or other applicable value added tax rate implemented by the provision regulation of the gross sales proceeds received, less any creditable value added tax already paid or borne by the taxpayer.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Group is also subject to cultural development fee on the provision of advertising services in China. The applicable tax rate is 3% of the advertising services revenue.</w:t>
      </w:r>
    </w:p>
    <w:p>
      <w:pPr>
        <w:spacing w:after="0" w:line="166"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tax impact of significant temporary differences that give rise to the deferred tax assets and liabilities as of December 31, 2016 and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40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Deferred revenue, primarily for advanced payments from online games customers</w:t>
            </w:r>
          </w:p>
        </w:tc>
        <w:tc>
          <w:tcPr>
            <w:tcW w:w="1580" w:type="dxa"/>
            <w:vAlign w:val="bottom"/>
          </w:tcPr>
          <w:p>
            <w:pPr>
              <w:jc w:val="right"/>
              <w:spacing w:after="0"/>
              <w:rPr>
                <w:sz w:val="20"/>
                <w:szCs w:val="20"/>
                <w:color w:val="auto"/>
              </w:rPr>
            </w:pPr>
            <w:r>
              <w:rPr>
                <w:rFonts w:ascii="Arial" w:cs="Arial" w:eastAsia="Arial" w:hAnsi="Arial"/>
                <w:sz w:val="18"/>
                <w:szCs w:val="18"/>
                <w:color w:val="auto"/>
              </w:rPr>
              <w:t>224,994</w:t>
            </w:r>
          </w:p>
        </w:tc>
        <w:tc>
          <w:tcPr>
            <w:tcW w:w="2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285,919</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336,063</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510,522</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Depreciation of fixed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1,732</w:t>
            </w:r>
          </w:p>
        </w:tc>
        <w:tc>
          <w:tcPr>
            <w:tcW w:w="2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3,697</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22,252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55,168</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Net operating tax loss carry forward</w:t>
            </w:r>
          </w:p>
        </w:tc>
        <w:tc>
          <w:tcPr>
            <w:tcW w:w="1580" w:type="dxa"/>
            <w:vAlign w:val="bottom"/>
          </w:tcPr>
          <w:p>
            <w:pPr>
              <w:jc w:val="right"/>
              <w:spacing w:after="0"/>
              <w:rPr>
                <w:sz w:val="20"/>
                <w:szCs w:val="20"/>
                <w:color w:val="auto"/>
              </w:rPr>
            </w:pPr>
            <w:r>
              <w:rPr>
                <w:rFonts w:ascii="Arial" w:cs="Arial" w:eastAsia="Arial" w:hAnsi="Arial"/>
                <w:sz w:val="18"/>
                <w:szCs w:val="18"/>
                <w:color w:val="auto"/>
              </w:rPr>
              <w:t>342,710</w:t>
            </w:r>
          </w:p>
        </w:tc>
        <w:tc>
          <w:tcPr>
            <w:tcW w:w="2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742,512</w:t>
            </w:r>
          </w:p>
        </w:tc>
      </w:tr>
      <w:tr>
        <w:trPr>
          <w:trHeight w:val="210"/>
        </w:trPr>
        <w:tc>
          <w:tcPr>
            <w:tcW w:w="74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927,751</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1, 597,818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(367,428)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(774,323)</w:t>
            </w:r>
          </w:p>
        </w:tc>
      </w:tr>
      <w:tr>
        <w:trPr>
          <w:trHeight w:val="210"/>
        </w:trPr>
        <w:tc>
          <w:tcPr>
            <w:tcW w:w="7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Provision/(reversal)</w:t>
            </w: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5000" w:type="dxa"/>
            <w:vAlign w:val="bottom"/>
          </w:tcPr>
          <w:p>
            <w:pPr>
              <w:spacing w:after="0"/>
              <w:rPr>
                <w:sz w:val="14"/>
                <w:szCs w:val="1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1</w:t>
            </w: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 the year</w:t>
            </w: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w:t>
            </w:r>
          </w:p>
        </w:tc>
      </w:tr>
      <w:tr>
        <w:trPr>
          <w:trHeight w:val="142"/>
        </w:trPr>
        <w:tc>
          <w:tcPr>
            <w:tcW w:w="500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r>
      <w:tr>
        <w:trPr>
          <w:trHeight w:val="216"/>
        </w:trPr>
        <w:tc>
          <w:tcPr>
            <w:tcW w:w="5000" w:type="dxa"/>
            <w:vAlign w:val="bottom"/>
            <w:shd w:val="clear" w:color="auto" w:fill="CCEEFF"/>
          </w:tcPr>
          <w:p>
            <w:pPr>
              <w:jc w:val="right"/>
              <w:ind w:right="4550"/>
              <w:spacing w:after="0"/>
              <w:rPr>
                <w:sz w:val="20"/>
                <w:szCs w:val="20"/>
                <w:color w:val="auto"/>
              </w:rPr>
            </w:pPr>
            <w:r>
              <w:rPr>
                <w:rFonts w:ascii="Arial" w:cs="Arial" w:eastAsia="Arial" w:hAnsi="Arial"/>
                <w:sz w:val="18"/>
                <w:szCs w:val="18"/>
                <w:color w:val="auto"/>
                <w:w w:val="84"/>
              </w:rPr>
              <w:t>2015</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209,327</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223,644</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jc w:val="right"/>
              <w:ind w:right="4550"/>
              <w:spacing w:after="0"/>
              <w:rPr>
                <w:sz w:val="20"/>
                <w:szCs w:val="20"/>
                <w:color w:val="auto"/>
              </w:rPr>
            </w:pPr>
            <w:r>
              <w:rPr>
                <w:rFonts w:ascii="Arial" w:cs="Arial" w:eastAsia="Arial" w:hAnsi="Arial"/>
                <w:sz w:val="18"/>
                <w:szCs w:val="18"/>
                <w:color w:val="auto"/>
                <w:w w:val="84"/>
              </w:rPr>
              <w:t>2016</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223,644</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143,784</w:t>
            </w:r>
          </w:p>
        </w:tc>
        <w:tc>
          <w:tcPr>
            <w:tcW w:w="1700" w:type="dxa"/>
            <w:vAlign w:val="bottom"/>
          </w:tcPr>
          <w:p>
            <w:pPr>
              <w:jc w:val="right"/>
              <w:spacing w:after="0"/>
              <w:rPr>
                <w:sz w:val="20"/>
                <w:szCs w:val="20"/>
                <w:color w:val="auto"/>
              </w:rPr>
            </w:pPr>
            <w:r>
              <w:rPr>
                <w:rFonts w:ascii="Arial" w:cs="Arial" w:eastAsia="Arial" w:hAnsi="Arial"/>
                <w:sz w:val="18"/>
                <w:szCs w:val="18"/>
                <w:color w:val="auto"/>
              </w:rPr>
              <w:t>367,428</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jc w:val="right"/>
              <w:ind w:right="4550"/>
              <w:spacing w:after="0"/>
              <w:rPr>
                <w:sz w:val="20"/>
                <w:szCs w:val="20"/>
                <w:color w:val="auto"/>
              </w:rPr>
            </w:pPr>
            <w:r>
              <w:rPr>
                <w:rFonts w:ascii="Arial" w:cs="Arial" w:eastAsia="Arial" w:hAnsi="Arial"/>
                <w:sz w:val="18"/>
                <w:szCs w:val="18"/>
                <w:color w:val="auto"/>
                <w:w w:val="84"/>
              </w:rPr>
              <w:t>2017</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367,428</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406,895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774,323</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Withholding income tax</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Enterprise Income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 are exempted from withholding tax when they are distributed to foreign investors. Based on the interpretation of the current tax laws, management believes that the Company and all its non-PRC subsidiaries are not considered as a “resident enterprise” in China for corporate income tax purposes, but it cannot be certain that the relevant PRC tax authorities will agree with this determination. Except for the foregoing withholding taxes, the Company’s non-PRC subsidiaries, which are currently all incorporated in Hong Kong, the British Virgin Islands or Cayman Islands are not subject to taxation on dividends they receive from the Company’s PRC subsidiaries.</w:t>
      </w:r>
    </w:p>
    <w:p>
      <w:pPr>
        <w:sectPr>
          <w:pgSz w:w="11900" w:h="16838" w:orient="portrait"/>
          <w:cols w:equalWidth="0" w:num="1">
            <w:col w:w="11420"/>
          </w:cols>
          <w:pgMar w:left="240" w:top="125" w:right="239" w:bottom="0" w:gutter="0" w:footer="0" w:header="0"/>
          <w:type w:val="continuous"/>
        </w:sectPr>
      </w:pPr>
    </w:p>
    <w:bookmarkStart w:id="114" w:name="page115"/>
    <w:bookmarkEnd w:id="114"/>
    <w:p>
      <w:pPr>
        <w:ind w:right="640"/>
        <w:spacing w:after="0" w:line="277" w:lineRule="auto"/>
        <w:rPr>
          <w:sz w:val="20"/>
          <w:szCs w:val="20"/>
          <w:color w:val="auto"/>
        </w:rPr>
      </w:pPr>
      <w:r>
        <w:rPr>
          <w:rFonts w:ascii="Arial" w:cs="Arial" w:eastAsia="Arial" w:hAnsi="Arial"/>
          <w:sz w:val="18"/>
          <w:szCs w:val="18"/>
          <w:color w:val="auto"/>
        </w:rPr>
        <w:t>In 2015 and 2016, the Group accrued RMB180.7 million and RMB404.8 million withholding tax liabilities, respectively, associated with its quarterly dividend and cash expected to be distributed from its PRC subsidiaries to overseas for general corporate purposes.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2017, the Group altered its capital allocation strategy due to the change of business strategy. As a result, the Group recorded a withholding tax liability of RMB707.1 million (US$108.7 million) in 2017. The Group have repatriated these earnings and paid withholding income tax in 2017.</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Aside from the above distributions, the Group intends to indefinitely reinvest all remaining undistributed earnings as of December 31, 2017 in its PRC subsidiaries. Accordingly, no other withholding tax is expected to be incurred, and the unrecognized deferred tax liabilities as of December 31, 2016 and 2017 were approximately RMB1,088.3 million and RMB1,079.5 million (US$165.9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Taxes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taxes payable as of December 31, 2016 and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payable</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55,996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103,182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Withholding individual income taxes for employees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131,006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161,814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Enterprise income taxes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1,360,686</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1,248,518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174,813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51,178</w:t>
            </w:r>
          </w:p>
        </w:tc>
      </w:tr>
      <w:tr>
        <w:trPr>
          <w:trHeight w:val="210"/>
        </w:trPr>
        <w:tc>
          <w:tcPr>
            <w:tcW w:w="716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1,722,501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Short-term Loan</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December 31, 2016 and 2017, the short-term loan balances represent short-term loan arrangements with banks which were repayable within a maturity term ranging from one month to six months and charged at a fixed interest rates ranging from 0.98% to 1.29% and 0.78% to 2.42% per annum, respectively. The short-term loan are denominated in US$, HK$ or JPY.</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2016 and 2017, certain short-term loans were secured by RMB deposits of the Group in onshore branches of the banks in the amount of RMB3,995.0 million and RMB4,091.0 million (US$628.8 million), which was recognized as restricted cash (see Note 2(f)).</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2017, the Group entered into several loan credit facility agreements provided by certain financial institution. As at December 31, 2017, US$625.1 million of such credit facilities has not been utilized.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year ended December 31, 2017, the Company also entered into several guarantee agreements in the aggregate amount of US$510.0 million in respect of certain credit facilities taken by its subsidiaries. As at December 31, 2017, US$265.0 million of such credit facilities had not been utilized.</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Accrued Liabilities and Other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liabilities and other payables as of December 31, 2016 and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on Wangyibao accounts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1,321,762</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1,554,789</w:t>
            </w:r>
          </w:p>
        </w:tc>
        <w:tc>
          <w:tcPr>
            <w:tcW w:w="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Marketing expenses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689,055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1,434,596</w:t>
            </w:r>
          </w:p>
        </w:tc>
        <w:tc>
          <w:tcPr>
            <w:tcW w:w="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RSU payables (see Note 2(o))</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172,815</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Accrued fixed assets related payables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259,675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294,970</w:t>
            </w:r>
          </w:p>
        </w:tc>
        <w:tc>
          <w:tcPr>
            <w:tcW w:w="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Server custody fees and telecommunication charges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132,062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232,395</w:t>
            </w:r>
          </w:p>
        </w:tc>
        <w:tc>
          <w:tcPr>
            <w:tcW w:w="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Accrued revenue sharing</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68,474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187,838</w:t>
            </w:r>
          </w:p>
        </w:tc>
        <w:tc>
          <w:tcPr>
            <w:tcW w:w="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staff related cost</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49,423</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Content cost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67,742</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406,890</w:t>
            </w:r>
          </w:p>
        </w:tc>
        <w:tc>
          <w:tcPr>
            <w:tcW w:w="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40,863</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65,404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Accrued freight and warehousing charge</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107,760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257,877</w:t>
            </w:r>
          </w:p>
        </w:tc>
        <w:tc>
          <w:tcPr>
            <w:tcW w:w="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309,788</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218,601</w:t>
            </w:r>
          </w:p>
        </w:tc>
        <w:tc>
          <w:tcPr>
            <w:tcW w:w="80" w:type="dxa"/>
            <w:vAlign w:val="bottom"/>
            <w:shd w:val="clear" w:color="auto" w:fill="CCEEFF"/>
          </w:tcPr>
          <w:p>
            <w:pPr>
              <w:spacing w:after="0"/>
              <w:rPr>
                <w:sz w:val="18"/>
                <w:szCs w:val="18"/>
                <w:color w:val="auto"/>
              </w:rPr>
            </w:pPr>
          </w:p>
        </w:tc>
      </w:tr>
      <w:tr>
        <w:trPr>
          <w:trHeight w:val="210"/>
        </w:trPr>
        <w:tc>
          <w:tcPr>
            <w:tcW w:w="716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3,219,419</w:t>
            </w:r>
          </w:p>
        </w:tc>
        <w:tc>
          <w:tcPr>
            <w:tcW w:w="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4,692,310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Deferred Revenue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revenue represents sales proceeds from prepaid point cards, online points sold, unamortized mobile game in-game spending and prepaid subscription fees for Internet value-added services for which services are yet to be provided as of the balance sheet dates.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Noncontrolling Interests and Redeemable Noncontrolling Interests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first quarter of 2017, certain of the Group’s subsidiaries and VIE (together referred as “Netease Cloud Music”) and some investors entered into several investment agreements to issue equity interests of Netease Cloud Music with preferential rights to certain investors for a total cash consideration of RMB600.0 million (US$92.2 million). In addition, NetEase Cloud Music issued equity interest to one investor for a total cash consideration of RMB150.0 million (US$23.1 million). After the issuance of the equity interests, the investors together held approximately 12.59% equity interests in Netease Cloud Music.</w:t>
      </w:r>
    </w:p>
    <w:p>
      <w:pPr>
        <w:sectPr>
          <w:pgSz w:w="11900" w:h="16838" w:orient="portrait"/>
          <w:cols w:equalWidth="0" w:num="1">
            <w:col w:w="11420"/>
          </w:cols>
          <w:pgMar w:left="240" w:top="341" w:right="239" w:bottom="0" w:gutter="0" w:footer="0" w:header="0"/>
        </w:sectPr>
      </w:pPr>
    </w:p>
    <w:bookmarkStart w:id="115" w:name="page116"/>
    <w:bookmarkEnd w:id="115"/>
    <w:p>
      <w:pPr>
        <w:spacing w:after="0" w:line="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Group determined that the equity interests with preferential rights of RMB600.0 million should be classified as redeemable noncontrolling interests since they are contingently redeemable upon the occurrence of a conditional event, which is not solely within the control of the Company. The redemption price equals initial investment plus annual interests. Equity interests issued of RMB150.0 million was classified as noncontrolling interests.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April 2018, a subsidiary of the Group issued equity interests with preferential rights to a group of investor. The Group determined that the equity interests with preferential rights should be classified as redeemable noncontrolling interest since they are contingently redeemable upon the occurrence of a conditional event, which is not solely within the control of the Company.</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Employee Benefits</w:t>
      </w:r>
    </w:p>
    <w:p>
      <w:pPr>
        <w:spacing w:after="0" w:line="22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2015, 2016 and 2017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For the year ended December 31</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700" w:type="dxa"/>
            <w:vAlign w:val="bottom"/>
          </w:tcPr>
          <w:p>
            <w:pPr>
              <w:jc w:val="right"/>
              <w:ind w:right="637"/>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920" w:type="dxa"/>
            <w:vAlign w:val="bottom"/>
            <w:gridSpan w:val="2"/>
          </w:tcPr>
          <w:p>
            <w:pPr>
              <w:jc w:val="center"/>
              <w:ind w:left="139"/>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1700" w:type="dxa"/>
            <w:vAlign w:val="bottom"/>
          </w:tcPr>
          <w:p>
            <w:pPr>
              <w:jc w:val="right"/>
              <w:ind w:right="61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700" w:type="dxa"/>
            <w:vAlign w:val="bottom"/>
            <w:tcBorders>
              <w:top w:val="single" w:sz="8" w:color="auto"/>
            </w:tcBorders>
          </w:tcPr>
          <w:p>
            <w:pPr>
              <w:jc w:val="right"/>
              <w:ind w:right="597"/>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700" w:type="dxa"/>
            <w:vAlign w:val="bottom"/>
            <w:tcBorders>
              <w:top w:val="single" w:sz="8" w:color="auto"/>
            </w:tcBorders>
          </w:tcPr>
          <w:p>
            <w:pPr>
              <w:jc w:val="right"/>
              <w:ind w:right="59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medical and pension schemes</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366.4</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481.8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employee benefits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235.5</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315.1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r>
      <w:tr>
        <w:trPr>
          <w:trHeight w:val="210"/>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Share-based Compensation</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Restricted share units plan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November 2009, the Company adopted a restricted share units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Share-based compensation expense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Group recognizes share-based compensation cost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summary of the Group’s share-based compensation cost for the years ended December 31, 2015, 2016 and 2017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For the year ended December 31,</w:t>
            </w:r>
          </w:p>
        </w:tc>
        <w:tc>
          <w:tcPr>
            <w:tcW w:w="1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700" w:type="dxa"/>
            <w:vAlign w:val="bottom"/>
          </w:tcPr>
          <w:p>
            <w:pPr>
              <w:jc w:val="right"/>
              <w:ind w:right="615"/>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960" w:type="dxa"/>
            <w:vAlign w:val="bottom"/>
            <w:gridSpan w:val="2"/>
          </w:tcPr>
          <w:p>
            <w:pPr>
              <w:jc w:val="right"/>
              <w:ind w:right="63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640" w:type="dxa"/>
            <w:vAlign w:val="bottom"/>
          </w:tcPr>
          <w:p>
            <w:pPr>
              <w:jc w:val="right"/>
              <w:ind w:right="5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40" w:type="dxa"/>
            <w:vAlign w:val="bottom"/>
            <w:tcBorders>
              <w:top w:val="single" w:sz="8" w:color="auto"/>
            </w:tcBorders>
          </w:tcPr>
          <w:p>
            <w:pPr>
              <w:jc w:val="right"/>
              <w:ind w:right="575"/>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328,480</w:t>
            </w:r>
          </w:p>
        </w:tc>
        <w:tc>
          <w:tcPr>
            <w:tcW w:w="2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444,187</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820,281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36,023</w:t>
            </w:r>
          </w:p>
        </w:tc>
        <w:tc>
          <w:tcPr>
            <w:tcW w:w="2240" w:type="dxa"/>
            <w:vAlign w:val="bottom"/>
            <w:gridSpan w:val="3"/>
          </w:tcPr>
          <w:p>
            <w:pPr>
              <w:jc w:val="right"/>
              <w:ind w:right="280"/>
              <w:spacing w:after="0"/>
              <w:rPr>
                <w:sz w:val="20"/>
                <w:szCs w:val="20"/>
                <w:color w:val="auto"/>
              </w:rPr>
            </w:pPr>
            <w:r>
              <w:rPr>
                <w:rFonts w:ascii="Arial" w:cs="Arial" w:eastAsia="Arial" w:hAnsi="Arial"/>
                <w:sz w:val="18"/>
                <w:szCs w:val="18"/>
                <w:color w:val="auto"/>
              </w:rPr>
              <w:t>52,689</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95,382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120,925</w:t>
            </w:r>
          </w:p>
        </w:tc>
        <w:tc>
          <w:tcPr>
            <w:tcW w:w="2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238,750</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581,337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199,039</w:t>
            </w:r>
          </w:p>
        </w:tc>
        <w:tc>
          <w:tcPr>
            <w:tcW w:w="2240" w:type="dxa"/>
            <w:vAlign w:val="bottom"/>
            <w:gridSpan w:val="3"/>
          </w:tcPr>
          <w:p>
            <w:pPr>
              <w:jc w:val="right"/>
              <w:ind w:right="280"/>
              <w:spacing w:after="0"/>
              <w:rPr>
                <w:sz w:val="20"/>
                <w:szCs w:val="20"/>
                <w:color w:val="auto"/>
              </w:rPr>
            </w:pPr>
            <w:r>
              <w:rPr>
                <w:rFonts w:ascii="Arial" w:cs="Arial" w:eastAsia="Arial" w:hAnsi="Arial"/>
                <w:sz w:val="18"/>
                <w:szCs w:val="18"/>
                <w:color w:val="auto"/>
              </w:rPr>
              <w:t>254,505</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507,263</w:t>
            </w:r>
          </w:p>
        </w:tc>
      </w:tr>
      <w:tr>
        <w:trPr>
          <w:trHeight w:val="210"/>
        </w:trPr>
        <w:tc>
          <w:tcPr>
            <w:tcW w:w="56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2017, total unrecognized compensation cost related to unvested awards under the 2009 RSU Plan, adjusted for estimated forfeitures, was US$674.2 million (RMB4,386.8 million) and is expected to be recognized through the remaining vesting period of each grant. As of December 31, 2017, the weighted average remaining vesting period was 3.06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0" w:hanging="392"/>
        <w:spacing w:after="0"/>
        <w:tabs>
          <w:tab w:leader="none" w:pos="4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 award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RSUs award activities for the years ended December 31, 2015, 2016 and 2017:</w:t>
      </w:r>
    </w:p>
    <w:p>
      <w:pPr>
        <w:spacing w:after="0" w:line="204"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Employees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Senior</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Director and</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Management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Consultants</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47"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b w:val="1"/>
          <w:bCs w:val="1"/>
          <w:color w:val="auto"/>
        </w:rPr>
        <w:t>Number of ordinary shares issuable upon vesting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90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ectPr>
          <w:pgSz w:w="11900" w:h="16847" w:orient="portrait"/>
          <w:cols w:equalWidth="0" w:num="1">
            <w:col w:w="11420"/>
          </w:cols>
          <w:pgMar w:left="240" w:top="125" w:right="239"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restricted share units: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Outstanding at January 1, 2015</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36,842</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27,968</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(23,339)</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(1,848)</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39,623</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Outstanding at January 1, 2016</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39,623</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30,980</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(27,545)</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(1,633)</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41,425</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41,568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Outstanding at January 1, 2017</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41,425</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31,452</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(29,705)</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(1,465)</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41,707</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total fair value of RSUs on vesting dates for the years ended December 31, 2015, 2016 and 2017,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64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w w:val="94"/>
              </w:rPr>
              <w:t>RSU</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640" w:type="dxa"/>
            <w:vAlign w:val="bottom"/>
            <w:gridSpan w:val="2"/>
          </w:tcPr>
          <w:p>
            <w:pPr>
              <w:ind w:left="540"/>
              <w:spacing w:after="0" w:line="142" w:lineRule="exact"/>
              <w:rPr>
                <w:sz w:val="20"/>
                <w:szCs w:val="20"/>
                <w:color w:val="auto"/>
              </w:rPr>
            </w:pPr>
            <w:r>
              <w:rPr>
                <w:rFonts w:ascii="Arial" w:cs="Arial" w:eastAsia="Arial" w:hAnsi="Arial"/>
                <w:sz w:val="14"/>
                <w:szCs w:val="14"/>
                <w:b w:val="1"/>
                <w:bCs w:val="1"/>
                <w:color w:val="auto"/>
              </w:rPr>
              <w:t>US$</w:t>
            </w:r>
          </w:p>
        </w:tc>
        <w:tc>
          <w:tcPr>
            <w:tcW w:w="136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3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jc w:val="right"/>
              <w:ind w:right="6110"/>
              <w:spacing w:after="0"/>
              <w:rPr>
                <w:sz w:val="20"/>
                <w:szCs w:val="20"/>
                <w:color w:val="auto"/>
              </w:rPr>
            </w:pPr>
            <w:r>
              <w:rPr>
                <w:rFonts w:ascii="Arial" w:cs="Arial" w:eastAsia="Arial" w:hAnsi="Arial"/>
                <w:sz w:val="18"/>
                <w:szCs w:val="18"/>
                <w:color w:val="auto"/>
                <w:w w:val="90"/>
              </w:rPr>
              <w:t>Total fair value vested: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641.3</w:t>
            </w:r>
          </w:p>
        </w:tc>
      </w:tr>
      <w:tr>
        <w:trPr>
          <w:trHeight w:val="216"/>
        </w:trPr>
        <w:tc>
          <w:tcPr>
            <w:tcW w:w="7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1,230.4</w:t>
            </w:r>
          </w:p>
        </w:tc>
      </w:tr>
      <w:tr>
        <w:trPr>
          <w:trHeight w:val="230"/>
        </w:trPr>
        <w:tc>
          <w:tcPr>
            <w:tcW w:w="786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2,235.9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contractual life for the RSUs outstanding as of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Number Outstanding</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2100" w:type="dxa"/>
            <w:vAlign w:val="bottom"/>
            <w:gridSpan w:val="2"/>
            <w:vMerge w:val="continue"/>
          </w:tcPr>
          <w:p>
            <w:pPr>
              <w:spacing w:after="0"/>
              <w:rPr>
                <w:sz w:val="12"/>
                <w:szCs w:val="12"/>
                <w:color w:val="auto"/>
              </w:rPr>
            </w:pP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Exercisable</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Contractual Life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2"/>
        </w:trPr>
        <w:tc>
          <w:tcPr>
            <w:tcW w:w="4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2"/>
                <w:szCs w:val="12"/>
                <w:color w:val="auto"/>
              </w:rPr>
            </w:pPr>
          </w:p>
        </w:tc>
        <w:tc>
          <w:tcPr>
            <w:tcW w:w="1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 Units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Performance-based settled in stock</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10,057</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1940" w:type="dxa"/>
            <w:vAlign w:val="bottom"/>
            <w:gridSpan w:val="2"/>
          </w:tcPr>
          <w:p>
            <w:pPr>
              <w:ind w:left="1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Time-based-settled in stock/cash</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66,309</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19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Time-based-settled in stock</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10,467</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1940" w:type="dxa"/>
            <w:vAlign w:val="bottom"/>
            <w:gridSpan w:val="2"/>
          </w:tcPr>
          <w:p>
            <w:pPr>
              <w:ind w:left="1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aggregate intrinsic value of RSUs outstanding as of December 31, 2017 was US$674.2 million. The intrinsic value was calculated based on the Company’s closing stock price of US$345.07 per ADS, or US$13.8028 per ordinary share as of December 31, 2017.</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It is the Company’s policy to issue new shares upon vesting of RSUs. The number of shares available for future grant under the Company’s 2009 RSU Plan was 110,603,250 as of December 31, 2017.</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Other Share Incentive Plan</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Certain of the Company’s subsidiaries have adopted stock option plans, which allow the related subsidiaries to grant options to certain employees of the Group. The options expire in five to seven years from the date of grant and either vest or have a vesting commencement date upon certain conditions being met (“Vesting Commencement Date”). The award can become 100% vested on the Vesting Commencement Date, or vests in two, four or five substantially equal annual installments with the first installment vesting on the Vesting Commencement Date.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Group has used the binomial model to estimate the fair value of the options granted. For the years ended December 31, 2015, 2016 and 2017, nil, nil and RMB93.1 million compensation expenses were recorded for the share options granted.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certain share options granted will become vested or commence vesting beginning on the Vesting Commencement Date, the effectiveness of the conditions is not within the control of the Group and is not deemed probable to occur for accounting purposes until the Vesting Commencement Date. For such share options, no compensation expenses were recorded. As of December 31, 2017, there were RMB266.0 million unrecognized share based compensation expenses are related to such share options for which the service condition had been met and are expected to be recognized when the conditions are achieved.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the years ended December 31, 2015, 2016 and 2017:</w:t>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Numerator (RMB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right="380" w:hanging="181"/>
        <w:spacing w:after="0" w:line="261" w:lineRule="auto"/>
        <w:rPr>
          <w:sz w:val="20"/>
          <w:szCs w:val="20"/>
          <w:color w:val="auto"/>
        </w:rPr>
      </w:pPr>
      <w:r>
        <w:rPr>
          <w:rFonts w:ascii="Arial" w:cs="Arial" w:eastAsia="Arial" w:hAnsi="Arial"/>
          <w:sz w:val="18"/>
          <w:szCs w:val="18"/>
          <w:color w:val="auto"/>
        </w:rPr>
        <w:t>Net income attributable to NetEase, Inc.’s shareholders for basic/dilutive net income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219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6350</wp:posOffset>
            </wp:positionV>
            <wp:extent cx="29673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tabs>
          <w:tab w:leader="none" w:pos="1640" w:val="left"/>
          <w:tab w:leader="none" w:pos="32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2017</w:t>
      </w:r>
    </w:p>
    <w:p>
      <w:pPr>
        <w:spacing w:after="0" w:line="399" w:lineRule="exact"/>
        <w:rPr>
          <w:sz w:val="20"/>
          <w:szCs w:val="20"/>
          <w:color w:val="auto"/>
        </w:rPr>
      </w:pPr>
    </w:p>
    <w:p>
      <w:pPr>
        <w:ind w:left="120"/>
        <w:spacing w:after="0"/>
        <w:tabs>
          <w:tab w:leader="none" w:pos="1660" w:val="left"/>
          <w:tab w:leader="none" w:pos="3300" w:val="left"/>
        </w:tabs>
        <w:rPr>
          <w:sz w:val="20"/>
          <w:szCs w:val="20"/>
          <w:color w:val="auto"/>
        </w:rPr>
      </w:pPr>
      <w:r>
        <w:rPr>
          <w:rFonts w:ascii="Arial" w:cs="Arial" w:eastAsia="Arial" w:hAnsi="Arial"/>
          <w:sz w:val="18"/>
          <w:szCs w:val="18"/>
          <w:color w:val="auto"/>
        </w:rPr>
        <w:t>6,735,108</w:t>
      </w:r>
      <w:r>
        <w:rPr>
          <w:sz w:val="20"/>
          <w:szCs w:val="20"/>
          <w:color w:val="auto"/>
        </w:rPr>
        <w:tab/>
      </w:r>
      <w:r>
        <w:rPr>
          <w:rFonts w:ascii="Arial" w:cs="Arial" w:eastAsia="Arial" w:hAnsi="Arial"/>
          <w:sz w:val="18"/>
          <w:szCs w:val="18"/>
          <w:color w:val="auto"/>
        </w:rPr>
        <w:t>11,604,520</w:t>
      </w:r>
      <w:r>
        <w:rPr>
          <w:sz w:val="20"/>
          <w:szCs w:val="20"/>
          <w:color w:val="auto"/>
        </w:rPr>
        <w:tab/>
      </w:r>
      <w:r>
        <w:rPr>
          <w:rFonts w:ascii="Arial" w:cs="Arial" w:eastAsia="Arial" w:hAnsi="Arial"/>
          <w:sz w:val="16"/>
          <w:szCs w:val="16"/>
          <w:color w:val="auto"/>
        </w:rPr>
        <w:t>10,707,939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9673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2">
            <w:col w:w="6460" w:space="720"/>
            <w:col w:w="4240"/>
          </w:cols>
          <w:pgMar w:left="240" w:top="140" w:right="239" w:bottom="0" w:gutter="0" w:footer="0" w:header="0"/>
          <w:type w:val="continuous"/>
        </w:sectPr>
      </w:pPr>
    </w:p>
    <w:bookmarkStart w:id="117" w:name="page118"/>
    <w:bookmarkEnd w:id="117"/>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Denominator (No. of shares in thousands):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3,284,382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3,281,729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3,290,312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Dilutive effect of employee stock options and restricted share units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20,831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25,380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3,305,213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3,307,109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income per share, basic (RMB)</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share, diluted (RMB)</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2015, 2016 and 2017, options to purchase ordinary shares and RSUs that were anti-dilutive and excluded from the calculation of diluted net income per share totaled approximately 2.1 million shares, 2.7 million shares and 3.8 million shares, respectively.</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Commitments and Contingencies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Commitments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Group leases office space, staff quarters and certain equipment under non-cancelable operating lease agreements, which expire at various dates through December 2022. As of December 31, 2017, future minimum lease under non-cancelable operating lease agreements, capital commitments and other commitment related to content and services purchases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Rental</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Server Custody</w:t>
            </w: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Office Machines</w:t>
            </w: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Fee</w:t>
            </w:r>
          </w:p>
        </w:tc>
        <w:tc>
          <w:tcPr>
            <w:tcW w:w="188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 Other</w:t>
            </w:r>
          </w:p>
        </w:tc>
        <w:tc>
          <w:tcPr>
            <w:tcW w:w="17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1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0" w:type="dxa"/>
            <w:vAlign w:val="bottom"/>
            <w:tcBorders>
              <w:top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247,422</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46,276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904,596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447,243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2019</w:t>
            </w:r>
          </w:p>
        </w:tc>
        <w:tc>
          <w:tcPr>
            <w:tcW w:w="1600" w:type="dxa"/>
            <w:vAlign w:val="bottom"/>
          </w:tcPr>
          <w:p>
            <w:pPr>
              <w:jc w:val="right"/>
              <w:spacing w:after="0"/>
              <w:rPr>
                <w:sz w:val="20"/>
                <w:szCs w:val="20"/>
                <w:color w:val="auto"/>
              </w:rPr>
            </w:pPr>
            <w:r>
              <w:rPr>
                <w:rFonts w:ascii="Arial" w:cs="Arial" w:eastAsia="Arial" w:hAnsi="Arial"/>
                <w:sz w:val="18"/>
                <w:szCs w:val="18"/>
                <w:color w:val="auto"/>
              </w:rPr>
              <w:t>131,175</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15,022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49,945</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272,249</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468,391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83,650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160,392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2021</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72,446</w:t>
            </w:r>
          </w:p>
        </w:tc>
        <w:tc>
          <w:tcPr>
            <w:tcW w:w="1600" w:type="dxa"/>
            <w:vAlign w:val="bottom"/>
          </w:tcPr>
          <w:p>
            <w:pPr>
              <w:jc w:val="right"/>
              <w:spacing w:after="0"/>
              <w:rPr>
                <w:sz w:val="20"/>
                <w:szCs w:val="20"/>
                <w:color w:val="auto"/>
              </w:rPr>
            </w:pPr>
            <w:r>
              <w:rPr>
                <w:rFonts w:ascii="Arial" w:cs="Arial" w:eastAsia="Arial" w:hAnsi="Arial"/>
                <w:sz w:val="18"/>
                <w:szCs w:val="18"/>
                <w:color w:val="auto"/>
              </w:rPr>
              <w:t>11,069</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189,137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272,652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Beyond 2021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48,403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16,487</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583,096</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86,575</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970,352</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1,085,508</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2,725,531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years ended December 31, 2015, 2016 and 2017, the Group incurred rental expenses in the amounts of approximately RMB139.4 million, RMB146.3 million and RMB231.9 million, respectively.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Additionally, under certain license agreements entered into during the period from 2008 to 2015 pursuant to which Blizzard licensed to Shanghai EaseNet the exclusive right to operate StarCraft II series, World of Warcraft, Heroes of the Storm, Hearthstone, Diablo III and Overwatch in the PRC, Shanghai EaseNet was required to pay license fees (excluding Hearthstone, Hero of the Storm and Diablo III for which no license fee was required to be paid), royalties and consultancy fees (except Hearthstone, Heroes of the Storm and Diablo III for which no consultancy fee was required to be paid) to Blizzard for the games. The license agreements also include minimum marketing expenditure commitments.</w:t>
      </w:r>
    </w:p>
    <w:p>
      <w:pPr>
        <w:spacing w:after="0" w:line="173"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In September 2016, Shanghai EaseNet renewed its license and joint venture agreement with Blizzard, extending its collaboration with Blizzard in mainland China to January 2020. The renewed license and joint venture agreement includes licenses for Blizzard’s World of Warcraft, StarCraft II series, Diablo III, Hearthstone, Heroes of the Storm and Overwatch, as well as new content for these games during the agreement period. Under the new license agreements, Shanghai EaseNet is required to pay royalties and make a minimum marketing expenditure commitment for the games.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accordance with the above-mentioned license agreements, the Group has incurred an overall commitment totaling approximately RMB7.4 billion (US$1.1 billion). As of December 31, 2017, the Group’s outstanding commitments under these license agreements totaled RMB2.9 billion which can be summarized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RMB</w:t>
            </w:r>
          </w:p>
        </w:tc>
      </w:tr>
      <w:tr>
        <w:trPr>
          <w:trHeight w:val="210"/>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2019</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Shanghai EaseNet is also obligated to purchase or lease certain prescribed hardware and then make such prescribed hardware available to fulfill its obligations under the license agreements with Blizzard in the aggregate amount of up to approximately RMB94.3 million over the remaining term of licenses as of December 31, 2017. This amount represents the maximum expenditure Shanghai EaseNet would have to make for the prescribed hardware, but it may not be required to spend this amount in order to satisfy its obligations with respect to such hardware.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above commitment table related to Blizzard licensed games, the Group has guaranteed the foregoing amounts if and to the extent Shanghai EaseNet has insufficient funds to make such payments. The Group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the Group and the joint venture with Blizzard which provides technical services to Shanghai EaseNet.</w:t>
      </w:r>
    </w:p>
    <w:p>
      <w:pPr>
        <w:spacing w:after="0" w:line="184" w:lineRule="exact"/>
        <w:rPr>
          <w:sz w:val="20"/>
          <w:szCs w:val="20"/>
          <w:color w:val="auto"/>
        </w:rPr>
      </w:pPr>
    </w:p>
    <w:p>
      <w:pPr>
        <w:ind w:right="10260" w:firstLine="8"/>
        <w:spacing w:after="0" w:line="629" w:lineRule="auto"/>
        <w:tabs>
          <w:tab w:leader="none" w:pos="395"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Litigation Overview</w:t>
      </w:r>
    </w:p>
    <w:p>
      <w:pPr>
        <w:sectPr>
          <w:pgSz w:w="11900" w:h="16844" w:orient="portrait"/>
          <w:cols w:equalWidth="0" w:num="1">
            <w:col w:w="11420"/>
          </w:cols>
          <w:pgMar w:left="240" w:top="140" w:right="239" w:bottom="0" w:gutter="0" w:footer="0" w:header="0"/>
        </w:sectPr>
      </w:pPr>
    </w:p>
    <w:bookmarkStart w:id="118" w:name="page119"/>
    <w:bookmarkEnd w:id="118"/>
    <w:p>
      <w:pPr>
        <w:spacing w:after="0" w:line="297" w:lineRule="auto"/>
        <w:rPr>
          <w:sz w:val="20"/>
          <w:szCs w:val="20"/>
          <w:color w:val="auto"/>
        </w:rPr>
      </w:pPr>
      <w:r>
        <w:rPr>
          <w:rFonts w:ascii="Arial" w:cs="Arial" w:eastAsia="Arial" w:hAnsi="Arial"/>
          <w:sz w:val="16"/>
          <w:szCs w:val="16"/>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April 2018, PUBG Corporation and PUBG Santa Monica, Inc. filed suit against defendants NetEase, Inc., NetEase Information Technology Corp. and NetEase (Hong Kong) Limited in the U.S. District Court for the Northern District of California. The complaint generally alleges that two of the Company’s mobile games, Rules of Survival and Knives Out, infringe the plaintiffs’ copyrights and trademarks and that the Company have engaged in unfair business competition under California law. For relief, the plaintiffs request unspecified compensatory and statutory damages and an injunction requiring the Company to remove each version of allegedly infringing games. The Company intends to defend the action vigorously and respond in due course.</w:t>
      </w:r>
    </w:p>
    <w:p>
      <w:pPr>
        <w:spacing w:after="0" w:line="15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Policy</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2014, the Company’s board of directors approved a new quarterly dividend policy. Under this policy, the Company intends to make quarterly cash dividend distributions at an amount equivalent to approximately 25% of the Group’s anticipated net income after tax in each fiscal quarter. Dividends are recognized when declared. There is no dividend payable as of December 31, 2016 and 2017 respectively. The cash dividend declared and paid with respect to fiscal year 2016 and fiscal year 2017 was RMB2,910.5 million and RMB2,656.0 million (US$408.2 million) in total, respectively.</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Share Repurchase Programs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September 2015, the Company announced that its board of directors approved a new share repurchase program of up to US$500 million of the Company’s outstanding ADSs for a period not to exceed 12 months. As of expiration date of the program, the Company has repurchased approximately 1.5 million ADSs (equivalent to 37.7 million ordinary shares) for approximately US$205.3 million under this program.</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November 2016, the Company announced that its board of directors approved a new share repurchase program of up to US$1.0 billion of the Company’s outstanding ADSs for a period not to exceed 12 months. As of expiration date of the program, the Company has repurchased approximately 1.1 million ADSs (equivalent to 28.1 million ordinary shares) for approximately US$306.1 million under this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November 2017, the Company announced that its board of directors approved a new share repurchase program of up to US$1.0 billion of the Company’s outstanding ADSs for a period not to exceed 12 months. As of 31 December 2017, no ADSs were repurchased under this program.</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November, 2014, one of the Company’s subsidiaries, Lede Inc., issued 5,673,796 preferred shares to certain investors, including LNT Holdings, Shining Globe and two Directors of the Company, for US$3.74 per share in exchange of a total consideration of US$21.2 million. LNT Holdings is a private trust company incorporated under the laws of the British Virgin Islands, controlled by a group of employees of the Group (other than the employees of Lede). Shining Globe is a private company incorporated under the laws of the British Virgin Islands, controlled by Mr. Ding.</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November 2015, Lede Inc. repurchased all the preferred shares from LNT Holdings, Shining Globe and the two Directors of the Company at the price of US$3.74 per shares for a total consideration of US$21.2 million (RMB134.7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than the above issuance and repurchase of preferred shares, the Group had no material transactions with related parties for the year ended December 31, 2015, 2016 and 2017, and no material related parties’ balances as of December 31, 2017.</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Segment Information</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segments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ectPr>
          <w:pgSz w:w="11900" w:h="16838" w:orient="portrait"/>
          <w:cols w:equalWidth="0" w:num="1">
            <w:col w:w="11420"/>
          </w:cols>
          <w:pgMar w:left="240" w:top="125" w:right="239" w:bottom="56" w:gutter="0" w:footer="0" w:header="0"/>
        </w:sectPr>
      </w:pPr>
    </w:p>
    <w:bookmarkStart w:id="119" w:name="page120"/>
    <w:bookmarkEnd w:id="119"/>
    <w:p>
      <w:pPr>
        <w:ind w:right="80"/>
        <w:spacing w:after="0" w:line="291" w:lineRule="auto"/>
        <w:rPr>
          <w:sz w:val="20"/>
          <w:szCs w:val="20"/>
          <w:color w:val="auto"/>
        </w:rPr>
      </w:pPr>
      <w:r>
        <w:rPr>
          <w:rFonts w:ascii="Arial" w:cs="Arial" w:eastAsia="Arial" w:hAnsi="Arial"/>
          <w:sz w:val="16"/>
          <w:szCs w:val="16"/>
          <w:color w:val="auto"/>
        </w:rPr>
        <w:t>Effective in the fourth quarter of 2017, the Group changed its segment disclosure to separately report the financial results of its e-commerce business in light of the significant growth of the revenue contribution from e-commerce to the Group’s total consolidated net revenues in 2017. This segment primarily reflects the results of NetEase’s two e-commerce platforms, Kaola.com and Yanxuan, which were established in January 2015 and April 2016, respectively. The Group now reports four reporting segments: 1) Online game services, 2) E-commerce, 3) Advertising services, and 4) Email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income or consolidated statements of cash flows. The Group retrospectively revised prior period segment information, to conform to current period presentation.</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Segment data</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table below provides a summary of the Group’s operating segment results for the years ended December 31, 2015, 2016 and 2017.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2015, 2016 and 2017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For the year ended December 31,</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jc w:val="right"/>
              <w:ind w:right="61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900" w:type="dxa"/>
            <w:vAlign w:val="bottom"/>
            <w:gridSpan w:val="2"/>
          </w:tcPr>
          <w:p>
            <w:pPr>
              <w:jc w:val="center"/>
              <w:ind w:left="133"/>
              <w:spacing w:after="0" w:line="142"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1700" w:type="dxa"/>
            <w:vAlign w:val="bottom"/>
          </w:tcPr>
          <w:p>
            <w:pPr>
              <w:jc w:val="right"/>
              <w:ind w:right="6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Borders>
              <w:top w:val="single" w:sz="8" w:color="auto"/>
            </w:tcBorders>
          </w:tcPr>
          <w:p>
            <w:pPr>
              <w:jc w:val="right"/>
              <w:ind w:right="59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700" w:type="dxa"/>
            <w:vAlign w:val="bottom"/>
            <w:tcBorders>
              <w:top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Online game services</w:t>
            </w:r>
          </w:p>
        </w:tc>
        <w:tc>
          <w:tcPr>
            <w:tcW w:w="3860" w:type="dxa"/>
            <w:vAlign w:val="bottom"/>
            <w:gridSpan w:val="3"/>
          </w:tcPr>
          <w:p>
            <w:pPr>
              <w:jc w:val="right"/>
              <w:ind w:right="100"/>
              <w:spacing w:after="0"/>
              <w:rPr>
                <w:sz w:val="20"/>
                <w:szCs w:val="20"/>
                <w:color w:val="auto"/>
              </w:rPr>
            </w:pPr>
            <w:r>
              <w:rPr>
                <w:rFonts w:ascii="Arial" w:cs="Arial" w:eastAsia="Arial" w:hAnsi="Arial"/>
                <w:sz w:val="18"/>
                <w:szCs w:val="18"/>
                <w:color w:val="auto"/>
              </w:rPr>
              <w:t>17,314,148</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27,980,491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36,281,642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1,173,620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4,541,744</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11,670,416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Advertising services</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1,789,377</w:t>
            </w:r>
          </w:p>
        </w:tc>
        <w:tc>
          <w:tcPr>
            <w:tcW w:w="1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2,152,379</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2,408,823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E-mail and others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2,525,750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3,504,230</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3,741,138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206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22,802,895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3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(5,393,555)</w:t>
            </w:r>
          </w:p>
        </w:tc>
        <w:tc>
          <w:tcPr>
            <w:tcW w:w="2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(9,974,146)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(13,473,339)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E-commerce</w:t>
            </w:r>
          </w:p>
        </w:tc>
        <w:tc>
          <w:tcPr>
            <w:tcW w:w="3860" w:type="dxa"/>
            <w:vAlign w:val="bottom"/>
            <w:gridSpan w:val="3"/>
          </w:tcPr>
          <w:p>
            <w:pPr>
              <w:jc w:val="right"/>
              <w:ind w:right="40"/>
              <w:spacing w:after="0"/>
              <w:rPr>
                <w:sz w:val="20"/>
                <w:szCs w:val="20"/>
                <w:color w:val="auto"/>
              </w:rPr>
            </w:pPr>
            <w:r>
              <w:rPr>
                <w:rFonts w:ascii="Arial" w:cs="Arial" w:eastAsia="Arial" w:hAnsi="Arial"/>
                <w:sz w:val="18"/>
                <w:szCs w:val="18"/>
                <w:color w:val="auto"/>
              </w:rPr>
              <w:t>(1,098,186)</w:t>
            </w:r>
          </w:p>
        </w:tc>
        <w:tc>
          <w:tcPr>
            <w:tcW w:w="2200" w:type="dxa"/>
            <w:vAlign w:val="bottom"/>
            <w:gridSpan w:val="3"/>
          </w:tcPr>
          <w:p>
            <w:pPr>
              <w:jc w:val="right"/>
              <w:ind w:right="240"/>
              <w:spacing w:after="0"/>
              <w:rPr>
                <w:sz w:val="20"/>
                <w:szCs w:val="20"/>
                <w:color w:val="auto"/>
              </w:rPr>
            </w:pPr>
            <w:r>
              <w:rPr>
                <w:rFonts w:ascii="Arial" w:cs="Arial" w:eastAsia="Arial" w:hAnsi="Arial"/>
                <w:sz w:val="18"/>
                <w:szCs w:val="18"/>
                <w:color w:val="auto"/>
              </w:rPr>
              <w:t>(3,986,871)</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(10,464,714)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3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(599,032)</w:t>
            </w:r>
          </w:p>
        </w:tc>
        <w:tc>
          <w:tcPr>
            <w:tcW w:w="2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(749,652)</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E-mail and others</w:t>
            </w:r>
          </w:p>
        </w:tc>
        <w:tc>
          <w:tcPr>
            <w:tcW w:w="3860" w:type="dxa"/>
            <w:vAlign w:val="bottom"/>
            <w:gridSpan w:val="3"/>
          </w:tcPr>
          <w:p>
            <w:pPr>
              <w:jc w:val="right"/>
              <w:ind w:right="40"/>
              <w:spacing w:after="0"/>
              <w:rPr>
                <w:sz w:val="20"/>
                <w:szCs w:val="20"/>
                <w:color w:val="auto"/>
              </w:rPr>
            </w:pPr>
            <w:r>
              <w:rPr>
                <w:rFonts w:ascii="Arial" w:cs="Arial" w:eastAsia="Arial" w:hAnsi="Arial"/>
                <w:sz w:val="18"/>
                <w:szCs w:val="18"/>
                <w:color w:val="auto"/>
              </w:rPr>
              <w:t>(2,308,487)</w:t>
            </w:r>
          </w:p>
        </w:tc>
        <w:tc>
          <w:tcPr>
            <w:tcW w:w="2200" w:type="dxa"/>
            <w:vAlign w:val="bottom"/>
            <w:gridSpan w:val="3"/>
          </w:tcPr>
          <w:p>
            <w:pPr>
              <w:jc w:val="right"/>
              <w:ind w:right="240"/>
              <w:spacing w:after="0"/>
              <w:rPr>
                <w:sz w:val="20"/>
                <w:szCs w:val="20"/>
                <w:color w:val="auto"/>
              </w:rPr>
            </w:pPr>
            <w:r>
              <w:rPr>
                <w:rFonts w:ascii="Arial" w:cs="Arial" w:eastAsia="Arial" w:hAnsi="Arial"/>
                <w:sz w:val="18"/>
                <w:szCs w:val="18"/>
                <w:color w:val="auto"/>
              </w:rPr>
              <w:t>(1,804,363)</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(3,453,381)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(9,399,260)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(16,515,032)</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(28,189,326)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Online game services</w:t>
            </w:r>
          </w:p>
        </w:tc>
        <w:tc>
          <w:tcPr>
            <w:tcW w:w="3860" w:type="dxa"/>
            <w:vAlign w:val="bottom"/>
            <w:gridSpan w:val="3"/>
          </w:tcPr>
          <w:p>
            <w:pPr>
              <w:jc w:val="right"/>
              <w:ind w:right="100"/>
              <w:spacing w:after="0"/>
              <w:rPr>
                <w:sz w:val="20"/>
                <w:szCs w:val="20"/>
                <w:color w:val="auto"/>
              </w:rPr>
            </w:pPr>
            <w:r>
              <w:rPr>
                <w:rFonts w:ascii="Arial" w:cs="Arial" w:eastAsia="Arial" w:hAnsi="Arial"/>
                <w:sz w:val="18"/>
                <w:szCs w:val="18"/>
                <w:color w:val="auto"/>
              </w:rPr>
              <w:t>11,920,593</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18,006,345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22,808,303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3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75,434</w:t>
            </w:r>
          </w:p>
        </w:tc>
        <w:tc>
          <w:tcPr>
            <w:tcW w:w="2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554,873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Advertising services</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1,190,345</w:t>
            </w:r>
          </w:p>
        </w:tc>
        <w:tc>
          <w:tcPr>
            <w:tcW w:w="1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1,402,727</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1,610,931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E-mail and others</w:t>
            </w:r>
          </w:p>
        </w:tc>
        <w:tc>
          <w:tcPr>
            <w:tcW w:w="3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217,263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1,699,867</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gross profit</w:t>
            </w:r>
          </w:p>
        </w:tc>
        <w:tc>
          <w:tcPr>
            <w:tcW w:w="206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13,403,635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60" w:type="dxa"/>
            <w:vAlign w:val="bottom"/>
            <w:gridSpan w:val="3"/>
          </w:tcPr>
          <w:p>
            <w:pPr>
              <w:jc w:val="right"/>
              <w:ind w:right="1540"/>
              <w:spacing w:after="0"/>
              <w:rPr>
                <w:sz w:val="20"/>
                <w:szCs w:val="20"/>
                <w:color w:val="auto"/>
              </w:rPr>
            </w:pPr>
            <w:r>
              <w:rPr>
                <w:rFonts w:ascii="Arial" w:cs="Arial" w:eastAsia="Arial" w:hAnsi="Arial"/>
                <w:sz w:val="18"/>
                <w:szCs w:val="18"/>
                <w:color w:val="auto"/>
              </w:rPr>
              <w:t>F-33</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depreciation and amortization expenses of property and equipment and land use rights by segment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2016 and 2017:</w:t>
      </w:r>
    </w:p>
    <w:p>
      <w:pPr>
        <w:spacing w:after="0" w:line="20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gridSpan w:val="2"/>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Pr>
          <w:p>
            <w:pPr>
              <w:jc w:val="center"/>
              <w:ind w:left="448"/>
              <w:spacing w:after="0"/>
              <w:rPr>
                <w:sz w:val="20"/>
                <w:szCs w:val="20"/>
                <w:color w:val="auto"/>
              </w:rPr>
            </w:pPr>
            <w:r>
              <w:rPr>
                <w:rFonts w:ascii="Arial" w:cs="Arial" w:eastAsia="Arial" w:hAnsi="Arial"/>
                <w:sz w:val="14"/>
                <w:szCs w:val="14"/>
                <w:b w:val="1"/>
                <w:bCs w:val="1"/>
                <w:color w:val="auto"/>
              </w:rPr>
              <w:t>RMB</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80" w:type="dxa"/>
            <w:vAlign w:val="bottom"/>
          </w:tcPr>
          <w:p>
            <w:pPr>
              <w:jc w:val="right"/>
              <w:ind w:right="43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51,031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E-commerce</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E-mail and others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40,381</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52,933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6"/>
              </w:rPr>
              <w:t>Total depreciation and amortization expenses of property and equipment and land use</w:t>
            </w: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95,624</w:t>
            </w:r>
          </w:p>
        </w:tc>
        <w:tc>
          <w:tcPr>
            <w:tcW w:w="280" w:type="dxa"/>
            <w:vAlign w:val="bottom"/>
            <w:vMerge w:val="restart"/>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158,668</w:t>
            </w:r>
          </w:p>
        </w:tc>
        <w:tc>
          <w:tcPr>
            <w:tcW w:w="1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261,105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rights</w:t>
            </w:r>
          </w:p>
        </w:tc>
        <w:tc>
          <w:tcPr>
            <w:tcW w:w="5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substantially all of the Group’s long-lived assets are located in the PRC and substantially all of the Group’s reportable segments are derived from China based on the geographical locations where services are provided to customers, no geographical information is presented.</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2016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(RMB)</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Active Market</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19,361,098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19,361,098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550,000</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550,000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855,728</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855,728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11,582,116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11,582,116</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32,348,942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20,766,826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36" w:gutter="0" w:footer="0" w:header="0"/>
        </w:sectPr>
      </w:pPr>
    </w:p>
    <w:bookmarkStart w:id="120" w:name="page121"/>
    <w:bookmarkEnd w:id="120"/>
    <w:p>
      <w:pPr>
        <w:ind w:right="80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2017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(RMB)</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Active Market</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30,603,369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30,603,369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100,000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828,260</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828,260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9,742,663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9,742,663</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41,274,292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31,531,629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2016 and 2017, certain cost method investments (Note 9) were measured using significant unobservable inputs (Level 3) and written down from their respective carrying value to fair value, with impairment charges of RMB12.2 million and RMB58.5 million incurred and recorded in earnings for the years then 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Restricted Net Assets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RMB6.8 billion, or 14% of the Company’s total consolidated net assets, as of December 31, 2017.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VOTING RIGHT TRUST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Shareholder Voting Right Trust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November 20, 2017 between the following two parties in Beijing.</w:t>
      </w:r>
    </w:p>
    <w:p>
      <w:pPr>
        <w:spacing w:after="0" w:line="24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NetEase Youdao Information Technology (Beijing) Co., Ltd., a Wholly foreign owned enterprise registered in Beijing, PRC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PRC</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Feng Zhou (ID Number: 320223197710060211), a citizen of the People’s Republic of China with his address at No. 15, Guang Hua Li, Chaoyang</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Beijing(the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right="280" w:hanging="652"/>
        <w:spacing w:after="0" w:line="282"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Party B is a shareholder of Beijing NetEase Youdao Computer System Co., Ltd.(the “</w:t>
      </w:r>
      <w:r>
        <w:rPr>
          <w:rFonts w:ascii="Arial" w:cs="Arial" w:eastAsia="Arial" w:hAnsi="Arial"/>
          <w:sz w:val="18"/>
          <w:szCs w:val="18"/>
          <w:b w:val="1"/>
          <w:bCs w:val="1"/>
          <w:color w:val="auto"/>
        </w:rPr>
        <w:t>Company</w:t>
      </w:r>
      <w:r>
        <w:rPr>
          <w:rFonts w:ascii="Arial" w:cs="Arial" w:eastAsia="Arial" w:hAnsi="Arial"/>
          <w:sz w:val="18"/>
          <w:szCs w:val="18"/>
          <w:color w:val="auto"/>
        </w:rPr>
        <w:t>”) on November 20, 2017, in which Party B owns 28.927%of the equity interests.</w:t>
      </w:r>
    </w:p>
    <w:p>
      <w:pPr>
        <w:spacing w:after="0" w:line="165" w:lineRule="exact"/>
        <w:rPr>
          <w:rFonts w:ascii="Arial" w:cs="Arial" w:eastAsia="Arial" w:hAnsi="Arial"/>
          <w:sz w:val="18"/>
          <w:szCs w:val="18"/>
          <w:color w:val="auto"/>
        </w:rPr>
      </w:pPr>
    </w:p>
    <w:p>
      <w:pPr>
        <w:ind w:left="660" w:right="64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23" w:lineRule="exact"/>
        <w:rPr>
          <w:rFonts w:ascii="Arial" w:cs="Arial" w:eastAsia="Arial" w:hAnsi="Arial"/>
          <w:sz w:val="16"/>
          <w:szCs w:val="16"/>
          <w:color w:val="auto"/>
        </w:rPr>
      </w:pPr>
    </w:p>
    <w:p>
      <w:pPr>
        <w:ind w:left="660" w:right="300" w:hanging="652"/>
        <w:spacing w:after="0" w:line="342"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4"/>
        <w:spacing w:after="0" w:line="277" w:lineRule="auto"/>
        <w:rPr>
          <w:rFonts w:ascii="Arial" w:cs="Arial" w:eastAsia="Arial" w:hAnsi="Arial"/>
          <w:sz w:val="18"/>
          <w:szCs w:val="18"/>
          <w:color w:val="auto"/>
        </w:rPr>
      </w:pPr>
      <w:r>
        <w:rPr>
          <w:rFonts w:ascii="Arial" w:cs="Arial" w:eastAsia="Arial" w:hAnsi="Arial"/>
          <w:sz w:val="18"/>
          <w:szCs w:val="18"/>
          <w:color w:val="auto"/>
        </w:rPr>
        <w:t>a. The formation, validity, interpretation and performance of and settlement of disputes under this Agreement shall be governed by the laws of the PRC.</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22" w:name="page123"/>
    <w:bookmarkEnd w:id="122"/>
    <w:p>
      <w:pPr>
        <w:ind w:left="1300" w:hanging="320"/>
        <w:spacing w:after="0" w:line="268" w:lineRule="auto"/>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Youdao Information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Feng Zhou</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 NetEase Youdao Computer System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November 20, 2017:</w:t>
      </w:r>
    </w:p>
    <w:p>
      <w:pPr>
        <w:spacing w:after="0" w:line="225" w:lineRule="exact"/>
        <w:rPr>
          <w:sz w:val="20"/>
          <w:szCs w:val="20"/>
          <w:color w:val="auto"/>
        </w:rPr>
      </w:pPr>
    </w:p>
    <w:p>
      <w:pPr>
        <w:ind w:left="1300" w:right="80" w:hanging="644"/>
        <w:spacing w:after="0" w:line="266" w:lineRule="auto"/>
        <w:tabs>
          <w:tab w:leader="none" w:pos="130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NetEase Youdao Information Technology (Beijing) Co., Ltd.(“</w:t>
      </w:r>
      <w:r>
        <w:rPr>
          <w:rFonts w:ascii="Arial" w:cs="Arial" w:eastAsia="Arial" w:hAnsi="Arial"/>
          <w:sz w:val="18"/>
          <w:szCs w:val="18"/>
          <w:b w:val="1"/>
          <w:bCs w:val="1"/>
          <w:color w:val="auto"/>
        </w:rPr>
        <w:t>Lender</w:t>
      </w:r>
      <w:r>
        <w:rPr>
          <w:rFonts w:ascii="Arial" w:cs="Arial" w:eastAsia="Arial" w:hAnsi="Arial"/>
          <w:sz w:val="18"/>
          <w:szCs w:val="18"/>
          <w:color w:val="auto"/>
        </w:rPr>
        <w:t>”), a Wholly foreign owned enterprise registered in Beijing, People’s Republic of China (“</w:t>
      </w:r>
      <w:r>
        <w:rPr>
          <w:rFonts w:ascii="Arial" w:cs="Arial" w:eastAsia="Arial" w:hAnsi="Arial"/>
          <w:sz w:val="18"/>
          <w:szCs w:val="18"/>
          <w:b w:val="1"/>
          <w:bCs w:val="1"/>
          <w:color w:val="auto"/>
        </w:rPr>
        <w:t>PRC</w:t>
      </w:r>
      <w:r>
        <w:rPr>
          <w:rFonts w:ascii="Arial" w:cs="Arial" w:eastAsia="Arial" w:hAnsi="Arial"/>
          <w:sz w:val="18"/>
          <w:szCs w:val="18"/>
          <w:color w:val="auto"/>
        </w:rPr>
        <w:t>”) with its address at 1/F, Tower C, Building No. 7, West Zone Zhongguancun Software Park (Phase II) No. 10 Xibeiwang East Road, Haidian District; and</w:t>
      </w:r>
    </w:p>
    <w:p>
      <w:pPr>
        <w:spacing w:after="0" w:line="176" w:lineRule="exact"/>
        <w:rPr>
          <w:rFonts w:ascii="Arial" w:cs="Arial" w:eastAsia="Arial" w:hAnsi="Arial"/>
          <w:sz w:val="18"/>
          <w:szCs w:val="18"/>
          <w:color w:val="auto"/>
        </w:rPr>
      </w:pPr>
    </w:p>
    <w:p>
      <w:pPr>
        <w:ind w:left="1300" w:right="120" w:hanging="644"/>
        <w:spacing w:after="0" w:line="282" w:lineRule="auto"/>
        <w:tabs>
          <w:tab w:leader="none" w:pos="130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Feng Zhou(ID Number: 320223197710060211, “</w:t>
      </w:r>
      <w:r>
        <w:rPr>
          <w:rFonts w:ascii="Arial" w:cs="Arial" w:eastAsia="Arial" w:hAnsi="Arial"/>
          <w:sz w:val="18"/>
          <w:szCs w:val="18"/>
          <w:b w:val="1"/>
          <w:bCs w:val="1"/>
          <w:color w:val="auto"/>
        </w:rPr>
        <w:t>Borrower</w:t>
      </w:r>
      <w:r>
        <w:rPr>
          <w:rFonts w:ascii="Arial" w:cs="Arial" w:eastAsia="Arial" w:hAnsi="Arial"/>
          <w:sz w:val="18"/>
          <w:szCs w:val="18"/>
          <w:color w:val="auto"/>
        </w:rPr>
        <w:t>”), a PRC citizen with his address at No. 15, Guang Hua Li, Chaoyang District, Beijing.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and Borrower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5" w:lineRule="exact"/>
        <w:rPr>
          <w:sz w:val="20"/>
          <w:szCs w:val="20"/>
          <w:color w:val="auto"/>
        </w:rPr>
      </w:pPr>
    </w:p>
    <w:p>
      <w:pPr>
        <w:ind w:left="1300" w:right="180" w:hanging="644"/>
        <w:spacing w:after="0" w:line="303" w:lineRule="auto"/>
        <w:tabs>
          <w:tab w:leader="none" w:pos="13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Borrower intends to make an investment of RMB 1,446,350 Yuan (the “</w:t>
      </w:r>
      <w:r>
        <w:rPr>
          <w:rFonts w:ascii="Arial" w:cs="Arial" w:eastAsia="Arial" w:hAnsi="Arial"/>
          <w:sz w:val="16"/>
          <w:szCs w:val="16"/>
          <w:b w:val="1"/>
          <w:bCs w:val="1"/>
          <w:color w:val="auto"/>
        </w:rPr>
        <w:t>Capital Contribution Amount”</w:t>
      </w:r>
      <w:r>
        <w:rPr>
          <w:rFonts w:ascii="Arial" w:cs="Arial" w:eastAsia="Arial" w:hAnsi="Arial"/>
          <w:sz w:val="16"/>
          <w:szCs w:val="16"/>
          <w:color w:val="auto"/>
        </w:rPr>
        <w:t>) in the registered capital of Beijing NetEase Youdao Computer System Co., Ltd., a limited liability company registered in Beijing, PRC with its address at 2/F, Tower A, Building No. 7, West Zone Zhongguancun Software Park (Phase II) No. 10 Xibeiwang East Road, Haidian District (the “</w:t>
      </w:r>
      <w:r>
        <w:rPr>
          <w:rFonts w:ascii="Arial" w:cs="Arial" w:eastAsia="Arial" w:hAnsi="Arial"/>
          <w:sz w:val="16"/>
          <w:szCs w:val="16"/>
          <w:b w:val="1"/>
          <w:bCs w:val="1"/>
          <w:color w:val="auto"/>
        </w:rPr>
        <w:t>Domestic</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in return for which Borrower will acquire 28.927%(the “</w:t>
      </w:r>
      <w:r>
        <w:rPr>
          <w:rFonts w:ascii="Arial" w:cs="Arial" w:eastAsia="Arial" w:hAnsi="Arial"/>
          <w:sz w:val="16"/>
          <w:szCs w:val="16"/>
          <w:b w:val="1"/>
          <w:bCs w:val="1"/>
          <w:color w:val="auto"/>
        </w:rPr>
        <w:t>Target Equity</w:t>
      </w:r>
      <w:r>
        <w:rPr>
          <w:rFonts w:ascii="Arial" w:cs="Arial" w:eastAsia="Arial" w:hAnsi="Arial"/>
          <w:sz w:val="16"/>
          <w:szCs w:val="16"/>
          <w:color w:val="auto"/>
        </w:rPr>
        <w:t>”) of the equity interest in the Domestic Company.</w:t>
      </w:r>
    </w:p>
    <w:p>
      <w:pPr>
        <w:spacing w:after="0" w:line="155" w:lineRule="exact"/>
        <w:rPr>
          <w:rFonts w:ascii="Arial" w:cs="Arial" w:eastAsia="Arial" w:hAnsi="Arial"/>
          <w:sz w:val="16"/>
          <w:szCs w:val="16"/>
          <w:color w:val="auto"/>
        </w:rPr>
      </w:pPr>
    </w:p>
    <w:p>
      <w:pPr>
        <w:ind w:left="1300" w:hanging="644"/>
        <w:spacing w:after="0" w:line="259" w:lineRule="auto"/>
        <w:tabs>
          <w:tab w:leader="none" w:pos="131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Lender agrees to provide to Borrower a loan in an amount equal to the Capital Contribution Amount in accordance with this Agreement in order for Borrower to have sufficient funds to make such capital contribution in return for the Target Equity, and Lender may in its absolute discretion provide to Borrower additional loans from time to time in accordance with this Agreement in amounts as agreed to by Lender and Borrower.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Parties desire to enter into this Agreement to clarify and confirm the rights and obligations of Lender and Borrower.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1300" w:right="6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7"/>
          <w:szCs w:val="17"/>
          <w:color w:val="auto"/>
        </w:rPr>
        <w:t>On and subject to the terms and conditions hereof, Lender provides Borrower with a loan in an aggregate amount of RMB 1,446,350 Yuan on the date hereof (the “</w:t>
      </w:r>
      <w:r>
        <w:rPr>
          <w:rFonts w:ascii="Arial" w:cs="Arial" w:eastAsia="Arial" w:hAnsi="Arial"/>
          <w:sz w:val="17"/>
          <w:szCs w:val="17"/>
          <w:b w:val="1"/>
          <w:bCs w:val="1"/>
          <w:color w:val="auto"/>
        </w:rPr>
        <w:t>Loan</w:t>
      </w:r>
      <w:r>
        <w:rPr>
          <w:rFonts w:ascii="Arial" w:cs="Arial" w:eastAsia="Arial" w:hAnsi="Arial"/>
          <w:sz w:val="17"/>
          <w:szCs w:val="17"/>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7"/>
          <w:szCs w:val="17"/>
          <w:b w:val="1"/>
          <w:bCs w:val="1"/>
          <w:color w:val="auto"/>
        </w:rPr>
        <w:t>Additional Loan</w:t>
      </w:r>
      <w:r>
        <w:rPr>
          <w:rFonts w:ascii="Arial" w:cs="Arial" w:eastAsia="Arial" w:hAnsi="Arial"/>
          <w:sz w:val="17"/>
          <w:szCs w:val="17"/>
          <w:color w:val="auto"/>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Both Parties agree and confirm that the Loan shall be interest-free, except as provided in Article 1.5 below. The Borrower agrees to use the Loan to pay for the Capital Contribution Amount to acquire the Target Equity and, unless with the prior written consent of the Lender, will not use the Loan for any other purpose.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1300" w:right="1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1.2.The term of this Agreement (“</w:t>
      </w:r>
      <w:r>
        <w:rPr>
          <w:rFonts w:ascii="Arial" w:cs="Arial" w:eastAsia="Arial" w:hAnsi="Arial"/>
          <w:sz w:val="18"/>
          <w:szCs w:val="18"/>
          <w:b w:val="1"/>
          <w:bCs w:val="1"/>
          <w:color w:val="auto"/>
        </w:rPr>
        <w:t>Term</w:t>
      </w:r>
      <w:r>
        <w:rPr>
          <w:rFonts w:ascii="Arial" w:cs="Arial" w:eastAsia="Arial" w:hAnsi="Arial"/>
          <w:sz w:val="18"/>
          <w:szCs w:val="18"/>
          <w:color w:val="auto"/>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1.3.Borrower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p>
      <w:pPr>
        <w:spacing w:after="0" w:line="186"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36" w:lineRule="exact"/>
        <w:rPr>
          <w:rFonts w:ascii="Arial" w:cs="Arial" w:eastAsia="Arial" w:hAnsi="Arial"/>
          <w:sz w:val="17"/>
          <w:szCs w:val="17"/>
          <w:color w:val="auto"/>
        </w:rPr>
      </w:pPr>
    </w:p>
    <w:p>
      <w:pPr>
        <w:jc w:val="both"/>
        <w:ind w:left="1960" w:right="120" w:hanging="655"/>
        <w:spacing w:after="0" w:line="264" w:lineRule="auto"/>
        <w:tabs>
          <w:tab w:leader="none" w:pos="196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Borrower, for any reason, ceases to be the holder of equity interests in the Domestic Company or reduces his proportion of equity interests in the Domestic Company from that set forth in Recital (A) above except for transfers of equity interests in the Domestic Company to which Lender has consented;</w:t>
      </w:r>
    </w:p>
    <w:p>
      <w:pPr>
        <w:spacing w:after="0" w:line="181" w:lineRule="exact"/>
        <w:rPr>
          <w:rFonts w:ascii="Arial" w:cs="Arial" w:eastAsia="Arial" w:hAnsi="Arial"/>
          <w:sz w:val="18"/>
          <w:szCs w:val="18"/>
          <w:color w:val="auto"/>
        </w:rPr>
      </w:pPr>
    </w:p>
    <w:p>
      <w:pPr>
        <w:ind w:left="1960" w:right="100" w:hanging="655"/>
        <w:spacing w:after="0" w:line="272" w:lineRule="auto"/>
        <w:tabs>
          <w:tab w:leader="none" w:pos="197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-3558540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60" w:hanging="655"/>
        <w:spacing w:after="0" w:line="277" w:lineRule="auto"/>
        <w:tabs>
          <w:tab w:leader="none" w:pos="19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Lender is permitted to acquire a direct equity interest in Domestic Company due to a change in PRC laws or regulations or the application or interpretation thereof; or</w:t>
      </w:r>
    </w:p>
    <w:p>
      <w:pPr>
        <w:sectPr>
          <w:pgSz w:w="11900" w:h="16838" w:orient="portrait"/>
          <w:cols w:equalWidth="0" w:num="1">
            <w:col w:w="11420"/>
          </w:cols>
          <w:pgMar w:left="240" w:top="121" w:right="239" w:bottom="0" w:gutter="0" w:footer="0" w:header="0"/>
        </w:sectPr>
      </w:pPr>
    </w:p>
    <w:bookmarkStart w:id="124" w:name="page125"/>
    <w:bookmarkEnd w:id="124"/>
    <w:p>
      <w:pPr>
        <w:spacing w:after="0" w:line="70" w:lineRule="exact"/>
        <w:rPr>
          <w:sz w:val="20"/>
          <w:szCs w:val="20"/>
          <w:color w:val="auto"/>
        </w:rPr>
      </w:pPr>
    </w:p>
    <w:p>
      <w:pPr>
        <w:ind w:left="1952" w:right="60" w:hanging="655"/>
        <w:spacing w:after="0" w:line="277" w:lineRule="auto"/>
        <w:tabs>
          <w:tab w:leader="none" w:pos="196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court or other government authority deems this Agreement or any of the Transaction Documents or a substantial portion thereof to be invalid, illegal or unenforceable.</w:t>
      </w:r>
    </w:p>
    <w:p>
      <w:pPr>
        <w:spacing w:after="0" w:line="170" w:lineRule="exact"/>
        <w:rPr>
          <w:sz w:val="20"/>
          <w:szCs w:val="20"/>
          <w:color w:val="auto"/>
        </w:rPr>
      </w:pPr>
    </w:p>
    <w:p>
      <w:pPr>
        <w:jc w:val="both"/>
        <w:ind w:left="1292" w:right="200"/>
        <w:spacing w:after="0" w:line="264" w:lineRule="auto"/>
        <w:rPr>
          <w:sz w:val="20"/>
          <w:szCs w:val="20"/>
          <w:color w:val="auto"/>
        </w:rPr>
      </w:pPr>
      <w:r>
        <w:rPr>
          <w:rFonts w:ascii="Arial" w:cs="Arial" w:eastAsia="Arial" w:hAnsi="Arial"/>
          <w:sz w:val="18"/>
          <w:szCs w:val="18"/>
          <w:color w:val="auto"/>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p>
      <w:pPr>
        <w:spacing w:after="0" w:line="181"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81" w:lineRule="exact"/>
        <w:rPr>
          <w:sz w:val="20"/>
          <w:szCs w:val="20"/>
          <w:color w:val="auto"/>
        </w:rPr>
      </w:pPr>
    </w:p>
    <w:p>
      <w:pPr>
        <w:ind w:left="1952" w:right="40" w:hanging="655"/>
        <w:spacing w:after="0" w:line="277" w:lineRule="auto"/>
        <w:tabs>
          <w:tab w:leader="none" w:pos="194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Equity Option. If selected by Lender, Borrower shall repay the Loan by transferring his equity interests in the Domestic Company (“</w:t>
      </w:r>
      <w:r>
        <w:rPr>
          <w:rFonts w:ascii="Arial" w:cs="Arial" w:eastAsia="Arial" w:hAnsi="Arial"/>
          <w:sz w:val="18"/>
          <w:szCs w:val="18"/>
          <w:b w:val="1"/>
          <w:bCs w:val="1"/>
          <w:color w:val="auto"/>
        </w:rPr>
        <w:t>Borrower’s Equity</w:t>
      </w:r>
      <w:r>
        <w:rPr>
          <w:rFonts w:ascii="Arial" w:cs="Arial" w:eastAsia="Arial" w:hAnsi="Arial"/>
          <w:sz w:val="18"/>
          <w:szCs w:val="18"/>
          <w:color w:val="auto"/>
        </w:rPr>
        <w:t>”) to Lender or Lender’s designated persons; or</w:t>
      </w:r>
    </w:p>
    <w:p>
      <w:pPr>
        <w:spacing w:after="0" w:line="170" w:lineRule="exact"/>
        <w:rPr>
          <w:rFonts w:ascii="Arial" w:cs="Arial" w:eastAsia="Arial" w:hAnsi="Arial"/>
          <w:sz w:val="18"/>
          <w:szCs w:val="18"/>
          <w:color w:val="auto"/>
        </w:rPr>
      </w:pPr>
    </w:p>
    <w:p>
      <w:pPr>
        <w:ind w:left="1952" w:right="40" w:hanging="655"/>
        <w:spacing w:after="0" w:line="279" w:lineRule="auto"/>
        <w:tabs>
          <w:tab w:leader="none" w:pos="195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1" w:lineRule="exact"/>
        <w:rPr>
          <w:sz w:val="20"/>
          <w:szCs w:val="20"/>
          <w:color w:val="auto"/>
        </w:rPr>
      </w:pPr>
    </w:p>
    <w:p>
      <w:pPr>
        <w:ind w:left="1292" w:right="180" w:hanging="647"/>
        <w:spacing w:after="0" w:line="279" w:lineRule="auto"/>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If the transfer price for Borrower’s Equity pursuant to Article 1.4(a) or the other consideration provided by Borrower pursuant to Article 1.4(b) exceeds the outstanding principal of the Loan hereunder, then such excess shall be deemed the aggregate interest upon the loan (calculated by the highest permitted by the PRC laws)and financing cost. Borrower shall repay all interest on the Loan, together with principal and financing cost, at the expiry or termination of the Term or when otherwise required hereunder.</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Article 1.4(a) or provides the other required consideration pursuant to Article 1.4(b) and subject to Borrower’s indemnification obligations</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set forth in Article 4.2 herein, Borrower shall have no further obligation to Lender for any principal, interest or penalty (if any) under the</w:t>
      </w:r>
    </w:p>
    <w:p>
      <w:pPr>
        <w:spacing w:after="0" w:line="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part or whole of the Loan repaid by Borrower may not be re-borrowed under this Agreement without Lender’s consent.</w:t>
      </w:r>
    </w:p>
    <w:p>
      <w:pPr>
        <w:spacing w:after="0" w:line="221" w:lineRule="exact"/>
        <w:rPr>
          <w:sz w:val="20"/>
          <w:szCs w:val="20"/>
          <w:color w:val="auto"/>
        </w:rPr>
      </w:pPr>
    </w:p>
    <w:p>
      <w:pPr>
        <w:ind w:left="652" w:hanging="652"/>
        <w:spacing w:after="0"/>
        <w:tabs>
          <w:tab w:leader="none" w:pos="65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2.1.As of the date of this Agreement and during the Term through the date of termination or expiration of this Agreement, Lender represents and warrants to Borrower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Lender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60" w:hanging="655"/>
        <w:spacing w:after="0" w:line="312" w:lineRule="auto"/>
        <w:tabs>
          <w:tab w:leader="none" w:pos="195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46" w:lineRule="exact"/>
        <w:rPr>
          <w:rFonts w:ascii="Arial" w:cs="Arial" w:eastAsia="Arial" w:hAnsi="Arial"/>
          <w:sz w:val="16"/>
          <w:szCs w:val="16"/>
          <w:color w:val="auto"/>
        </w:rPr>
      </w:pPr>
    </w:p>
    <w:p>
      <w:pPr>
        <w:ind w:left="1952" w:right="280" w:hanging="655"/>
        <w:spacing w:after="0" w:line="286" w:lineRule="auto"/>
        <w:tabs>
          <w:tab w:leader="none" w:pos="196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Lender upon execution.</w:t>
      </w:r>
    </w:p>
    <w:p>
      <w:pPr>
        <w:spacing w:after="0" w:line="225" w:lineRule="exact"/>
        <w:rPr>
          <w:sz w:val="20"/>
          <w:szCs w:val="20"/>
          <w:color w:val="auto"/>
        </w:rPr>
      </w:pPr>
    </w:p>
    <w:p>
      <w:pPr>
        <w:ind w:left="1292" w:right="8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of the date of this Agreement and during the Term through the date of termination or expiration of this Agreement, Borrower represents and warrants to Lender as follows:</w:t>
      </w:r>
    </w:p>
    <w:p>
      <w:pPr>
        <w:spacing w:after="0" w:line="170" w:lineRule="exact"/>
        <w:rPr>
          <w:sz w:val="20"/>
          <w:szCs w:val="20"/>
          <w:color w:val="auto"/>
        </w:rPr>
      </w:pPr>
    </w:p>
    <w:p>
      <w:pPr>
        <w:ind w:left="1952" w:right="140" w:hanging="655"/>
        <w:spacing w:after="0" w:line="277" w:lineRule="auto"/>
        <w:tabs>
          <w:tab w:leader="none" w:pos="19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Domestic Company is a limited liability company duly registered and existing under PRC law and Borrower is or will be the lawful holder of Borrower’s Equity.</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Borrower has the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00" w:hanging="655"/>
        <w:spacing w:after="0" w:line="286" w:lineRule="auto"/>
        <w:tabs>
          <w:tab w:leader="none" w:pos="196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on Borrower upon execution.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52" w:right="200" w:hanging="655"/>
        <w:spacing w:after="0" w:line="288" w:lineRule="auto"/>
        <w:tabs>
          <w:tab w:leader="none" w:pos="196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w:t>
      </w:r>
    </w:p>
    <w:p>
      <w:pPr>
        <w:ind w:left="1952" w:right="20"/>
        <w:spacing w:after="0" w:line="255" w:lineRule="auto"/>
        <w:rPr>
          <w:rFonts w:ascii="Arial" w:cs="Arial" w:eastAsia="Arial" w:hAnsi="Arial"/>
          <w:sz w:val="16"/>
          <w:szCs w:val="16"/>
          <w:color w:val="auto"/>
        </w:rPr>
      </w:pPr>
      <w:r>
        <w:rPr>
          <w:rFonts w:ascii="Arial" w:cs="Arial" w:eastAsia="Arial" w:hAnsi="Arial"/>
          <w:sz w:val="18"/>
          <w:szCs w:val="18"/>
          <w:color w:val="auto"/>
        </w:rPr>
        <w:t>(iii)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p>
      <w:pPr>
        <w:sectPr>
          <w:pgSz w:w="11900" w:h="16909" w:orient="portrait"/>
          <w:cols w:equalWidth="0" w:num="1">
            <w:col w:w="11392"/>
          </w:cols>
          <w:pgMar w:left="248" w:top="125" w:right="259" w:bottom="0" w:gutter="0" w:footer="0" w:header="0"/>
        </w:sectPr>
      </w:pPr>
    </w:p>
    <w:bookmarkStart w:id="125" w:name="page126"/>
    <w:bookmarkEnd w:id="125"/>
    <w:p>
      <w:pPr>
        <w:ind w:left="1952" w:right="180" w:hanging="655"/>
        <w:spacing w:after="0" w:line="286" w:lineRule="auto"/>
        <w:tabs>
          <w:tab w:leader="none" w:pos="195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1" w:lineRule="exact"/>
        <w:rPr>
          <w:rFonts w:ascii="Arial" w:cs="Arial" w:eastAsia="Arial" w:hAnsi="Arial"/>
          <w:sz w:val="17"/>
          <w:szCs w:val="17"/>
          <w:color w:val="auto"/>
        </w:rPr>
      </w:pPr>
    </w:p>
    <w:p>
      <w:pPr>
        <w:ind w:left="652" w:hanging="652"/>
        <w:spacing w:after="0"/>
        <w:tabs>
          <w:tab w:leader="none" w:pos="65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Undertakings</w:t>
      </w:r>
    </w:p>
    <w:p>
      <w:pPr>
        <w:spacing w:after="0" w:line="229" w:lineRule="exact"/>
        <w:rPr>
          <w:rFonts w:ascii="Arial" w:cs="Arial" w:eastAsia="Arial" w:hAnsi="Arial"/>
          <w:sz w:val="18"/>
          <w:szCs w:val="18"/>
          <w:b w:val="1"/>
          <w:bCs w:val="1"/>
          <w:color w:val="auto"/>
        </w:rPr>
      </w:pPr>
    </w:p>
    <w:p>
      <w:pPr>
        <w:ind w:left="1292" w:right="9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3.1.Borrower undertakes in his capacity as a shareholder of the Domestic Company that Borrower will, and together with the other shareholder(s) of the Domestic Company will cause the Domestic Company to (as applicable):</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enter into the Transaction Documents.</w:t>
      </w:r>
    </w:p>
    <w:p>
      <w:pPr>
        <w:spacing w:after="0" w:line="225" w:lineRule="exact"/>
        <w:rPr>
          <w:rFonts w:ascii="Arial" w:cs="Arial" w:eastAsia="Arial" w:hAnsi="Arial"/>
          <w:sz w:val="18"/>
          <w:szCs w:val="18"/>
          <w:color w:val="auto"/>
        </w:rPr>
      </w:pPr>
    </w:p>
    <w:p>
      <w:pPr>
        <w:ind w:left="1952" w:right="220" w:hanging="655"/>
        <w:spacing w:after="0" w:line="264" w:lineRule="auto"/>
        <w:tabs>
          <w:tab w:leader="none" w:pos="195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6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5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 without the prior written consent of Lender, grant any loan or credit to any person;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80" w:hanging="655"/>
        <w:spacing w:after="0" w:line="277" w:lineRule="auto"/>
        <w:tabs>
          <w:tab w:leader="none" w:pos="195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upon Lender’s request, provide to Lender all the information with respect to the operations and financial status of the Domestic Company;</w:t>
      </w:r>
    </w:p>
    <w:p>
      <w:pPr>
        <w:spacing w:after="0" w:line="170" w:lineRule="exact"/>
        <w:rPr>
          <w:rFonts w:ascii="Arial" w:cs="Arial" w:eastAsia="Arial" w:hAnsi="Arial"/>
          <w:sz w:val="18"/>
          <w:szCs w:val="18"/>
          <w:color w:val="auto"/>
        </w:rPr>
      </w:pPr>
    </w:p>
    <w:p>
      <w:pPr>
        <w:ind w:left="1952" w:right="340" w:hanging="655"/>
        <w:spacing w:after="0" w:line="277" w:lineRule="auto"/>
        <w:tabs>
          <w:tab w:leader="none" w:pos="19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 without the prior written consent of Lender, merge or amalgamate with or form any alliance with any person, or acquire or invest in any person;</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its assets, businesses and revenues;</w:t>
      </w:r>
    </w:p>
    <w:p>
      <w:pPr>
        <w:spacing w:after="0" w:line="170" w:lineRule="exact"/>
        <w:rPr>
          <w:rFonts w:ascii="Arial" w:cs="Arial" w:eastAsia="Arial" w:hAnsi="Arial"/>
          <w:sz w:val="18"/>
          <w:szCs w:val="18"/>
          <w:color w:val="auto"/>
        </w:rPr>
      </w:pPr>
    </w:p>
    <w:p>
      <w:pPr>
        <w:ind w:left="1952" w:right="520" w:hanging="655"/>
        <w:spacing w:after="0" w:line="264" w:lineRule="auto"/>
        <w:tabs>
          <w:tab w:leader="none" w:pos="197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81" w:lineRule="exact"/>
        <w:rPr>
          <w:rFonts w:ascii="Arial" w:cs="Arial" w:eastAsia="Arial" w:hAnsi="Arial"/>
          <w:sz w:val="18"/>
          <w:szCs w:val="18"/>
          <w:color w:val="auto"/>
        </w:rPr>
      </w:pPr>
    </w:p>
    <w:p>
      <w:pPr>
        <w:ind w:left="1952" w:right="160" w:hanging="655"/>
        <w:spacing w:after="0" w:line="308" w:lineRule="auto"/>
        <w:tabs>
          <w:tab w:leader="none" w:pos="1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46" w:lineRule="exact"/>
        <w:rPr>
          <w:rFonts w:ascii="Arial" w:cs="Arial" w:eastAsia="Arial" w:hAnsi="Arial"/>
          <w:sz w:val="17"/>
          <w:szCs w:val="17"/>
          <w:color w:val="auto"/>
        </w:rPr>
      </w:pPr>
    </w:p>
    <w:p>
      <w:pPr>
        <w:ind w:left="1952" w:hanging="655"/>
        <w:spacing w:after="0"/>
        <w:tabs>
          <w:tab w:leader="none" w:pos="195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at the request of Lender, appoint the persons designated by Lender as directors and senior officers of the Domestic Company; and</w:t>
      </w:r>
    </w:p>
    <w:p>
      <w:pPr>
        <w:spacing w:after="0" w:line="248" w:lineRule="exact"/>
        <w:rPr>
          <w:rFonts w:ascii="Arial" w:cs="Arial" w:eastAsia="Arial" w:hAnsi="Arial"/>
          <w:sz w:val="16"/>
          <w:szCs w:val="16"/>
          <w:color w:val="auto"/>
        </w:rPr>
      </w:pPr>
    </w:p>
    <w:p>
      <w:pPr>
        <w:ind w:left="1952" w:right="260" w:hanging="655"/>
        <w:spacing w:after="0" w:line="308" w:lineRule="auto"/>
        <w:tabs>
          <w:tab w:leader="none" w:pos="197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Borrower undertakes that during the Term, he shall:</w:t>
      </w:r>
    </w:p>
    <w:p>
      <w:pPr>
        <w:spacing w:after="0" w:line="225" w:lineRule="exact"/>
        <w:rPr>
          <w:sz w:val="20"/>
          <w:szCs w:val="20"/>
          <w:color w:val="auto"/>
        </w:rPr>
      </w:pPr>
    </w:p>
    <w:p>
      <w:pPr>
        <w:jc w:val="both"/>
        <w:ind w:left="1952" w:hanging="655"/>
        <w:spacing w:after="0" w:line="264" w:lineRule="auto"/>
        <w:tabs>
          <w:tab w:leader="none" w:pos="19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81" w:lineRule="exact"/>
        <w:rPr>
          <w:rFonts w:ascii="Arial" w:cs="Arial" w:eastAsia="Arial" w:hAnsi="Arial"/>
          <w:sz w:val="18"/>
          <w:szCs w:val="18"/>
          <w:color w:val="auto"/>
        </w:rPr>
      </w:pPr>
    </w:p>
    <w:p>
      <w:pPr>
        <w:ind w:left="1952" w:right="40" w:hanging="655"/>
        <w:spacing w:after="0" w:line="286" w:lineRule="auto"/>
        <w:tabs>
          <w:tab w:leader="none" w:pos="195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65" w:lineRule="exact"/>
        <w:rPr>
          <w:rFonts w:ascii="Arial" w:cs="Arial" w:eastAsia="Arial" w:hAnsi="Arial"/>
          <w:sz w:val="17"/>
          <w:szCs w:val="17"/>
          <w:color w:val="auto"/>
        </w:rPr>
      </w:pPr>
    </w:p>
    <w:p>
      <w:pPr>
        <w:ind w:left="1952" w:right="80" w:hanging="655"/>
        <w:spacing w:after="0" w:line="277" w:lineRule="auto"/>
        <w:tabs>
          <w:tab w:leader="none" w:pos="196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cause the shareholders’ meeting of the Domestic Company not to approve the merger or alliance with any person or acquisition or investment in any person without the prior written consent of Lender;</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Borrower’s Equity;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20" w:hanging="655"/>
        <w:spacing w:after="0" w:line="264" w:lineRule="auto"/>
        <w:tabs>
          <w:tab w:leader="none" w:pos="196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p>
      <w:pPr>
        <w:sectPr>
          <w:pgSz w:w="11900" w:h="16838" w:orient="portrait"/>
          <w:cols w:equalWidth="0" w:num="1">
            <w:col w:w="11392"/>
          </w:cols>
          <w:pgMar w:left="248" w:top="341" w:right="259" w:bottom="0" w:gutter="0" w:footer="0" w:header="0"/>
        </w:sectPr>
      </w:pPr>
    </w:p>
    <w:bookmarkStart w:id="126" w:name="page127"/>
    <w:bookmarkEnd w:id="126"/>
    <w:p>
      <w:pPr>
        <w:ind w:left="1952" w:right="480" w:hanging="655"/>
        <w:spacing w:after="0" w:line="277" w:lineRule="auto"/>
        <w:tabs>
          <w:tab w:leader="none" w:pos="195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refrain from taking any action that may have a material adverse impact on the assets, business and liabilities of the Domestic Company;</w:t>
      </w:r>
    </w:p>
    <w:p>
      <w:pPr>
        <w:spacing w:after="0" w:line="170" w:lineRule="exact"/>
        <w:rPr>
          <w:rFonts w:ascii="Arial" w:cs="Arial" w:eastAsia="Arial" w:hAnsi="Arial"/>
          <w:sz w:val="18"/>
          <w:szCs w:val="18"/>
          <w:color w:val="auto"/>
        </w:rPr>
      </w:pPr>
    </w:p>
    <w:p>
      <w:pPr>
        <w:ind w:left="1952" w:hanging="655"/>
        <w:spacing w:after="0" w:line="277" w:lineRule="auto"/>
        <w:tabs>
          <w:tab w:leader="none" w:pos="197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of the Domestic Company (unless otherwise agreed by the Parties);</w:t>
      </w:r>
    </w:p>
    <w:p>
      <w:pPr>
        <w:spacing w:after="0" w:line="170" w:lineRule="exact"/>
        <w:rPr>
          <w:rFonts w:ascii="Arial" w:cs="Arial" w:eastAsia="Arial" w:hAnsi="Arial"/>
          <w:sz w:val="18"/>
          <w:szCs w:val="18"/>
          <w:color w:val="auto"/>
        </w:rPr>
      </w:pPr>
    </w:p>
    <w:p>
      <w:pPr>
        <w:ind w:left="1952" w:right="420" w:hanging="655"/>
        <w:spacing w:after="0" w:line="277" w:lineRule="auto"/>
        <w:tabs>
          <w:tab w:leader="none" w:pos="1959"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to the extent permitted by PRC laws, at the request of Lender at any time, promptly and unconditionally transfer all or part of Borrower’s Equity to Lender or Lender’s designated person(s) at any time;</w:t>
      </w:r>
    </w:p>
    <w:p>
      <w:pPr>
        <w:spacing w:after="0" w:line="170" w:lineRule="exact"/>
        <w:rPr>
          <w:rFonts w:ascii="Arial" w:cs="Arial" w:eastAsia="Arial" w:hAnsi="Arial"/>
          <w:sz w:val="18"/>
          <w:szCs w:val="18"/>
          <w:color w:val="auto"/>
        </w:rPr>
      </w:pPr>
    </w:p>
    <w:p>
      <w:pPr>
        <w:ind w:left="1952" w:right="20" w:hanging="655"/>
        <w:spacing w:after="0" w:line="259" w:lineRule="auto"/>
        <w:tabs>
          <w:tab w:leader="none" w:pos="197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1292" w:right="1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p>
      <w:pPr>
        <w:spacing w:after="0" w:line="181" w:lineRule="exact"/>
        <w:rPr>
          <w:rFonts w:ascii="Arial" w:cs="Arial" w:eastAsia="Arial" w:hAnsi="Arial"/>
          <w:sz w:val="18"/>
          <w:szCs w:val="18"/>
          <w:b w:val="1"/>
          <w:bCs w:val="1"/>
          <w:color w:val="auto"/>
        </w:rPr>
      </w:pPr>
    </w:p>
    <w:p>
      <w:pPr>
        <w:ind w:left="1292" w:right="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his obligations hereunder.</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Lender:  NetEase Youdao Information Technology (Beijing) Co., Ltd.</w:t>
      </w:r>
    </w:p>
    <w:p>
      <w:pPr>
        <w:sectPr>
          <w:pgSz w:w="11900" w:h="16838" w:orient="portrait"/>
          <w:cols w:equalWidth="0" w:num="1">
            <w:col w:w="11392"/>
          </w:cols>
          <w:pgMar w:left="248" w:top="125" w:right="259" w:bottom="316" w:gutter="0" w:footer="0" w:header="0"/>
        </w:sectPr>
      </w:pPr>
    </w:p>
    <w:p>
      <w:pPr>
        <w:spacing w:after="0" w:line="229" w:lineRule="exact"/>
        <w:rPr>
          <w:sz w:val="20"/>
          <w:szCs w:val="20"/>
          <w:color w:val="auto"/>
        </w:rPr>
      </w:pPr>
    </w:p>
    <w:p>
      <w:pPr>
        <w:ind w:left="177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3580"/>
        <w:spacing w:after="0" w:line="342" w:lineRule="auto"/>
        <w:rPr>
          <w:sz w:val="20"/>
          <w:szCs w:val="20"/>
          <w:color w:val="auto"/>
        </w:rPr>
      </w:pPr>
      <w:r>
        <w:rPr>
          <w:rFonts w:ascii="Arial" w:cs="Arial" w:eastAsia="Arial" w:hAnsi="Arial"/>
          <w:sz w:val="16"/>
          <w:szCs w:val="16"/>
          <w:color w:val="auto"/>
        </w:rPr>
        <w:t>1/F, Tower C, Building No. 7, West Zone Zhongguancun Software Park (Phase II) No. 10 Xibeiwang East Road, Haidian District</w:t>
      </w:r>
    </w:p>
    <w:p>
      <w:pPr>
        <w:spacing w:after="0" w:line="124" w:lineRule="exact"/>
        <w:rPr>
          <w:sz w:val="20"/>
          <w:szCs w:val="20"/>
          <w:color w:val="auto"/>
        </w:rPr>
      </w:pPr>
    </w:p>
    <w:p>
      <w:pPr>
        <w:sectPr>
          <w:pgSz w:w="11900" w:h="16838" w:orient="portrait"/>
          <w:cols w:equalWidth="0" w:num="2">
            <w:col w:w="2412" w:space="620"/>
            <w:col w:w="8360"/>
          </w:cols>
          <w:pgMar w:left="248" w:top="125" w:right="259" w:bottom="316" w:gutter="0" w:footer="0" w:header="0"/>
          <w:type w:val="continuous"/>
        </w:sectPr>
      </w:pPr>
    </w:p>
    <w:p>
      <w:pPr>
        <w:ind w:left="177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86-10-82558135</w:t>
      </w:r>
    </w:p>
    <w:p>
      <w:pPr>
        <w:spacing w:after="0" w:line="200" w:lineRule="exact"/>
        <w:rPr>
          <w:sz w:val="20"/>
          <w:szCs w:val="20"/>
          <w:color w:val="auto"/>
        </w:rPr>
      </w:pPr>
    </w:p>
    <w:p>
      <w:pPr>
        <w:sectPr>
          <w:pgSz w:w="11900" w:h="16838" w:orient="portrait"/>
          <w:cols w:equalWidth="0" w:num="2">
            <w:col w:w="2312" w:space="720"/>
            <w:col w:w="8360"/>
          </w:cols>
          <w:pgMar w:left="248" w:top="125" w:right="259" w:bottom="316" w:gutter="0" w:footer="0" w:header="0"/>
          <w:type w:val="continuous"/>
        </w:sectPr>
      </w:pPr>
    </w:p>
    <w:p>
      <w:pPr>
        <w:spacing w:after="0" w:line="48" w:lineRule="exact"/>
        <w:rPr>
          <w:sz w:val="20"/>
          <w:szCs w:val="20"/>
          <w:color w:val="auto"/>
        </w:rPr>
      </w:pPr>
    </w:p>
    <w:p>
      <w:pPr>
        <w:ind w:left="177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zf@rd.netease.com</w:t>
      </w:r>
    </w:p>
    <w:p>
      <w:pPr>
        <w:spacing w:after="0" w:line="222" w:lineRule="exact"/>
        <w:rPr>
          <w:sz w:val="20"/>
          <w:szCs w:val="20"/>
          <w:color w:val="auto"/>
        </w:rPr>
      </w:pPr>
    </w:p>
    <w:p>
      <w:pPr>
        <w:sectPr>
          <w:pgSz w:w="11900" w:h="16838" w:orient="portrait"/>
          <w:cols w:equalWidth="0" w:num="2">
            <w:col w:w="2312" w:space="720"/>
            <w:col w:w="8360"/>
          </w:cols>
          <w:pgMar w:left="248" w:top="125" w:right="259" w:bottom="316" w:gutter="0" w:footer="0" w:header="0"/>
          <w:type w:val="continuous"/>
        </w:sectPr>
      </w:pPr>
    </w:p>
    <w:p>
      <w:pPr>
        <w:spacing w:after="0" w:line="37" w:lineRule="exact"/>
        <w:rPr>
          <w:sz w:val="20"/>
          <w:szCs w:val="20"/>
          <w:color w:val="auto"/>
        </w:rPr>
      </w:pPr>
    </w:p>
    <w:p>
      <w:pPr>
        <w:ind w:left="177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Feng Zhou</w:t>
      </w:r>
    </w:p>
    <w:p>
      <w:pPr>
        <w:spacing w:after="0" w:line="211" w:lineRule="exact"/>
        <w:rPr>
          <w:sz w:val="20"/>
          <w:szCs w:val="20"/>
          <w:color w:val="auto"/>
        </w:rPr>
      </w:pPr>
    </w:p>
    <w:p>
      <w:pPr>
        <w:sectPr>
          <w:pgSz w:w="11900" w:h="16838" w:orient="portrait"/>
          <w:cols w:equalWidth="0" w:num="2">
            <w:col w:w="2492" w:space="540"/>
            <w:col w:w="8360"/>
          </w:cols>
          <w:pgMar w:left="248" w:top="125" w:right="259" w:bottom="316"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6"/>
          <w:szCs w:val="16"/>
          <w:b w:val="1"/>
          <w:bCs w:val="1"/>
          <w:color w:val="auto"/>
        </w:rPr>
        <w:t xml:space="preserve">If to Borrower: </w:t>
      </w:r>
      <w:r>
        <w:rPr>
          <w:rFonts w:ascii="Arial" w:cs="Arial" w:eastAsia="Arial" w:hAnsi="Arial"/>
          <w:sz w:val="16"/>
          <w:szCs w:val="16"/>
          <w:color w:val="auto"/>
        </w:rPr>
        <w:t>Feng Zhou</w:t>
      </w:r>
    </w:p>
    <w:p>
      <w:pPr>
        <w:sectPr>
          <w:pgSz w:w="11900" w:h="16838" w:orient="portrait"/>
          <w:cols w:equalWidth="0" w:num="1">
            <w:col w:w="11392"/>
          </w:cols>
          <w:pgMar w:left="248" w:top="125" w:right="259" w:bottom="316" w:gutter="0" w:footer="0" w:header="0"/>
          <w:type w:val="continuous"/>
        </w:sectPr>
      </w:pPr>
    </w:p>
    <w:p>
      <w:pPr>
        <w:spacing w:after="0" w:line="252" w:lineRule="exact"/>
        <w:rPr>
          <w:sz w:val="20"/>
          <w:szCs w:val="20"/>
          <w:color w:val="auto"/>
        </w:rPr>
      </w:pPr>
    </w:p>
    <w:p>
      <w:pPr>
        <w:ind w:left="17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No. 15, Guang Hua Li, Chaoyang District, Beijing</w:t>
      </w:r>
    </w:p>
    <w:p>
      <w:pPr>
        <w:spacing w:after="0" w:line="200" w:lineRule="exact"/>
        <w:rPr>
          <w:sz w:val="20"/>
          <w:szCs w:val="20"/>
          <w:color w:val="auto"/>
        </w:rPr>
      </w:pPr>
    </w:p>
    <w:p>
      <w:pPr>
        <w:sectPr>
          <w:pgSz w:w="11900" w:h="16838" w:orient="portrait"/>
          <w:cols w:equalWidth="0" w:num="2">
            <w:col w:w="2432" w:space="600"/>
            <w:col w:w="8360"/>
          </w:cols>
          <w:pgMar w:left="248" w:top="125" w:right="259" w:bottom="316" w:gutter="0" w:footer="0" w:header="0"/>
          <w:type w:val="continuous"/>
        </w:sectPr>
      </w:pPr>
    </w:p>
    <w:p>
      <w:pPr>
        <w:spacing w:after="0" w:line="48" w:lineRule="exact"/>
        <w:rPr>
          <w:sz w:val="20"/>
          <w:szCs w:val="20"/>
          <w:color w:val="auto"/>
        </w:rPr>
      </w:pPr>
    </w:p>
    <w:p>
      <w:pPr>
        <w:ind w:left="17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86-10-82558135</w:t>
      </w:r>
    </w:p>
    <w:p>
      <w:pPr>
        <w:spacing w:after="0" w:line="200" w:lineRule="exact"/>
        <w:rPr>
          <w:sz w:val="20"/>
          <w:szCs w:val="20"/>
          <w:color w:val="auto"/>
        </w:rPr>
      </w:pPr>
    </w:p>
    <w:p>
      <w:pPr>
        <w:sectPr>
          <w:pgSz w:w="11900" w:h="16838" w:orient="portrait"/>
          <w:cols w:equalWidth="0" w:num="2">
            <w:col w:w="2312" w:space="720"/>
            <w:col w:w="8360"/>
          </w:cols>
          <w:pgMar w:left="248" w:top="125" w:right="259" w:bottom="316" w:gutter="0" w:footer="0" w:header="0"/>
          <w:type w:val="continuous"/>
        </w:sectPr>
      </w:pPr>
    </w:p>
    <w:p>
      <w:pPr>
        <w:spacing w:after="0" w:line="48" w:lineRule="exact"/>
        <w:rPr>
          <w:sz w:val="20"/>
          <w:szCs w:val="20"/>
          <w:color w:val="auto"/>
        </w:rPr>
      </w:pPr>
    </w:p>
    <w:p>
      <w:pPr>
        <w:ind w:left="179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zf@rd.netease.com</w:t>
      </w:r>
    </w:p>
    <w:p>
      <w:pPr>
        <w:spacing w:after="0" w:line="222" w:lineRule="exact"/>
        <w:rPr>
          <w:sz w:val="20"/>
          <w:szCs w:val="20"/>
          <w:color w:val="auto"/>
        </w:rPr>
      </w:pPr>
    </w:p>
    <w:p>
      <w:pPr>
        <w:sectPr>
          <w:pgSz w:w="11900" w:h="16838" w:orient="portrait"/>
          <w:cols w:equalWidth="0" w:num="2">
            <w:col w:w="2312" w:space="720"/>
            <w:col w:w="8360"/>
          </w:cols>
          <w:pgMar w:left="248" w:top="125" w:right="259" w:bottom="316" w:gutter="0" w:footer="0" w:header="0"/>
          <w:type w:val="continuous"/>
        </w:sectPr>
      </w:pPr>
    </w:p>
    <w:p>
      <w:pPr>
        <w:spacing w:after="0" w:line="33" w:lineRule="exact"/>
        <w:rPr>
          <w:sz w:val="20"/>
          <w:szCs w:val="20"/>
          <w:color w:val="auto"/>
        </w:rPr>
      </w:pPr>
    </w:p>
    <w:p>
      <w:pPr>
        <w:ind w:left="652" w:hanging="652"/>
        <w:spacing w:after="0"/>
        <w:tabs>
          <w:tab w:leader="none" w:pos="65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292" w:right="1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7.1.The formation, effect, interpretation, performance, amendment, termination and dispute resolution of this Agreement shall be governed by PRC law.</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316" w:gutter="0" w:footer="0" w:header="0"/>
          <w:type w:val="continuous"/>
        </w:sectPr>
      </w:pPr>
    </w:p>
    <w:bookmarkStart w:id="127" w:name="page128"/>
    <w:bookmarkEnd w:id="127"/>
    <w:p>
      <w:pPr>
        <w:ind w:left="1300" w:right="40" w:hanging="647"/>
        <w:spacing w:after="0" w:line="287" w:lineRule="auto"/>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9" w:lineRule="exact"/>
        <w:rPr>
          <w:sz w:val="20"/>
          <w:szCs w:val="20"/>
          <w:color w:val="auto"/>
        </w:rPr>
      </w:pPr>
    </w:p>
    <w:p>
      <w:pPr>
        <w:ind w:left="1300" w:right="520" w:hanging="647"/>
        <w:spacing w:after="0" w:line="308" w:lineRule="auto"/>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3"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6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8.1.This Agreement shall become effective on the date hereof,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ind w:left="1300" w:right="40" w:hanging="648"/>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rFonts w:ascii="Arial" w:cs="Arial" w:eastAsia="Arial" w:hAnsi="Arial"/>
          <w:sz w:val="18"/>
          <w:szCs w:val="18"/>
          <w:b w:val="1"/>
          <w:bCs w:val="1"/>
          <w:color w:val="auto"/>
        </w:rPr>
      </w:pPr>
    </w:p>
    <w:p>
      <w:pPr>
        <w:ind w:left="1300" w:right="120" w:hanging="648"/>
        <w:spacing w:after="0" w:line="312" w:lineRule="auto"/>
        <w:rPr>
          <w:rFonts w:ascii="Arial" w:cs="Arial" w:eastAsia="Arial" w:hAnsi="Arial"/>
          <w:sz w:val="18"/>
          <w:szCs w:val="18"/>
          <w:b w:val="1"/>
          <w:bCs w:val="1"/>
          <w:color w:val="auto"/>
        </w:rPr>
      </w:pPr>
      <w:r>
        <w:rPr>
          <w:rFonts w:ascii="Arial" w:cs="Arial" w:eastAsia="Arial" w:hAnsi="Arial"/>
          <w:sz w:val="18"/>
          <w:szCs w:val="18"/>
          <w:color w:val="auto"/>
        </w:rPr>
        <w:t>8.4.</w:t>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hanging="647"/>
        <w:spacing w:after="0" w:line="255"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NetEase Youdao Information Technology (Beijing) Co., Ltd. </w:t>
      </w:r>
      <w:r>
        <w:rPr>
          <w:rFonts w:ascii="Arial" w:cs="Arial" w:eastAsia="Arial" w:hAnsi="Arial"/>
          <w:sz w:val="18"/>
          <w:szCs w:val="18"/>
          <w:color w:val="auto"/>
        </w:rPr>
        <w:t>(Seal)</w:t>
      </w:r>
    </w:p>
    <w:p>
      <w:pPr>
        <w:spacing w:after="0" w:line="200" w:lineRule="exact"/>
        <w:rPr>
          <w:sz w:val="20"/>
          <w:szCs w:val="20"/>
          <w:color w:val="auto"/>
        </w:rPr>
      </w:pPr>
    </w:p>
    <w:p>
      <w:pPr>
        <w:sectPr>
          <w:pgSz w:w="11900" w:h="16838" w:orient="portrait"/>
          <w:cols w:equalWidth="0" w:num="2">
            <w:col w:w="6340" w:space="420"/>
            <w:col w:w="4660"/>
          </w:cols>
          <w:pgMar w:left="240" w:top="125" w:right="239" w:bottom="0" w:gutter="0" w:footer="0" w:header="0"/>
          <w:type w:val="continuous"/>
        </w:sectPr>
      </w:pPr>
    </w:p>
    <w:p>
      <w:pPr>
        <w:spacing w:after="0" w:line="178" w:lineRule="exact"/>
        <w:rPr>
          <w:sz w:val="20"/>
          <w:szCs w:val="20"/>
          <w:color w:val="auto"/>
        </w:rPr>
      </w:pPr>
    </w:p>
    <w:p>
      <w:pPr>
        <w:ind w:left="5720"/>
        <w:spacing w:after="0"/>
        <w:tabs>
          <w:tab w:leader="none" w:pos="6740" w:val="left"/>
        </w:tabs>
        <w:rPr>
          <w:sz w:val="20"/>
          <w:szCs w:val="20"/>
          <w:color w:val="auto"/>
        </w:rPr>
      </w:pPr>
      <w:r>
        <w:rPr>
          <w:rFonts w:ascii="Arial" w:cs="Arial" w:eastAsia="Arial" w:hAnsi="Arial"/>
          <w:sz w:val="18"/>
          <w:szCs w:val="18"/>
          <w:b w:val="1"/>
          <w:bCs w:val="1"/>
          <w:color w:val="auto"/>
        </w:rPr>
        <w:t>Borrower:</w:t>
        <w:tab/>
        <w:t>Feng Zhou</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14605</wp:posOffset>
            </wp:positionV>
            <wp:extent cx="29584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3">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TO 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SUPPLEMENTAL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Supplemental Agreement</w:t>
      </w:r>
      <w:r>
        <w:rPr>
          <w:rFonts w:ascii="Arial" w:cs="Arial" w:eastAsia="Arial" w:hAnsi="Arial"/>
          <w:sz w:val="16"/>
          <w:szCs w:val="16"/>
          <w:color w:val="auto"/>
        </w:rPr>
        <w:t>”) to that certain Loan Agreement dated November 20, 2017 (as the same may be</w:t>
      </w:r>
    </w:p>
    <w:p>
      <w:pPr>
        <w:spacing w:after="0" w:line="50"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amended and supplemented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w:t>
      </w:r>
      <w:r>
        <w:rPr>
          <w:sz w:val="20"/>
          <w:szCs w:val="20"/>
          <w:color w:val="auto"/>
        </w:rPr>
        <w:tab/>
      </w:r>
      <w:r>
        <w:rPr>
          <w:rFonts w:ascii="Arial" w:cs="Arial" w:eastAsia="Arial" w:hAnsi="Arial"/>
          <w:sz w:val="16"/>
          <w:szCs w:val="16"/>
          <w:color w:val="auto"/>
        </w:rPr>
        <w:t>by and between NetEase Youdao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-19050</wp:posOffset>
            </wp:positionV>
            <wp:extent cx="5429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5">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(Beijing) Co., Ltd. (“</w:t>
      </w:r>
      <w:r>
        <w:rPr>
          <w:rFonts w:ascii="Arial" w:cs="Arial" w:eastAsia="Arial" w:hAnsi="Arial"/>
          <w:sz w:val="18"/>
          <w:szCs w:val="18"/>
          <w:b w:val="1"/>
          <w:bCs w:val="1"/>
          <w:color w:val="auto"/>
        </w:rPr>
        <w:t>Lender</w:t>
      </w:r>
      <w:r>
        <w:rPr>
          <w:rFonts w:ascii="Arial" w:cs="Arial" w:eastAsia="Arial" w:hAnsi="Arial"/>
          <w:sz w:val="18"/>
          <w:szCs w:val="18"/>
          <w:color w:val="auto"/>
        </w:rPr>
        <w:t>”), a Wholly foreign owned enterprise incorporated in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and Feng Zhou</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a citizen of the PRC and owner of 28.927% of the equity interests of Beijing NetEase Youdao Computer System Co., Ltd. (the “</w:t>
      </w:r>
      <w:r>
        <w:rPr>
          <w:rFonts w:ascii="Arial" w:cs="Arial" w:eastAsia="Arial" w:hAnsi="Arial"/>
          <w:sz w:val="17"/>
          <w:szCs w:val="17"/>
          <w:b w:val="1"/>
          <w:bCs w:val="1"/>
          <w:color w:val="auto"/>
        </w:rPr>
        <w:t>Domestic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w:t>
      </w:r>
      <w:r>
        <w:rPr>
          <w:rFonts w:ascii="Arial" w:cs="Arial" w:eastAsia="Arial" w:hAnsi="Arial"/>
          <w:sz w:val="16"/>
          <w:szCs w:val="16"/>
          <w:color w:val="auto"/>
        </w:rPr>
        <w:t>”). Lender and Borrower are hereinafter collectively referred to as the “</w:t>
      </w:r>
      <w:r>
        <w:rPr>
          <w:rFonts w:ascii="Arial" w:cs="Arial" w:eastAsia="Arial" w:hAnsi="Arial"/>
          <w:sz w:val="16"/>
          <w:szCs w:val="16"/>
          <w:b w:val="1"/>
          <w:bCs w:val="1"/>
          <w:color w:val="auto"/>
        </w:rPr>
        <w:t>Parties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Party</w:t>
      </w:r>
      <w:r>
        <w:rPr>
          <w:rFonts w:ascii="Arial" w:cs="Arial" w:eastAsia="Arial" w:hAnsi="Arial"/>
          <w:sz w:val="16"/>
          <w:szCs w:val="16"/>
          <w:color w:val="auto"/>
        </w:rPr>
        <w:t>.” Capitalized terms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not otherwise defined shall have the respective meanings assigned to them in the Agreement.</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supplement the Agreement in connection with the extension of a new loan from Lender to Borrower in connection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registered capital, as herein provided.</w:t>
      </w:r>
    </w:p>
    <w:p>
      <w:pPr>
        <w:sectPr>
          <w:pgSz w:w="11900" w:h="16838" w:orient="portrait"/>
          <w:cols w:equalWidth="0" w:num="1">
            <w:col w:w="11420"/>
          </w:cols>
          <w:pgMar w:left="240" w:top="125" w:right="239" w:bottom="0" w:gutter="0" w:footer="0" w:header="0"/>
          <w:type w:val="continuous"/>
        </w:sectPr>
      </w:pPr>
    </w:p>
    <w:bookmarkStart w:id="128" w:name="page129"/>
    <w:bookmarkEnd w:id="128"/>
    <w:p>
      <w:pPr>
        <w:ind w:right="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and subject to the terms and conditions herein set forth,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Agreement is hereby amended and supplemented as follows:</w:t>
      </w:r>
    </w:p>
    <w:p>
      <w:pPr>
        <w:spacing w:after="0" w:line="162" w:lineRule="exact"/>
        <w:rPr>
          <w:sz w:val="20"/>
          <w:szCs w:val="20"/>
          <w:color w:val="auto"/>
        </w:rPr>
      </w:pPr>
    </w:p>
    <w:p>
      <w:pPr>
        <w:spacing w:after="0"/>
        <w:tabs>
          <w:tab w:leader="none" w:pos="640" w:val="left"/>
          <w:tab w:leader="none" w:pos="8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Lender agrees to provide an additional loan to Borrower with an aggregate principal amount of RMB</w:t>
      </w:r>
      <w:r>
        <w:rPr>
          <w:sz w:val="20"/>
          <w:szCs w:val="20"/>
          <w:color w:val="auto"/>
        </w:rPr>
        <w:tab/>
      </w:r>
      <w:r>
        <w:rPr>
          <w:rFonts w:ascii="Arial" w:cs="Arial" w:eastAsia="Arial" w:hAnsi="Arial"/>
          <w:sz w:val="17"/>
          <w:szCs w:val="17"/>
          <w:color w:val="auto"/>
        </w:rPr>
        <w:t>(the “</w:t>
      </w:r>
      <w:r>
        <w:rPr>
          <w:rFonts w:ascii="Arial" w:cs="Arial" w:eastAsia="Arial" w:hAnsi="Arial"/>
          <w:sz w:val="17"/>
          <w:szCs w:val="17"/>
          <w:b w:val="1"/>
          <w:bCs w:val="1"/>
          <w:color w:val="auto"/>
        </w:rPr>
        <w:t>Additional Loan</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5069840</wp:posOffset>
            </wp:positionH>
            <wp:positionV relativeFrom="paragraph">
              <wp:posOffset>-7620</wp:posOffset>
            </wp:positionV>
            <wp:extent cx="5429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6">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9" w:lineRule="exact"/>
        <w:rPr>
          <w:sz w:val="20"/>
          <w:szCs w:val="20"/>
          <w:color w:val="auto"/>
        </w:rPr>
      </w:pPr>
    </w:p>
    <w:p>
      <w:pPr>
        <w:ind w:left="660" w:right="280" w:hanging="652"/>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Borrower confirms that he has received the total amount of the Additional Loan and has invested it into the Domestic Company as an additional capital contribution.</w:t>
      </w:r>
    </w:p>
    <w:p>
      <w:pPr>
        <w:spacing w:after="0" w:line="170"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p>
      <w:pPr>
        <w:spacing w:after="0" w:line="181" w:lineRule="exact"/>
        <w:rPr>
          <w:rFonts w:ascii="Arial" w:cs="Arial" w:eastAsia="Arial" w:hAnsi="Arial"/>
          <w:sz w:val="18"/>
          <w:szCs w:val="18"/>
          <w:color w:val="auto"/>
        </w:rPr>
      </w:pPr>
    </w:p>
    <w:p>
      <w:pPr>
        <w:ind w:left="660" w:right="460" w:hanging="652"/>
        <w:spacing w:after="0" w:line="342"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Articles 6, 7 and 8 of the Agreement are hereby incorporated into this Supplemental Agreement by this reference.</w:t>
      </w:r>
    </w:p>
    <w:p>
      <w:pPr>
        <w:spacing w:after="0" w:line="225"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660" w:hanging="652"/>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48" w:lineRule="exact"/>
        <w:rPr>
          <w:rFonts w:ascii="Arial" w:cs="Arial" w:eastAsia="Arial" w:hAnsi="Arial"/>
          <w:sz w:val="16"/>
          <w:szCs w:val="16"/>
          <w:color w:val="auto"/>
        </w:rPr>
      </w:pPr>
    </w:p>
    <w:p>
      <w:pPr>
        <w:ind w:left="660" w:right="320" w:hanging="652"/>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-956310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Supplemental Agreement has been signed by the Parties hereto as of the date first written above.</w:t>
      </w:r>
    </w:p>
    <w:p>
      <w:pPr>
        <w:sectPr>
          <w:pgSz w:w="11900" w:h="16838" w:orient="portrait"/>
          <w:cols w:equalWidth="0" w:num="1">
            <w:col w:w="11300"/>
          </w:cols>
          <w:pgMar w:left="240" w:top="337" w:right="359" w:bottom="1440" w:gutter="0" w:footer="0" w:header="0"/>
        </w:sectPr>
      </w:pP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Youdao Information Technology (Beijing)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Ltd.</w:t>
      </w:r>
    </w:p>
    <w:p>
      <w:pPr>
        <w:spacing w:after="0" w:line="200" w:lineRule="exact"/>
        <w:rPr>
          <w:sz w:val="20"/>
          <w:szCs w:val="20"/>
          <w:color w:val="auto"/>
        </w:rPr>
      </w:pPr>
    </w:p>
    <w:p>
      <w:pPr>
        <w:sectPr>
          <w:pgSz w:w="11900" w:h="16838" w:orient="portrait"/>
          <w:cols w:equalWidth="0" w:num="2">
            <w:col w:w="6340" w:space="500"/>
            <w:col w:w="4460"/>
          </w:cols>
          <w:pgMar w:left="240" w:top="337" w:right="359" w:bottom="1440" w:gutter="0" w:footer="0" w:header="0"/>
          <w:type w:val="continuous"/>
        </w:sectPr>
      </w:pPr>
    </w:p>
    <w:p>
      <w:pPr>
        <w:spacing w:after="0" w:line="223" w:lineRule="exact"/>
        <w:rPr>
          <w:sz w:val="20"/>
          <w:szCs w:val="20"/>
          <w:color w:val="auto"/>
        </w:rPr>
      </w:pPr>
    </w:p>
    <w:p>
      <w:pPr>
        <w:ind w:left="5720"/>
        <w:spacing w:after="0"/>
        <w:tabs>
          <w:tab w:leader="none" w:pos="6820" w:val="left"/>
        </w:tabs>
        <w:rPr>
          <w:sz w:val="20"/>
          <w:szCs w:val="20"/>
          <w:color w:val="auto"/>
        </w:rPr>
      </w:pPr>
      <w:r>
        <w:rPr>
          <w:rFonts w:ascii="Arial" w:cs="Arial" w:eastAsia="Arial" w:hAnsi="Arial"/>
          <w:sz w:val="16"/>
          <w:szCs w:val="16"/>
          <w:b w:val="1"/>
          <w:bCs w:val="1"/>
          <w:color w:val="auto"/>
        </w:rPr>
        <w:t>Borrower:</w:t>
      </w:r>
      <w:r>
        <w:rPr>
          <w:sz w:val="20"/>
          <w:szCs w:val="20"/>
          <w:color w:val="auto"/>
        </w:rPr>
        <w:tab/>
      </w:r>
      <w:r>
        <w:rPr>
          <w:rFonts w:ascii="Arial" w:cs="Arial" w:eastAsia="Arial" w:hAnsi="Arial"/>
          <w:sz w:val="16"/>
          <w:szCs w:val="16"/>
          <w:b w:val="1"/>
          <w:bCs w:val="1"/>
          <w:color w:val="auto"/>
        </w:rPr>
        <w:t>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306705</wp:posOffset>
            </wp:positionV>
            <wp:extent cx="29070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[Signature page to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type w:val="continuous"/>
        </w:sectPr>
      </w:pPr>
    </w:p>
    <w:bookmarkStart w:id="129" w:name="page130"/>
    <w:bookmarkEnd w:id="129"/>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Equity Pledge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November 20, 2017:</w:t>
      </w:r>
    </w:p>
    <w:p>
      <w:pPr>
        <w:spacing w:after="0" w:line="225" w:lineRule="exact"/>
        <w:rPr>
          <w:sz w:val="20"/>
          <w:szCs w:val="20"/>
          <w:color w:val="auto"/>
        </w:rPr>
      </w:pPr>
    </w:p>
    <w:p>
      <w:pPr>
        <w:ind w:left="1300" w:right="160" w:hanging="644"/>
        <w:spacing w:after="0" w:line="266" w:lineRule="auto"/>
        <w:tabs>
          <w:tab w:leader="none" w:pos="13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NetEase Youdao Information Technology (Beijing) Co., Ltd.(the “</w:t>
      </w:r>
      <w:r>
        <w:rPr>
          <w:rFonts w:ascii="Arial" w:cs="Arial" w:eastAsia="Arial" w:hAnsi="Arial"/>
          <w:sz w:val="18"/>
          <w:szCs w:val="18"/>
          <w:b w:val="1"/>
          <w:bCs w:val="1"/>
          <w:color w:val="auto"/>
        </w:rPr>
        <w:t>Pledgee</w:t>
      </w:r>
      <w:r>
        <w:rPr>
          <w:rFonts w:ascii="Arial" w:cs="Arial" w:eastAsia="Arial" w:hAnsi="Arial"/>
          <w:sz w:val="18"/>
          <w:szCs w:val="18"/>
          <w:color w:val="auto"/>
        </w:rPr>
        <w:t>”), a Wholly foreign owned enterprise registered in Beijing, People’s Republic of China (“</w:t>
      </w:r>
      <w:r>
        <w:rPr>
          <w:rFonts w:ascii="Arial" w:cs="Arial" w:eastAsia="Arial" w:hAnsi="Arial"/>
          <w:sz w:val="18"/>
          <w:szCs w:val="18"/>
          <w:b w:val="1"/>
          <w:bCs w:val="1"/>
          <w:color w:val="auto"/>
        </w:rPr>
        <w:t>PRC</w:t>
      </w:r>
      <w:r>
        <w:rPr>
          <w:rFonts w:ascii="Arial" w:cs="Arial" w:eastAsia="Arial" w:hAnsi="Arial"/>
          <w:sz w:val="18"/>
          <w:szCs w:val="18"/>
          <w:color w:val="auto"/>
        </w:rPr>
        <w:t>”) with its address at 1/F, Tower C, Building No. 7, West Zone Zhongguancun Software Park (Phase II) No. 10 Xibeiwang East Road, Haidian District; and</w:t>
      </w:r>
    </w:p>
    <w:p>
      <w:pPr>
        <w:spacing w:after="0" w:line="176" w:lineRule="exact"/>
        <w:rPr>
          <w:rFonts w:ascii="Arial" w:cs="Arial" w:eastAsia="Arial" w:hAnsi="Arial"/>
          <w:sz w:val="18"/>
          <w:szCs w:val="18"/>
          <w:color w:val="auto"/>
        </w:rPr>
      </w:pPr>
    </w:p>
    <w:p>
      <w:pPr>
        <w:ind w:left="1300" w:right="620" w:hanging="644"/>
        <w:spacing w:after="0" w:line="282" w:lineRule="auto"/>
        <w:tabs>
          <w:tab w:leader="none" w:pos="13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Feng Zhou(ID Number: 320223197710060211, the “</w:t>
      </w:r>
      <w:r>
        <w:rPr>
          <w:rFonts w:ascii="Arial" w:cs="Arial" w:eastAsia="Arial" w:hAnsi="Arial"/>
          <w:sz w:val="18"/>
          <w:szCs w:val="18"/>
          <w:b w:val="1"/>
          <w:bCs w:val="1"/>
          <w:color w:val="auto"/>
        </w:rPr>
        <w:t>Pledgor</w:t>
      </w:r>
      <w:r>
        <w:rPr>
          <w:rFonts w:ascii="Arial" w:cs="Arial" w:eastAsia="Arial" w:hAnsi="Arial"/>
          <w:sz w:val="18"/>
          <w:szCs w:val="18"/>
          <w:color w:val="auto"/>
        </w:rPr>
        <w:t>”), a PRC citizen with his address at No. 15, Guang Hua Li, Chaoyang District, Beijing.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Pledgee and the Pledgor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right="120" w:hanging="644"/>
        <w:spacing w:after="0" w:line="279" w:lineRule="auto"/>
        <w:tabs>
          <w:tab w:leader="none" w:pos="13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Pledgor is a registered shareholder of Beijing NetEase Youdao Computer System Co., Ltd., a limited liability company registered in Beijing, PRC with its address at 2/F, Tower A, Building No. 7, West Zone Zhongguancun Software Park (Phase II) No. 10 Xibeiwang East Road, Haidian District (the “</w:t>
      </w:r>
      <w:r>
        <w:rPr>
          <w:rFonts w:ascii="Arial" w:cs="Arial" w:eastAsia="Arial" w:hAnsi="Arial"/>
          <w:sz w:val="17"/>
          <w:szCs w:val="17"/>
          <w:b w:val="1"/>
          <w:bCs w:val="1"/>
          <w:color w:val="auto"/>
        </w:rPr>
        <w:t>Domestic Company</w:t>
      </w:r>
      <w:r>
        <w:rPr>
          <w:rFonts w:ascii="Arial" w:cs="Arial" w:eastAsia="Arial" w:hAnsi="Arial"/>
          <w:sz w:val="17"/>
          <w:szCs w:val="17"/>
          <w:color w:val="auto"/>
        </w:rPr>
        <w:t xml:space="preserve">”), and holds 28.927%of the equity interests in the Domestic Company. The equity structure of Domestic Company as of the date of execution of this Agreement is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300" w:right="180" w:hanging="644"/>
        <w:spacing w:after="0" w:line="264" w:lineRule="auto"/>
        <w:tabs>
          <w:tab w:leader="none" w:pos="131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Pursuant to a Loan Agreement dated November 20, 2017 between the Pledgee and the Pledgor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Pledgee has provided a loan to the Pledgor in the original principal amount of RMB 1,446,350 Yuan.</w:t>
      </w:r>
    </w:p>
    <w:p>
      <w:pPr>
        <w:spacing w:after="0" w:line="181" w:lineRule="exact"/>
        <w:rPr>
          <w:rFonts w:ascii="Arial" w:cs="Arial" w:eastAsia="Arial" w:hAnsi="Arial"/>
          <w:sz w:val="18"/>
          <w:szCs w:val="18"/>
          <w:color w:val="auto"/>
        </w:rPr>
      </w:pPr>
    </w:p>
    <w:p>
      <w:pPr>
        <w:ind w:left="1300" w:right="120" w:hanging="644"/>
        <w:spacing w:after="0" w:line="259" w:lineRule="auto"/>
        <w:tabs>
          <w:tab w:leader="none" w:pos="131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Pursuant to a Shareholder Voting Right Trust Agreement dated as of November 20, 2017 among the Pledgee, the Pledgor, the Domestic Company and the other Parties thereto (as amended and supplemented from time to time,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the Pledgor has irrevocably appointed the Pledgee as proxy and vested the Pledgee with full power to exercise on his behalf all of his shareholder’s voting rights in respect of the Domestic Company.</w:t>
      </w:r>
    </w:p>
    <w:p>
      <w:pPr>
        <w:spacing w:after="0" w:line="186" w:lineRule="exact"/>
        <w:rPr>
          <w:rFonts w:ascii="Arial" w:cs="Arial" w:eastAsia="Arial" w:hAnsi="Arial"/>
          <w:sz w:val="18"/>
          <w:szCs w:val="18"/>
          <w:color w:val="auto"/>
        </w:rPr>
      </w:pPr>
    </w:p>
    <w:p>
      <w:pPr>
        <w:ind w:left="1300" w:right="220" w:hanging="644"/>
        <w:spacing w:after="0" w:line="286" w:lineRule="auto"/>
        <w:tabs>
          <w:tab w:leader="none" w:pos="13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Pursuant to an Exclusive Purchase Option Agreement dated as of November 20, 2017 among the Pledgee, the Pledgor and the Domestic Company (as amended and supplemented from time to time, the “</w:t>
      </w:r>
      <w:r>
        <w:rPr>
          <w:rFonts w:ascii="Arial" w:cs="Arial" w:eastAsia="Arial" w:hAnsi="Arial"/>
          <w:sz w:val="17"/>
          <w:szCs w:val="17"/>
          <w:b w:val="1"/>
          <w:bCs w:val="1"/>
          <w:color w:val="auto"/>
        </w:rPr>
        <w:t>Purchase Option Agreement</w:t>
      </w:r>
      <w:r>
        <w:rPr>
          <w:rFonts w:ascii="Arial" w:cs="Arial" w:eastAsia="Arial" w:hAnsi="Arial"/>
          <w:sz w:val="17"/>
          <w:szCs w:val="17"/>
          <w:color w:val="auto"/>
        </w:rPr>
        <w:t>”), the Pledgor has irrevocably granted to the Pledgee an option to purchase all or a portion of the Pledgor’s equity interests in the Domestic Company.</w:t>
      </w:r>
    </w:p>
    <w:p>
      <w:pPr>
        <w:spacing w:after="0" w:line="165" w:lineRule="exact"/>
        <w:rPr>
          <w:rFonts w:ascii="Arial" w:cs="Arial" w:eastAsia="Arial" w:hAnsi="Arial"/>
          <w:sz w:val="17"/>
          <w:szCs w:val="17"/>
          <w:color w:val="auto"/>
        </w:rPr>
      </w:pPr>
    </w:p>
    <w:p>
      <w:pPr>
        <w:ind w:left="1300" w:right="60" w:hanging="644"/>
        <w:spacing w:after="0" w:line="312" w:lineRule="auto"/>
        <w:tabs>
          <w:tab w:leader="none" w:pos="131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Pursuant to an Operating Agreement dated as of November 20, 2017 among the Pledgee, the Pledgor, the Domestic Company and the other Parties thereto (as amended and supplemented from time to time, the “</w:t>
      </w:r>
      <w:r>
        <w:rPr>
          <w:rFonts w:ascii="Arial" w:cs="Arial" w:eastAsia="Arial" w:hAnsi="Arial"/>
          <w:sz w:val="16"/>
          <w:szCs w:val="16"/>
          <w:b w:val="1"/>
          <w:bCs w:val="1"/>
          <w:color w:val="auto"/>
        </w:rPr>
        <w:t>Operating Agreement</w:t>
      </w:r>
      <w:r>
        <w:rPr>
          <w:rFonts w:ascii="Arial" w:cs="Arial" w:eastAsia="Arial" w:hAnsi="Arial"/>
          <w:sz w:val="16"/>
          <w:szCs w:val="16"/>
          <w:color w:val="auto"/>
        </w:rPr>
        <w:t>”), the Pledgor has agreed, among other things, not to engage in certain transactions relating to the Domestic Company without the Pledgee’s prior written consent.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jc w:val="both"/>
        <w:ind w:left="1300" w:right="300" w:hanging="644"/>
        <w:spacing w:after="0" w:line="264" w:lineRule="auto"/>
        <w:tabs>
          <w:tab w:leader="none" w:pos="13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Unless the context otherwise requires, the following terms in this Agreement shall have the following meanings: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“Breaching Event” </w:t>
      </w:r>
      <w:r>
        <w:rPr>
          <w:rFonts w:ascii="Arial" w:cs="Arial" w:eastAsia="Arial" w:hAnsi="Arial"/>
          <w:sz w:val="18"/>
          <w:szCs w:val="18"/>
          <w:color w:val="auto"/>
        </w:rPr>
        <w:t>shall mean any breach by the Pledgor of any of his Contract Obligations (as defined below).</w:t>
      </w:r>
    </w:p>
    <w:p>
      <w:pPr>
        <w:spacing w:after="0" w:line="225" w:lineRule="exact"/>
        <w:rPr>
          <w:sz w:val="20"/>
          <w:szCs w:val="20"/>
          <w:color w:val="auto"/>
        </w:rPr>
      </w:pPr>
    </w:p>
    <w:p>
      <w:pPr>
        <w:ind w:left="1300" w:right="40"/>
        <w:spacing w:after="0" w:line="261" w:lineRule="auto"/>
        <w:rPr>
          <w:sz w:val="20"/>
          <w:szCs w:val="20"/>
          <w:color w:val="auto"/>
        </w:rPr>
      </w:pPr>
      <w:r>
        <w:rPr>
          <w:rFonts w:ascii="Arial" w:cs="Arial" w:eastAsia="Arial" w:hAnsi="Arial"/>
          <w:sz w:val="18"/>
          <w:szCs w:val="18"/>
          <w:b w:val="1"/>
          <w:bCs w:val="1"/>
          <w:color w:val="auto"/>
        </w:rPr>
        <w:t xml:space="preserve">“Contract Obligations” </w:t>
      </w:r>
      <w:r>
        <w:rPr>
          <w:rFonts w:ascii="Arial" w:cs="Arial" w:eastAsia="Arial" w:hAnsi="Arial"/>
          <w:sz w:val="18"/>
          <w:szCs w:val="18"/>
          <w:color w:val="auto"/>
        </w:rPr>
        <w:t>shall mean the obligations of the Pledgor to repay the Loan (as defined in the Loan Agreement)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spacing w:after="0" w:line="180" w:lineRule="exact"/>
        <w:rPr>
          <w:sz w:val="20"/>
          <w:szCs w:val="20"/>
          <w:color w:val="auto"/>
        </w:rPr>
      </w:pPr>
    </w:p>
    <w:p>
      <w:pPr>
        <w:jc w:val="both"/>
        <w:ind w:left="1300" w:right="100"/>
        <w:spacing w:after="0" w:line="266" w:lineRule="auto"/>
        <w:rPr>
          <w:sz w:val="20"/>
          <w:szCs w:val="20"/>
          <w:color w:val="auto"/>
        </w:rPr>
      </w:pPr>
      <w:r>
        <w:rPr>
          <w:rFonts w:ascii="Arial" w:cs="Arial" w:eastAsia="Arial" w:hAnsi="Arial"/>
          <w:sz w:val="18"/>
          <w:szCs w:val="18"/>
          <w:b w:val="1"/>
          <w:bCs w:val="1"/>
          <w:color w:val="auto"/>
        </w:rPr>
        <w:t xml:space="preserve">“Pledged Equity” </w:t>
      </w:r>
      <w:r>
        <w:rPr>
          <w:rFonts w:ascii="Arial" w:cs="Arial" w:eastAsia="Arial" w:hAnsi="Arial"/>
          <w:sz w:val="18"/>
          <w:szCs w:val="18"/>
          <w:color w:val="auto"/>
        </w:rPr>
        <w:t>shall mean all of the equity interests in the Domestic Company which are legally owned by the Pledgor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to be pledged to the Pledgee pursuant to the provisions hereof as the security for the performance by the Pledgor of the Contract Obligations.</w:t>
      </w:r>
    </w:p>
    <w:p>
      <w:pPr>
        <w:spacing w:after="0" w:line="176" w:lineRule="exact"/>
        <w:rPr>
          <w:sz w:val="20"/>
          <w:szCs w:val="20"/>
          <w:color w:val="auto"/>
        </w:rPr>
      </w:pPr>
    </w:p>
    <w:p>
      <w:pPr>
        <w:ind w:left="1300" w:right="180"/>
        <w:spacing w:after="0" w:line="282" w:lineRule="auto"/>
        <w:rPr>
          <w:sz w:val="20"/>
          <w:szCs w:val="20"/>
          <w:color w:val="auto"/>
        </w:rPr>
      </w:pPr>
      <w:r>
        <w:rPr>
          <w:rFonts w:ascii="Arial" w:cs="Arial" w:eastAsia="Arial" w:hAnsi="Arial"/>
          <w:sz w:val="18"/>
          <w:szCs w:val="18"/>
          <w:b w:val="1"/>
          <w:bCs w:val="1"/>
          <w:color w:val="auto"/>
        </w:rPr>
        <w:t xml:space="preserve">“PRC Law” </w:t>
      </w:r>
      <w:r>
        <w:rPr>
          <w:rFonts w:ascii="Arial" w:cs="Arial" w:eastAsia="Arial" w:hAnsi="Arial"/>
          <w:sz w:val="18"/>
          <w:szCs w:val="18"/>
          <w:color w:val="auto"/>
        </w:rPr>
        <w:t>shall mean the then valid laws, administrative regulations, administrative rules, local regulations, judicial interpretations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regulatory documents of the PRC.</w:t>
      </w:r>
    </w:p>
    <w:p>
      <w:pPr>
        <w:spacing w:after="0" w:line="162" w:lineRule="exact"/>
        <w:rPr>
          <w:sz w:val="20"/>
          <w:szCs w:val="20"/>
          <w:color w:val="auto"/>
        </w:rPr>
      </w:pPr>
    </w:p>
    <w:p>
      <w:pPr>
        <w:ind w:left="1300" w:right="80"/>
        <w:spacing w:after="0" w:line="347" w:lineRule="auto"/>
        <w:rPr>
          <w:sz w:val="20"/>
          <w:szCs w:val="20"/>
          <w:color w:val="auto"/>
        </w:rPr>
      </w:pPr>
      <w:r>
        <w:rPr>
          <w:rFonts w:ascii="Arial" w:cs="Arial" w:eastAsia="Arial" w:hAnsi="Arial"/>
          <w:sz w:val="16"/>
          <w:szCs w:val="16"/>
          <w:b w:val="1"/>
          <w:bCs w:val="1"/>
          <w:color w:val="auto"/>
        </w:rPr>
        <w:t xml:space="preserve">“Secured Debts” </w:t>
      </w:r>
      <w:r>
        <w:rPr>
          <w:rFonts w:ascii="Arial" w:cs="Arial" w:eastAsia="Arial" w:hAnsi="Arial"/>
          <w:sz w:val="16"/>
          <w:szCs w:val="16"/>
          <w:color w:val="auto"/>
        </w:rPr>
        <w:t>shall mean all direct, indirect and consequential losses and losses of foreseeable profits suffered by the Pledgee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Breaching Event of any of the Pledgor, and all fees incurred by Pledgee for the enforcement of the Contract Obligations of the Pledgor.</w:t>
      </w:r>
    </w:p>
    <w:p>
      <w:pPr>
        <w:spacing w:after="0" w:line="116" w:lineRule="exact"/>
        <w:rPr>
          <w:sz w:val="20"/>
          <w:szCs w:val="20"/>
          <w:color w:val="auto"/>
        </w:rPr>
      </w:pPr>
    </w:p>
    <w:p>
      <w:pPr>
        <w:ind w:left="1300" w:right="300"/>
        <w:spacing w:after="0" w:line="282" w:lineRule="auto"/>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shall mean the Loan Agreement, the Purchase Option Agreement, the Operating Agreement and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Trust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references to any PRC Law herein shall be deemed:</w:t>
      </w:r>
    </w:p>
    <w:p>
      <w:pPr>
        <w:spacing w:after="0" w:line="225" w:lineRule="exact"/>
        <w:rPr>
          <w:sz w:val="20"/>
          <w:szCs w:val="20"/>
          <w:color w:val="auto"/>
        </w:rPr>
      </w:pPr>
    </w:p>
    <w:p>
      <w:pPr>
        <w:ind w:left="1300" w:right="280" w:firstLine="5"/>
        <w:spacing w:after="0" w:line="277" w:lineRule="auto"/>
        <w:tabs>
          <w:tab w:leader="none" w:pos="19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include references to the amendments, changes, supplements and reenactments of such law, irrespective of whether they take effect before or after the formation of this Agreement; and</w:t>
      </w:r>
    </w:p>
    <w:p>
      <w:pPr>
        <w:sectPr>
          <w:pgSz w:w="11900" w:h="16861" w:orient="portrait"/>
          <w:cols w:equalWidth="0" w:num="1">
            <w:col w:w="11420"/>
          </w:cols>
          <w:pgMar w:left="240" w:top="121" w:right="239" w:bottom="0" w:gutter="0" w:footer="0" w:header="0"/>
        </w:sectPr>
      </w:pPr>
    </w:p>
    <w:bookmarkStart w:id="130" w:name="page131"/>
    <w:bookmarkEnd w:id="130"/>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include references to other decisions, notices or regulations enacted in accordance therewith or effective as a result thereof.</w:t>
      </w:r>
    </w:p>
    <w:p>
      <w:pPr>
        <w:spacing w:after="0" w:line="248"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stated in the context herein, all references to an Article, clause, item or paragraph shall refer to the relevant article, clause, item or paragraph of this Agreement.</w:t>
      </w:r>
    </w:p>
    <w:p>
      <w:pPr>
        <w:spacing w:after="0" w:line="166" w:lineRule="exact"/>
        <w:rPr>
          <w:sz w:val="20"/>
          <w:szCs w:val="20"/>
          <w:color w:val="auto"/>
        </w:rPr>
      </w:pPr>
    </w:p>
    <w:p>
      <w:pPr>
        <w:ind w:left="652" w:hanging="652"/>
        <w:spacing w:after="0"/>
        <w:tabs>
          <w:tab w:leader="none" w:pos="65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Pledge</w:t>
      </w:r>
    </w:p>
    <w:p>
      <w:pPr>
        <w:spacing w:after="0" w:line="229" w:lineRule="exact"/>
        <w:rPr>
          <w:rFonts w:ascii="Arial" w:cs="Arial" w:eastAsia="Arial" w:hAnsi="Arial"/>
          <w:sz w:val="18"/>
          <w:szCs w:val="18"/>
          <w:b w:val="1"/>
          <w:bCs w:val="1"/>
          <w:color w:val="auto"/>
        </w:rPr>
      </w:pPr>
    </w:p>
    <w:p>
      <w:pPr>
        <w:ind w:left="1292" w:right="14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Arial" w:cs="Arial" w:eastAsia="Arial" w:hAnsi="Arial"/>
          <w:sz w:val="18"/>
          <w:szCs w:val="18"/>
          <w:b w:val="1"/>
          <w:bCs w:val="1"/>
          <w:color w:val="auto"/>
        </w:rPr>
        <w:t>Equity Pledge</w:t>
      </w:r>
      <w:r>
        <w:rPr>
          <w:rFonts w:ascii="Arial" w:cs="Arial" w:eastAsia="Arial" w:hAnsi="Arial"/>
          <w:sz w:val="18"/>
          <w:szCs w:val="18"/>
          <w:color w:val="auto"/>
        </w:rPr>
        <w:t>”).</w:t>
      </w:r>
    </w:p>
    <w:p>
      <w:pPr>
        <w:spacing w:after="0" w:line="177" w:lineRule="exact"/>
        <w:rPr>
          <w:sz w:val="20"/>
          <w:szCs w:val="20"/>
          <w:color w:val="auto"/>
        </w:rPr>
      </w:pPr>
    </w:p>
    <w:p>
      <w:pPr>
        <w:ind w:left="1292" w:right="20" w:hanging="647"/>
        <w:spacing w:after="0" w:line="293"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Pledgor shall have been or will be registered at the local branch of State Administration for Industry and Commerce (“</w:t>
      </w:r>
      <w:r>
        <w:rPr>
          <w:rFonts w:ascii="Arial" w:cs="Arial" w:eastAsia="Arial" w:hAnsi="Arial"/>
          <w:sz w:val="16"/>
          <w:szCs w:val="16"/>
          <w:b w:val="1"/>
          <w:bCs w:val="1"/>
          <w:color w:val="auto"/>
        </w:rPr>
        <w:t>SAIC</w:t>
      </w:r>
      <w:r>
        <w:rPr>
          <w:rFonts w:ascii="Arial" w:cs="Arial" w:eastAsia="Arial" w:hAnsi="Arial"/>
          <w:sz w:val="16"/>
          <w:szCs w:val="16"/>
          <w:color w:val="auto"/>
        </w:rPr>
        <w:t>”) as one of the shareholders of the Domestic Company holding his proportion of the equity interests in the Domestic Company as set forth in Recital</w:t>
      </w:r>
    </w:p>
    <w:p>
      <w:pPr>
        <w:spacing w:after="0" w:line="1" w:lineRule="exact"/>
        <w:rPr>
          <w:sz w:val="20"/>
          <w:szCs w:val="20"/>
          <w:color w:val="auto"/>
        </w:rPr>
      </w:pPr>
    </w:p>
    <w:p>
      <w:pPr>
        <w:ind w:left="1292" w:right="80" w:firstLine="5"/>
        <w:spacing w:after="0" w:line="261" w:lineRule="auto"/>
        <w:tabs>
          <w:tab w:leader="none" w:pos="158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above and hold such equity interests free and clear of encumbrances except for the Equity Pledge as provided in this Agreement and/or as otherwise agreed by the Parties.</w:t>
      </w:r>
    </w:p>
    <w:p>
      <w:pPr>
        <w:spacing w:after="0" w:line="184" w:lineRule="exact"/>
        <w:rPr>
          <w:sz w:val="20"/>
          <w:szCs w:val="20"/>
          <w:color w:val="auto"/>
        </w:rPr>
      </w:pPr>
    </w:p>
    <w:p>
      <w:pPr>
        <w:ind w:left="1292" w:right="120" w:hanging="647"/>
        <w:spacing w:after="0" w:line="293"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 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5" w:lineRule="exact"/>
        <w:rPr>
          <w:sz w:val="20"/>
          <w:szCs w:val="20"/>
          <w:color w:val="auto"/>
        </w:rPr>
      </w:pPr>
    </w:p>
    <w:p>
      <w:pPr>
        <w:ind w:left="1292" w:right="200" w:hanging="647"/>
        <w:spacing w:after="0" w:line="277"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During the term of this Agreement, the Pledgee shall not be liable in any way for impairment in value of the Pledged Equity, nor shall the Pledgor have any right to make any claims against the Pledgee for such impairment in value.</w:t>
      </w:r>
    </w:p>
    <w:p>
      <w:pPr>
        <w:spacing w:after="0" w:line="170" w:lineRule="exact"/>
        <w:rPr>
          <w:sz w:val="20"/>
          <w:szCs w:val="20"/>
          <w:color w:val="auto"/>
        </w:rPr>
      </w:pPr>
    </w:p>
    <w:p>
      <w:pPr>
        <w:ind w:left="1292" w:right="260" w:hanging="647"/>
        <w:spacing w:after="0" w:line="277"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Upon the occurrence of any Breaching Event, the Pledgee shall have the right to dispose of the Pledged Equity in the manner set forth in Article 4 hereof.</w:t>
      </w:r>
    </w:p>
    <w:p>
      <w:pPr>
        <w:spacing w:after="0" w:line="170" w:lineRule="exact"/>
        <w:rPr>
          <w:sz w:val="20"/>
          <w:szCs w:val="20"/>
          <w:color w:val="auto"/>
        </w:rPr>
      </w:pPr>
    </w:p>
    <w:p>
      <w:pPr>
        <w:ind w:left="1292" w:right="720" w:hanging="647"/>
        <w:spacing w:after="0" w:line="342"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24" w:lineRule="exact"/>
        <w:rPr>
          <w:sz w:val="20"/>
          <w:szCs w:val="20"/>
          <w:color w:val="auto"/>
        </w:rPr>
      </w:pPr>
    </w:p>
    <w:p>
      <w:pPr>
        <w:ind w:left="1292" w:right="340" w:hanging="647"/>
        <w:spacing w:after="0" w:line="277" w:lineRule="auto"/>
        <w:tabs>
          <w:tab w:leader="none" w:pos="127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Without the prior written consent of the Pledgee, the Pledgor shall not enter into any transactions with the Domestic Company.</w:t>
      </w:r>
    </w:p>
    <w:p>
      <w:pPr>
        <w:spacing w:after="0" w:line="225" w:lineRule="exact"/>
        <w:rPr>
          <w:sz w:val="20"/>
          <w:szCs w:val="20"/>
          <w:color w:val="auto"/>
        </w:rPr>
      </w:pPr>
    </w:p>
    <w:p>
      <w:pPr>
        <w:ind w:left="1292" w:right="120" w:hanging="647"/>
        <w:spacing w:after="0" w:line="255" w:lineRule="auto"/>
        <w:tabs>
          <w:tab w:leader="none" w:pos="127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93" w:lineRule="exact"/>
        <w:rPr>
          <w:sz w:val="20"/>
          <w:szCs w:val="20"/>
          <w:color w:val="auto"/>
        </w:rPr>
      </w:pPr>
    </w:p>
    <w:p>
      <w:pPr>
        <w:ind w:left="1292" w:right="20" w:hanging="647"/>
        <w:spacing w:after="0" w:line="277" w:lineRule="auto"/>
        <w:tabs>
          <w:tab w:leader="none" w:pos="1272" w:val="left"/>
        </w:tabs>
        <w:rPr>
          <w:sz w:val="20"/>
          <w:szCs w:val="20"/>
          <w:color w:val="auto"/>
        </w:rPr>
      </w:pPr>
      <w:r>
        <w:rPr>
          <w:rFonts w:ascii="Arial" w:cs="Arial" w:eastAsia="Arial" w:hAnsi="Arial"/>
          <w:sz w:val="18"/>
          <w:szCs w:val="18"/>
          <w:color w:val="auto"/>
        </w:rPr>
        <w:t>2.10.</w:t>
        <w:tab/>
        <w:t>The Pledgee shall have the right to collect dividends or any other distribution paid with respect to the Pledged Equity during the term of this Agreement.</w:t>
      </w:r>
    </w:p>
    <w:p>
      <w:pPr>
        <w:spacing w:after="0" w:line="166" w:lineRule="exact"/>
        <w:rPr>
          <w:sz w:val="20"/>
          <w:szCs w:val="20"/>
          <w:color w:val="auto"/>
        </w:rPr>
      </w:pPr>
    </w:p>
    <w:p>
      <w:pPr>
        <w:ind w:left="652" w:hanging="652"/>
        <w:spacing w:after="0"/>
        <w:tabs>
          <w:tab w:leader="none" w:pos="652"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Pledge</w:t>
      </w:r>
    </w:p>
    <w:p>
      <w:pPr>
        <w:spacing w:after="0" w:line="229" w:lineRule="exact"/>
        <w:rPr>
          <w:rFonts w:ascii="Arial" w:cs="Arial" w:eastAsia="Arial" w:hAnsi="Arial"/>
          <w:sz w:val="18"/>
          <w:szCs w:val="18"/>
          <w:b w:val="1"/>
          <w:bCs w:val="1"/>
          <w:color w:val="auto"/>
        </w:rPr>
      </w:pPr>
    </w:p>
    <w:p>
      <w:pPr>
        <w:ind w:left="652"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Disposal of the Pledged Equity</w:t>
      </w:r>
    </w:p>
    <w:p>
      <w:pPr>
        <w:spacing w:after="0" w:line="229" w:lineRule="exact"/>
        <w:rPr>
          <w:rFonts w:ascii="Arial" w:cs="Arial" w:eastAsia="Arial" w:hAnsi="Arial"/>
          <w:sz w:val="18"/>
          <w:szCs w:val="18"/>
          <w:b w:val="1"/>
          <w:bCs w:val="1"/>
          <w:color w:val="auto"/>
        </w:rPr>
      </w:pPr>
    </w:p>
    <w:p>
      <w:pPr>
        <w:ind w:left="1292"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72" w:lineRule="exact"/>
        <w:rPr>
          <w:rFonts w:ascii="Arial" w:cs="Arial" w:eastAsia="Arial" w:hAnsi="Arial"/>
          <w:sz w:val="18"/>
          <w:szCs w:val="18"/>
          <w:b w:val="1"/>
          <w:bCs w:val="1"/>
          <w:color w:val="auto"/>
        </w:rPr>
      </w:pPr>
    </w:p>
    <w:p>
      <w:pPr>
        <w:ind w:left="1292" w:right="4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Pledgee shall have the right to designate in writing its legal counsel or other agents to exercise on its behalf any and all rights and powers referred to above, and the Pledgor shall not raise any objection thereto.</w:t>
      </w:r>
    </w:p>
    <w:p>
      <w:pPr>
        <w:sectPr>
          <w:pgSz w:w="11900" w:h="16838" w:orient="portrait"/>
          <w:cols w:equalWidth="0" w:num="1">
            <w:col w:w="11392"/>
          </w:cols>
          <w:pgMar w:left="248" w:top="341" w:right="259" w:bottom="0" w:gutter="0" w:footer="0" w:header="0"/>
        </w:sectPr>
      </w:pPr>
    </w:p>
    <w:bookmarkStart w:id="131" w:name="page132"/>
    <w:bookmarkEnd w:id="131"/>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proceeds that the Pledgee acquires from the exercise of its rights and powers shall be applied in the following order of priority:</w:t>
      </w:r>
    </w:p>
    <w:p>
      <w:pPr>
        <w:spacing w:after="0" w:line="225" w:lineRule="exact"/>
        <w:rPr>
          <w:sz w:val="20"/>
          <w:szCs w:val="20"/>
          <w:color w:val="auto"/>
        </w:rPr>
      </w:pPr>
    </w:p>
    <w:p>
      <w:pPr>
        <w:ind w:left="1952" w:right="280" w:hanging="655"/>
        <w:spacing w:after="0" w:line="277" w:lineRule="auto"/>
        <w:tabs>
          <w:tab w:leader="none" w:pos="195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first, to pay any cost incurred in connection with the disposal of the Pledged Equity and the exercise by the Pledgee of its rights and powers (including remuneration paid to its legal counsels and agents);</w:t>
      </w:r>
    </w:p>
    <w:p>
      <w:pPr>
        <w:spacing w:after="0" w:line="170" w:lineRule="exact"/>
        <w:rPr>
          <w:rFonts w:ascii="Arial" w:cs="Arial" w:eastAsia="Arial" w:hAnsi="Arial"/>
          <w:sz w:val="18"/>
          <w:szCs w:val="18"/>
          <w:color w:val="auto"/>
        </w:rPr>
      </w:pPr>
    </w:p>
    <w:p>
      <w:pPr>
        <w:ind w:left="1952" w:right="220" w:hanging="655"/>
        <w:spacing w:after="0" w:line="277" w:lineRule="auto"/>
        <w:tabs>
          <w:tab w:leader="none" w:pos="195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second, to pay any taxes and levies payable for the disposal of the Pledged Equity (for the avoidance of doubt, such taxes do not include any income tax);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third, to repay the Pledgee for the Secured Debts.</w:t>
      </w:r>
    </w:p>
    <w:p>
      <w:pPr>
        <w:spacing w:after="0" w:line="225" w:lineRule="exact"/>
        <w:rPr>
          <w:sz w:val="20"/>
          <w:szCs w:val="20"/>
          <w:color w:val="auto"/>
        </w:rPr>
      </w:pPr>
    </w:p>
    <w:p>
      <w:pPr>
        <w:ind w:left="1292" w:right="60"/>
        <w:spacing w:after="0" w:line="264" w:lineRule="auto"/>
        <w:rPr>
          <w:sz w:val="20"/>
          <w:szCs w:val="20"/>
          <w:color w:val="auto"/>
        </w:rPr>
      </w:pPr>
      <w:r>
        <w:rPr>
          <w:rFonts w:ascii="Arial" w:cs="Arial" w:eastAsia="Arial" w:hAnsi="Arial"/>
          <w:sz w:val="18"/>
          <w:szCs w:val="18"/>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7" w:lineRule="exact"/>
        <w:rPr>
          <w:sz w:val="20"/>
          <w:szCs w:val="20"/>
          <w:color w:val="auto"/>
        </w:rPr>
      </w:pPr>
    </w:p>
    <w:p>
      <w:pPr>
        <w:ind w:left="652" w:hanging="652"/>
        <w:spacing w:after="0"/>
        <w:tabs>
          <w:tab w:leader="none" w:pos="652"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Continuity and No Waiver</w:t>
      </w:r>
    </w:p>
    <w:p>
      <w:pPr>
        <w:spacing w:after="0" w:line="229" w:lineRule="exact"/>
        <w:rPr>
          <w:rFonts w:ascii="Arial" w:cs="Arial" w:eastAsia="Arial" w:hAnsi="Arial"/>
          <w:sz w:val="18"/>
          <w:szCs w:val="18"/>
          <w:b w:val="1"/>
          <w:bCs w:val="1"/>
          <w:color w:val="auto"/>
        </w:rPr>
      </w:pPr>
    </w:p>
    <w:p>
      <w:pPr>
        <w:ind w:left="652"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6.1.As of the date of this Agreement and during the term of this Agreement through the date of termination or expiration of this Agreement, the Pledgor hereby represents and warrants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Pledgor is a PRC citizen with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40" w:hanging="655"/>
        <w:spacing w:after="0" w:line="286" w:lineRule="auto"/>
        <w:tabs>
          <w:tab w:leader="none" w:pos="1959" w:val="left"/>
        </w:tabs>
        <w:numPr>
          <w:ilvl w:val="1"/>
          <w:numId w:val="165"/>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This Agreement constitutes the lawful, valid and enforceable obligations of the Pledgor.</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600" w:hanging="655"/>
        <w:spacing w:after="0" w:line="277" w:lineRule="auto"/>
        <w:tabs>
          <w:tab w:leader="none" w:pos="19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reports, documents and information provided by the Pledgor to the Pledgee are true, correct and accurate in all material respects.</w:t>
      </w:r>
    </w:p>
    <w:p>
      <w:pPr>
        <w:spacing w:after="0" w:line="170" w:lineRule="exact"/>
        <w:rPr>
          <w:rFonts w:ascii="Arial" w:cs="Arial" w:eastAsia="Arial" w:hAnsi="Arial"/>
          <w:sz w:val="18"/>
          <w:szCs w:val="18"/>
          <w:color w:val="auto"/>
        </w:rPr>
      </w:pPr>
    </w:p>
    <w:p>
      <w:pPr>
        <w:ind w:left="1952" w:right="140" w:hanging="655"/>
        <w:spacing w:after="0" w:line="286" w:lineRule="auto"/>
        <w:tabs>
          <w:tab w:leader="none" w:pos="196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65" w:lineRule="exact"/>
        <w:rPr>
          <w:rFonts w:ascii="Arial" w:cs="Arial" w:eastAsia="Arial" w:hAnsi="Arial"/>
          <w:sz w:val="17"/>
          <w:szCs w:val="17"/>
          <w:color w:val="auto"/>
        </w:rPr>
      </w:pPr>
    </w:p>
    <w:p>
      <w:pPr>
        <w:ind w:left="1952" w:right="80" w:hanging="655"/>
        <w:spacing w:after="0" w:line="308" w:lineRule="auto"/>
        <w:tabs>
          <w:tab w:leader="none" w:pos="195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46" w:lineRule="exact"/>
        <w:rPr>
          <w:rFonts w:ascii="Arial" w:cs="Arial" w:eastAsia="Arial" w:hAnsi="Arial"/>
          <w:sz w:val="17"/>
          <w:szCs w:val="17"/>
          <w:color w:val="auto"/>
        </w:rPr>
      </w:pPr>
    </w:p>
    <w:p>
      <w:pPr>
        <w:ind w:left="1952" w:right="60" w:hanging="655"/>
        <w:spacing w:after="0" w:line="277" w:lineRule="auto"/>
        <w:tabs>
          <w:tab w:leader="none" w:pos="19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Pledged Equity is capable of being pledged or transferred according to PRC Law, and the Pledgor has the full right and power to pledge the Pledged Equity to the Pledgee according to this Agreement.</w:t>
      </w:r>
    </w:p>
    <w:p>
      <w:pPr>
        <w:spacing w:after="0" w:line="170" w:lineRule="exact"/>
        <w:rPr>
          <w:rFonts w:ascii="Arial" w:cs="Arial" w:eastAsia="Arial" w:hAnsi="Arial"/>
          <w:sz w:val="18"/>
          <w:szCs w:val="18"/>
          <w:color w:val="auto"/>
        </w:rPr>
      </w:pPr>
    </w:p>
    <w:p>
      <w:pPr>
        <w:ind w:left="1952" w:right="40" w:hanging="655"/>
        <w:spacing w:after="0" w:line="259" w:lineRule="auto"/>
        <w:tabs>
          <w:tab w:leader="none" w:pos="19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86" w:lineRule="exact"/>
        <w:rPr>
          <w:rFonts w:ascii="Arial" w:cs="Arial" w:eastAsia="Arial" w:hAnsi="Arial"/>
          <w:sz w:val="18"/>
          <w:szCs w:val="18"/>
          <w:color w:val="auto"/>
        </w:rPr>
      </w:pPr>
    </w:p>
    <w:p>
      <w:pPr>
        <w:ind w:left="1972" w:hanging="675"/>
        <w:spacing w:after="0"/>
        <w:tabs>
          <w:tab w:leader="none" w:pos="19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Equity Pledge hereunder constitutes a first pledge on the Pledged Equity.</w:t>
      </w:r>
    </w:p>
    <w:p>
      <w:pPr>
        <w:spacing w:after="0" w:line="225" w:lineRule="exact"/>
        <w:rPr>
          <w:rFonts w:ascii="Arial" w:cs="Arial" w:eastAsia="Arial" w:hAnsi="Arial"/>
          <w:sz w:val="18"/>
          <w:szCs w:val="18"/>
          <w:color w:val="auto"/>
        </w:rPr>
      </w:pPr>
    </w:p>
    <w:p>
      <w:pPr>
        <w:ind w:left="1952" w:right="60" w:hanging="655"/>
        <w:spacing w:after="0" w:line="279" w:lineRule="auto"/>
        <w:tabs>
          <w:tab w:leader="none" w:pos="19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 of the date of this Agreement and during the term of this Agreement through the date of termination or expiration of this Agreement,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Pledgee hereby represents and warrants as follows:</w:t>
      </w:r>
    </w:p>
    <w:p>
      <w:pPr>
        <w:sectPr>
          <w:pgSz w:w="11900" w:h="16838" w:orient="portrait"/>
          <w:cols w:equalWidth="0" w:num="1">
            <w:col w:w="11412"/>
          </w:cols>
          <w:pgMar w:left="248" w:top="125" w:right="239" w:bottom="0" w:gutter="0" w:footer="0" w:header="0"/>
        </w:sectPr>
      </w:pPr>
    </w:p>
    <w:bookmarkStart w:id="132" w:name="page133"/>
    <w:bookmarkEnd w:id="132"/>
    <w:p>
      <w:pPr>
        <w:spacing w:after="0" w:line="96" w:lineRule="exact"/>
        <w:rPr>
          <w:sz w:val="20"/>
          <w:szCs w:val="20"/>
          <w:color w:val="auto"/>
        </w:rPr>
      </w:pPr>
    </w:p>
    <w:p>
      <w:pPr>
        <w:ind w:left="1932" w:hanging="635"/>
        <w:spacing w:after="0"/>
        <w:tabs>
          <w:tab w:leader="none" w:pos="19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Pledgee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40" w:hanging="655"/>
        <w:spacing w:after="0" w:line="259" w:lineRule="auto"/>
        <w:tabs>
          <w:tab w:leader="none" w:pos="195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the Pledgee.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Pledgor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Pledgor hereby undertakes to the Pledgee as follows:</w:t>
      </w:r>
    </w:p>
    <w:p>
      <w:pPr>
        <w:spacing w:after="0" w:line="225" w:lineRule="exact"/>
        <w:rPr>
          <w:rFonts w:ascii="Arial" w:cs="Arial" w:eastAsia="Arial" w:hAnsi="Arial"/>
          <w:sz w:val="18"/>
          <w:szCs w:val="18"/>
          <w:b w:val="1"/>
          <w:bCs w:val="1"/>
          <w:color w:val="auto"/>
        </w:rPr>
      </w:pPr>
    </w:p>
    <w:p>
      <w:pPr>
        <w:ind w:left="1952" w:right="240" w:hanging="655"/>
        <w:spacing w:after="0" w:line="264" w:lineRule="auto"/>
        <w:tabs>
          <w:tab w:leader="none" w:pos="194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p>
      <w:pPr>
        <w:spacing w:after="0" w:line="181" w:lineRule="exact"/>
        <w:rPr>
          <w:rFonts w:ascii="Arial" w:cs="Arial" w:eastAsia="Arial" w:hAnsi="Arial"/>
          <w:sz w:val="18"/>
          <w:szCs w:val="18"/>
          <w:color w:val="auto"/>
        </w:rPr>
      </w:pPr>
    </w:p>
    <w:p>
      <w:pPr>
        <w:ind w:left="1952" w:right="60" w:hanging="655"/>
        <w:spacing w:after="0" w:line="312" w:lineRule="auto"/>
        <w:tabs>
          <w:tab w:leader="none" w:pos="195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46" w:lineRule="exact"/>
        <w:rPr>
          <w:rFonts w:ascii="Arial" w:cs="Arial" w:eastAsia="Arial" w:hAnsi="Arial"/>
          <w:sz w:val="16"/>
          <w:szCs w:val="16"/>
          <w:color w:val="auto"/>
        </w:rPr>
      </w:pPr>
    </w:p>
    <w:p>
      <w:pPr>
        <w:ind w:left="1952" w:right="20" w:hanging="655"/>
        <w:spacing w:after="0" w:line="279" w:lineRule="auto"/>
        <w:tabs>
          <w:tab w:leader="none" w:pos="1963"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1" w:lineRule="exact"/>
        <w:rPr>
          <w:rFonts w:ascii="Arial" w:cs="Arial" w:eastAsia="Arial" w:hAnsi="Arial"/>
          <w:sz w:val="17"/>
          <w:szCs w:val="17"/>
          <w:color w:val="auto"/>
        </w:rPr>
      </w:pPr>
    </w:p>
    <w:p>
      <w:pPr>
        <w:ind w:left="1952" w:right="40" w:hanging="655"/>
        <w:spacing w:after="0" w:line="277" w:lineRule="auto"/>
        <w:tabs>
          <w:tab w:leader="none" w:pos="195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Pledgor shall not take or permit any act or action which may adversely affect the interest of the Pledgee under the Transaction Agreements and hereunder or in respect of the Pledged Equity.</w:t>
      </w:r>
    </w:p>
    <w:p>
      <w:pPr>
        <w:spacing w:after="0" w:line="170" w:lineRule="exact"/>
        <w:rPr>
          <w:rFonts w:ascii="Arial" w:cs="Arial" w:eastAsia="Arial" w:hAnsi="Arial"/>
          <w:sz w:val="18"/>
          <w:szCs w:val="18"/>
          <w:color w:val="auto"/>
        </w:rPr>
      </w:pPr>
    </w:p>
    <w:p>
      <w:pPr>
        <w:ind w:left="1952" w:hanging="655"/>
        <w:spacing w:after="0" w:line="264" w:lineRule="auto"/>
        <w:tabs>
          <w:tab w:leader="none" w:pos="196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Circumstances</w:t>
      </w:r>
    </w:p>
    <w:p>
      <w:pPr>
        <w:spacing w:after="0" w:line="229" w:lineRule="exact"/>
        <w:rPr>
          <w:rFonts w:ascii="Arial" w:cs="Arial" w:eastAsia="Arial" w:hAnsi="Arial"/>
          <w:sz w:val="18"/>
          <w:szCs w:val="18"/>
          <w:b w:val="1"/>
          <w:bCs w:val="1"/>
          <w:color w:val="auto"/>
        </w:rPr>
      </w:pPr>
    </w:p>
    <w:p>
      <w:pPr>
        <w:ind w:left="6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12" w:hanging="664"/>
        <w:spacing w:after="0"/>
        <w:tabs>
          <w:tab w:leader="none" w:pos="131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keep this Agreement valid and effective;</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facilitate the disposal of the Pledged Equity in the manner provided herein; and/or</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maintain or realize the intention or the security established hereunder.</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 of the Agreement</w:t>
      </w:r>
    </w:p>
    <w:p>
      <w:pPr>
        <w:spacing w:after="0" w:line="229" w:lineRule="exact"/>
        <w:rPr>
          <w:rFonts w:ascii="Arial" w:cs="Arial" w:eastAsia="Arial" w:hAnsi="Arial"/>
          <w:sz w:val="18"/>
          <w:szCs w:val="18"/>
          <w:b w:val="1"/>
          <w:bCs w:val="1"/>
          <w:color w:val="auto"/>
        </w:rPr>
      </w:pPr>
    </w:p>
    <w:p>
      <w:pPr>
        <w:ind w:left="1292"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9.1.This Agreement shall become effective when it has been duly executed by the parties hereto and recorded in the register of equityholders (if any) of the Domestic Company, and the Equity Pledge under this Agreement or the Registration Version, as applicable,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93"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9.2.This Agreement shall continue to be valid until the full performance of the Contract Obligations or the full discharge and satisfaction of the Secured Debts.</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ectPr>
          <w:pgSz w:w="11900" w:h="16934" w:orient="portrait"/>
          <w:cols w:equalWidth="0" w:num="1">
            <w:col w:w="11372"/>
          </w:cols>
          <w:pgMar w:left="248" w:top="125" w:right="279" w:bottom="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b w:val="1"/>
          <w:bCs w:val="1"/>
          <w:color w:val="auto"/>
        </w:rPr>
        <w:t xml:space="preserve">If to Pledgee: </w:t>
      </w:r>
      <w:r>
        <w:rPr>
          <w:rFonts w:ascii="Arial" w:cs="Arial" w:eastAsia="Arial" w:hAnsi="Arial"/>
          <w:sz w:val="18"/>
          <w:szCs w:val="18"/>
          <w:color w:val="auto"/>
        </w:rPr>
        <w:t>NetEase Youdao Information Technology (Beijing)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ind w:left="1800"/>
              <w:spacing w:after="0"/>
              <w:rPr>
                <w:sz w:val="20"/>
                <w:szCs w:val="20"/>
                <w:color w:val="auto"/>
              </w:rPr>
            </w:pPr>
            <w:r>
              <w:rPr>
                <w:rFonts w:ascii="Arial" w:cs="Arial" w:eastAsia="Arial" w:hAnsi="Arial"/>
                <w:sz w:val="18"/>
                <w:szCs w:val="18"/>
                <w:color w:val="auto"/>
              </w:rPr>
              <w:t>Address:</w:t>
            </w:r>
          </w:p>
        </w:tc>
        <w:tc>
          <w:tcPr>
            <w:tcW w:w="8760" w:type="dxa"/>
            <w:vAlign w:val="bottom"/>
          </w:tcPr>
          <w:p>
            <w:pPr>
              <w:ind w:left="140"/>
              <w:spacing w:after="0"/>
              <w:rPr>
                <w:sz w:val="20"/>
                <w:szCs w:val="20"/>
                <w:color w:val="auto"/>
              </w:rPr>
            </w:pPr>
            <w:r>
              <w:rPr>
                <w:rFonts w:ascii="Arial" w:cs="Arial" w:eastAsia="Arial" w:hAnsi="Arial"/>
                <w:sz w:val="18"/>
                <w:szCs w:val="18"/>
                <w:color w:val="auto"/>
              </w:rPr>
              <w:t>1/F, Tower C, Building No. 7, West Zone Zhongguancun Software Park (Phase II) No. 10 Xibeiwang East</w:t>
            </w:r>
          </w:p>
        </w:tc>
      </w:tr>
      <w:tr>
        <w:trPr>
          <w:trHeight w:val="230"/>
        </w:trPr>
        <w:tc>
          <w:tcPr>
            <w:tcW w:w="2700" w:type="dxa"/>
            <w:vAlign w:val="bottom"/>
          </w:tcPr>
          <w:p>
            <w:pPr>
              <w:spacing w:after="0"/>
              <w:rPr>
                <w:sz w:val="20"/>
                <w:szCs w:val="20"/>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Road, Haidian District</w:t>
            </w:r>
          </w:p>
        </w:tc>
      </w:tr>
      <w:tr>
        <w:trPr>
          <w:trHeight w:val="432"/>
        </w:trPr>
        <w:tc>
          <w:tcPr>
            <w:tcW w:w="2700" w:type="dxa"/>
            <w:vAlign w:val="bottom"/>
          </w:tcPr>
          <w:p>
            <w:pPr>
              <w:ind w:left="1800"/>
              <w:spacing w:after="0"/>
              <w:rPr>
                <w:sz w:val="20"/>
                <w:szCs w:val="20"/>
                <w:color w:val="auto"/>
              </w:rPr>
            </w:pPr>
            <w:r>
              <w:rPr>
                <w:rFonts w:ascii="Arial" w:cs="Arial" w:eastAsia="Arial" w:hAnsi="Arial"/>
                <w:sz w:val="18"/>
                <w:szCs w:val="18"/>
                <w:color w:val="auto"/>
              </w:rPr>
              <w:t>Fax:</w:t>
            </w:r>
          </w:p>
        </w:tc>
        <w:tc>
          <w:tcPr>
            <w:tcW w:w="8760" w:type="dxa"/>
            <w:vAlign w:val="bottom"/>
          </w:tcPr>
          <w:p>
            <w:pPr>
              <w:ind w:left="140"/>
              <w:spacing w:after="0"/>
              <w:rPr>
                <w:sz w:val="20"/>
                <w:szCs w:val="20"/>
                <w:color w:val="auto"/>
              </w:rPr>
            </w:pPr>
            <w:r>
              <w:rPr>
                <w:rFonts w:ascii="Arial" w:cs="Arial" w:eastAsia="Arial" w:hAnsi="Arial"/>
                <w:sz w:val="18"/>
                <w:szCs w:val="18"/>
                <w:color w:val="auto"/>
              </w:rPr>
              <w:t>86-10-82558135</w:t>
            </w:r>
          </w:p>
        </w:tc>
      </w:tr>
      <w:tr>
        <w:trPr>
          <w:trHeight w:val="432"/>
        </w:trPr>
        <w:tc>
          <w:tcPr>
            <w:tcW w:w="2700" w:type="dxa"/>
            <w:vAlign w:val="bottom"/>
          </w:tcPr>
          <w:p>
            <w:pPr>
              <w:ind w:left="1800"/>
              <w:spacing w:after="0"/>
              <w:rPr>
                <w:sz w:val="20"/>
                <w:szCs w:val="20"/>
                <w:color w:val="auto"/>
              </w:rPr>
            </w:pPr>
            <w:r>
              <w:rPr>
                <w:rFonts w:ascii="Arial" w:cs="Arial" w:eastAsia="Arial" w:hAnsi="Arial"/>
                <w:sz w:val="18"/>
                <w:szCs w:val="18"/>
                <w:color w:val="auto"/>
              </w:rPr>
              <w:t>Email:</w:t>
            </w:r>
          </w:p>
        </w:tc>
        <w:tc>
          <w:tcPr>
            <w:tcW w:w="8760" w:type="dxa"/>
            <w:vAlign w:val="bottom"/>
          </w:tcPr>
          <w:p>
            <w:pPr>
              <w:ind w:left="140"/>
              <w:spacing w:after="0"/>
              <w:rPr>
                <w:sz w:val="20"/>
                <w:szCs w:val="20"/>
                <w:color w:val="auto"/>
              </w:rPr>
            </w:pPr>
            <w:r>
              <w:rPr>
                <w:rFonts w:ascii="Arial" w:cs="Arial" w:eastAsia="Arial" w:hAnsi="Arial"/>
                <w:sz w:val="18"/>
                <w:szCs w:val="18"/>
                <w:color w:val="auto"/>
              </w:rPr>
              <w:t>zf@rd.netease.com</w:t>
            </w:r>
          </w:p>
        </w:tc>
      </w:tr>
      <w:tr>
        <w:trPr>
          <w:trHeight w:val="432"/>
        </w:trPr>
        <w:tc>
          <w:tcPr>
            <w:tcW w:w="2700" w:type="dxa"/>
            <w:vAlign w:val="bottom"/>
          </w:tcPr>
          <w:p>
            <w:pPr>
              <w:ind w:left="1800"/>
              <w:spacing w:after="0"/>
              <w:rPr>
                <w:sz w:val="20"/>
                <w:szCs w:val="20"/>
                <w:color w:val="auto"/>
              </w:rPr>
            </w:pPr>
            <w:r>
              <w:rPr>
                <w:rFonts w:ascii="Arial" w:cs="Arial" w:eastAsia="Arial" w:hAnsi="Arial"/>
                <w:sz w:val="18"/>
                <w:szCs w:val="18"/>
                <w:color w:val="auto"/>
              </w:rPr>
              <w:t>Attention:</w:t>
            </w:r>
          </w:p>
        </w:tc>
        <w:tc>
          <w:tcPr>
            <w:tcW w:w="8760" w:type="dxa"/>
            <w:vAlign w:val="bottom"/>
          </w:tcPr>
          <w:p>
            <w:pPr>
              <w:ind w:left="140"/>
              <w:spacing w:after="0"/>
              <w:rPr>
                <w:sz w:val="20"/>
                <w:szCs w:val="20"/>
                <w:color w:val="auto"/>
              </w:rPr>
            </w:pPr>
            <w:r>
              <w:rPr>
                <w:rFonts w:ascii="Arial" w:cs="Arial" w:eastAsia="Arial" w:hAnsi="Arial"/>
                <w:sz w:val="18"/>
                <w:szCs w:val="18"/>
                <w:color w:val="auto"/>
              </w:rPr>
              <w:t>Feng Zhou</w:t>
            </w:r>
          </w:p>
        </w:tc>
      </w:tr>
      <w:tr>
        <w:trPr>
          <w:trHeight w:val="432"/>
        </w:trPr>
        <w:tc>
          <w:tcPr>
            <w:tcW w:w="2700" w:type="dxa"/>
            <w:vAlign w:val="bottom"/>
          </w:tcPr>
          <w:p>
            <w:pPr>
              <w:spacing w:after="0"/>
              <w:rPr>
                <w:sz w:val="24"/>
                <w:szCs w:val="24"/>
                <w:color w:val="auto"/>
              </w:rPr>
            </w:pPr>
          </w:p>
        </w:tc>
        <w:tc>
          <w:tcPr>
            <w:tcW w:w="8760" w:type="dxa"/>
            <w:vAlign w:val="bottom"/>
          </w:tcPr>
          <w:p>
            <w:pPr>
              <w:ind w:left="2960"/>
              <w:spacing w:after="0"/>
              <w:rPr>
                <w:sz w:val="20"/>
                <w:szCs w:val="20"/>
                <w:color w:val="auto"/>
              </w:rPr>
            </w:pPr>
            <w:r>
              <w:rPr>
                <w:rFonts w:ascii="Arial" w:cs="Arial" w:eastAsia="Arial" w:hAnsi="Arial"/>
                <w:sz w:val="18"/>
                <w:szCs w:val="18"/>
                <w:color w:val="auto"/>
              </w:rPr>
              <w:t>8</w:t>
            </w:r>
          </w:p>
        </w:tc>
      </w:tr>
      <w:tr>
        <w:trPr>
          <w:trHeight w:val="132"/>
        </w:trPr>
        <w:tc>
          <w:tcPr>
            <w:tcW w:w="2700" w:type="dxa"/>
            <w:vAlign w:val="bottom"/>
            <w:tcBorders>
              <w:bottom w:val="single" w:sz="8" w:color="808080"/>
            </w:tcBorders>
          </w:tcPr>
          <w:p>
            <w:pPr>
              <w:spacing w:after="0"/>
              <w:rPr>
                <w:sz w:val="11"/>
                <w:szCs w:val="11"/>
                <w:color w:val="auto"/>
              </w:rPr>
            </w:pPr>
          </w:p>
        </w:tc>
        <w:tc>
          <w:tcPr>
            <w:tcW w:w="8760" w:type="dxa"/>
            <w:vAlign w:val="bottom"/>
            <w:tcBorders>
              <w:bottom w:val="single" w:sz="8" w:color="808080"/>
            </w:tcBorders>
          </w:tcPr>
          <w:p>
            <w:pPr>
              <w:spacing w:after="0"/>
              <w:rPr>
                <w:sz w:val="11"/>
                <w:szCs w:val="11"/>
                <w:color w:val="auto"/>
              </w:rPr>
            </w:pPr>
          </w:p>
        </w:tc>
      </w:tr>
      <w:tr>
        <w:trPr>
          <w:trHeight w:val="780"/>
        </w:trPr>
        <w:tc>
          <w:tcPr>
            <w:tcW w:w="2700" w:type="dxa"/>
            <w:vAlign w:val="bottom"/>
          </w:tcPr>
          <w:p>
            <w:pPr>
              <w:ind w:left="660"/>
              <w:spacing w:after="0"/>
              <w:rPr>
                <w:sz w:val="20"/>
                <w:szCs w:val="20"/>
                <w:color w:val="auto"/>
              </w:rPr>
            </w:pPr>
            <w:r>
              <w:rPr>
                <w:rFonts w:ascii="Arial" w:cs="Arial" w:eastAsia="Arial" w:hAnsi="Arial"/>
                <w:sz w:val="18"/>
                <w:szCs w:val="18"/>
                <w:b w:val="1"/>
                <w:bCs w:val="1"/>
                <w:color w:val="auto"/>
                <w:w w:val="99"/>
              </w:rPr>
              <w:t xml:space="preserve">If to Pledgor: </w:t>
            </w:r>
            <w:r>
              <w:rPr>
                <w:rFonts w:ascii="Arial" w:cs="Arial" w:eastAsia="Arial" w:hAnsi="Arial"/>
                <w:sz w:val="18"/>
                <w:szCs w:val="18"/>
                <w:color w:val="auto"/>
                <w:w w:val="99"/>
              </w:rPr>
              <w:t>Feng Zhou</w:t>
            </w:r>
          </w:p>
        </w:tc>
        <w:tc>
          <w:tcPr>
            <w:tcW w:w="8760" w:type="dxa"/>
            <w:vAlign w:val="bottom"/>
          </w:tcPr>
          <w:p>
            <w:pPr>
              <w:spacing w:after="0"/>
              <w:rPr>
                <w:sz w:val="24"/>
                <w:szCs w:val="24"/>
                <w:color w:val="auto"/>
              </w:rPr>
            </w:pPr>
          </w:p>
        </w:tc>
      </w:tr>
      <w:tr>
        <w:trPr>
          <w:trHeight w:val="432"/>
        </w:trPr>
        <w:tc>
          <w:tcPr>
            <w:tcW w:w="2700" w:type="dxa"/>
            <w:vAlign w:val="bottom"/>
          </w:tcPr>
          <w:p>
            <w:pPr>
              <w:ind w:left="1800"/>
              <w:spacing w:after="0"/>
              <w:rPr>
                <w:sz w:val="20"/>
                <w:szCs w:val="20"/>
                <w:color w:val="auto"/>
              </w:rPr>
            </w:pPr>
            <w:r>
              <w:rPr>
                <w:rFonts w:ascii="Arial" w:cs="Arial" w:eastAsia="Arial" w:hAnsi="Arial"/>
                <w:sz w:val="18"/>
                <w:szCs w:val="18"/>
                <w:color w:val="auto"/>
              </w:rPr>
              <w:t>Address:</w:t>
            </w:r>
          </w:p>
        </w:tc>
        <w:tc>
          <w:tcPr>
            <w:tcW w:w="8760" w:type="dxa"/>
            <w:vAlign w:val="bottom"/>
          </w:tcPr>
          <w:p>
            <w:pPr>
              <w:ind w:left="140"/>
              <w:spacing w:after="0"/>
              <w:rPr>
                <w:sz w:val="20"/>
                <w:szCs w:val="20"/>
                <w:color w:val="auto"/>
              </w:rPr>
            </w:pPr>
            <w:r>
              <w:rPr>
                <w:rFonts w:ascii="Arial" w:cs="Arial" w:eastAsia="Arial" w:hAnsi="Arial"/>
                <w:sz w:val="18"/>
                <w:szCs w:val="18"/>
                <w:color w:val="auto"/>
              </w:rPr>
              <w:t>No. 15, Guang Hua Li, Chaoyang District, Beijing</w:t>
            </w:r>
          </w:p>
        </w:tc>
      </w:tr>
      <w:tr>
        <w:trPr>
          <w:trHeight w:val="432"/>
        </w:trPr>
        <w:tc>
          <w:tcPr>
            <w:tcW w:w="2700" w:type="dxa"/>
            <w:vAlign w:val="bottom"/>
          </w:tcPr>
          <w:p>
            <w:pPr>
              <w:ind w:left="1800"/>
              <w:spacing w:after="0"/>
              <w:rPr>
                <w:sz w:val="20"/>
                <w:szCs w:val="20"/>
                <w:color w:val="auto"/>
              </w:rPr>
            </w:pPr>
            <w:r>
              <w:rPr>
                <w:rFonts w:ascii="Arial" w:cs="Arial" w:eastAsia="Arial" w:hAnsi="Arial"/>
                <w:sz w:val="18"/>
                <w:szCs w:val="18"/>
                <w:color w:val="auto"/>
              </w:rPr>
              <w:t>Fax:</w:t>
            </w:r>
          </w:p>
        </w:tc>
        <w:tc>
          <w:tcPr>
            <w:tcW w:w="8760" w:type="dxa"/>
            <w:vAlign w:val="bottom"/>
          </w:tcPr>
          <w:p>
            <w:pPr>
              <w:ind w:left="140"/>
              <w:spacing w:after="0"/>
              <w:rPr>
                <w:sz w:val="20"/>
                <w:szCs w:val="20"/>
                <w:color w:val="auto"/>
              </w:rPr>
            </w:pPr>
            <w:r>
              <w:rPr>
                <w:rFonts w:ascii="Arial" w:cs="Arial" w:eastAsia="Arial" w:hAnsi="Arial"/>
                <w:sz w:val="18"/>
                <w:szCs w:val="18"/>
                <w:color w:val="auto"/>
              </w:rPr>
              <w:t>86-10-82558135</w:t>
            </w:r>
          </w:p>
        </w:tc>
      </w:tr>
      <w:tr>
        <w:trPr>
          <w:trHeight w:val="432"/>
        </w:trPr>
        <w:tc>
          <w:tcPr>
            <w:tcW w:w="2700" w:type="dxa"/>
            <w:vAlign w:val="bottom"/>
          </w:tcPr>
          <w:p>
            <w:pPr>
              <w:ind w:left="1800"/>
              <w:spacing w:after="0"/>
              <w:rPr>
                <w:sz w:val="20"/>
                <w:szCs w:val="20"/>
                <w:color w:val="auto"/>
              </w:rPr>
            </w:pPr>
            <w:r>
              <w:rPr>
                <w:rFonts w:ascii="Arial" w:cs="Arial" w:eastAsia="Arial" w:hAnsi="Arial"/>
                <w:sz w:val="18"/>
                <w:szCs w:val="18"/>
                <w:color w:val="auto"/>
              </w:rPr>
              <w:t>Email:</w:t>
            </w:r>
          </w:p>
        </w:tc>
        <w:tc>
          <w:tcPr>
            <w:tcW w:w="8760" w:type="dxa"/>
            <w:vAlign w:val="bottom"/>
          </w:tcPr>
          <w:p>
            <w:pPr>
              <w:ind w:left="140"/>
              <w:spacing w:after="0"/>
              <w:rPr>
                <w:sz w:val="20"/>
                <w:szCs w:val="20"/>
                <w:color w:val="auto"/>
              </w:rPr>
            </w:pPr>
            <w:r>
              <w:rPr>
                <w:rFonts w:ascii="Arial" w:cs="Arial" w:eastAsia="Arial" w:hAnsi="Arial"/>
                <w:sz w:val="18"/>
                <w:szCs w:val="18"/>
                <w:color w:val="auto"/>
              </w:rPr>
              <w:t>zf@rd.netease.com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40" w:hanging="632"/>
        <w:spacing w:after="0"/>
        <w:tabs>
          <w:tab w:leader="none" w:pos="6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12.1. The formation, validity,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80" w:hanging="648"/>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12.2. 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60" w:hanging="647"/>
        <w:spacing w:after="0" w:line="308" w:lineRule="auto"/>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3"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18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pacing w:after="0" w:line="193" w:lineRule="exact"/>
        <w:rPr>
          <w:rFonts w:ascii="Arial" w:cs="Arial" w:eastAsia="Arial" w:hAnsi="Arial"/>
          <w:sz w:val="18"/>
          <w:szCs w:val="18"/>
          <w:b w:val="1"/>
          <w:bCs w:val="1"/>
          <w:color w:val="auto"/>
        </w:rPr>
      </w:pPr>
    </w:p>
    <w:p>
      <w:pPr>
        <w:ind w:left="1300" w:right="1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13.2. The amount of Secured Debts determined by the Pledgee in exercising its rights over the Pledged Equity in accordance with the provisions contained herein shall be conclusive evidence of the amount of the Secured Debts hereunder.</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13.3.   This Agreement may not be amended or modified in any manner except by an instrument in writing signed by the Parties hereto.</w:t>
      </w:r>
    </w:p>
    <w:p>
      <w:pPr>
        <w:sectPr>
          <w:pgSz w:w="11900" w:h="16838" w:orient="portrait"/>
          <w:cols w:equalWidth="0" w:num="1">
            <w:col w:w="11460"/>
          </w:cols>
          <w:pgMar w:left="240" w:top="337" w:right="199" w:bottom="32" w:gutter="0" w:footer="0" w:header="0"/>
        </w:sectPr>
      </w:pPr>
    </w:p>
    <w:bookmarkStart w:id="134" w:name="page135"/>
    <w:bookmarkEnd w:id="134"/>
    <w:p>
      <w:pPr>
        <w:ind w:left="1300" w:right="80" w:hanging="647"/>
        <w:spacing w:after="0" w:line="302" w:lineRule="auto"/>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ind w:left="1300" w:right="60" w:hanging="647"/>
        <w:spacing w:after="0" w:line="291"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80" w:hanging="647"/>
        <w:spacing w:after="0" w:line="258" w:lineRule="auto"/>
        <w:tabs>
          <w:tab w:leader="none" w:pos="1280" w:val="left"/>
        </w:tabs>
        <w:rPr>
          <w:sz w:val="20"/>
          <w:szCs w:val="20"/>
          <w:color w:val="auto"/>
        </w:rPr>
      </w:pPr>
      <w:r>
        <w:rPr>
          <w:rFonts w:ascii="Arial" w:cs="Arial" w:eastAsia="Arial" w:hAnsi="Arial"/>
          <w:sz w:val="18"/>
          <w:szCs w:val="18"/>
          <w:color w:val="auto"/>
        </w:rPr>
        <w:t>13.6.</w:t>
        <w:tab/>
        <w:t>Upon the execution of this Agreement, the Pledgor shall enter into a power of attorney (the “</w:t>
      </w:r>
      <w:r>
        <w:rPr>
          <w:rFonts w:ascii="Arial" w:cs="Arial" w:eastAsia="Arial" w:hAnsi="Arial"/>
          <w:sz w:val="18"/>
          <w:szCs w:val="18"/>
          <w:b w:val="1"/>
          <w:bCs w:val="1"/>
          <w:color w:val="auto"/>
        </w:rPr>
        <w:t>Power of Attorney</w:t>
      </w:r>
      <w:r>
        <w:rPr>
          <w:rFonts w:ascii="Arial" w:cs="Arial" w:eastAsia="Arial" w:hAnsi="Arial"/>
          <w:sz w:val="18"/>
          <w:szCs w:val="18"/>
          <w:color w:val="auto"/>
        </w:rPr>
        <w:t xml:space="preserve">”, the form of which is set forth in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pacing w:after="0" w:line="188" w:lineRule="exact"/>
        <w:rPr>
          <w:sz w:val="20"/>
          <w:szCs w:val="20"/>
          <w:color w:val="auto"/>
        </w:rPr>
      </w:pPr>
    </w:p>
    <w:p>
      <w:pPr>
        <w:ind w:left="1300" w:right="60" w:hanging="647"/>
        <w:spacing w:after="0" w:line="290" w:lineRule="auto"/>
        <w:tabs>
          <w:tab w:leader="none" w:pos="12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6"/>
          <w:szCs w:val="16"/>
          <w:b w:val="1"/>
          <w:bCs w:val="1"/>
          <w:color w:val="auto"/>
        </w:rPr>
        <w:t>Applicable Requirements</w:t>
      </w:r>
      <w:r>
        <w:rPr>
          <w:rFonts w:ascii="Arial" w:cs="Arial" w:eastAsia="Arial" w:hAnsi="Arial"/>
          <w:sz w:val="16"/>
          <w:szCs w:val="16"/>
          <w:color w:val="auto"/>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17"/>
          <w:szCs w:val="17"/>
          <w:b w:val="1"/>
          <w:bCs w:val="1"/>
          <w:color w:val="auto"/>
        </w:rPr>
        <w:t>Pledgee:</w:t>
        <w:tab/>
        <w:t>NetEase Youdao Information Technology (Beijing) Co., Ltd.</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18"/>
          <w:szCs w:val="18"/>
          <w:b w:val="1"/>
          <w:bCs w:val="1"/>
          <w:color w:val="auto"/>
        </w:rPr>
        <w:t>Pledgor:</w:t>
        <w:tab/>
        <w:t>Feng Zhou</w:t>
      </w:r>
    </w:p>
    <w:p>
      <w:pPr>
        <w:spacing w:after="0" w:line="200" w:lineRule="exact"/>
        <w:rPr>
          <w:sz w:val="20"/>
          <w:szCs w:val="20"/>
          <w:color w:val="auto"/>
        </w:rPr>
      </w:pPr>
    </w:p>
    <w:p>
      <w:pPr>
        <w:spacing w:after="0" w:line="2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30441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3">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b w:val="1"/>
                <w:bCs w:val="1"/>
                <w:color w:val="auto"/>
                <w:w w:val="93"/>
              </w:rPr>
              <w:t>Appendix I</w:t>
            </w:r>
          </w:p>
        </w:tc>
      </w:tr>
      <w:tr>
        <w:trPr>
          <w:trHeight w:val="20"/>
        </w:trPr>
        <w:tc>
          <w:tcPr>
            <w:tcW w:w="1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1780" w:type="dxa"/>
            <w:vAlign w:val="bottom"/>
          </w:tcPr>
          <w:p>
            <w:pPr>
              <w:spacing w:after="0"/>
              <w:rPr>
                <w:sz w:val="24"/>
                <w:szCs w:val="24"/>
                <w:color w:val="auto"/>
              </w:rPr>
            </w:pPr>
          </w:p>
        </w:tc>
        <w:tc>
          <w:tcPr>
            <w:tcW w:w="968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90"/>
              </w:rPr>
              <w:t>Basic Information of the Domestic Company</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Company Name:</w:t>
            </w: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rPr>
              <w:t>Beijing NetEase Youdao Computer System Co., Ltd.</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Registered Address:</w:t>
            </w: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w w:val="92"/>
              </w:rPr>
              <w:t>2/F, Tower A, Building No. 7, West Zone Zhongguancun Software Park (Phase II) No. 10 Xibeiwang East Road, Haidian District</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Registered Capital:</w:t>
            </w: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rPr>
              <w:t>RMB 5,000,000 Yuan</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Equity Structure:</w:t>
            </w: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rPr>
              <w:t>William Lei Ding —71.073%</w:t>
            </w:r>
          </w:p>
        </w:tc>
      </w:tr>
      <w:tr>
        <w:trPr>
          <w:trHeight w:val="432"/>
        </w:trPr>
        <w:tc>
          <w:tcPr>
            <w:tcW w:w="1780" w:type="dxa"/>
            <w:vAlign w:val="bottom"/>
          </w:tcPr>
          <w:p>
            <w:pPr>
              <w:spacing w:after="0"/>
              <w:rPr>
                <w:sz w:val="24"/>
                <w:szCs w:val="24"/>
                <w:color w:val="auto"/>
              </w:rPr>
            </w:pP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rPr>
              <w:t>Feng Zhou —28.927%</w:t>
            </w:r>
          </w:p>
        </w:tc>
      </w:tr>
      <w:tr>
        <w:trPr>
          <w:trHeight w:val="348"/>
        </w:trPr>
        <w:tc>
          <w:tcPr>
            <w:tcW w:w="17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ectPr>
          <w:pgSz w:w="11900" w:h="16838" w:orient="portrait"/>
          <w:cols w:equalWidth="0" w:num="1">
            <w:col w:w="11460"/>
          </w:cols>
          <w:pgMar w:left="240" w:top="125" w:right="199" w:bottom="104" w:gutter="0" w:footer="0" w:header="0"/>
        </w:sectPr>
      </w:pPr>
    </w:p>
    <w:bookmarkStart w:id="135" w:name="page136"/>
    <w:bookmarkEnd w:id="135"/>
    <w:p>
      <w:pPr>
        <w:spacing w:after="0"/>
        <w:tabs>
          <w:tab w:leader="none" w:pos="3620" w:val="left"/>
        </w:tabs>
        <w:rPr>
          <w:sz w:val="20"/>
          <w:szCs w:val="20"/>
          <w:color w:val="auto"/>
        </w:rPr>
      </w:pPr>
      <w:r>
        <w:rPr>
          <w:rFonts w:ascii="Arial" w:cs="Arial" w:eastAsia="Arial" w:hAnsi="Arial"/>
          <w:sz w:val="18"/>
          <w:szCs w:val="18"/>
          <w:color w:val="auto"/>
        </w:rPr>
        <w:t>I, Feng Zhou, hereby irrevocably entrust</w:t>
      </w:r>
      <w:r>
        <w:rPr>
          <w:sz w:val="20"/>
          <w:szCs w:val="20"/>
          <w:color w:val="auto"/>
        </w:rPr>
        <w:tab/>
      </w:r>
      <w:r>
        <w:rPr>
          <w:rFonts w:ascii="Arial" w:cs="Arial" w:eastAsia="Arial" w:hAnsi="Arial"/>
          <w:sz w:val="16"/>
          <w:szCs w:val="16"/>
          <w:color w:val="auto"/>
        </w:rPr>
        <w:t>as my authorized representative, to sign all legal documents necessary for NetEase Youdao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-10160</wp:posOffset>
            </wp:positionV>
            <wp:extent cx="4000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7">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Technology (Beijing) Co., Ltd. as the pledgee to exercise its rights under the Equity Pledge Agreement entered into on November 20, 2017 by and between NetEase Youdao Information Technology (Beijing) Co., Ltd. and me.</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295846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4.54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Purchase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20, 2017 among the following parties in Beijing:</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color w:val="auto"/>
        </w:rPr>
        <w:t>NetEase Youdao Information Technology (Beijing) Co., Ltd.</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Legal Address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1/F, Tower C, Building No. 7, West Zone Zhongguancun Software Park (Phase II) No. 10 Xibeiwang East Road, Haidian District</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color w:val="auto"/>
        </w:rPr>
        <w:t>Feng Zhou</w:t>
      </w:r>
    </w:p>
    <w:p>
      <w:pPr>
        <w:spacing w:after="0" w:line="2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ID Number:</w:t>
      </w:r>
      <w:r>
        <w:rPr>
          <w:sz w:val="20"/>
          <w:szCs w:val="20"/>
          <w:color w:val="auto"/>
        </w:rPr>
        <w:tab/>
      </w:r>
      <w:r>
        <w:rPr>
          <w:rFonts w:ascii="Arial" w:cs="Arial" w:eastAsia="Arial" w:hAnsi="Arial"/>
          <w:sz w:val="16"/>
          <w:szCs w:val="16"/>
          <w:color w:val="auto"/>
        </w:rPr>
        <w:t>320223197710060211</w:t>
      </w:r>
    </w:p>
    <w:p>
      <w:pPr>
        <w:spacing w:after="0" w:line="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Legal Address:</w:t>
      </w:r>
      <w:r>
        <w:rPr>
          <w:sz w:val="20"/>
          <w:szCs w:val="20"/>
          <w:color w:val="auto"/>
        </w:rPr>
        <w:tab/>
      </w:r>
      <w:r>
        <w:rPr>
          <w:rFonts w:ascii="Arial" w:cs="Arial" w:eastAsia="Arial" w:hAnsi="Arial"/>
          <w:sz w:val="16"/>
          <w:szCs w:val="16"/>
          <w:color w:val="auto"/>
        </w:rPr>
        <w:t>No. 15, Guang Hua Li, Chaoyang District, Beijing</w:t>
      </w:r>
    </w:p>
    <w:p>
      <w:pPr>
        <w:spacing w:after="0" w:line="20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Party C:</w:t>
      </w:r>
      <w:r>
        <w:rPr>
          <w:sz w:val="20"/>
          <w:szCs w:val="20"/>
          <w:color w:val="auto"/>
        </w:rPr>
        <w:tab/>
      </w:r>
      <w:r>
        <w:rPr>
          <w:rFonts w:ascii="Arial" w:cs="Arial" w:eastAsia="Arial" w:hAnsi="Arial"/>
          <w:sz w:val="16"/>
          <w:szCs w:val="16"/>
          <w:color w:val="auto"/>
        </w:rPr>
        <w:t>Beijing NetEase Youdao Computer System Co., Ltd.</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Legal Address:</w:t>
      </w:r>
      <w:r>
        <w:rPr>
          <w:sz w:val="20"/>
          <w:szCs w:val="20"/>
          <w:color w:val="auto"/>
        </w:rPr>
        <w:tab/>
      </w:r>
      <w:r>
        <w:rPr>
          <w:rFonts w:ascii="Arial" w:cs="Arial" w:eastAsia="Arial" w:hAnsi="Arial"/>
          <w:sz w:val="16"/>
          <w:szCs w:val="16"/>
          <w:color w:val="auto"/>
        </w:rPr>
        <w:t>2/F, Tower A, Building No. 7, West Zone Zhongguancacun Software Park (Phase II) No. 10 Xibeiwang East Road, Haidian District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Party A is a Wholly foreign owned enterprise incorporated under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Party C is a limited liability company incorporated in the PRC;</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28.927%of the equity interest in Party C (the “</w:t>
      </w:r>
      <w:r>
        <w:rPr>
          <w:rFonts w:ascii="Arial" w:cs="Arial" w:eastAsia="Arial" w:hAnsi="Arial"/>
          <w:sz w:val="18"/>
          <w:szCs w:val="18"/>
          <w:b w:val="1"/>
          <w:bCs w:val="1"/>
          <w:color w:val="auto"/>
        </w:rPr>
        <w:t>Equity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hanging="652"/>
        <w:spacing w:after="0" w:line="314" w:lineRule="auto"/>
        <w:tabs>
          <w:tab w:leader="none" w:pos="6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Party A and Party B entered into a loan agreement (as the same may be amended and supplemented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on November 20, 2017 pursuant to which Party A made a loan, and may make additional loans from time to time, to Party B (such loans are hereinafter collectively referred to as the “</w:t>
      </w:r>
      <w:r>
        <w:rPr>
          <w:rFonts w:ascii="Arial" w:cs="Arial" w:eastAsia="Arial" w:hAnsi="Arial"/>
          <w:sz w:val="16"/>
          <w:szCs w:val="16"/>
          <w:b w:val="1"/>
          <w:bCs w:val="1"/>
          <w:color w:val="auto"/>
        </w:rPr>
        <w:t>Loan</w:t>
      </w:r>
      <w:r>
        <w:rPr>
          <w:rFonts w:ascii="Arial" w:cs="Arial" w:eastAsia="Arial" w:hAnsi="Arial"/>
          <w:sz w:val="16"/>
          <w:szCs w:val="16"/>
          <w:color w:val="auto"/>
        </w:rPr>
        <w:t>”), so that Party B could invest the proceeds from the Loan in Party C as a capital contribution; and</w:t>
      </w:r>
    </w:p>
    <w:p>
      <w:pPr>
        <w:spacing w:after="0" w:line="142" w:lineRule="exact"/>
        <w:rPr>
          <w:rFonts w:ascii="Arial" w:cs="Arial" w:eastAsia="Arial" w:hAnsi="Arial"/>
          <w:sz w:val="16"/>
          <w:szCs w:val="16"/>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Party A and Party B entered into an equity pledge agreement (the “</w:t>
      </w:r>
      <w:r>
        <w:rPr>
          <w:rFonts w:ascii="Arial" w:cs="Arial" w:eastAsia="Arial" w:hAnsi="Arial"/>
          <w:sz w:val="18"/>
          <w:szCs w:val="18"/>
          <w:b w:val="1"/>
          <w:bCs w:val="1"/>
          <w:color w:val="auto"/>
        </w:rPr>
        <w:t>Equity Pledge Agreement</w:t>
      </w:r>
      <w:r>
        <w:rPr>
          <w:rFonts w:ascii="Arial" w:cs="Arial" w:eastAsia="Arial" w:hAnsi="Arial"/>
          <w:sz w:val="18"/>
          <w:szCs w:val="18"/>
          <w:color w:val="auto"/>
        </w:rPr>
        <w:t>”) on November 20,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257" w:lineRule="auto"/>
        <w:rPr>
          <w:sz w:val="20"/>
          <w:szCs w:val="20"/>
          <w:color w:val="auto"/>
        </w:rPr>
      </w:pPr>
      <w:r>
        <w:rPr>
          <w:rFonts w:ascii="Arial" w:cs="Arial" w:eastAsia="Arial" w:hAnsi="Arial"/>
          <w:sz w:val="18"/>
          <w:szCs w:val="18"/>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8"/>
          <w:szCs w:val="18"/>
          <w:b w:val="1"/>
          <w:bCs w:val="1"/>
          <w:color w:val="auto"/>
        </w:rPr>
        <w:t>Notice</w:t>
      </w:r>
      <w:r>
        <w:rPr>
          <w:rFonts w:ascii="Arial" w:cs="Arial" w:eastAsia="Arial" w:hAnsi="Arial"/>
          <w:sz w:val="18"/>
          <w:szCs w:val="18"/>
          <w:color w:val="auto"/>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Arial" w:cs="Arial" w:eastAsia="Arial" w:hAnsi="Arial"/>
          <w:sz w:val="18"/>
          <w:szCs w:val="18"/>
          <w:b w:val="1"/>
          <w:bCs w:val="1"/>
          <w:color w:val="auto"/>
        </w:rPr>
        <w:t>Purchased Interest</w:t>
      </w:r>
      <w:r>
        <w:rPr>
          <w:rFonts w:ascii="Arial" w:cs="Arial" w:eastAsia="Arial" w:hAnsi="Arial"/>
          <w:sz w:val="18"/>
          <w:szCs w:val="18"/>
          <w:color w:val="auto"/>
        </w:rPr>
        <w:t>”) and the manner of such purchase.</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37" w:name="page138"/>
    <w:bookmarkEnd w:id="137"/>
    <w:p>
      <w:pPr>
        <w:ind w:left="1292"/>
        <w:spacing w:after="0"/>
        <w:tabs>
          <w:tab w:leader="none" w:pos="19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1.2.2</w:t>
      </w:r>
      <w:r>
        <w:rPr>
          <w:sz w:val="20"/>
          <w:szCs w:val="20"/>
          <w:color w:val="auto"/>
        </w:rPr>
        <w:tab/>
      </w:r>
      <w:r>
        <w:rPr>
          <w:rFonts w:ascii="Arial" w:cs="Arial" w:eastAsia="Arial" w:hAnsi="Arial"/>
          <w:sz w:val="16"/>
          <w:szCs w:val="16"/>
          <w:color w:val="auto"/>
        </w:rPr>
        <w:t>Transferor Obligations</w:t>
      </w:r>
    </w:p>
    <w:p>
      <w:pPr>
        <w:spacing w:after="0" w:line="225"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1" w:lineRule="exact"/>
        <w:rPr>
          <w:sz w:val="20"/>
          <w:szCs w:val="20"/>
          <w:color w:val="auto"/>
        </w:rPr>
      </w:pPr>
    </w:p>
    <w:p>
      <w:pPr>
        <w:ind w:left="1932" w:hanging="647"/>
        <w:spacing w:after="0" w:line="289" w:lineRule="auto"/>
        <w:tabs>
          <w:tab w:leader="none" w:pos="191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If Party A exercises either Option, the purchase price of the Purchased Interest (“</w:t>
      </w:r>
      <w:r>
        <w:rPr>
          <w:rFonts w:ascii="Arial" w:cs="Arial" w:eastAsia="Arial" w:hAnsi="Arial"/>
          <w:sz w:val="17"/>
          <w:szCs w:val="17"/>
          <w:b w:val="1"/>
          <w:bCs w:val="1"/>
          <w:color w:val="auto"/>
        </w:rPr>
        <w:t>Purchase Price</w:t>
      </w:r>
      <w:r>
        <w:rPr>
          <w:rFonts w:ascii="Arial" w:cs="Arial" w:eastAsia="Arial" w:hAnsi="Arial"/>
          <w:sz w:val="17"/>
          <w:szCs w:val="17"/>
          <w:color w:val="auto"/>
        </w:rPr>
        <w:t>”) shall be: (i) in the case of the Equity Option, equal to the original and any additional paid-in capital paid by the Transferor for such Equity Interest, and (ii) in the case of the Asset Option, equal to the net book value of the assets as shown in Party C’s financial statements.</w:t>
      </w:r>
    </w:p>
    <w:p>
      <w:pPr>
        <w:spacing w:after="0" w:line="162"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20"/>
        <w:spacing w:after="0" w:line="273" w:lineRule="auto"/>
        <w:rPr>
          <w:sz w:val="20"/>
          <w:szCs w:val="20"/>
          <w:color w:val="auto"/>
        </w:rPr>
      </w:pPr>
      <w:r>
        <w:rPr>
          <w:rFonts w:ascii="Arial" w:cs="Arial" w:eastAsia="Arial" w:hAnsi="Arial"/>
          <w:sz w:val="17"/>
          <w:szCs w:val="17"/>
          <w:color w:val="auto"/>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spacing w:after="0" w:line="178"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Restrictions on Purchase Price</w:t>
      </w:r>
    </w:p>
    <w:p>
      <w:pPr>
        <w:spacing w:after="0" w:line="225" w:lineRule="exact"/>
        <w:rPr>
          <w:sz w:val="20"/>
          <w:szCs w:val="20"/>
          <w:color w:val="auto"/>
        </w:rPr>
      </w:pPr>
    </w:p>
    <w:p>
      <w:pPr>
        <w:ind w:left="1292" w:right="260"/>
        <w:spacing w:after="0" w:line="264" w:lineRule="auto"/>
        <w:rPr>
          <w:sz w:val="20"/>
          <w:szCs w:val="20"/>
          <w:color w:val="auto"/>
        </w:rPr>
      </w:pPr>
      <w:r>
        <w:rPr>
          <w:rFonts w:ascii="Arial" w:cs="Arial" w:eastAsia="Arial" w:hAnsi="Arial"/>
          <w:sz w:val="18"/>
          <w:szCs w:val="18"/>
          <w:color w:val="auto"/>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hanging="652"/>
        <w:spacing w:after="0"/>
        <w:tabs>
          <w:tab w:leader="none" w:pos="65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Covenants Relating to Party B and Party C</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Each of Party B and Party C hereby covenants:</w:t>
      </w:r>
    </w:p>
    <w:p>
      <w:pPr>
        <w:spacing w:after="0" w:line="225" w:lineRule="exact"/>
        <w:rPr>
          <w:sz w:val="20"/>
          <w:szCs w:val="20"/>
          <w:color w:val="auto"/>
        </w:rPr>
      </w:pPr>
    </w:p>
    <w:p>
      <w:pPr>
        <w:ind w:left="1932" w:right="20" w:hanging="647"/>
        <w:spacing w:after="0" w:line="277" w:lineRule="auto"/>
        <w:tabs>
          <w:tab w:leader="none" w:pos="1912"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ectPr>
          <w:pgSz w:w="11900" w:h="16838" w:orient="portrait"/>
          <w:cols w:equalWidth="0" w:num="1">
            <w:col w:w="11412"/>
          </w:cols>
          <w:pgMar w:left="248" w:top="733" w:right="239" w:bottom="86" w:gutter="0" w:footer="0" w:header="0"/>
        </w:sectPr>
      </w:pPr>
    </w:p>
    <w:bookmarkStart w:id="138" w:name="page139"/>
    <w:bookmarkEnd w:id="138"/>
    <w:p>
      <w:pPr>
        <w:spacing w:after="0" w:line="137" w:lineRule="exact"/>
        <w:rPr>
          <w:sz w:val="20"/>
          <w:szCs w:val="20"/>
          <w:color w:val="auto"/>
        </w:rPr>
      </w:pPr>
    </w:p>
    <w:p>
      <w:pPr>
        <w:ind w:left="880" w:right="180" w:hanging="647"/>
        <w:spacing w:after="0" w:line="277" w:lineRule="auto"/>
        <w:tabs>
          <w:tab w:leader="none" w:pos="860"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880" w:right="120" w:hanging="647"/>
        <w:spacing w:after="0" w:line="264" w:lineRule="auto"/>
        <w:tabs>
          <w:tab w:leader="none" w:pos="8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880" w:right="100" w:hanging="647"/>
        <w:spacing w:after="0" w:line="277" w:lineRule="auto"/>
        <w:tabs>
          <w:tab w:leader="none" w:pos="8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880" w:hanging="647"/>
        <w:spacing w:after="0" w:line="342" w:lineRule="auto"/>
        <w:tabs>
          <w:tab w:leader="none" w:pos="8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880" w:right="160" w:hanging="647"/>
        <w:spacing w:after="0" w:line="264" w:lineRule="auto"/>
        <w:tabs>
          <w:tab w:leader="none" w:pos="8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880" w:hanging="647"/>
        <w:spacing w:after="0" w:line="277" w:lineRule="auto"/>
        <w:tabs>
          <w:tab w:leader="none" w:pos="8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880" w:right="600" w:hanging="647"/>
        <w:spacing w:after="0" w:line="264" w:lineRule="auto"/>
        <w:tabs>
          <w:tab w:leader="none" w:pos="8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880" w:right="260" w:hanging="647"/>
        <w:spacing w:after="0" w:line="277" w:lineRule="auto"/>
        <w:tabs>
          <w:tab w:leader="none" w:pos="8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880" w:right="120" w:hanging="647"/>
        <w:spacing w:after="0" w:line="259" w:lineRule="auto"/>
        <w:tabs>
          <w:tab w:leader="none" w:pos="8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880" w:right="120" w:hanging="647"/>
        <w:spacing w:after="0" w:line="277" w:lineRule="auto"/>
        <w:tabs>
          <w:tab w:leader="none" w:pos="8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880" w:right="420" w:hanging="647"/>
        <w:spacing w:after="0" w:line="277" w:lineRule="auto"/>
        <w:tabs>
          <w:tab w:leader="none" w:pos="8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880" w:right="120" w:hanging="647"/>
        <w:spacing w:after="0" w:line="342" w:lineRule="auto"/>
        <w:tabs>
          <w:tab w:leader="none" w:pos="8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At any time, upon the request of Party A, to transfer its Purchased Interest immediately and unconditionally to the representative designated by Party A, and, in the case of a purchase of any Equity Interest, waive its preemptive right with respect to the transfer</w:t>
      </w:r>
    </w:p>
    <w:p>
      <w:pPr>
        <w:sectPr>
          <w:pgSz w:w="11900" w:h="16975" w:orient="portrait"/>
          <w:cols w:equalWidth="0" w:num="1">
            <w:col w:w="10360"/>
          </w:cols>
          <w:pgMar w:left="1300" w:top="125" w:right="239" w:bottom="0" w:gutter="0" w:footer="0" w:header="0"/>
        </w:sectPr>
      </w:pPr>
    </w:p>
    <w:bookmarkStart w:id="139" w:name="page140"/>
    <w:bookmarkEnd w:id="139"/>
    <w:p>
      <w:pPr>
        <w:spacing w:after="0" w:line="10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of such Equity Interest by any other shareholder of Party C; and</w:t>
      </w:r>
    </w:p>
    <w:p>
      <w:pPr>
        <w:spacing w:after="0" w:line="225" w:lineRule="exact"/>
        <w:rPr>
          <w:sz w:val="20"/>
          <w:szCs w:val="20"/>
          <w:color w:val="auto"/>
        </w:rPr>
      </w:pPr>
    </w:p>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52" w:right="580"/>
        <w:spacing w:after="0" w:line="277" w:lineRule="auto"/>
        <w:rPr>
          <w:sz w:val="20"/>
          <w:szCs w:val="20"/>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sz w:val="20"/>
          <w:szCs w:val="20"/>
          <w:color w:val="auto"/>
        </w:rPr>
      </w:pPr>
    </w:p>
    <w:p>
      <w:pPr>
        <w:ind w:left="1692" w:right="80" w:hanging="647"/>
        <w:spacing w:after="0" w:line="259" w:lineRule="auto"/>
        <w:tabs>
          <w:tab w:leader="none" w:pos="16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ind w:left="1692" w:right="80" w:hanging="647"/>
        <w:spacing w:after="0" w:line="257" w:lineRule="auto"/>
        <w:tabs>
          <w:tab w:leader="none" w:pos="16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692" w:right="20" w:hanging="647"/>
        <w:spacing w:after="0" w:line="277"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692" w:right="560" w:hanging="647"/>
        <w:spacing w:after="0" w:line="277" w:lineRule="auto"/>
        <w:tabs>
          <w:tab w:leader="none" w:pos="16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692" w:right="280" w:hanging="647"/>
        <w:spacing w:after="0" w:line="277" w:lineRule="auto"/>
        <w:tabs>
          <w:tab w:leader="none" w:pos="16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sz w:val="20"/>
          <w:szCs w:val="20"/>
          <w:color w:val="auto"/>
        </w:rPr>
      </w:pPr>
    </w:p>
    <w:p>
      <w:pPr>
        <w:ind w:left="1692" w:right="400" w:hanging="647"/>
        <w:spacing w:after="0" w:line="277" w:lineRule="auto"/>
        <w:tabs>
          <w:tab w:leader="none" w:pos="16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and Party C shall not assign their rights and obligations under this Agreement to any third party without the prior written consent of Party A.</w:t>
      </w:r>
    </w:p>
    <w:p>
      <w:pPr>
        <w:spacing w:after="0" w:line="170" w:lineRule="exact"/>
        <w:rPr>
          <w:sz w:val="20"/>
          <w:szCs w:val="20"/>
          <w:color w:val="auto"/>
        </w:rPr>
      </w:pPr>
    </w:p>
    <w:p>
      <w:pPr>
        <w:ind w:left="1692" w:right="140" w:hanging="647"/>
        <w:spacing w:after="0" w:line="308" w:lineRule="auto"/>
        <w:tabs>
          <w:tab w:leader="none" w:pos="16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Agreement shall be effective as of the date first set forth above.</w:t>
      </w:r>
    </w:p>
    <w:p>
      <w:pPr>
        <w:spacing w:after="0" w:line="225" w:lineRule="exact"/>
        <w:rPr>
          <w:sz w:val="20"/>
          <w:szCs w:val="20"/>
          <w:color w:val="auto"/>
        </w:rPr>
      </w:pPr>
    </w:p>
    <w:p>
      <w:pPr>
        <w:ind w:left="1692" w:hanging="647"/>
        <w:spacing w:after="0" w:line="273"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p>
      <w:pPr>
        <w:spacing w:after="0" w:line="178" w:lineRule="exact"/>
        <w:rPr>
          <w:sz w:val="20"/>
          <w:szCs w:val="20"/>
          <w:color w:val="auto"/>
        </w:rPr>
      </w:pPr>
    </w:p>
    <w:p>
      <w:pPr>
        <w:ind w:left="652" w:hanging="652"/>
        <w:spacing w:after="0"/>
        <w:tabs>
          <w:tab w:leader="none" w:pos="65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297" w:lineRule="auto"/>
        <w:rPr>
          <w:sz w:val="20"/>
          <w:szCs w:val="20"/>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w:t>
      </w:r>
    </w:p>
    <w:p>
      <w:pPr>
        <w:sectPr>
          <w:pgSz w:w="11900" w:h="16941" w:orient="portrait"/>
          <w:cols w:equalWidth="0" w:num="1">
            <w:col w:w="11372"/>
          </w:cols>
          <w:pgMar w:left="248" w:top="125" w:right="279" w:bottom="0" w:gutter="0" w:footer="0" w:header="0"/>
        </w:sectPr>
      </w:pPr>
    </w:p>
    <w:bookmarkStart w:id="140" w:name="page141"/>
    <w:bookmarkEnd w:id="140"/>
    <w:p>
      <w:pPr>
        <w:ind w:left="1300" w:right="100"/>
        <w:spacing w:after="0" w:line="253" w:lineRule="auto"/>
        <w:rPr>
          <w:sz w:val="20"/>
          <w:szCs w:val="20"/>
          <w:color w:val="auto"/>
        </w:rPr>
      </w:pPr>
      <w:r>
        <w:rPr>
          <w:rFonts w:ascii="Arial" w:cs="Arial" w:eastAsia="Arial" w:hAnsi="Arial"/>
          <w:sz w:val="18"/>
          <w:szCs w:val="18"/>
          <w:color w:val="auto"/>
        </w:rPr>
        <w:t>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left="1700" w:right="120" w:hanging="647"/>
        <w:spacing w:after="0" w:line="290" w:lineRule="auto"/>
        <w:tabs>
          <w:tab w:leader="none" w:pos="1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66"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rFonts w:ascii="Arial" w:cs="Arial" w:eastAsia="Arial" w:hAnsi="Arial"/>
          <w:sz w:val="18"/>
          <w:szCs w:val="18"/>
          <w:color w:val="auto"/>
        </w:rPr>
      </w:pPr>
    </w:p>
    <w:p>
      <w:pPr>
        <w:ind w:left="660" w:right="160"/>
        <w:spacing w:after="0" w:line="293" w:lineRule="auto"/>
        <w:rPr>
          <w:rFonts w:ascii="Arial" w:cs="Arial" w:eastAsia="Arial" w:hAnsi="Arial"/>
          <w:sz w:val="18"/>
          <w:szCs w:val="18"/>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any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If to Party A: NetEase Youdao Information Technology (Beijing)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ind w:left="1620"/>
              <w:spacing w:after="0"/>
              <w:rPr>
                <w:sz w:val="20"/>
                <w:szCs w:val="20"/>
                <w:color w:val="auto"/>
              </w:rPr>
            </w:pPr>
            <w:r>
              <w:rPr>
                <w:rFonts w:ascii="Arial" w:cs="Arial" w:eastAsia="Arial" w:hAnsi="Arial"/>
                <w:sz w:val="18"/>
                <w:szCs w:val="18"/>
                <w:color w:val="auto"/>
              </w:rPr>
              <w:t>Address:</w:t>
            </w:r>
          </w:p>
        </w:tc>
        <w:tc>
          <w:tcPr>
            <w:tcW w:w="8420" w:type="dxa"/>
            <w:vAlign w:val="bottom"/>
          </w:tcPr>
          <w:p>
            <w:pPr>
              <w:ind w:left="500"/>
              <w:spacing w:after="0"/>
              <w:rPr>
                <w:sz w:val="20"/>
                <w:szCs w:val="20"/>
                <w:color w:val="auto"/>
              </w:rPr>
            </w:pPr>
            <w:r>
              <w:rPr>
                <w:rFonts w:ascii="Arial" w:cs="Arial" w:eastAsia="Arial" w:hAnsi="Arial"/>
                <w:sz w:val="18"/>
                <w:szCs w:val="18"/>
                <w:color w:val="auto"/>
                <w:w w:val="94"/>
              </w:rPr>
              <w:t>1/F, Tower C, Building No. 7, West Zone Zhongguancun Software Park (Phase II) No. 10 Xibeiwang East</w:t>
            </w:r>
          </w:p>
        </w:tc>
      </w:tr>
      <w:tr>
        <w:trPr>
          <w:trHeight w:val="230"/>
        </w:trPr>
        <w:tc>
          <w:tcPr>
            <w:tcW w:w="3040" w:type="dxa"/>
            <w:vAlign w:val="bottom"/>
          </w:tcPr>
          <w:p>
            <w:pPr>
              <w:spacing w:after="0"/>
              <w:rPr>
                <w:sz w:val="20"/>
                <w:szCs w:val="20"/>
                <w:color w:val="auto"/>
              </w:rPr>
            </w:pPr>
          </w:p>
        </w:tc>
        <w:tc>
          <w:tcPr>
            <w:tcW w:w="8420" w:type="dxa"/>
            <w:vAlign w:val="bottom"/>
          </w:tcPr>
          <w:p>
            <w:pPr>
              <w:ind w:left="500"/>
              <w:spacing w:after="0"/>
              <w:rPr>
                <w:sz w:val="20"/>
                <w:szCs w:val="20"/>
                <w:color w:val="auto"/>
              </w:rPr>
            </w:pPr>
            <w:r>
              <w:rPr>
                <w:rFonts w:ascii="Arial" w:cs="Arial" w:eastAsia="Arial" w:hAnsi="Arial"/>
                <w:sz w:val="18"/>
                <w:szCs w:val="18"/>
                <w:color w:val="auto"/>
              </w:rPr>
              <w:t>Road, Haidian District</w:t>
            </w:r>
          </w:p>
        </w:tc>
      </w:tr>
      <w:tr>
        <w:trPr>
          <w:trHeight w:val="432"/>
        </w:trPr>
        <w:tc>
          <w:tcPr>
            <w:tcW w:w="3040" w:type="dxa"/>
            <w:vAlign w:val="bottom"/>
          </w:tcPr>
          <w:p>
            <w:pPr>
              <w:ind w:left="1620"/>
              <w:spacing w:after="0"/>
              <w:rPr>
                <w:sz w:val="20"/>
                <w:szCs w:val="20"/>
                <w:color w:val="auto"/>
              </w:rPr>
            </w:pPr>
            <w:r>
              <w:rPr>
                <w:rFonts w:ascii="Arial" w:cs="Arial" w:eastAsia="Arial" w:hAnsi="Arial"/>
                <w:sz w:val="18"/>
                <w:szCs w:val="18"/>
                <w:color w:val="auto"/>
              </w:rPr>
              <w:t>Fax:</w:t>
            </w:r>
          </w:p>
        </w:tc>
        <w:tc>
          <w:tcPr>
            <w:tcW w:w="8420" w:type="dxa"/>
            <w:vAlign w:val="bottom"/>
          </w:tcPr>
          <w:p>
            <w:pPr>
              <w:ind w:left="500"/>
              <w:spacing w:after="0"/>
              <w:rPr>
                <w:sz w:val="20"/>
                <w:szCs w:val="20"/>
                <w:color w:val="auto"/>
              </w:rPr>
            </w:pPr>
            <w:r>
              <w:rPr>
                <w:rFonts w:ascii="Arial" w:cs="Arial" w:eastAsia="Arial" w:hAnsi="Arial"/>
                <w:sz w:val="18"/>
                <w:szCs w:val="18"/>
                <w:color w:val="auto"/>
              </w:rPr>
              <w:t>86-10-82558135</w:t>
            </w:r>
          </w:p>
        </w:tc>
      </w:tr>
      <w:tr>
        <w:trPr>
          <w:trHeight w:val="432"/>
        </w:trPr>
        <w:tc>
          <w:tcPr>
            <w:tcW w:w="3040" w:type="dxa"/>
            <w:vAlign w:val="bottom"/>
          </w:tcPr>
          <w:p>
            <w:pPr>
              <w:ind w:left="1620"/>
              <w:spacing w:after="0"/>
              <w:rPr>
                <w:sz w:val="20"/>
                <w:szCs w:val="20"/>
                <w:color w:val="auto"/>
              </w:rPr>
            </w:pPr>
            <w:r>
              <w:rPr>
                <w:rFonts w:ascii="Arial" w:cs="Arial" w:eastAsia="Arial" w:hAnsi="Arial"/>
                <w:sz w:val="18"/>
                <w:szCs w:val="18"/>
                <w:color w:val="auto"/>
              </w:rPr>
              <w:t>Email:</w:t>
            </w:r>
          </w:p>
        </w:tc>
        <w:tc>
          <w:tcPr>
            <w:tcW w:w="8420" w:type="dxa"/>
            <w:vAlign w:val="bottom"/>
          </w:tcPr>
          <w:p>
            <w:pPr>
              <w:ind w:left="500"/>
              <w:spacing w:after="0"/>
              <w:rPr>
                <w:sz w:val="20"/>
                <w:szCs w:val="20"/>
                <w:color w:val="auto"/>
              </w:rPr>
            </w:pPr>
            <w:r>
              <w:rPr>
                <w:rFonts w:ascii="Arial" w:cs="Arial" w:eastAsia="Arial" w:hAnsi="Arial"/>
                <w:sz w:val="18"/>
                <w:szCs w:val="18"/>
                <w:color w:val="auto"/>
              </w:rPr>
              <w:t>zf@rd.netease.com</w:t>
            </w:r>
          </w:p>
        </w:tc>
      </w:tr>
      <w:tr>
        <w:trPr>
          <w:trHeight w:val="432"/>
        </w:trPr>
        <w:tc>
          <w:tcPr>
            <w:tcW w:w="3040" w:type="dxa"/>
            <w:vAlign w:val="bottom"/>
          </w:tcPr>
          <w:p>
            <w:pPr>
              <w:ind w:left="1620"/>
              <w:spacing w:after="0"/>
              <w:rPr>
                <w:sz w:val="20"/>
                <w:szCs w:val="20"/>
                <w:color w:val="auto"/>
              </w:rPr>
            </w:pPr>
            <w:r>
              <w:rPr>
                <w:rFonts w:ascii="Arial" w:cs="Arial" w:eastAsia="Arial" w:hAnsi="Arial"/>
                <w:sz w:val="18"/>
                <w:szCs w:val="18"/>
                <w:color w:val="auto"/>
              </w:rPr>
              <w:t>Attention:</w:t>
            </w:r>
          </w:p>
        </w:tc>
        <w:tc>
          <w:tcPr>
            <w:tcW w:w="8420" w:type="dxa"/>
            <w:vAlign w:val="bottom"/>
          </w:tcPr>
          <w:p>
            <w:pPr>
              <w:ind w:left="500"/>
              <w:spacing w:after="0"/>
              <w:rPr>
                <w:sz w:val="20"/>
                <w:szCs w:val="20"/>
                <w:color w:val="auto"/>
              </w:rPr>
            </w:pPr>
            <w:r>
              <w:rPr>
                <w:rFonts w:ascii="Arial" w:cs="Arial" w:eastAsia="Arial" w:hAnsi="Arial"/>
                <w:sz w:val="18"/>
                <w:szCs w:val="18"/>
                <w:color w:val="auto"/>
              </w:rPr>
              <w:t>Feng Zhou</w:t>
            </w:r>
          </w:p>
        </w:tc>
      </w:tr>
      <w:tr>
        <w:trPr>
          <w:trHeight w:val="432"/>
        </w:trPr>
        <w:tc>
          <w:tcPr>
            <w:tcW w:w="3040" w:type="dxa"/>
            <w:vAlign w:val="bottom"/>
          </w:tcPr>
          <w:p>
            <w:pPr>
              <w:spacing w:after="0"/>
              <w:rPr>
                <w:sz w:val="24"/>
                <w:szCs w:val="24"/>
                <w:color w:val="auto"/>
              </w:rPr>
            </w:pPr>
          </w:p>
        </w:tc>
        <w:tc>
          <w:tcPr>
            <w:tcW w:w="8420" w:type="dxa"/>
            <w:vAlign w:val="bottom"/>
          </w:tcPr>
          <w:p>
            <w:pPr>
              <w:ind w:left="2620"/>
              <w:spacing w:after="0"/>
              <w:rPr>
                <w:sz w:val="20"/>
                <w:szCs w:val="20"/>
                <w:color w:val="auto"/>
              </w:rPr>
            </w:pPr>
            <w:r>
              <w:rPr>
                <w:rFonts w:ascii="Arial" w:cs="Arial" w:eastAsia="Arial" w:hAnsi="Arial"/>
                <w:sz w:val="18"/>
                <w:szCs w:val="18"/>
                <w:color w:val="auto"/>
              </w:rPr>
              <w:t>9</w:t>
            </w:r>
          </w:p>
        </w:tc>
      </w:tr>
      <w:tr>
        <w:trPr>
          <w:trHeight w:val="132"/>
        </w:trPr>
        <w:tc>
          <w:tcPr>
            <w:tcW w:w="3040" w:type="dxa"/>
            <w:vAlign w:val="bottom"/>
            <w:tcBorders>
              <w:bottom w:val="single" w:sz="8" w:color="808080"/>
            </w:tcBorders>
          </w:tcPr>
          <w:p>
            <w:pPr>
              <w:spacing w:after="0"/>
              <w:rPr>
                <w:sz w:val="11"/>
                <w:szCs w:val="11"/>
                <w:color w:val="auto"/>
              </w:rPr>
            </w:pPr>
          </w:p>
        </w:tc>
        <w:tc>
          <w:tcPr>
            <w:tcW w:w="8420" w:type="dxa"/>
            <w:vAlign w:val="bottom"/>
            <w:tcBorders>
              <w:bottom w:val="single" w:sz="8" w:color="808080"/>
            </w:tcBorders>
          </w:tcPr>
          <w:p>
            <w:pPr>
              <w:spacing w:after="0"/>
              <w:rPr>
                <w:sz w:val="11"/>
                <w:szCs w:val="11"/>
                <w:color w:val="auto"/>
              </w:rPr>
            </w:pPr>
          </w:p>
        </w:tc>
      </w:tr>
      <w:tr>
        <w:trPr>
          <w:trHeight w:val="780"/>
        </w:trPr>
        <w:tc>
          <w:tcPr>
            <w:tcW w:w="3040" w:type="dxa"/>
            <w:vAlign w:val="bottom"/>
          </w:tcPr>
          <w:p>
            <w:pPr>
              <w:ind w:left="660"/>
              <w:spacing w:after="0"/>
              <w:rPr>
                <w:sz w:val="20"/>
                <w:szCs w:val="20"/>
                <w:color w:val="auto"/>
              </w:rPr>
            </w:pPr>
            <w:r>
              <w:rPr>
                <w:rFonts w:ascii="Arial" w:cs="Arial" w:eastAsia="Arial" w:hAnsi="Arial"/>
                <w:sz w:val="18"/>
                <w:szCs w:val="18"/>
                <w:b w:val="1"/>
                <w:bCs w:val="1"/>
                <w:color w:val="auto"/>
              </w:rPr>
              <w:t>If to Party B: Feng Zhou</w:t>
            </w:r>
          </w:p>
        </w:tc>
        <w:tc>
          <w:tcPr>
            <w:tcW w:w="8420" w:type="dxa"/>
            <w:vAlign w:val="bottom"/>
          </w:tcPr>
          <w:p>
            <w:pPr>
              <w:spacing w:after="0"/>
              <w:rPr>
                <w:sz w:val="24"/>
                <w:szCs w:val="24"/>
                <w:color w:val="auto"/>
              </w:rPr>
            </w:pPr>
          </w:p>
        </w:tc>
      </w:tr>
      <w:tr>
        <w:trPr>
          <w:trHeight w:val="432"/>
        </w:trPr>
        <w:tc>
          <w:tcPr>
            <w:tcW w:w="3040" w:type="dxa"/>
            <w:vAlign w:val="bottom"/>
          </w:tcPr>
          <w:p>
            <w:pPr>
              <w:ind w:left="1620"/>
              <w:spacing w:after="0"/>
              <w:rPr>
                <w:sz w:val="20"/>
                <w:szCs w:val="20"/>
                <w:color w:val="auto"/>
              </w:rPr>
            </w:pPr>
            <w:r>
              <w:rPr>
                <w:rFonts w:ascii="Arial" w:cs="Arial" w:eastAsia="Arial" w:hAnsi="Arial"/>
                <w:sz w:val="18"/>
                <w:szCs w:val="18"/>
                <w:color w:val="auto"/>
              </w:rPr>
              <w:t>Address:</w:t>
            </w:r>
          </w:p>
        </w:tc>
        <w:tc>
          <w:tcPr>
            <w:tcW w:w="8420" w:type="dxa"/>
            <w:vAlign w:val="bottom"/>
          </w:tcPr>
          <w:p>
            <w:pPr>
              <w:ind w:left="500"/>
              <w:spacing w:after="0"/>
              <w:rPr>
                <w:sz w:val="20"/>
                <w:szCs w:val="20"/>
                <w:color w:val="auto"/>
              </w:rPr>
            </w:pPr>
            <w:r>
              <w:rPr>
                <w:rFonts w:ascii="Arial" w:cs="Arial" w:eastAsia="Arial" w:hAnsi="Arial"/>
                <w:sz w:val="18"/>
                <w:szCs w:val="18"/>
                <w:color w:val="auto"/>
              </w:rPr>
              <w:t>No. 15, Guang Hua Li, Chaoyang District, Beijing</w:t>
            </w:r>
          </w:p>
        </w:tc>
      </w:tr>
      <w:tr>
        <w:trPr>
          <w:trHeight w:val="432"/>
        </w:trPr>
        <w:tc>
          <w:tcPr>
            <w:tcW w:w="3040" w:type="dxa"/>
            <w:vAlign w:val="bottom"/>
          </w:tcPr>
          <w:p>
            <w:pPr>
              <w:ind w:left="1620"/>
              <w:spacing w:after="0"/>
              <w:rPr>
                <w:sz w:val="20"/>
                <w:szCs w:val="20"/>
                <w:color w:val="auto"/>
              </w:rPr>
            </w:pPr>
            <w:r>
              <w:rPr>
                <w:rFonts w:ascii="Arial" w:cs="Arial" w:eastAsia="Arial" w:hAnsi="Arial"/>
                <w:sz w:val="18"/>
                <w:szCs w:val="18"/>
                <w:color w:val="auto"/>
              </w:rPr>
              <w:t>Fax:</w:t>
            </w:r>
          </w:p>
        </w:tc>
        <w:tc>
          <w:tcPr>
            <w:tcW w:w="8420" w:type="dxa"/>
            <w:vAlign w:val="bottom"/>
          </w:tcPr>
          <w:p>
            <w:pPr>
              <w:ind w:left="500"/>
              <w:spacing w:after="0"/>
              <w:rPr>
                <w:sz w:val="20"/>
                <w:szCs w:val="20"/>
                <w:color w:val="auto"/>
              </w:rPr>
            </w:pPr>
            <w:r>
              <w:rPr>
                <w:rFonts w:ascii="Arial" w:cs="Arial" w:eastAsia="Arial" w:hAnsi="Arial"/>
                <w:sz w:val="18"/>
                <w:szCs w:val="18"/>
                <w:color w:val="auto"/>
              </w:rPr>
              <w:t>86-10-82558135</w:t>
            </w:r>
          </w:p>
        </w:tc>
      </w:tr>
      <w:tr>
        <w:trPr>
          <w:trHeight w:val="432"/>
        </w:trPr>
        <w:tc>
          <w:tcPr>
            <w:tcW w:w="3040" w:type="dxa"/>
            <w:vAlign w:val="bottom"/>
          </w:tcPr>
          <w:p>
            <w:pPr>
              <w:ind w:left="1620"/>
              <w:spacing w:after="0"/>
              <w:rPr>
                <w:sz w:val="20"/>
                <w:szCs w:val="20"/>
                <w:color w:val="auto"/>
              </w:rPr>
            </w:pPr>
            <w:r>
              <w:rPr>
                <w:rFonts w:ascii="Arial" w:cs="Arial" w:eastAsia="Arial" w:hAnsi="Arial"/>
                <w:sz w:val="18"/>
                <w:szCs w:val="18"/>
                <w:color w:val="auto"/>
              </w:rPr>
              <w:t>Email:</w:t>
            </w:r>
          </w:p>
        </w:tc>
        <w:tc>
          <w:tcPr>
            <w:tcW w:w="8420" w:type="dxa"/>
            <w:vAlign w:val="bottom"/>
          </w:tcPr>
          <w:p>
            <w:pPr>
              <w:ind w:left="500"/>
              <w:spacing w:after="0"/>
              <w:rPr>
                <w:sz w:val="20"/>
                <w:szCs w:val="20"/>
                <w:color w:val="auto"/>
              </w:rPr>
            </w:pPr>
            <w:r>
              <w:rPr>
                <w:rFonts w:ascii="Arial" w:cs="Arial" w:eastAsia="Arial" w:hAnsi="Arial"/>
                <w:sz w:val="18"/>
                <w:szCs w:val="18"/>
                <w:color w:val="auto"/>
              </w:rPr>
              <w:t>zf@rd.netease.com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Party C: Beijing NetEase Youdao Computer System Co., Ltd.</w:t>
      </w:r>
    </w:p>
    <w:p>
      <w:pPr>
        <w:sectPr>
          <w:pgSz w:w="11900" w:h="16838" w:orient="portrait"/>
          <w:cols w:equalWidth="0" w:num="1">
            <w:col w:w="11460"/>
          </w:cols>
          <w:pgMar w:left="240" w:top="125" w:right="199" w:bottom="0" w:gutter="0" w:footer="0" w:header="0"/>
        </w:sectPr>
      </w:pP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2/F, Tower A, Building No. 7, West Zone Zhongguancun Software Park (Phase II) No. 10 Xibeiwang East Road, Haidian District</w:t>
      </w:r>
    </w:p>
    <w:p>
      <w:pPr>
        <w:spacing w:after="0" w:line="170" w:lineRule="exact"/>
        <w:rPr>
          <w:sz w:val="20"/>
          <w:szCs w:val="20"/>
          <w:color w:val="auto"/>
        </w:rPr>
      </w:pPr>
    </w:p>
    <w:p>
      <w:pPr>
        <w:sectPr>
          <w:pgSz w:w="11900" w:h="16838" w:orient="portrait"/>
          <w:cols w:equalWidth="0" w:num="2">
            <w:col w:w="2820" w:space="720"/>
            <w:col w:w="7920"/>
          </w:cols>
          <w:pgMar w:left="240" w:top="125" w:right="199" w:bottom="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86-10-82558135</w:t>
      </w:r>
    </w:p>
    <w:p>
      <w:pPr>
        <w:spacing w:after="0" w:line="200" w:lineRule="exact"/>
        <w:rPr>
          <w:sz w:val="20"/>
          <w:szCs w:val="20"/>
          <w:color w:val="auto"/>
        </w:rPr>
      </w:pPr>
    </w:p>
    <w:p>
      <w:pPr>
        <w:sectPr>
          <w:pgSz w:w="11900" w:h="16838" w:orient="portrait"/>
          <w:cols w:equalWidth="0" w:num="2">
            <w:col w:w="2820" w:space="720"/>
            <w:col w:w="7920"/>
          </w:cols>
          <w:pgMar w:left="240" w:top="125" w:right="199" w:bottom="0" w:gutter="0" w:footer="0" w:header="0"/>
          <w:type w:val="continuous"/>
        </w:sectPr>
      </w:pPr>
    </w:p>
    <w:p>
      <w:pPr>
        <w:spacing w:after="0" w:line="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zf@rd.netease.com</w:t>
      </w:r>
    </w:p>
    <w:p>
      <w:pPr>
        <w:spacing w:after="0" w:line="222" w:lineRule="exact"/>
        <w:rPr>
          <w:sz w:val="20"/>
          <w:szCs w:val="20"/>
          <w:color w:val="auto"/>
        </w:rPr>
      </w:pPr>
    </w:p>
    <w:p>
      <w:pPr>
        <w:sectPr>
          <w:pgSz w:w="11900" w:h="16838" w:orient="portrait"/>
          <w:cols w:equalWidth="0" w:num="2">
            <w:col w:w="2820" w:space="720"/>
            <w:col w:w="7920"/>
          </w:cols>
          <w:pgMar w:left="240" w:top="125" w:right="199" w:bottom="0" w:gutter="0" w:footer="0" w:header="0"/>
          <w:type w:val="continuous"/>
        </w:sectPr>
      </w:pPr>
    </w:p>
    <w:p>
      <w:pPr>
        <w:spacing w:after="0" w:line="3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Feng Zhou</w:t>
      </w:r>
    </w:p>
    <w:p>
      <w:pPr>
        <w:sectPr>
          <w:pgSz w:w="11900" w:h="16838" w:orient="portrait"/>
          <w:cols w:equalWidth="0" w:num="2">
            <w:col w:w="2820" w:space="720"/>
            <w:col w:w="7920"/>
          </w:cols>
          <w:pgMar w:left="240" w:top="125" w:right="199" w:bottom="0" w:gutter="0" w:footer="0" w:header="0"/>
          <w:type w:val="continuous"/>
        </w:sectPr>
      </w:pPr>
    </w:p>
    <w:bookmarkStart w:id="141" w:name="page142"/>
    <w:bookmarkEnd w:id="141"/>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Amendment, Modification or Supplement</w:t>
      </w:r>
    </w:p>
    <w:p>
      <w:pPr>
        <w:spacing w:after="0" w:line="225" w:lineRule="exact"/>
        <w:rPr>
          <w:sz w:val="20"/>
          <w:szCs w:val="20"/>
          <w:color w:val="auto"/>
        </w:rPr>
      </w:pPr>
    </w:p>
    <w:p>
      <w:pPr>
        <w:ind w:left="1300" w:right="1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300" w:right="1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300" w:right="1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300" w:right="7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300" w:right="1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300" w:right="5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9 and 10 and this Article 11.6 shall survive the termination of this Agreement.</w:t>
      </w:r>
    </w:p>
    <w:p>
      <w:pPr>
        <w:spacing w:after="0" w:line="124"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Youdao Information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Feng Zhou</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0187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Beijing NetEase Youdao Computer System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Feng Zhou,</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Pursuant to the Exclusive Purchase Option Agreement between us executed on November 20, 2017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you agreed to transfer to us or our Designated Person(s) certain equity interests or assets upon notice from us.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[All /</w:t>
      </w:r>
      <w:r>
        <w:rPr>
          <w:sz w:val="20"/>
          <w:szCs w:val="20"/>
          <w:color w:val="auto"/>
        </w:rPr>
        <w:tab/>
      </w:r>
      <w:r>
        <w:rPr>
          <w:rFonts w:ascii="Arial" w:cs="Arial" w:eastAsia="Arial" w:hAnsi="Arial"/>
          <w:sz w:val="16"/>
          <w:szCs w:val="16"/>
          <w:color w:val="auto"/>
        </w:rPr>
        <w:t>% of the shares in Beijing NetEase Youdao Computer System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-10160</wp:posOffset>
            </wp:positionV>
            <wp:extent cx="1143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[All the assets of Beijing NetEase Youdao Computer System Co., Ltd. / The following assets of Beijing NetEase Youdao Computer System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91440</wp:posOffset>
            </wp:positionV>
            <wp:extent cx="58578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5">
                      <a:extLst>
                        <a:ext uri="{28A0092B-C50C-407E-A947-70E740481C1C}"/>
                      </a:extLst>
                    </a:blip>
                    <a:srcRect/>
                    <a:stretch>
                      <a:fillRect/>
                    </a:stretch>
                  </pic:blipFill>
                  <pic:spPr bwMode="auto">
                    <a:xfrm>
                      <a:off x="0" y="0"/>
                      <a:ext cx="5857875"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Pr>
          <w:p>
            <w:pPr>
              <w:jc w:val="right"/>
              <w:ind w:right="1710"/>
              <w:spacing w:after="0"/>
              <w:rPr>
                <w:sz w:val="20"/>
                <w:szCs w:val="20"/>
                <w:color w:val="auto"/>
              </w:rPr>
            </w:pPr>
            <w:r>
              <w:rPr>
                <w:rFonts w:ascii="Arial" w:cs="Arial" w:eastAsia="Arial" w:hAnsi="Arial"/>
                <w:sz w:val="18"/>
                <w:szCs w:val="18"/>
                <w:color w:val="auto"/>
                <w:w w:val="78"/>
              </w:rPr>
              <w:t>]</w:t>
            </w:r>
          </w:p>
        </w:tc>
        <w:tc>
          <w:tcPr>
            <w:tcW w:w="360" w:type="dxa"/>
            <w:vAlign w:val="bottom"/>
          </w:tcPr>
          <w:p>
            <w:pPr>
              <w:spacing w:after="0"/>
              <w:rPr>
                <w:sz w:val="17"/>
                <w:szCs w:val="17"/>
                <w:color w:val="auto"/>
              </w:rPr>
            </w:pPr>
          </w:p>
        </w:tc>
      </w:tr>
      <w:tr>
        <w:trPr>
          <w:trHeight w:val="438"/>
        </w:trPr>
        <w:tc>
          <w:tcPr>
            <w:tcW w:w="460" w:type="dxa"/>
            <w:vAlign w:val="bottom"/>
          </w:tcPr>
          <w:p>
            <w:pPr>
              <w:spacing w:after="0"/>
              <w:rPr>
                <w:sz w:val="24"/>
                <w:szCs w:val="24"/>
                <w:color w:val="auto"/>
              </w:rPr>
            </w:pPr>
          </w:p>
        </w:tc>
        <w:tc>
          <w:tcPr>
            <w:tcW w:w="11000" w:type="dxa"/>
            <w:vAlign w:val="bottom"/>
            <w:gridSpan w:val="11"/>
          </w:tcPr>
          <w:p>
            <w:pPr>
              <w:ind w:left="200"/>
              <w:spacing w:after="0"/>
              <w:rPr>
                <w:sz w:val="20"/>
                <w:szCs w:val="20"/>
                <w:color w:val="auto"/>
              </w:rPr>
            </w:pPr>
            <w:r>
              <w:rPr>
                <w:rFonts w:ascii="Arial" w:cs="Arial" w:eastAsia="Arial" w:hAnsi="Arial"/>
                <w:sz w:val="18"/>
                <w:szCs w:val="18"/>
                <w:color w:val="auto"/>
                <w:w w:val="92"/>
              </w:rPr>
              <w:t>In consideration for the Purchased Interest, the Purchase Price (as defined in Article 1.3 of the Option Agreement) of the Purchased Interest will be</w:t>
            </w:r>
          </w:p>
        </w:tc>
      </w:tr>
      <w:tr>
        <w:trPr>
          <w:trHeight w:val="190"/>
        </w:trPr>
        <w:tc>
          <w:tcPr>
            <w:tcW w:w="460" w:type="dxa"/>
            <w:vAlign w:val="bottom"/>
          </w:tcPr>
          <w:p>
            <w:pPr>
              <w:spacing w:after="0" w:line="190" w:lineRule="exact"/>
              <w:rPr>
                <w:sz w:val="20"/>
                <w:szCs w:val="20"/>
                <w:color w:val="auto"/>
              </w:rPr>
            </w:pPr>
            <w:r>
              <w:rPr>
                <w:rFonts w:ascii="Arial" w:cs="Arial" w:eastAsia="Arial" w:hAnsi="Arial"/>
                <w:sz w:val="18"/>
                <w:szCs w:val="18"/>
                <w:color w:val="auto"/>
              </w:rPr>
              <w:t>RMB</w:t>
            </w:r>
          </w:p>
        </w:tc>
        <w:tc>
          <w:tcPr>
            <w:tcW w:w="760" w:type="dxa"/>
            <w:vAlign w:val="bottom"/>
            <w:tcBorders>
              <w:bottom w:val="single" w:sz="8" w:color="auto"/>
            </w:tcBorders>
          </w:tcPr>
          <w:p>
            <w:pPr>
              <w:spacing w:after="0"/>
              <w:rPr>
                <w:sz w:val="16"/>
                <w:szCs w:val="16"/>
                <w:color w:val="auto"/>
              </w:rPr>
            </w:pPr>
          </w:p>
        </w:tc>
        <w:tc>
          <w:tcPr>
            <w:tcW w:w="8020" w:type="dxa"/>
            <w:vAlign w:val="bottom"/>
            <w:gridSpan w:val="8"/>
          </w:tcPr>
          <w:p>
            <w:pPr>
              <w:spacing w:after="0" w:line="190" w:lineRule="exact"/>
              <w:rPr>
                <w:sz w:val="20"/>
                <w:szCs w:val="20"/>
                <w:color w:val="auto"/>
              </w:rPr>
            </w:pPr>
            <w:r>
              <w:rPr>
                <w:rFonts w:ascii="Arial" w:cs="Arial" w:eastAsia="Arial" w:hAnsi="Arial"/>
                <w:sz w:val="18"/>
                <w:szCs w:val="18"/>
                <w:color w:val="auto"/>
              </w:rPr>
              <w:t>. We shall handle payment of the Purchase Price pursuant to Article 1.5 of the Option Agreement.</w:t>
            </w: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12"/>
        </w:trPr>
        <w:tc>
          <w:tcPr>
            <w:tcW w:w="460" w:type="dxa"/>
            <w:vAlign w:val="bottom"/>
          </w:tcPr>
          <w:p>
            <w:pPr>
              <w:spacing w:after="0"/>
              <w:rPr>
                <w:sz w:val="24"/>
                <w:szCs w:val="24"/>
                <w:color w:val="auto"/>
              </w:rPr>
            </w:pPr>
          </w:p>
        </w:tc>
        <w:tc>
          <w:tcPr>
            <w:tcW w:w="8780" w:type="dxa"/>
            <w:vAlign w:val="bottom"/>
            <w:gridSpan w:val="9"/>
          </w:tcPr>
          <w:p>
            <w:pPr>
              <w:ind w:left="200"/>
              <w:spacing w:after="0"/>
              <w:rPr>
                <w:sz w:val="20"/>
                <w:szCs w:val="20"/>
                <w:color w:val="auto"/>
              </w:rPr>
            </w:pPr>
            <w:r>
              <w:rPr>
                <w:rFonts w:ascii="Arial" w:cs="Arial" w:eastAsia="Arial" w:hAnsi="Arial"/>
                <w:sz w:val="18"/>
                <w:szCs w:val="18"/>
                <w:color w:val="auto"/>
                <w:w w:val="91"/>
              </w:rPr>
              <w:t>Please assist us in arranging for the transfer of the Purchased Interest to [</w:t>
            </w:r>
            <w:r>
              <w:rPr>
                <w:rFonts w:ascii="Arial" w:cs="Arial" w:eastAsia="Arial" w:hAnsi="Arial"/>
                <w:sz w:val="18"/>
                <w:szCs w:val="18"/>
                <w:i w:val="1"/>
                <w:iCs w:val="1"/>
                <w:color w:val="auto"/>
                <w:w w:val="91"/>
              </w:rPr>
              <w:t>us / our Designated Person(s), which is/are</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37"/>
        </w:trPr>
        <w:tc>
          <w:tcPr>
            <w:tcW w:w="8040" w:type="dxa"/>
            <w:vAlign w:val="bottom"/>
            <w:gridSpan w:val="8"/>
          </w:tcPr>
          <w:p>
            <w:pPr>
              <w:spacing w:after="0"/>
              <w:rPr>
                <w:sz w:val="20"/>
                <w:szCs w:val="20"/>
                <w:color w:val="auto"/>
              </w:rPr>
            </w:pPr>
            <w:r>
              <w:rPr>
                <w:rFonts w:ascii="Arial" w:cs="Arial" w:eastAsia="Arial" w:hAnsi="Arial"/>
                <w:sz w:val="18"/>
                <w:szCs w:val="18"/>
                <w:color w:val="auto"/>
              </w:rPr>
              <w:t>Such transfer should occur no later than forty-five (45) business days after the date hereof</w:t>
            </w:r>
          </w:p>
        </w:tc>
        <w:tc>
          <w:tcPr>
            <w:tcW w:w="10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rPr>
              <w:t>Sincerely,</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gridSpan w:val="4"/>
          </w:tcPr>
          <w:p>
            <w:pPr>
              <w:ind w:left="880"/>
              <w:spacing w:after="0"/>
              <w:rPr>
                <w:sz w:val="20"/>
                <w:szCs w:val="20"/>
                <w:color w:val="auto"/>
              </w:rPr>
            </w:pPr>
            <w:r>
              <w:rPr>
                <w:rFonts w:ascii="Arial" w:cs="Arial" w:eastAsia="Arial" w:hAnsi="Arial"/>
                <w:sz w:val="18"/>
                <w:szCs w:val="18"/>
                <w:color w:val="auto"/>
                <w:w w:val="97"/>
              </w:rPr>
              <w:t>NetEase Youdao Information</w:t>
            </w: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gridSpan w:val="4"/>
          </w:tcPr>
          <w:p>
            <w:pPr>
              <w:ind w:left="880"/>
              <w:spacing w:after="0"/>
              <w:rPr>
                <w:sz w:val="20"/>
                <w:szCs w:val="20"/>
                <w:color w:val="auto"/>
              </w:rPr>
            </w:pPr>
            <w:r>
              <w:rPr>
                <w:rFonts w:ascii="Arial" w:cs="Arial" w:eastAsia="Arial" w:hAnsi="Arial"/>
                <w:sz w:val="18"/>
                <w:szCs w:val="18"/>
                <w:color w:val="auto"/>
                <w:w w:val="95"/>
              </w:rPr>
              <w:t>Technology (Beijing) Co., Ltd.</w:t>
            </w: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40" w:type="dxa"/>
            <w:vAlign w:val="bottom"/>
            <w:gridSpan w:val="3"/>
          </w:tcPr>
          <w:p>
            <w:pPr>
              <w:jc w:val="center"/>
              <w:ind w:left="2510"/>
              <w:spacing w:after="0"/>
              <w:rPr>
                <w:sz w:val="20"/>
                <w:szCs w:val="20"/>
                <w:color w:val="auto"/>
              </w:rPr>
            </w:pPr>
            <w:r>
              <w:rPr>
                <w:rFonts w:ascii="Arial" w:cs="Arial" w:eastAsia="Arial" w:hAnsi="Arial"/>
                <w:sz w:val="18"/>
                <w:szCs w:val="18"/>
                <w:color w:val="auto"/>
                <w:w w:val="89"/>
              </w:rPr>
              <w:t>13</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r>
      <w:tr>
        <w:trPr>
          <w:trHeight w:val="740"/>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4"/>
              </w:rPr>
              <w:t>Exhibit B</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580" w:type="dxa"/>
            <w:vAlign w:val="bottom"/>
            <w:gridSpan w:val="4"/>
          </w:tcPr>
          <w:p>
            <w:pPr>
              <w:jc w:val="center"/>
              <w:ind w:right="1080"/>
              <w:spacing w:after="0"/>
              <w:rPr>
                <w:sz w:val="20"/>
                <w:szCs w:val="20"/>
                <w:color w:val="auto"/>
              </w:rPr>
            </w:pPr>
            <w:r>
              <w:rPr>
                <w:rFonts w:ascii="Arial" w:cs="Arial" w:eastAsia="Arial" w:hAnsi="Arial"/>
                <w:sz w:val="18"/>
                <w:szCs w:val="18"/>
                <w:color w:val="auto"/>
                <w:w w:val="94"/>
              </w:rPr>
              <w:t>Form of Power of Attorney</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w w:val="93"/>
              </w:rPr>
              <w:t>I hereby irrevocably appoint</w:t>
            </w:r>
          </w:p>
        </w:tc>
        <w:tc>
          <w:tcPr>
            <w:tcW w:w="1720" w:type="dxa"/>
            <w:vAlign w:val="bottom"/>
          </w:tcPr>
          <w:p>
            <w:pPr>
              <w:spacing w:after="0"/>
              <w:rPr>
                <w:sz w:val="24"/>
                <w:szCs w:val="24"/>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 holder of PRC identification number :</w:t>
            </w:r>
          </w:p>
        </w:tc>
        <w:tc>
          <w:tcPr>
            <w:tcW w:w="342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 as my proxy, to sign and deliver any and all</w:t>
            </w: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-918845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240"/>
        <w:spacing w:after="0" w:line="264" w:lineRule="auto"/>
        <w:rPr>
          <w:sz w:val="20"/>
          <w:szCs w:val="20"/>
          <w:color w:val="auto"/>
        </w:rPr>
      </w:pPr>
      <w:r>
        <w:rPr>
          <w:rFonts w:ascii="Arial" w:cs="Arial" w:eastAsia="Arial" w:hAnsi="Arial"/>
          <w:sz w:val="18"/>
          <w:szCs w:val="18"/>
          <w:color w:val="auto"/>
        </w:rPr>
        <w:t>legal documents that are necessary or useful to effect any exercise of an option to purchase any equity interests or assets pursuant to the Exclusive Purchase Option Agreement between NetEase Youdao Information Technology (Beijing) Co., Ltd., Feng Zhou and Beijing NetEase Youdao Computer System Co., Ltd. executed on November 20,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Feng Zhou</w:t>
            </w:r>
          </w:p>
        </w:tc>
        <w:tc>
          <w:tcPr>
            <w:tcW w:w="49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418"/>
        </w:trPr>
        <w:tc>
          <w:tcPr>
            <w:tcW w:w="10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w:t>
            </w: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5020" w:type="dxa"/>
            <w:vAlign w:val="bottom"/>
            <w:gridSpan w:val="4"/>
          </w:tcPr>
          <w:p>
            <w:pPr>
              <w:jc w:val="center"/>
              <w:ind w:left="4190"/>
              <w:spacing w:after="0"/>
              <w:rPr>
                <w:sz w:val="20"/>
                <w:szCs w:val="20"/>
                <w:color w:val="auto"/>
              </w:rPr>
            </w:pPr>
            <w:r>
              <w:rPr>
                <w:rFonts w:ascii="Arial" w:cs="Arial" w:eastAsia="Arial" w:hAnsi="Arial"/>
                <w:sz w:val="18"/>
                <w:szCs w:val="18"/>
                <w:color w:val="auto"/>
                <w:w w:val="89"/>
              </w:rPr>
              <w:t>14</w:t>
            </w:r>
          </w:p>
        </w:tc>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gridSpan w:val="2"/>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10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Exhibit C</w:t>
            </w: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10360" w:type="dxa"/>
            <w:vAlign w:val="bottom"/>
            <w:gridSpan w:val="6"/>
          </w:tcPr>
          <w:p>
            <w:pPr>
              <w:jc w:val="center"/>
              <w:ind w:right="950"/>
              <w:spacing w:after="0"/>
              <w:rPr>
                <w:sz w:val="20"/>
                <w:szCs w:val="20"/>
                <w:color w:val="auto"/>
              </w:rPr>
            </w:pPr>
            <w:r>
              <w:rPr>
                <w:rFonts w:ascii="Arial" w:cs="Arial" w:eastAsia="Arial" w:hAnsi="Arial"/>
                <w:sz w:val="18"/>
                <w:szCs w:val="18"/>
                <w:color w:val="auto"/>
                <w:w w:val="91"/>
              </w:rPr>
              <w:t>Form of Transfer Agreement</w:t>
            </w:r>
          </w:p>
        </w:tc>
        <w:tc>
          <w:tcPr>
            <w:tcW w:w="40" w:type="dxa"/>
            <w:vAlign w:val="bottom"/>
          </w:tcPr>
          <w:p>
            <w:pPr>
              <w:spacing w:after="0"/>
              <w:rPr>
                <w:sz w:val="20"/>
                <w:szCs w:val="20"/>
                <w:color w:val="auto"/>
              </w:rPr>
            </w:pPr>
          </w:p>
        </w:tc>
      </w:tr>
      <w:tr>
        <w:trPr>
          <w:trHeight w:val="392"/>
        </w:trPr>
        <w:tc>
          <w:tcPr>
            <w:tcW w:w="5760" w:type="dxa"/>
            <w:vAlign w:val="bottom"/>
            <w:gridSpan w:val="4"/>
          </w:tcPr>
          <w:p>
            <w:pPr>
              <w:spacing w:after="0"/>
              <w:rPr>
                <w:sz w:val="20"/>
                <w:szCs w:val="20"/>
                <w:color w:val="auto"/>
              </w:rPr>
            </w:pPr>
            <w:r>
              <w:rPr>
                <w:rFonts w:ascii="Arial" w:cs="Arial" w:eastAsia="Arial" w:hAnsi="Arial"/>
                <w:sz w:val="18"/>
                <w:szCs w:val="18"/>
                <w:color w:val="auto"/>
                <w:w w:val="92"/>
              </w:rPr>
              <w:t>This Transfer Agreement (this “</w:t>
            </w:r>
            <w:r>
              <w:rPr>
                <w:rFonts w:ascii="Arial" w:cs="Arial" w:eastAsia="Arial" w:hAnsi="Arial"/>
                <w:sz w:val="18"/>
                <w:szCs w:val="18"/>
                <w:b w:val="1"/>
                <w:bCs w:val="1"/>
                <w:i w:val="1"/>
                <w:iCs w:val="1"/>
                <w:color w:val="auto"/>
                <w:w w:val="92"/>
              </w:rPr>
              <w:t>Agreement</w:t>
            </w:r>
            <w:r>
              <w:rPr>
                <w:rFonts w:ascii="Arial" w:cs="Arial" w:eastAsia="Arial" w:hAnsi="Arial"/>
                <w:sz w:val="18"/>
                <w:szCs w:val="18"/>
                <w:color w:val="auto"/>
                <w:w w:val="92"/>
              </w:rPr>
              <w:t>”) is jointly signed by the Parties on</w:t>
            </w:r>
          </w:p>
        </w:tc>
        <w:tc>
          <w:tcPr>
            <w:tcW w:w="760" w:type="dxa"/>
            <w:vAlign w:val="bottom"/>
            <w:tcBorders>
              <w:bottom w:val="single" w:sz="8" w:color="auto"/>
            </w:tcBorders>
            <w:gridSpan w:val="2"/>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at the offices of Beijing NetEase Youdao Computer System</w:t>
            </w:r>
          </w:p>
        </w:tc>
        <w:tc>
          <w:tcPr>
            <w:tcW w:w="40" w:type="dxa"/>
            <w:vAlign w:val="bottom"/>
          </w:tcPr>
          <w:p>
            <w:pPr>
              <w:spacing w:after="0"/>
              <w:rPr>
                <w:sz w:val="24"/>
                <w:szCs w:val="24"/>
                <w:color w:val="auto"/>
              </w:rPr>
            </w:pPr>
          </w:p>
        </w:tc>
      </w:tr>
      <w:tr>
        <w:trPr>
          <w:trHeight w:val="237"/>
        </w:trPr>
        <w:tc>
          <w:tcPr>
            <w:tcW w:w="6520" w:type="dxa"/>
            <w:vAlign w:val="bottom"/>
            <w:gridSpan w:val="6"/>
          </w:tcPr>
          <w:p>
            <w:pPr>
              <w:spacing w:after="0"/>
              <w:rPr>
                <w:sz w:val="20"/>
                <w:szCs w:val="20"/>
                <w:color w:val="auto"/>
              </w:rPr>
            </w:pPr>
            <w:r>
              <w:rPr>
                <w:rFonts w:ascii="Arial" w:cs="Arial" w:eastAsia="Arial" w:hAnsi="Arial"/>
                <w:sz w:val="18"/>
                <w:szCs w:val="18"/>
                <w:color w:val="auto"/>
              </w:rPr>
              <w:t>Co.,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tc>
        <w:tc>
          <w:tcPr>
            <w:tcW w:w="4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Transferor:</w:t>
            </w:r>
          </w:p>
        </w:tc>
        <w:tc>
          <w:tcPr>
            <w:tcW w:w="10360" w:type="dxa"/>
            <w:vAlign w:val="bottom"/>
            <w:gridSpan w:val="6"/>
          </w:tcPr>
          <w:p>
            <w:pPr>
              <w:ind w:left="300"/>
              <w:spacing w:after="0"/>
              <w:rPr>
                <w:sz w:val="20"/>
                <w:szCs w:val="20"/>
                <w:color w:val="auto"/>
              </w:rPr>
            </w:pPr>
            <w:r>
              <w:rPr>
                <w:rFonts w:ascii="Arial" w:cs="Arial" w:eastAsia="Arial" w:hAnsi="Arial"/>
                <w:sz w:val="18"/>
                <w:szCs w:val="18"/>
                <w:color w:val="auto"/>
              </w:rPr>
              <w:t>[Feng Zhou /Beijing NetEase Youdao Computer System Co., Ltd.]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Transferee:</w:t>
            </w:r>
          </w:p>
        </w:tc>
        <w:tc>
          <w:tcPr>
            <w:tcW w:w="10360" w:type="dxa"/>
            <w:vAlign w:val="bottom"/>
            <w:gridSpan w:val="6"/>
          </w:tcPr>
          <w:p>
            <w:pPr>
              <w:ind w:left="260"/>
              <w:spacing w:after="0"/>
              <w:rPr>
                <w:sz w:val="20"/>
                <w:szCs w:val="20"/>
                <w:color w:val="auto"/>
              </w:rPr>
            </w:pPr>
            <w:r>
              <w:rPr>
                <w:rFonts w:ascii="Arial" w:cs="Arial" w:eastAsia="Arial" w:hAnsi="Arial"/>
                <w:sz w:val="18"/>
                <w:szCs w:val="18"/>
                <w:color w:val="auto"/>
              </w:rPr>
              <w:t xml:space="preserve">[NetEase Youdao Information Technology (Beijing) Co., Ltd. </w:t>
            </w:r>
            <w:r>
              <w:rPr>
                <w:rFonts w:ascii="Arial" w:cs="Arial" w:eastAsia="Arial" w:hAnsi="Arial"/>
                <w:sz w:val="18"/>
                <w:szCs w:val="18"/>
                <w:i w:val="1"/>
                <w:iCs w:val="1"/>
                <w:color w:val="auto"/>
              </w:rPr>
              <w:t>or designated person(s)</w:t>
            </w:r>
            <w:r>
              <w:rPr>
                <w:rFonts w:ascii="Arial" w:cs="Arial" w:eastAsia="Arial" w:hAnsi="Arial"/>
                <w:sz w:val="18"/>
                <w:szCs w:val="18"/>
                <w:color w:val="auto"/>
              </w:rPr>
              <w:t>] (“</w:t>
            </w:r>
            <w:r>
              <w:rPr>
                <w:rFonts w:ascii="Arial" w:cs="Arial" w:eastAsia="Arial" w:hAnsi="Arial"/>
                <w:sz w:val="18"/>
                <w:szCs w:val="18"/>
                <w:b w:val="1"/>
                <w:bCs w:val="1"/>
                <w:i w:val="1"/>
                <w:iCs w:val="1"/>
                <w:color w:val="auto"/>
              </w:rPr>
              <w:t>Party B</w:t>
            </w:r>
            <w:r>
              <w:rPr>
                <w:rFonts w:ascii="Arial" w:cs="Arial" w:eastAsia="Arial" w:hAnsi="Arial"/>
                <w:sz w:val="18"/>
                <w:szCs w:val="18"/>
                <w:color w:val="auto"/>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[Party A owns 28.927%of the equity interest of the Company.] According to the relevant laws, rules and regulations, upon friendly negotiations between the Parties, and pursuant to the Exclusive Purchase Option Agreement entered into by the Parties on [</w:t>
      </w:r>
      <w:r>
        <w:rPr>
          <w:rFonts w:ascii="Arial" w:cs="Arial" w:eastAsia="Arial" w:hAnsi="Arial"/>
          <w:sz w:val="18"/>
          <w:szCs w:val="18"/>
          <w:i w:val="1"/>
          <w:iCs w:val="1"/>
          <w:color w:val="auto"/>
        </w:rPr>
        <w:t>date of agreement</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Exclusive 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the Parties agree to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Article 1. Subject of Transfer and Purchase Price</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92"/>
        </w:trPr>
        <w:tc>
          <w:tcPr>
            <w:tcW w:w="5460" w:type="dxa"/>
            <w:vAlign w:val="bottom"/>
            <w:gridSpan w:val="3"/>
          </w:tcPr>
          <w:p>
            <w:pPr>
              <w:ind w:left="660"/>
              <w:spacing w:after="0"/>
              <w:rPr>
                <w:sz w:val="20"/>
                <w:szCs w:val="20"/>
                <w:color w:val="auto"/>
              </w:rPr>
            </w:pPr>
            <w:r>
              <w:rPr>
                <w:rFonts w:ascii="Arial" w:cs="Arial" w:eastAsia="Arial" w:hAnsi="Arial"/>
                <w:sz w:val="18"/>
                <w:szCs w:val="18"/>
                <w:color w:val="auto"/>
                <w:w w:val="91"/>
              </w:rPr>
              <w:t>Party A shall transfer to [Party B / Party B’s designated person(s):</w:t>
            </w: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w w:val="93"/>
              </w:rPr>
              <w:t>] [  % equity interest of the Company / the</w:t>
            </w:r>
          </w:p>
        </w:tc>
      </w:tr>
      <w:tr>
        <w:trPr>
          <w:trHeight w:val="20"/>
        </w:trPr>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w w:val="93"/>
              </w:rPr>
              <w:t>following assets:</w:t>
            </w:r>
          </w:p>
        </w:tc>
        <w:tc>
          <w:tcPr>
            <w:tcW w:w="42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300" w:type="dxa"/>
            <w:vAlign w:val="bottom"/>
            <w:gridSpan w:val="4"/>
          </w:tcPr>
          <w:p>
            <w:pPr>
              <w:spacing w:after="0" w:line="196" w:lineRule="exact"/>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i w:val="1"/>
                <w:iCs w:val="1"/>
                <w:color w:val="auto"/>
              </w:rPr>
              <w:t>Transferred Interest</w:t>
            </w:r>
            <w:r>
              <w:rPr>
                <w:rFonts w:ascii="Arial" w:cs="Arial" w:eastAsia="Arial" w:hAnsi="Arial"/>
                <w:sz w:val="18"/>
                <w:szCs w:val="18"/>
                <w:color w:val="auto"/>
              </w:rPr>
              <w:t>”) for the total purchase price of [RMB</w:t>
            </w:r>
          </w:p>
        </w:tc>
      </w:tr>
      <w:tr>
        <w:trPr>
          <w:trHeight w:val="196"/>
        </w:trPr>
        <w:tc>
          <w:tcPr>
            <w:tcW w:w="5460" w:type="dxa"/>
            <w:vAlign w:val="bottom"/>
            <w:gridSpan w:val="3"/>
          </w:tcPr>
          <w:p>
            <w:pPr>
              <w:jc w:val="right"/>
              <w:ind w:right="29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ectPr>
          <w:pgSz w:w="11900" w:h="16838" w:orient="portrait"/>
          <w:cols w:equalWidth="0" w:num="1">
            <w:col w:w="11460"/>
          </w:cols>
          <w:pgMar w:left="240" w:top="580" w:right="199" w:bottom="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Party A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Party B (signature):</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Operating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among the following parties in </w:t>
      </w:r>
      <w:r>
        <w:rPr>
          <w:rFonts w:ascii="Arial" w:cs="Arial" w:eastAsia="Arial" w:hAnsi="Arial"/>
          <w:sz w:val="18"/>
          <w:szCs w:val="18"/>
          <w:b w:val="1"/>
          <w:bCs w:val="1"/>
          <w:color w:val="auto"/>
        </w:rPr>
        <w:t>Beijing</w:t>
      </w:r>
      <w:r>
        <w:rPr>
          <w:rFonts w:ascii="Arial" w:cs="Arial" w:eastAsia="Arial" w:hAnsi="Arial"/>
          <w:sz w:val="18"/>
          <w:szCs w:val="18"/>
          <w:color w:val="auto"/>
        </w:rPr>
        <w:t xml:space="preserve"> as of November 20, 2017:</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NetEase Youdao Information Technology (Beijing) Co.,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1/F, Tower C, Building No. 7, West Zone Zhongguancun Software Park (Phase II) No. 10 Xibeiwang East Road, Haidian District</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Beijing NetEase Youdao Computer System Co.,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2/F, Tower A, Building No. 7, West Zone Zhongguancun Software Park (Phase II) No. 10 Xibeiwang East Road, Haidian District</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Feng Zhou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 15, Guang Hua Li, Chaoyang District, Beijing</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Party A is a Wholly foreign owned enterprise duly incorporated and validly existing under the laws of the People’s Republic of China (the “</w:t>
      </w:r>
      <w:r>
        <w:rPr>
          <w:rFonts w:ascii="Arial" w:cs="Arial" w:eastAsia="Arial" w:hAnsi="Arial"/>
          <w:sz w:val="16"/>
          <w:szCs w:val="16"/>
          <w:b w:val="1"/>
          <w:bCs w:val="1"/>
          <w:color w:val="auto"/>
        </w:rPr>
        <w:t>PRC</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660" w:hanging="652"/>
        <w:spacing w:after="0"/>
        <w:tabs>
          <w:tab w:leader="none" w:pos="6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Party B is a limited liability company duly incorporated and validly existing under PRC law, which is registered in Beijing, to carry out the business;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Party C is the shareholder of Party B, in which Party C owns 28.927%of the equity interest;</w:t>
      </w:r>
    </w:p>
    <w:p>
      <w:pPr>
        <w:spacing w:after="0" w:line="221" w:lineRule="exact"/>
        <w:rPr>
          <w:rFonts w:ascii="Arial" w:cs="Arial" w:eastAsia="Arial" w:hAnsi="Arial"/>
          <w:sz w:val="18"/>
          <w:szCs w:val="18"/>
          <w:color w:val="auto"/>
        </w:rPr>
      </w:pPr>
    </w:p>
    <w:p>
      <w:pPr>
        <w:ind w:left="660" w:right="200" w:hanging="652"/>
        <w:spacing w:after="0" w:line="282"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Party A has established a business relationship with Party B by entering into a Cooperation Agreement (the “</w:t>
      </w:r>
      <w:r>
        <w:rPr>
          <w:rFonts w:ascii="Arial" w:cs="Arial" w:eastAsia="Arial" w:hAnsi="Arial"/>
          <w:sz w:val="18"/>
          <w:szCs w:val="18"/>
          <w:b w:val="1"/>
          <w:bCs w:val="1"/>
          <w:color w:val="auto"/>
        </w:rPr>
        <w:t>Cooperation Agreement</w:t>
      </w:r>
      <w:r>
        <w:rPr>
          <w:rFonts w:ascii="Arial" w:cs="Arial" w:eastAsia="Arial" w:hAnsi="Arial"/>
          <w:sz w:val="18"/>
          <w:szCs w:val="18"/>
          <w:color w:val="auto"/>
        </w:rPr>
        <w:t>”) and other agreements; and</w:t>
      </w:r>
    </w:p>
    <w:p>
      <w:pPr>
        <w:spacing w:after="0" w:line="16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Pursuant to the above-mentioned agreements between Party A and Party B, Party B shall pay certain sums of money to Party A. The daily operations of Party B will have a material effect on Party B’s ability to pay such account payable to Party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40" w:hanging="652"/>
        <w:spacing w:after="0" w:line="272"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Party A agrees, subject to the satisfaction of the relevant provisions herein by Party B and subject to the other provisions in this Agreement,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and Party C shall take all necessary actions (including, but not limited to, executing the relevant documents and filing the relevant registrations) to carry out the counter-guarantee arrangement with Party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hanging="652"/>
        <w:spacing w:after="0" w:line="276"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consideration of the requirements of Article 1 hereof and to ensure the performance of the various business agreements between Party A and Party B and the payment by Party B of the amounts payable to Party A thereunder, Party B, together with its shareholder Party C,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p>
      <w:pPr>
        <w:spacing w:after="0" w:line="17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2.1</w:t>
      </w:r>
      <w:r>
        <w:rPr>
          <w:rFonts w:ascii="Arial" w:cs="Arial" w:eastAsia="Arial" w:hAnsi="Arial"/>
          <w:sz w:val="16"/>
          <w:szCs w:val="16"/>
          <w:color w:val="auto"/>
        </w:rPr>
        <w:t>To declare any dividend or distribution to any shareholder;</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2.2</w:t>
      </w:r>
      <w:r>
        <w:rPr>
          <w:rFonts w:ascii="Arial" w:cs="Arial" w:eastAsia="Arial" w:hAnsi="Arial"/>
          <w:sz w:val="16"/>
          <w:szCs w:val="16"/>
          <w:color w:val="auto"/>
        </w:rPr>
        <w:t>To borrow money from any third party or assume any debt;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2.3</w:t>
      </w:r>
      <w:r>
        <w:rPr>
          <w:rFonts w:ascii="Arial" w:cs="Arial" w:eastAsia="Arial" w:hAnsi="Arial"/>
          <w:sz w:val="16"/>
          <w:szCs w:val="16"/>
          <w:color w:val="auto"/>
        </w:rPr>
        <w:t>To sell to or acquire from any third party any asset or rights, including, but not limited to, any intellectual property rights;</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2.4</w:t>
      </w:r>
      <w:r>
        <w:rPr>
          <w:rFonts w:ascii="Arial" w:cs="Arial" w:eastAsia="Arial" w:hAnsi="Arial"/>
          <w:sz w:val="16"/>
          <w:szCs w:val="16"/>
          <w:color w:val="auto"/>
        </w:rPr>
        <w:t>To provide a guarantee for any third party using its assets or intellectual property rights as collateral;</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2.5</w:t>
      </w:r>
      <w:r>
        <w:rPr>
          <w:rFonts w:ascii="Arial" w:cs="Arial" w:eastAsia="Arial" w:hAnsi="Arial"/>
          <w:sz w:val="16"/>
          <w:szCs w:val="16"/>
          <w:color w:val="auto"/>
        </w:rPr>
        <w:t>To assign to any third party its business contracts;</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2.6</w:t>
      </w:r>
      <w:r>
        <w:rPr>
          <w:rFonts w:ascii="Arial" w:cs="Arial" w:eastAsia="Arial" w:hAnsi="Arial"/>
          <w:sz w:val="16"/>
          <w:szCs w:val="16"/>
          <w:color w:val="auto"/>
        </w:rPr>
        <w:t>To engage in any activity beyond its normal business scope;</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2.7</w:t>
      </w:r>
      <w:r>
        <w:rPr>
          <w:rFonts w:ascii="Arial" w:cs="Arial" w:eastAsia="Arial" w:hAnsi="Arial"/>
          <w:sz w:val="16"/>
          <w:szCs w:val="16"/>
          <w:color w:val="auto"/>
        </w:rPr>
        <w:t>To change or dismiss any of its directors or remove and replace any of its officers;</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2.8</w:t>
      </w:r>
      <w:r>
        <w:rPr>
          <w:rFonts w:ascii="Arial" w:cs="Arial" w:eastAsia="Arial" w:hAnsi="Arial"/>
          <w:sz w:val="16"/>
          <w:szCs w:val="16"/>
          <w:color w:val="auto"/>
        </w:rPr>
        <w:t>To amend its articles of association or change its business scope;</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2.9</w:t>
      </w:r>
      <w:r>
        <w:rPr>
          <w:rFonts w:ascii="Arial" w:cs="Arial" w:eastAsia="Arial" w:hAnsi="Arial"/>
          <w:sz w:val="16"/>
          <w:szCs w:val="16"/>
          <w:color w:val="auto"/>
        </w:rPr>
        <w:t>To change its normal business procedures or amend any of its important rules and regulations; or</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2.10    To transfer its rights and obligations under this Agreement to any third party.</w:t>
      </w:r>
    </w:p>
    <w:p>
      <w:pPr>
        <w:spacing w:after="0" w:line="225" w:lineRule="exact"/>
        <w:rPr>
          <w:rFonts w:ascii="Arial" w:cs="Arial" w:eastAsia="Arial" w:hAnsi="Arial"/>
          <w:sz w:val="17"/>
          <w:szCs w:val="17"/>
          <w:color w:val="auto"/>
        </w:rPr>
      </w:pPr>
    </w:p>
    <w:p>
      <w:pPr>
        <w:ind w:left="660" w:right="220" w:hanging="652"/>
        <w:spacing w:after="0" w:line="259"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order to ensure the performance of the various business agreements between Party A and Party B and the payment by Party B of the amounts payable to Party A thereunder, Party B, together with its shareholder Party C, hereby jointly agree to accept and comply in all respects with advice and guidance provided by Party A from time to time relating to its corporate policies on matters such as employment and dismissal of employees, daily operations and management, and financial management.</w:t>
      </w:r>
    </w:p>
    <w:p>
      <w:pPr>
        <w:sectPr>
          <w:pgSz w:w="11900" w:h="16838" w:orient="portrait"/>
          <w:cols w:equalWidth="0" w:num="1">
            <w:col w:w="11420"/>
          </w:cols>
          <w:pgMar w:left="240" w:top="121" w:right="239" w:bottom="0" w:gutter="0" w:footer="0" w:header="0"/>
          <w:type w:val="continuous"/>
        </w:sectPr>
      </w:pPr>
    </w:p>
    <w:bookmarkStart w:id="145" w:name="page146"/>
    <w:bookmarkEnd w:id="145"/>
    <w:p>
      <w:pPr>
        <w:ind w:left="652" w:right="180" w:hanging="652"/>
        <w:spacing w:after="0" w:line="293" w:lineRule="auto"/>
        <w:tabs>
          <w:tab w:leader="none" w:pos="6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Party B, together with its shareholder Party C, hereby jointly agree that Party C shall appoint candidates recommended by Party A as directors of Party B, and Party B shall appoint Party A’s senior executive officers recommended by Party A as its president, chief financial officer and other senior executive officers. If any of the above-mentioned senior executive officers of Party A leaves Party A, whether voluntarily or as a result of dismissal by Party A, he or she shall also lose his/her right to hold any position at Party B, and Party B shall appoint other senior executive officers of Party A recommended by Party A to fill such a position. The persons recommended by Party A in accordance with this Article 4 shall comply with the legal requirements regarding the qualifications of directors, presidents, chief financial officers, and other senior executive officers.</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60" w:hanging="652"/>
        <w:spacing w:after="0" w:line="257"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Party B, together with its shareholder Party C,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p>
      <w:pPr>
        <w:spacing w:after="0" w:line="188" w:lineRule="exact"/>
        <w:rPr>
          <w:rFonts w:ascii="Arial" w:cs="Arial" w:eastAsia="Arial" w:hAnsi="Arial"/>
          <w:sz w:val="18"/>
          <w:szCs w:val="18"/>
          <w:color w:val="auto"/>
        </w:rPr>
      </w:pPr>
    </w:p>
    <w:p>
      <w:pPr>
        <w:ind w:left="652" w:right="340" w:hanging="652"/>
        <w:spacing w:after="0" w:line="277"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event that any of the agreements between Party A and Party B terminates or expires, Party A shall have the right, but not the obligation, to terminate all agreements between Party A and Party B including, but not limited to, the Cooperation Agreement.</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amendment or supplement to this Agreement shall be made in writing. The amendment or supplement duly executed by all Parties shall form an integral part of this Agreement and shall have the same legal effect as this Agreement.</w:t>
      </w:r>
    </w:p>
    <w:p>
      <w:pPr>
        <w:spacing w:after="0" w:line="170" w:lineRule="exact"/>
        <w:rPr>
          <w:rFonts w:ascii="Arial" w:cs="Arial" w:eastAsia="Arial" w:hAnsi="Arial"/>
          <w:sz w:val="18"/>
          <w:szCs w:val="18"/>
          <w:color w:val="auto"/>
        </w:rPr>
      </w:pPr>
    </w:p>
    <w:p>
      <w:pPr>
        <w:ind w:left="652" w:right="400" w:hanging="652"/>
        <w:spacing w:after="0" w:line="264"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81" w:lineRule="exact"/>
        <w:rPr>
          <w:rFonts w:ascii="Arial" w:cs="Arial" w:eastAsia="Arial" w:hAnsi="Arial"/>
          <w:sz w:val="18"/>
          <w:szCs w:val="18"/>
          <w:color w:val="auto"/>
        </w:rPr>
      </w:pPr>
    </w:p>
    <w:p>
      <w:pPr>
        <w:ind w:left="652" w:right="80" w:hanging="652"/>
        <w:spacing w:after="0" w:line="264"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p>
      <w:pPr>
        <w:spacing w:after="0" w:line="181" w:lineRule="exact"/>
        <w:rPr>
          <w:rFonts w:ascii="Arial" w:cs="Arial" w:eastAsia="Arial" w:hAnsi="Arial"/>
          <w:sz w:val="18"/>
          <w:szCs w:val="18"/>
          <w:color w:val="auto"/>
        </w:rPr>
      </w:pPr>
    </w:p>
    <w:p>
      <w:pPr>
        <w:ind w:left="652" w:right="60" w:hanging="652"/>
        <w:spacing w:after="0" w:line="290" w:lineRule="auto"/>
        <w:tabs>
          <w:tab w:leader="none" w:pos="64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p>
      <w:pPr>
        <w:spacing w:after="0" w:line="166" w:lineRule="exact"/>
        <w:rPr>
          <w:rFonts w:ascii="Arial" w:cs="Arial" w:eastAsia="Arial" w:hAnsi="Arial"/>
          <w:sz w:val="16"/>
          <w:szCs w:val="16"/>
          <w:color w:val="auto"/>
        </w:rPr>
      </w:pPr>
    </w:p>
    <w:p>
      <w:pPr>
        <w:ind w:left="5652" w:hanging="5652"/>
        <w:spacing w:after="0" w:line="528" w:lineRule="auto"/>
        <w:tabs>
          <w:tab w:leader="none" w:pos="6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 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52" w:right="20" w:hanging="652"/>
        <w:spacing w:after="0" w:line="268" w:lineRule="auto"/>
        <w:tabs>
          <w:tab w:leader="none" w:pos="64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7" w:lineRule="exact"/>
        <w:rPr>
          <w:rFonts w:ascii="Arial" w:cs="Arial" w:eastAsia="Arial" w:hAnsi="Arial"/>
          <w:sz w:val="17"/>
          <w:szCs w:val="17"/>
          <w:color w:val="auto"/>
        </w:rPr>
      </w:pPr>
    </w:p>
    <w:p>
      <w:pPr>
        <w:ind w:left="652" w:hanging="652"/>
        <w:spacing w:after="0"/>
        <w:tabs>
          <w:tab w:leader="none" w:pos="65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This Agreement shall be executed by a duly authorized representative of each Party and become effective as of the date first written above.</w:t>
      </w:r>
    </w:p>
    <w:p>
      <w:pPr>
        <w:spacing w:after="0" w:line="236" w:lineRule="exact"/>
        <w:rPr>
          <w:rFonts w:ascii="Arial" w:cs="Arial" w:eastAsia="Arial" w:hAnsi="Arial"/>
          <w:sz w:val="17"/>
          <w:szCs w:val="17"/>
          <w:color w:val="auto"/>
        </w:rPr>
      </w:pPr>
    </w:p>
    <w:p>
      <w:pPr>
        <w:ind w:left="652" w:right="280" w:hanging="652"/>
        <w:spacing w:after="0" w:line="264"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Article 13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81" w:lineRule="exact"/>
        <w:rPr>
          <w:rFonts w:ascii="Arial" w:cs="Arial" w:eastAsia="Arial" w:hAnsi="Arial"/>
          <w:sz w:val="18"/>
          <w:szCs w:val="18"/>
          <w:color w:val="auto"/>
        </w:rPr>
      </w:pPr>
    </w:p>
    <w:p>
      <w:pPr>
        <w:ind w:left="652" w:right="80" w:hanging="652"/>
        <w:spacing w:after="0" w:line="276" w:lineRule="auto"/>
        <w:tabs>
          <w:tab w:leader="none" w:pos="64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 expired or terminated for other reasons within the aforesaid term of this Agreement, this Agreement shall be terminated simultaneously, unless such Party has already assigned its rights and obligations hereunder in accordance with Article 9 hereof.</w:t>
      </w:r>
    </w:p>
    <w:p>
      <w:pPr>
        <w:spacing w:after="0" w:line="172" w:lineRule="exact"/>
        <w:rPr>
          <w:rFonts w:ascii="Arial" w:cs="Arial" w:eastAsia="Arial" w:hAnsi="Arial"/>
          <w:sz w:val="17"/>
          <w:szCs w:val="17"/>
          <w:color w:val="auto"/>
        </w:rPr>
      </w:pPr>
    </w:p>
    <w:p>
      <w:pPr>
        <w:ind w:left="652" w:right="240" w:hanging="652"/>
        <w:spacing w:after="0" w:line="264"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-4379595</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0" w:gutter="0" w:footer="0" w:header="0"/>
        </w:sectPr>
      </w:pPr>
    </w:p>
    <w:bookmarkStart w:id="146" w:name="page147"/>
    <w:bookmarkEnd w:id="146"/>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THEREOF</w:t>
      </w:r>
      <w:r>
        <w:rPr>
          <w:rFonts w:ascii="Arial" w:cs="Arial" w:eastAsia="Arial" w:hAnsi="Arial"/>
          <w:sz w:val="18"/>
          <w:szCs w:val="18"/>
          <w:color w:val="auto"/>
        </w:rPr>
        <w:t>, each Party hereto has caused this Agreement to be duly executed by himself/herself or a duly authorized representative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Youdao Information Technology (Beijing)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Beijing NetEase Youdao Computer System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Feng Zhou</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SUBSIDIARIES AND VARIABLE INTEREST ENTITIES OF NETEASE,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4620" w:type="dxa"/>
            <w:vAlign w:val="bottom"/>
          </w:tcPr>
          <w:p>
            <w:pPr>
              <w:ind w:left="142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NetEase Interactive Entertainment Limited</w:t>
            </w:r>
          </w:p>
        </w:tc>
        <w:tc>
          <w:tcPr>
            <w:tcW w:w="2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Inc. (previously named Ujia.com, Inc.)</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Inc.</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HQG, Inc.</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Youdao, Inc.</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E-commerce, Inc. (previously named Yanxuan, Inc.)</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NetEse Yanxuan, Inc. (previously named Miaode.com, Inc.)</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(Hong Kong)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NetEase Interactive Entertainment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(Hong Kong) Limited (previously named Ujia (Hong Kong)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(Hong Kong)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HQG,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Youdao (Hong Kong)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Yanxuan (Hong Kong) Limited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Langhe Technology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(Hangzhou) Network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Technology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Technology (Beijing)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Youmai Technology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NetEase Yanxuan Trading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 Wang Zhi Yi Innovation and Technology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65"/>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Variable Interest Entities:</w:t>
            </w:r>
          </w:p>
        </w:tc>
        <w:tc>
          <w:tcPr>
            <w:tcW w:w="4620" w:type="dxa"/>
            <w:vAlign w:val="bottom"/>
          </w:tcPr>
          <w:p>
            <w:pPr>
              <w:ind w:left="142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Ltd.(1)</w:t>
            </w:r>
          </w:p>
        </w:tc>
        <w:tc>
          <w:tcPr>
            <w:tcW w:w="2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gridSpan w:val="2"/>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NetEase Media Co., Ltd. (previously named Beijing Guangyitong Advertising</w:t>
            </w: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Ltd.)</w:t>
            </w:r>
          </w:p>
        </w:tc>
        <w:tc>
          <w:tcPr>
            <w:tcW w:w="4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gridSpan w:val="2"/>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Hangzhou NetEase Leihuo Network Co., Ltd. (previously named Hangzhou Leihuo</w:t>
            </w: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 Ltd.)</w:t>
            </w:r>
          </w:p>
        </w:tc>
        <w:tc>
          <w:tcPr>
            <w:tcW w:w="4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gridSpan w:val="2"/>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NetEase Youdao Computer System Co., Ltd.</w:t>
            </w: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77" w:lineRule="auto"/>
        <w:tabs>
          <w:tab w:leader="none" w:pos="66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Guangzhou NetEase Computer System Co., Ltd. also has a wholly-owned subsidiary, Wangyibao Co., Ltd., which is incorporated under the laws of the People’s Republic of China.</w:t>
      </w:r>
    </w:p>
    <w:p>
      <w:pPr>
        <w:spacing w:after="0" w:line="170" w:lineRule="exact"/>
        <w:rPr>
          <w:rFonts w:ascii="Arial" w:cs="Arial" w:eastAsia="Arial" w:hAnsi="Arial"/>
          <w:sz w:val="18"/>
          <w:szCs w:val="18"/>
          <w:color w:val="auto"/>
        </w:rPr>
      </w:pPr>
    </w:p>
    <w:p>
      <w:pPr>
        <w:ind w:left="660" w:right="80" w:hanging="652"/>
        <w:spacing w:after="0" w:line="273" w:lineRule="auto"/>
        <w:tabs>
          <w:tab w:leader="none" w:pos="66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Starting in August 2008, Blizzard Entertainment, Inc. (together with its affiliated companies) agreed to license certain online games to Shanghai EaseNet Network Technology Co., Ltd. for operation in the PRC. Shanghai EaseNet Network Technology Co., Ltd. is a People’s Republic of China company owned by William Lei Ding, our Chief Executive Officer, director and major shareholder and has contractual arrangements with the joint venture established between, and owned equally by, Blizzard Entertainment, Inc. (together with its affiliated companies) and us, and with us. The joint venture was established concurrently with the licensing of games from Blizzard Entertainment, Inc. (together with its affiliated companies) in August 2008 and provides technical services to Shanghai EaseNet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15"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Lei Ding, certify that:</w:t>
      </w:r>
    </w:p>
    <w:p>
      <w:pPr>
        <w:spacing w:after="0" w:line="225"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644"/>
        <w:spacing w:after="0" w:line="342" w:lineRule="auto"/>
        <w:tabs>
          <w:tab w:leader="none" w:pos="1297"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tab/>
        <w:t>April 20, 2018</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William Lei Ding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Zhaoxuan Yang, certify that:</w:t>
      </w:r>
    </w:p>
    <w:p>
      <w:pPr>
        <w:spacing w:after="0" w:line="225"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644"/>
        <w:spacing w:after="0" w:line="342" w:lineRule="auto"/>
        <w:tabs>
          <w:tab w:leader="none" w:pos="129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tab/>
        <w:t>April 20, 2018</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Charles Zhaoxuan Yang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Charles Zhaoxuan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ind w:left="10480"/>
        <w:spacing w:after="0"/>
        <w:rPr>
          <w:sz w:val="20"/>
          <w:szCs w:val="20"/>
          <w:color w:val="auto"/>
        </w:rPr>
      </w:pPr>
      <w:r>
        <w:rPr>
          <w:rFonts w:ascii="Arial" w:cs="Arial" w:eastAsia="Arial" w:hAnsi="Arial"/>
          <w:sz w:val="17"/>
          <w:szCs w:val="17"/>
          <w:b w:val="1"/>
          <w:bCs w:val="1"/>
          <w:color w:val="auto"/>
        </w:rPr>
        <w:t>Exhibit 13.1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2017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81"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April 20, 2018</w:t>
            </w:r>
          </w:p>
        </w:tc>
        <w:tc>
          <w:tcPr>
            <w:tcW w:w="574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74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74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51" w:name="page152"/>
    <w:bookmarkEnd w:id="151"/>
    <w:p>
      <w:pPr>
        <w:jc w:val="right"/>
        <w:ind w:right="40"/>
        <w:spacing w:after="0"/>
        <w:rPr>
          <w:sz w:val="20"/>
          <w:szCs w:val="20"/>
          <w:color w:val="auto"/>
        </w:rPr>
      </w:pPr>
      <w:r>
        <w:rPr>
          <w:rFonts w:ascii="Arial" w:cs="Arial" w:eastAsia="Arial" w:hAnsi="Arial"/>
          <w:sz w:val="18"/>
          <w:szCs w:val="18"/>
          <w:b w:val="1"/>
          <w:bCs w:val="1"/>
          <w:color w:val="auto"/>
        </w:rPr>
        <w:t>Exhibit 13.2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2017 as filed with the Securities and Exchange Commission (the “Report”), I, Charles Zhaoxuan Yang, the Chief Financial Officer of the Company, hereby certify as of the date hereof, solely for purposes of Title 18, Chapter 63, Section 1350 of the United States Code, that to the best of my knowledge:</w:t>
      </w:r>
    </w:p>
    <w:p>
      <w:pPr>
        <w:spacing w:after="0" w:line="181"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tab/>
        <w:t>April 20,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c>
          <w:tcPr>
            <w:tcW w:w="7040" w:type="dxa"/>
            <w:vAlign w:val="bottom"/>
          </w:tcPr>
          <w:p>
            <w:pPr>
              <w:spacing w:after="0"/>
              <w:rPr>
                <w:sz w:val="20"/>
                <w:szCs w:val="20"/>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c>
          <w:tcPr>
            <w:tcW w:w="704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0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333-100069 and No. 333-164249) of NetEase, Inc. of our report dated April 20, 2018 relating to the financial statements and the effectiveness of internal control over financial reporting, which appears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15.3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No. 7, West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Zhongguancun Software Park (Phase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10 Xibeiwang East Road, Haidian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100193,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 April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NetEase, Inc.</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acted as legal advisors as to the laws of the Cayman Islands to NetEase, Inc.,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 Exchange Commission of an annual report on Form 20-F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reference of our name under the headings “Taxation” and “Enforcement of Civil Liabilities” in the Form 20-F.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jc w:val="right"/>
        <w:ind w:right="40"/>
        <w:spacing w:after="0"/>
        <w:rPr>
          <w:sz w:val="20"/>
          <w:szCs w:val="20"/>
          <w:color w:val="auto"/>
        </w:rPr>
      </w:pPr>
      <w:r>
        <w:rPr>
          <w:rFonts w:ascii="Arial" w:cs="Arial" w:eastAsia="Arial" w:hAnsi="Arial"/>
          <w:sz w:val="18"/>
          <w:szCs w:val="18"/>
          <w:b w:val="1"/>
          <w:bCs w:val="1"/>
          <w:color w:val="auto"/>
        </w:rPr>
        <w:t>Exhibit 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20/F, China Resources Building</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 Jianguomenbei Avenue</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Beijing 100005, PRC</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T: (86-10) 8519-1300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 (86-10) 8519-1350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junhebj@junhe.com</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April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No. 7, West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Zhongguancun Software Park (Phase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No.10 Xibeiwang East Road, Haidian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People’s Republic of China 100193.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Consent of People’s Republic of China Counsel</w:t>
      </w:r>
    </w:p>
    <w:p>
      <w:pPr>
        <w:spacing w:after="0" w:line="225"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We consent to the reference to our firm under the heading “Enforcement of Civil Liabilities” in the annual report on Form 20-F for the year ended December 31, 2017 of NetEase, Inc. to be filed with the Securities and Exchange Commission in the month of April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Very truly yours,</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JunHe LLP</w:t>
            </w:r>
          </w:p>
        </w:tc>
        <w:tc>
          <w:tcPr>
            <w:tcW w:w="2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Pr>
          <w:p>
            <w:pPr>
              <w:spacing w:after="0"/>
              <w:rPr>
                <w:sz w:val="20"/>
                <w:szCs w:val="20"/>
                <w:color w:val="auto"/>
              </w:rPr>
            </w:pPr>
            <w:r>
              <w:rPr>
                <w:rFonts w:ascii="Arial" w:cs="Arial" w:eastAsia="Arial" w:hAnsi="Arial"/>
                <w:sz w:val="18"/>
                <w:szCs w:val="18"/>
                <w:b w:val="1"/>
                <w:bCs w:val="1"/>
                <w:color w:val="auto"/>
              </w:rPr>
              <w:t>JunHe LLP</w:t>
            </w:r>
          </w:p>
        </w:tc>
        <w:tc>
          <w:tcPr>
            <w:tcW w:w="2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60" w:type="dxa"/>
            <w:vAlign w:val="bottom"/>
          </w:tcPr>
          <w:p>
            <w:pPr>
              <w:spacing w:after="0"/>
              <w:rPr>
                <w:sz w:val="20"/>
                <w:szCs w:val="20"/>
                <w:color w:val="auto"/>
              </w:rPr>
            </w:pPr>
            <w:r>
              <w:rPr>
                <w:rFonts w:ascii="Arial" w:cs="Arial" w:eastAsia="Arial" w:hAnsi="Arial"/>
                <w:sz w:val="18"/>
                <w:szCs w:val="18"/>
                <w:b w:val="1"/>
                <w:bCs w:val="1"/>
                <w:color w:val="auto"/>
              </w:rPr>
              <w:t>Beijing Head Office</w:t>
            </w:r>
          </w:p>
        </w:tc>
        <w:tc>
          <w:tcPr>
            <w:tcW w:w="2280" w:type="dxa"/>
            <w:vAlign w:val="bottom"/>
          </w:tcPr>
          <w:p>
            <w:pPr>
              <w:ind w:left="240"/>
              <w:spacing w:after="0"/>
              <w:rPr>
                <w:sz w:val="20"/>
                <w:szCs w:val="20"/>
                <w:color w:val="auto"/>
              </w:rPr>
            </w:pPr>
            <w:r>
              <w:rPr>
                <w:rFonts w:ascii="Arial" w:cs="Arial" w:eastAsia="Arial" w:hAnsi="Arial"/>
                <w:sz w:val="18"/>
                <w:szCs w:val="18"/>
                <w:b w:val="1"/>
                <w:bCs w:val="1"/>
                <w:color w:val="auto"/>
              </w:rPr>
              <w:t>Shenzhen Office</w:t>
            </w:r>
          </w:p>
        </w:tc>
        <w:tc>
          <w:tcPr>
            <w:tcW w:w="2280" w:type="dxa"/>
            <w:vAlign w:val="bottom"/>
            <w:gridSpan w:val="2"/>
          </w:tcPr>
          <w:p>
            <w:pPr>
              <w:ind w:left="240"/>
              <w:spacing w:after="0"/>
              <w:rPr>
                <w:sz w:val="20"/>
                <w:szCs w:val="20"/>
                <w:color w:val="auto"/>
              </w:rPr>
            </w:pPr>
            <w:r>
              <w:rPr>
                <w:rFonts w:ascii="Arial" w:cs="Arial" w:eastAsia="Arial" w:hAnsi="Arial"/>
                <w:sz w:val="18"/>
                <w:szCs w:val="18"/>
                <w:b w:val="1"/>
                <w:bCs w:val="1"/>
                <w:color w:val="auto"/>
              </w:rPr>
              <w:t>Dalian Office</w:t>
            </w:r>
          </w:p>
        </w:tc>
        <w:tc>
          <w:tcPr>
            <w:tcW w:w="2200" w:type="dxa"/>
            <w:vAlign w:val="bottom"/>
          </w:tcPr>
          <w:p>
            <w:pPr>
              <w:ind w:left="240"/>
              <w:spacing w:after="0"/>
              <w:rPr>
                <w:sz w:val="20"/>
                <w:szCs w:val="20"/>
                <w:color w:val="auto"/>
              </w:rPr>
            </w:pPr>
            <w:r>
              <w:rPr>
                <w:rFonts w:ascii="Arial" w:cs="Arial" w:eastAsia="Arial" w:hAnsi="Arial"/>
                <w:sz w:val="18"/>
                <w:szCs w:val="18"/>
                <w:b w:val="1"/>
                <w:bCs w:val="1"/>
                <w:color w:val="auto"/>
              </w:rPr>
              <w:t>Hong Kong Office</w:t>
            </w:r>
          </w:p>
        </w:tc>
        <w:tc>
          <w:tcPr>
            <w:tcW w:w="2640" w:type="dxa"/>
            <w:vAlign w:val="bottom"/>
          </w:tcPr>
          <w:p>
            <w:pPr>
              <w:ind w:left="320"/>
              <w:spacing w:after="0"/>
              <w:rPr>
                <w:sz w:val="20"/>
                <w:szCs w:val="20"/>
                <w:color w:val="auto"/>
              </w:rPr>
            </w:pPr>
            <w:r>
              <w:rPr>
                <w:rFonts w:ascii="Arial" w:cs="Arial" w:eastAsia="Arial" w:hAnsi="Arial"/>
                <w:sz w:val="18"/>
                <w:szCs w:val="18"/>
                <w:b w:val="1"/>
                <w:bCs w:val="1"/>
                <w:color w:val="auto"/>
              </w:rPr>
              <w:t>Silicon Valley Office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Tel: (86-10) 8519-1300</w:t>
            </w:r>
          </w:p>
        </w:tc>
        <w:tc>
          <w:tcPr>
            <w:tcW w:w="2280" w:type="dxa"/>
            <w:vAlign w:val="bottom"/>
          </w:tcPr>
          <w:p>
            <w:pPr>
              <w:ind w:left="240"/>
              <w:spacing w:after="0"/>
              <w:rPr>
                <w:sz w:val="20"/>
                <w:szCs w:val="20"/>
                <w:color w:val="auto"/>
              </w:rPr>
            </w:pPr>
            <w:r>
              <w:rPr>
                <w:rFonts w:ascii="Arial" w:cs="Arial" w:eastAsia="Arial" w:hAnsi="Arial"/>
                <w:sz w:val="18"/>
                <w:szCs w:val="18"/>
                <w:color w:val="auto"/>
              </w:rPr>
              <w:t>Tel: (86-755) 2587-0765</w:t>
            </w:r>
          </w:p>
        </w:tc>
        <w:tc>
          <w:tcPr>
            <w:tcW w:w="2280" w:type="dxa"/>
            <w:vAlign w:val="bottom"/>
            <w:gridSpan w:val="2"/>
          </w:tcPr>
          <w:p>
            <w:pPr>
              <w:ind w:left="240"/>
              <w:spacing w:after="0"/>
              <w:rPr>
                <w:sz w:val="20"/>
                <w:szCs w:val="20"/>
                <w:color w:val="auto"/>
              </w:rPr>
            </w:pPr>
            <w:r>
              <w:rPr>
                <w:rFonts w:ascii="Arial" w:cs="Arial" w:eastAsia="Arial" w:hAnsi="Arial"/>
                <w:sz w:val="18"/>
                <w:szCs w:val="18"/>
                <w:color w:val="auto"/>
              </w:rPr>
              <w:t>Tel: (86-411) 8250-7578</w:t>
            </w:r>
          </w:p>
        </w:tc>
        <w:tc>
          <w:tcPr>
            <w:tcW w:w="2200" w:type="dxa"/>
            <w:vAlign w:val="bottom"/>
          </w:tcPr>
          <w:p>
            <w:pPr>
              <w:ind w:left="240"/>
              <w:spacing w:after="0"/>
              <w:rPr>
                <w:sz w:val="20"/>
                <w:szCs w:val="20"/>
                <w:color w:val="auto"/>
              </w:rPr>
            </w:pPr>
            <w:r>
              <w:rPr>
                <w:rFonts w:ascii="Arial" w:cs="Arial" w:eastAsia="Arial" w:hAnsi="Arial"/>
                <w:sz w:val="18"/>
                <w:szCs w:val="18"/>
                <w:color w:val="auto"/>
              </w:rPr>
              <w:t>Tel: (852) 2167-0000</w:t>
            </w:r>
          </w:p>
        </w:tc>
        <w:tc>
          <w:tcPr>
            <w:tcW w:w="2640" w:type="dxa"/>
            <w:vAlign w:val="bottom"/>
          </w:tcPr>
          <w:p>
            <w:pPr>
              <w:ind w:left="320"/>
              <w:spacing w:after="0"/>
              <w:rPr>
                <w:sz w:val="20"/>
                <w:szCs w:val="20"/>
                <w:color w:val="auto"/>
              </w:rPr>
            </w:pPr>
            <w:r>
              <w:rPr>
                <w:rFonts w:ascii="Arial" w:cs="Arial" w:eastAsia="Arial" w:hAnsi="Arial"/>
                <w:sz w:val="18"/>
                <w:szCs w:val="18"/>
                <w:color w:val="auto"/>
              </w:rPr>
              <w:t>Tel: (1-888) 886-8168</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Fax: (86-10) 8519-1350</w:t>
            </w:r>
          </w:p>
        </w:tc>
        <w:tc>
          <w:tcPr>
            <w:tcW w:w="2280" w:type="dxa"/>
            <w:vAlign w:val="bottom"/>
          </w:tcPr>
          <w:p>
            <w:pPr>
              <w:ind w:left="240"/>
              <w:spacing w:after="0"/>
              <w:rPr>
                <w:sz w:val="20"/>
                <w:szCs w:val="20"/>
                <w:color w:val="auto"/>
              </w:rPr>
            </w:pPr>
            <w:r>
              <w:rPr>
                <w:rFonts w:ascii="Arial" w:cs="Arial" w:eastAsia="Arial" w:hAnsi="Arial"/>
                <w:sz w:val="18"/>
                <w:szCs w:val="18"/>
                <w:color w:val="auto"/>
              </w:rPr>
              <w:t>Fax: (86-755) 2587-0780</w:t>
            </w:r>
          </w:p>
        </w:tc>
        <w:tc>
          <w:tcPr>
            <w:tcW w:w="2280" w:type="dxa"/>
            <w:vAlign w:val="bottom"/>
            <w:gridSpan w:val="2"/>
          </w:tcPr>
          <w:p>
            <w:pPr>
              <w:ind w:left="240"/>
              <w:spacing w:after="0"/>
              <w:rPr>
                <w:sz w:val="20"/>
                <w:szCs w:val="20"/>
                <w:color w:val="auto"/>
              </w:rPr>
            </w:pPr>
            <w:r>
              <w:rPr>
                <w:rFonts w:ascii="Arial" w:cs="Arial" w:eastAsia="Arial" w:hAnsi="Arial"/>
                <w:sz w:val="18"/>
                <w:szCs w:val="18"/>
                <w:color w:val="auto"/>
              </w:rPr>
              <w:t>Fax: (86-411) 8250-7579</w:t>
            </w:r>
          </w:p>
        </w:tc>
        <w:tc>
          <w:tcPr>
            <w:tcW w:w="2200" w:type="dxa"/>
            <w:vAlign w:val="bottom"/>
          </w:tcPr>
          <w:p>
            <w:pPr>
              <w:ind w:left="240"/>
              <w:spacing w:after="0"/>
              <w:rPr>
                <w:sz w:val="20"/>
                <w:szCs w:val="20"/>
                <w:color w:val="auto"/>
              </w:rPr>
            </w:pPr>
            <w:r>
              <w:rPr>
                <w:rFonts w:ascii="Arial" w:cs="Arial" w:eastAsia="Arial" w:hAnsi="Arial"/>
                <w:sz w:val="18"/>
                <w:szCs w:val="18"/>
                <w:color w:val="auto"/>
              </w:rPr>
              <w:t>Fax: (852) 2167-0050</w:t>
            </w:r>
          </w:p>
        </w:tc>
        <w:tc>
          <w:tcPr>
            <w:tcW w:w="2640" w:type="dxa"/>
            <w:vAlign w:val="bottom"/>
          </w:tcPr>
          <w:p>
            <w:pPr>
              <w:ind w:left="320"/>
              <w:spacing w:after="0"/>
              <w:rPr>
                <w:sz w:val="20"/>
                <w:szCs w:val="20"/>
                <w:color w:val="auto"/>
              </w:rPr>
            </w:pPr>
            <w:r>
              <w:rPr>
                <w:rFonts w:ascii="Arial" w:cs="Arial" w:eastAsia="Arial" w:hAnsi="Arial"/>
                <w:sz w:val="18"/>
                <w:szCs w:val="18"/>
                <w:color w:val="auto"/>
              </w:rPr>
              <w:t>Fax: (1-888) 808-2168</w:t>
            </w: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b w:val="1"/>
                <w:bCs w:val="1"/>
                <w:color w:val="auto"/>
              </w:rPr>
              <w:t>Shanghai Office</w:t>
            </w:r>
          </w:p>
        </w:tc>
        <w:tc>
          <w:tcPr>
            <w:tcW w:w="2280" w:type="dxa"/>
            <w:vAlign w:val="bottom"/>
          </w:tcPr>
          <w:p>
            <w:pPr>
              <w:ind w:left="240"/>
              <w:spacing w:after="0"/>
              <w:rPr>
                <w:sz w:val="20"/>
                <w:szCs w:val="20"/>
                <w:color w:val="auto"/>
              </w:rPr>
            </w:pPr>
            <w:r>
              <w:rPr>
                <w:rFonts w:ascii="Arial" w:cs="Arial" w:eastAsia="Arial" w:hAnsi="Arial"/>
                <w:sz w:val="18"/>
                <w:szCs w:val="18"/>
                <w:b w:val="1"/>
                <w:bCs w:val="1"/>
                <w:color w:val="auto"/>
              </w:rPr>
              <w:t>Guangzhou Office</w:t>
            </w:r>
          </w:p>
        </w:tc>
        <w:tc>
          <w:tcPr>
            <w:tcW w:w="2280" w:type="dxa"/>
            <w:vAlign w:val="bottom"/>
            <w:gridSpan w:val="2"/>
          </w:tcPr>
          <w:p>
            <w:pPr>
              <w:ind w:left="240"/>
              <w:spacing w:after="0"/>
              <w:rPr>
                <w:sz w:val="20"/>
                <w:szCs w:val="20"/>
                <w:color w:val="auto"/>
              </w:rPr>
            </w:pPr>
            <w:r>
              <w:rPr>
                <w:rFonts w:ascii="Arial" w:cs="Arial" w:eastAsia="Arial" w:hAnsi="Arial"/>
                <w:sz w:val="18"/>
                <w:szCs w:val="18"/>
                <w:b w:val="1"/>
                <w:bCs w:val="1"/>
                <w:color w:val="auto"/>
              </w:rPr>
              <w:t>Haikou Office</w:t>
            </w:r>
          </w:p>
        </w:tc>
        <w:tc>
          <w:tcPr>
            <w:tcW w:w="2200" w:type="dxa"/>
            <w:vAlign w:val="bottom"/>
          </w:tcPr>
          <w:p>
            <w:pPr>
              <w:ind w:left="240"/>
              <w:spacing w:after="0"/>
              <w:rPr>
                <w:sz w:val="20"/>
                <w:szCs w:val="20"/>
                <w:color w:val="auto"/>
              </w:rPr>
            </w:pPr>
            <w:r>
              <w:rPr>
                <w:rFonts w:ascii="Arial" w:cs="Arial" w:eastAsia="Arial" w:hAnsi="Arial"/>
                <w:sz w:val="18"/>
                <w:szCs w:val="18"/>
                <w:b w:val="1"/>
                <w:bCs w:val="1"/>
                <w:color w:val="auto"/>
              </w:rPr>
              <w:t>New York Office</w:t>
            </w:r>
          </w:p>
        </w:tc>
        <w:tc>
          <w:tcPr>
            <w:tcW w:w="2640" w:type="dxa"/>
            <w:vAlign w:val="bottom"/>
          </w:tcPr>
          <w:p>
            <w:pPr>
              <w:ind w:left="320"/>
              <w:spacing w:after="0"/>
              <w:rPr>
                <w:sz w:val="20"/>
                <w:szCs w:val="20"/>
                <w:color w:val="auto"/>
              </w:rPr>
            </w:pPr>
            <w:r>
              <w:rPr>
                <w:rFonts w:ascii="Arial" w:cs="Arial" w:eastAsia="Arial" w:hAnsi="Arial"/>
                <w:sz w:val="18"/>
                <w:szCs w:val="18"/>
                <w:b w:val="1"/>
                <w:bCs w:val="1"/>
                <w:color w:val="auto"/>
              </w:rPr>
              <w:t>Shanghai Office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Tel: (86-21) 5298-5488</w:t>
            </w:r>
          </w:p>
        </w:tc>
        <w:tc>
          <w:tcPr>
            <w:tcW w:w="2280" w:type="dxa"/>
            <w:vAlign w:val="bottom"/>
          </w:tcPr>
          <w:p>
            <w:pPr>
              <w:ind w:left="240"/>
              <w:spacing w:after="0"/>
              <w:rPr>
                <w:sz w:val="20"/>
                <w:szCs w:val="20"/>
                <w:color w:val="auto"/>
              </w:rPr>
            </w:pPr>
            <w:r>
              <w:rPr>
                <w:rFonts w:ascii="Arial" w:cs="Arial" w:eastAsia="Arial" w:hAnsi="Arial"/>
                <w:sz w:val="18"/>
                <w:szCs w:val="18"/>
                <w:color w:val="auto"/>
              </w:rPr>
              <w:t>Tel: (86-20) 2805-9088</w:t>
            </w:r>
          </w:p>
        </w:tc>
        <w:tc>
          <w:tcPr>
            <w:tcW w:w="2280" w:type="dxa"/>
            <w:vAlign w:val="bottom"/>
            <w:gridSpan w:val="2"/>
          </w:tcPr>
          <w:p>
            <w:pPr>
              <w:ind w:left="240"/>
              <w:spacing w:after="0"/>
              <w:rPr>
                <w:sz w:val="20"/>
                <w:szCs w:val="20"/>
                <w:color w:val="auto"/>
              </w:rPr>
            </w:pPr>
            <w:r>
              <w:rPr>
                <w:rFonts w:ascii="Arial" w:cs="Arial" w:eastAsia="Arial" w:hAnsi="Arial"/>
                <w:sz w:val="18"/>
                <w:szCs w:val="18"/>
                <w:color w:val="auto"/>
              </w:rPr>
              <w:t>Tel: (86-898) 6851-2544</w:t>
            </w:r>
          </w:p>
        </w:tc>
        <w:tc>
          <w:tcPr>
            <w:tcW w:w="2200" w:type="dxa"/>
            <w:vAlign w:val="bottom"/>
          </w:tcPr>
          <w:p>
            <w:pPr>
              <w:ind w:left="240"/>
              <w:spacing w:after="0"/>
              <w:rPr>
                <w:sz w:val="20"/>
                <w:szCs w:val="20"/>
                <w:color w:val="auto"/>
              </w:rPr>
            </w:pPr>
            <w:r>
              <w:rPr>
                <w:rFonts w:ascii="Arial" w:cs="Arial" w:eastAsia="Arial" w:hAnsi="Arial"/>
                <w:sz w:val="18"/>
                <w:szCs w:val="18"/>
                <w:color w:val="auto"/>
              </w:rPr>
              <w:t>Tel: (1-212) 703-8702</w:t>
            </w:r>
          </w:p>
        </w:tc>
        <w:tc>
          <w:tcPr>
            <w:tcW w:w="2640" w:type="dxa"/>
            <w:vAlign w:val="bottom"/>
          </w:tcPr>
          <w:p>
            <w:pPr>
              <w:ind w:left="320"/>
              <w:spacing w:after="0"/>
              <w:rPr>
                <w:sz w:val="20"/>
                <w:szCs w:val="20"/>
                <w:color w:val="auto"/>
              </w:rPr>
            </w:pPr>
            <w:r>
              <w:rPr>
                <w:rFonts w:ascii="Arial" w:cs="Arial" w:eastAsia="Arial" w:hAnsi="Arial"/>
                <w:sz w:val="18"/>
                <w:szCs w:val="18"/>
                <w:color w:val="auto"/>
              </w:rPr>
              <w:t>Tel: (86-22) 5990-1301</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Fax: (86-21) 5298-5492</w:t>
            </w:r>
          </w:p>
        </w:tc>
        <w:tc>
          <w:tcPr>
            <w:tcW w:w="2280" w:type="dxa"/>
            <w:vAlign w:val="bottom"/>
          </w:tcPr>
          <w:p>
            <w:pPr>
              <w:ind w:left="240"/>
              <w:spacing w:after="0"/>
              <w:rPr>
                <w:sz w:val="20"/>
                <w:szCs w:val="20"/>
                <w:color w:val="auto"/>
              </w:rPr>
            </w:pPr>
            <w:r>
              <w:rPr>
                <w:rFonts w:ascii="Arial" w:cs="Arial" w:eastAsia="Arial" w:hAnsi="Arial"/>
                <w:sz w:val="18"/>
                <w:szCs w:val="18"/>
                <w:color w:val="auto"/>
              </w:rPr>
              <w:t>Fax: (86-20) 2805-9099</w:t>
            </w:r>
          </w:p>
        </w:tc>
        <w:tc>
          <w:tcPr>
            <w:tcW w:w="2280" w:type="dxa"/>
            <w:vAlign w:val="bottom"/>
            <w:gridSpan w:val="2"/>
          </w:tcPr>
          <w:p>
            <w:pPr>
              <w:ind w:left="240"/>
              <w:spacing w:after="0"/>
              <w:rPr>
                <w:sz w:val="20"/>
                <w:szCs w:val="20"/>
                <w:color w:val="auto"/>
              </w:rPr>
            </w:pPr>
            <w:r>
              <w:rPr>
                <w:rFonts w:ascii="Arial" w:cs="Arial" w:eastAsia="Arial" w:hAnsi="Arial"/>
                <w:sz w:val="18"/>
                <w:szCs w:val="18"/>
                <w:color w:val="auto"/>
              </w:rPr>
              <w:t>Fax: (86-898) 6851-3514</w:t>
            </w:r>
          </w:p>
        </w:tc>
        <w:tc>
          <w:tcPr>
            <w:tcW w:w="2200" w:type="dxa"/>
            <w:vAlign w:val="bottom"/>
          </w:tcPr>
          <w:p>
            <w:pPr>
              <w:ind w:left="240"/>
              <w:spacing w:after="0"/>
              <w:rPr>
                <w:sz w:val="20"/>
                <w:szCs w:val="20"/>
                <w:color w:val="auto"/>
              </w:rPr>
            </w:pPr>
            <w:r>
              <w:rPr>
                <w:rFonts w:ascii="Arial" w:cs="Arial" w:eastAsia="Arial" w:hAnsi="Arial"/>
                <w:sz w:val="18"/>
                <w:szCs w:val="18"/>
                <w:color w:val="auto"/>
              </w:rPr>
              <w:t>Fax: (1-212) 703-8720</w:t>
            </w:r>
          </w:p>
        </w:tc>
        <w:tc>
          <w:tcPr>
            <w:tcW w:w="2640" w:type="dxa"/>
            <w:vAlign w:val="bottom"/>
          </w:tcPr>
          <w:p>
            <w:pPr>
              <w:ind w:left="320"/>
              <w:spacing w:after="0"/>
              <w:rPr>
                <w:sz w:val="20"/>
                <w:szCs w:val="20"/>
                <w:color w:val="auto"/>
              </w:rPr>
            </w:pPr>
            <w:r>
              <w:rPr>
                <w:rFonts w:ascii="Arial" w:cs="Arial" w:eastAsia="Arial" w:hAnsi="Arial"/>
                <w:sz w:val="18"/>
                <w:szCs w:val="18"/>
                <w:color w:val="auto"/>
              </w:rPr>
              <w:t>Fax: (86-22) 5990-1302</w:t>
            </w:r>
          </w:p>
        </w:tc>
        <w:tc>
          <w:tcPr>
            <w:tcW w:w="0" w:type="dxa"/>
            <w:vAlign w:val="bottom"/>
          </w:tcPr>
          <w:p>
            <w:pPr>
              <w:spacing w:after="0"/>
              <w:rPr>
                <w:sz w:val="1"/>
                <w:szCs w:val="1"/>
                <w:color w:val="auto"/>
              </w:rPr>
            </w:pPr>
          </w:p>
        </w:tc>
      </w:tr>
      <w:tr>
        <w:trPr>
          <w:trHeight w:val="432"/>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Shanghai Office</w:t>
            </w:r>
          </w:p>
        </w:tc>
        <w:tc>
          <w:tcPr>
            <w:tcW w:w="2280" w:type="dxa"/>
            <w:vAlign w:val="bottom"/>
          </w:tcPr>
          <w:p>
            <w:pPr>
              <w:ind w:left="240"/>
              <w:spacing w:after="0"/>
              <w:rPr>
                <w:sz w:val="20"/>
                <w:szCs w:val="20"/>
                <w:color w:val="auto"/>
              </w:rPr>
            </w:pPr>
            <w:r>
              <w:rPr>
                <w:rFonts w:ascii="Arial" w:cs="Arial" w:eastAsia="Arial" w:hAnsi="Arial"/>
                <w:sz w:val="18"/>
                <w:szCs w:val="18"/>
                <w:color w:val="auto"/>
              </w:rPr>
              <w:t>www.junhe.com</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6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Tel: (86-532) 6869-5000</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Fax: (86-532) 6869-5010</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801EE1"/>
    <w:multiLevelType w:val="hybridMultilevel"/>
    <w:lvl w:ilvl="0">
      <w:lvlJc w:val="left"/>
      <w:lvlText w:val="o"/>
      <w:numFmt w:val="bullet"/>
      <w:start w:val="1"/>
    </w:lvl>
  </w:abstractNum>
  <w:abstractNum w:abstractNumId="1">
    <w:nsid w:val="488AC1A"/>
    <w:multiLevelType w:val="hybridMultilevel"/>
    <w:lvl w:ilvl="0">
      <w:lvlJc w:val="left"/>
      <w:lvlText w:val="x"/>
      <w:numFmt w:val="bullet"/>
      <w:start w:val="1"/>
    </w:lvl>
  </w:abstractNum>
  <w:abstractNum w:abstractNumId="2">
    <w:nsid w:val="5FB8011C"/>
    <w:multiLevelType w:val="hybridMultilevel"/>
    <w:lvl w:ilvl="0">
      <w:lvlJc w:val="left"/>
      <w:lvlText w:val="o"/>
      <w:numFmt w:val="bullet"/>
      <w:start w:val="1"/>
    </w:lvl>
  </w:abstractNum>
  <w:abstractNum w:abstractNumId="3">
    <w:nsid w:val="6AA78F7F"/>
    <w:multiLevelType w:val="hybridMultilevel"/>
    <w:lvl w:ilvl="0">
      <w:lvlJc w:val="left"/>
      <w:lvlText w:val="o"/>
      <w:numFmt w:val="bullet"/>
      <w:start w:val="1"/>
    </w:lvl>
  </w:abstractNum>
  <w:abstractNum w:abstractNumId="4">
    <w:nsid w:val="7672BD23"/>
    <w:multiLevelType w:val="hybridMultilevel"/>
    <w:lvl w:ilvl="0">
      <w:lvlJc w:val="left"/>
      <w:lvlText w:val="†"/>
      <w:numFmt w:val="bullet"/>
      <w:start w:val="1"/>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1."/>
      <w:numFmt w:val="upperLetter"/>
      <w:start w:val="1"/>
    </w:lvl>
  </w:abstractNum>
  <w:abstractNum w:abstractNumId="7">
    <w:nsid w:val="7D5E18F8"/>
    <w:multiLevelType w:val="hybridMultilevel"/>
    <w:lvl w:ilvl="0">
      <w:lvlJc w:val="left"/>
      <w:lvlText w:val="%1."/>
      <w:numFmt w:val="upperLetter"/>
      <w:start w:val="2"/>
    </w:lvl>
  </w:abstractNum>
  <w:abstractNum w:abstractNumId="8">
    <w:nsid w:val="5F3534A4"/>
    <w:multiLevelType w:val="hybridMultilevel"/>
    <w:lvl w:ilvl="0">
      <w:lvlJc w:val="left"/>
      <w:lvlText w:val="%1:"/>
      <w:numFmt w:val="decimal"/>
      <w:start w:val="2"/>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
      <w:numFmt w:val="bullet"/>
      <w:start w:val="1"/>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
      <w:numFmt w:val="bullet"/>
      <w:start w:val="1"/>
    </w:lvl>
  </w:abstractNum>
  <w:abstractNum w:abstractNumId="14">
    <w:nsid w:val="6A3DD3E8"/>
    <w:multiLevelType w:val="hybridMultilevel"/>
    <w:lvl w:ilvl="0">
      <w:lvlJc w:val="left"/>
      <w:lvlText w:val="·"/>
      <w:numFmt w:val="bullet"/>
      <w:start w:val="1"/>
    </w:lvl>
  </w:abstractNum>
  <w:abstractNum w:abstractNumId="15">
    <w:nsid w:val="71C91298"/>
    <w:multiLevelType w:val="hybridMultilevel"/>
    <w:lvl w:ilvl="0">
      <w:lvlJc w:val="left"/>
      <w:lvlText w:val="%1."/>
      <w:numFmt w:val="upperLetter"/>
      <w:start w:val="1"/>
    </w:lvl>
  </w:abstractNum>
  <w:abstractNum w:abstractNumId="16">
    <w:nsid w:val="9DAF632"/>
    <w:multiLevelType w:val="hybridMultilevel"/>
    <w:lvl w:ilvl="0">
      <w:lvlJc w:val="left"/>
      <w:lvlText w:val="%1."/>
      <w:numFmt w:val="upperLetter"/>
      <w:start w:val="2"/>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
      <w:numFmt w:val="bullet"/>
      <w:start w:val="1"/>
    </w:lvl>
  </w:abstractNum>
  <w:abstractNum w:abstractNumId="19">
    <w:nsid w:val="5092CA79"/>
    <w:multiLevelType w:val="hybridMultilevel"/>
    <w:lvl w:ilvl="0">
      <w:lvlJc w:val="left"/>
      <w:lvlText w:val="·"/>
      <w:numFmt w:val="bullet"/>
      <w:start w:val="1"/>
    </w:lvl>
  </w:abstractNum>
  <w:abstractNum w:abstractNumId="20">
    <w:nsid w:val="1D545C4D"/>
    <w:multiLevelType w:val="hybridMultilevel"/>
    <w:lvl w:ilvl="0">
      <w:lvlJc w:val="left"/>
      <w:lvlText w:val="·"/>
      <w:numFmt w:val="bullet"/>
      <w:start w:val="1"/>
    </w:lvl>
  </w:abstractNum>
  <w:abstractNum w:abstractNumId="21">
    <w:nsid w:val="59ADEA3D"/>
    <w:multiLevelType w:val="hybridMultilevel"/>
    <w:lvl w:ilvl="0">
      <w:lvlJc w:val="left"/>
      <w:lvlText w:val="·"/>
      <w:numFmt w:val="bullet"/>
      <w:start w:val="1"/>
    </w:lvl>
  </w:abstractNum>
  <w:abstractNum w:abstractNumId="22">
    <w:nsid w:val="288F1A34"/>
    <w:multiLevelType w:val="hybridMultilevel"/>
    <w:lvl w:ilvl="0">
      <w:lvlJc w:val="left"/>
      <w:lvlText w:val="·"/>
      <w:numFmt w:val="bullet"/>
      <w:start w:val="1"/>
    </w:lvl>
  </w:abstractNum>
  <w:abstractNum w:abstractNumId="23">
    <w:nsid w:val="2A155DBC"/>
    <w:multiLevelType w:val="hybridMultilevel"/>
    <w:lvl w:ilvl="0">
      <w:lvlJc w:val="left"/>
      <w:lvlText w:val="·"/>
      <w:numFmt w:val="bullet"/>
      <w:start w:val="1"/>
    </w:lvl>
  </w:abstractNum>
  <w:abstractNum w:abstractNumId="24">
    <w:nsid w:val="1D9F6E5F"/>
    <w:multiLevelType w:val="hybridMultilevel"/>
    <w:lvl w:ilvl="0">
      <w:lvlJc w:val="left"/>
      <w:lvlText w:val="%1."/>
      <w:numFmt w:val="upperLetter"/>
      <w:start w:val="3"/>
    </w:lvl>
  </w:abstractNum>
  <w:abstractNum w:abstractNumId="25">
    <w:nsid w:val="97E1B4E"/>
    <w:multiLevelType w:val="hybridMultilevel"/>
    <w:lvl w:ilvl="0">
      <w:lvlJc w:val="left"/>
      <w:lvlText w:val="%1."/>
      <w:numFmt w:val="upperLetter"/>
      <w:start w:val="1"/>
    </w:lvl>
  </w:abstractNum>
  <w:abstractNum w:abstractNumId="26">
    <w:nsid w:val="51088277"/>
    <w:multiLevelType w:val="hybridMultilevel"/>
    <w:lvl w:ilvl="0">
      <w:lvlJc w:val="left"/>
      <w:lvlText w:val="(%1)"/>
      <w:numFmt w:val="lowerRoman"/>
      <w:start w:val="1"/>
    </w:lvl>
  </w:abstractNum>
  <w:abstractNum w:abstractNumId="27">
    <w:nsid w:val="1CA0C5FA"/>
    <w:multiLevelType w:val="hybridMultilevel"/>
    <w:lvl w:ilvl="0">
      <w:lvlJc w:val="left"/>
      <w:lvlText w:val="·"/>
      <w:numFmt w:val="bullet"/>
      <w:start w:val="1"/>
    </w:lvl>
  </w:abstractNum>
  <w:abstractNum w:abstractNumId="28">
    <w:nsid w:val="53584BCB"/>
    <w:multiLevelType w:val="hybridMultilevel"/>
    <w:lvl w:ilvl="0">
      <w:lvlJc w:val="left"/>
      <w:lvlText w:val="·"/>
      <w:numFmt w:val="bullet"/>
      <w:start w:val="1"/>
    </w:lvl>
  </w:abstractNum>
  <w:abstractNum w:abstractNumId="29">
    <w:nsid w:val="415E286C"/>
    <w:multiLevelType w:val="hybridMultilevel"/>
    <w:lvl w:ilvl="0">
      <w:lvlJc w:val="left"/>
      <w:lvlText w:val="·"/>
      <w:numFmt w:val="bullet"/>
      <w:start w:val="1"/>
    </w:lvl>
  </w:abstractNum>
  <w:abstractNum w:abstractNumId="30">
    <w:nsid w:val="7C58FD05"/>
    <w:multiLevelType w:val="hybridMultilevel"/>
    <w:lvl w:ilvl="0">
      <w:lvlJc w:val="left"/>
      <w:lvlText w:val="·"/>
      <w:numFmt w:val="bullet"/>
      <w:start w:val="1"/>
    </w:lvl>
  </w:abstractNum>
  <w:abstractNum w:abstractNumId="31">
    <w:nsid w:val="23D86AAC"/>
    <w:multiLevelType w:val="hybridMultilevel"/>
    <w:lvl w:ilvl="0">
      <w:lvlJc w:val="left"/>
      <w:lvlText w:val="·"/>
      <w:numFmt w:val="bullet"/>
      <w:start w:val="1"/>
    </w:lvl>
  </w:abstractNum>
  <w:abstractNum w:abstractNumId="32">
    <w:nsid w:val="45E6D486"/>
    <w:multiLevelType w:val="hybridMultilevel"/>
    <w:lvl w:ilvl="0">
      <w:lvlJc w:val="left"/>
      <w:lvlText w:val="·"/>
      <w:numFmt w:val="bullet"/>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1)"/>
      <w:numFmt w:val="lowerRoman"/>
      <w:start w:val="1"/>
    </w:lvl>
  </w:abstractNum>
  <w:abstractNum w:abstractNumId="35">
    <w:nsid w:val="3C5991AA"/>
    <w:multiLevelType w:val="hybridMultilevel"/>
    <w:lvl w:ilvl="0">
      <w:lvlJc w:val="left"/>
      <w:lvlText w:val="·"/>
      <w:numFmt w:val="bullet"/>
      <w:start w:val="1"/>
    </w:lvl>
  </w:abstractNum>
  <w:abstractNum w:abstractNumId="36">
    <w:nsid w:val="4BD8591A"/>
    <w:multiLevelType w:val="hybridMultilevel"/>
    <w:lvl w:ilvl="0">
      <w:lvlJc w:val="left"/>
      <w:lvlText w:val="·"/>
      <w:numFmt w:val="bullet"/>
      <w:start w:val="1"/>
    </w:lvl>
  </w:abstractNum>
  <w:abstractNum w:abstractNumId="37">
    <w:nsid w:val="78DF6A55"/>
    <w:multiLevelType w:val="hybridMultilevel"/>
    <w:lvl w:ilvl="0">
      <w:lvlJc w:val="left"/>
      <w:lvlText w:val="·"/>
      <w:numFmt w:val="bullet"/>
      <w:start w:val="1"/>
    </w:lvl>
  </w:abstractNum>
  <w:abstractNum w:abstractNumId="38">
    <w:nsid w:val="39B7AAA2"/>
    <w:multiLevelType w:val="hybridMultilevel"/>
    <w:lvl w:ilvl="0">
      <w:lvlJc w:val="left"/>
      <w:lvlText w:val="·"/>
      <w:numFmt w:val="bullet"/>
      <w:start w:val="1"/>
    </w:lvl>
  </w:abstractNum>
  <w:abstractNum w:abstractNumId="39">
    <w:nsid w:val="2B0D8DBE"/>
    <w:multiLevelType w:val="hybridMultilevel"/>
    <w:lvl w:ilvl="0">
      <w:lvlJc w:val="left"/>
      <w:lvlText w:val="·"/>
      <w:numFmt w:val="bullet"/>
      <w:start w:val="1"/>
    </w:lvl>
  </w:abstractNum>
  <w:abstractNum w:abstractNumId="40">
    <w:nsid w:val="6C80EC70"/>
    <w:multiLevelType w:val="hybridMultilevel"/>
    <w:lvl w:ilvl="0">
      <w:lvlJc w:val="left"/>
      <w:lvlText w:val="·"/>
      <w:numFmt w:val="bullet"/>
      <w:start w:val="1"/>
    </w:lvl>
  </w:abstractNum>
  <w:abstractNum w:abstractNumId="41">
    <w:nsid w:val="379E21B5"/>
    <w:multiLevelType w:val="hybridMultilevel"/>
    <w:lvl w:ilvl="0">
      <w:lvlJc w:val="left"/>
      <w:lvlText w:val="%1."/>
      <w:numFmt w:val="upperLetter"/>
      <w:start w:val="2"/>
    </w:lvl>
  </w:abstractNum>
  <w:abstractNum w:abstractNumId="42">
    <w:nsid w:val="69E373"/>
    <w:multiLevelType w:val="hybridMultilevel"/>
    <w:lvl w:ilvl="0">
      <w:lvlJc w:val="left"/>
      <w:lvlText w:val="(%1)"/>
      <w:numFmt w:val="lowerRoman"/>
      <w:start w:val="2"/>
    </w:lvl>
  </w:abstractNum>
  <w:abstractNum w:abstractNumId="43">
    <w:nsid w:val="2C27173B"/>
    <w:multiLevelType w:val="hybridMultilevel"/>
    <w:lvl w:ilvl="0">
      <w:lvlJc w:val="left"/>
      <w:lvlText w:val="(%1)"/>
      <w:numFmt w:val="lowerRoman"/>
      <w:start w:val="2"/>
    </w:lvl>
  </w:abstractNum>
  <w:abstractNum w:abstractNumId="44">
    <w:nsid w:val="4C9B0904"/>
    <w:multiLevelType w:val="hybridMultilevel"/>
    <w:lvl w:ilvl="0">
      <w:lvlJc w:val="left"/>
      <w:lvlText w:val="(%1)"/>
      <w:numFmt w:val="lowerRoman"/>
      <w:start w:val="6"/>
    </w:lvl>
  </w:abstractNum>
  <w:abstractNum w:abstractNumId="45">
    <w:nsid w:val="6AA7B75C"/>
    <w:multiLevelType w:val="hybridMultilevel"/>
    <w:lvl w:ilvl="0">
      <w:lvlJc w:val="left"/>
      <w:lvlText w:val="(%1)"/>
      <w:numFmt w:val="upperLetter"/>
      <w:start w:val="2"/>
    </w:lvl>
  </w:abstractNum>
  <w:abstractNum w:abstractNumId="46">
    <w:nsid w:val="1DF029D3"/>
    <w:multiLevelType w:val="hybridMultilevel"/>
    <w:lvl w:ilvl="0">
      <w:lvlJc w:val="left"/>
      <w:lvlText w:val="%1."/>
      <w:numFmt w:val="upperLetter"/>
      <w:start w:val="2"/>
    </w:lvl>
    <w:lvl w:ilvl="1">
      <w:lvlJc w:val="left"/>
      <w:lvlText w:val="·"/>
      <w:numFmt w:val="bullet"/>
      <w:start w:val="1"/>
    </w:lvl>
  </w:abstractNum>
  <w:abstractNum w:abstractNumId="47">
    <w:nsid w:val="5675FF36"/>
    <w:multiLevelType w:val="hybridMultilevel"/>
    <w:lvl w:ilvl="0">
      <w:lvlJc w:val="left"/>
      <w:lvlText w:val="%1."/>
      <w:numFmt w:val="upperLetter"/>
      <w:start w:val="4"/>
    </w:lvl>
  </w:abstractNum>
  <w:abstractNum w:abstractNumId="48">
    <w:nsid w:val="3DD15094"/>
    <w:multiLevelType w:val="hybridMultilevel"/>
    <w:lvl w:ilvl="0">
      <w:lvlJc w:val="left"/>
      <w:lvlText w:val="%1."/>
      <w:numFmt w:val="upperLetter"/>
      <w:start w:val="5"/>
    </w:lvl>
  </w:abstractNum>
  <w:abstractNum w:abstractNumId="49">
    <w:nsid w:val="3DB012B3"/>
    <w:multiLevelType w:val="hybridMultilevel"/>
    <w:lvl w:ilvl="0">
      <w:lvlJc w:val="left"/>
      <w:lvlText w:val="%1."/>
      <w:numFmt w:val="upperLetter"/>
      <w:start w:val="6"/>
    </w:lvl>
  </w:abstractNum>
  <w:abstractNum w:abstractNumId="50">
    <w:nsid w:val="2708C9AF"/>
    <w:multiLevelType w:val="hybridMultilevel"/>
    <w:lvl w:ilvl="0">
      <w:lvlJc w:val="left"/>
      <w:lvlText w:val="%1."/>
      <w:numFmt w:val="upperLetter"/>
      <w:start w:val="1"/>
    </w:lvl>
  </w:abstractNum>
  <w:abstractNum w:abstractNumId="51">
    <w:nsid w:val="5B25ACE2"/>
    <w:multiLevelType w:val="hybridMultilevel"/>
    <w:lvl w:ilvl="0">
      <w:lvlJc w:val="left"/>
      <w:lvlText w:val="(%1)"/>
      <w:numFmt w:val="decimal"/>
      <w:start w:val="1"/>
    </w:lvl>
  </w:abstractNum>
  <w:abstractNum w:abstractNumId="52">
    <w:nsid w:val="175DFCF0"/>
    <w:multiLevelType w:val="hybridMultilevel"/>
    <w:lvl w:ilvl="0">
      <w:lvlJc w:val="left"/>
      <w:lvlText w:val="%1."/>
      <w:numFmt w:val="upperLetter"/>
      <w:start w:val="2"/>
    </w:lvl>
  </w:abstractNum>
  <w:abstractNum w:abstractNumId="53">
    <w:nsid w:val="4F97E3E4"/>
    <w:multiLevelType w:val="hybridMultilevel"/>
    <w:lvl w:ilvl="0">
      <w:lvlJc w:val="left"/>
      <w:lvlText w:val="(%1)"/>
      <w:numFmt w:val="lowerRoman"/>
      <w:start w:val="2"/>
    </w:lvl>
  </w:abstractNum>
  <w:abstractNum w:abstractNumId="54">
    <w:nsid w:val="53B0A9E"/>
    <w:multiLevelType w:val="hybridMultilevel"/>
    <w:lvl w:ilvl="0">
      <w:lvlJc w:val="left"/>
      <w:lvlText w:val="%1."/>
      <w:numFmt w:val="upperLetter"/>
      <w:start w:val="3"/>
    </w:lvl>
  </w:abstractNum>
  <w:abstractNum w:abstractNumId="55">
    <w:nsid w:val="34FD6B4F"/>
    <w:multiLevelType w:val="hybridMultilevel"/>
    <w:lvl w:ilvl="0">
      <w:lvlJc w:val="left"/>
      <w:lvlText w:val="%1."/>
      <w:numFmt w:val="upperLetter"/>
      <w:start w:val="5"/>
    </w:lvl>
  </w:abstractNum>
  <w:abstractNum w:abstractNumId="56">
    <w:nsid w:val="5915FF32"/>
    <w:multiLevelType w:val="hybridMultilevel"/>
    <w:lvl w:ilvl="0">
      <w:lvlJc w:val="left"/>
      <w:lvlText w:val="·"/>
      <w:numFmt w:val="bullet"/>
      <w:start w:val="1"/>
    </w:lvl>
  </w:abstractNum>
  <w:abstractNum w:abstractNumId="57">
    <w:nsid w:val="56438D15"/>
    <w:multiLevelType w:val="hybridMultilevel"/>
    <w:lvl w:ilvl="0">
      <w:lvlJc w:val="left"/>
      <w:lvlText w:val="*"/>
      <w:numFmt w:val="bullet"/>
      <w:start w:val="1"/>
    </w:lvl>
    <w:lvl w:ilvl="1">
      <w:lvlJc w:val="left"/>
      <w:lvlText w:val="(%2)"/>
      <w:numFmt w:val="decimal"/>
      <w:start w:val="1"/>
    </w:lvl>
  </w:abstractNum>
  <w:abstractNum w:abstractNumId="58">
    <w:nsid w:val="519E3149"/>
    <w:multiLevelType w:val="hybridMultilevel"/>
    <w:lvl w:ilvl="0">
      <w:lvlJc w:val="left"/>
      <w:lvlText w:val="%1."/>
      <w:numFmt w:val="upperLetter"/>
      <w:start w:val="1"/>
    </w:lvl>
  </w:abstractNum>
  <w:abstractNum w:abstractNumId="59">
    <w:nsid w:val="2C6E4AFD"/>
    <w:multiLevelType w:val="hybridMultilevel"/>
    <w:lvl w:ilvl="0">
      <w:lvlJc w:val="left"/>
      <w:lvlText w:val="·"/>
      <w:numFmt w:val="bullet"/>
      <w:start w:val="1"/>
    </w:lvl>
    <w:lvl w:ilvl="1">
      <w:lvlJc w:val="left"/>
      <w:lvlText w:val="·"/>
      <w:numFmt w:val="bullet"/>
      <w:start w:val="1"/>
    </w:lvl>
  </w:abstractNum>
  <w:abstractNum w:abstractNumId="60">
    <w:nsid w:val="17A1B582"/>
    <w:multiLevelType w:val="hybridMultilevel"/>
    <w:lvl w:ilvl="0">
      <w:lvlJc w:val="left"/>
      <w:lvlText w:val="·"/>
      <w:numFmt w:val="bullet"/>
      <w:start w:val="1"/>
    </w:lvl>
  </w:abstractNum>
  <w:abstractNum w:abstractNumId="61">
    <w:nsid w:val="4DF72E4E"/>
    <w:multiLevelType w:val="hybridMultilevel"/>
    <w:lvl w:ilvl="0">
      <w:lvlJc w:val="left"/>
      <w:lvlText w:val="·"/>
      <w:numFmt w:val="bullet"/>
      <w:start w:val="1"/>
    </w:lvl>
  </w:abstractNum>
  <w:abstractNum w:abstractNumId="62">
    <w:nsid w:val="5046B5A9"/>
    <w:multiLevelType w:val="hybridMultilevel"/>
    <w:lvl w:ilvl="0">
      <w:lvlJc w:val="left"/>
      <w:lvlText w:val="·"/>
      <w:numFmt w:val="bullet"/>
      <w:start w:val="1"/>
    </w:lvl>
  </w:abstractNum>
  <w:abstractNum w:abstractNumId="63">
    <w:nsid w:val="5D888A08"/>
    <w:multiLevelType w:val="hybridMultilevel"/>
    <w:lvl w:ilvl="0">
      <w:lvlJc w:val="left"/>
      <w:lvlText w:val="·"/>
      <w:numFmt w:val="bullet"/>
      <w:start w:val="1"/>
    </w:lvl>
  </w:abstractNum>
  <w:abstractNum w:abstractNumId="64">
    <w:nsid w:val="2A082C70"/>
    <w:multiLevelType w:val="hybridMultilevel"/>
    <w:lvl w:ilvl="0">
      <w:lvlJc w:val="left"/>
      <w:lvlText w:val="·"/>
      <w:numFmt w:val="bullet"/>
      <w:start w:val="1"/>
    </w:lvl>
  </w:abstractNum>
  <w:abstractNum w:abstractNumId="65">
    <w:nsid w:val="5EC6AFD4"/>
    <w:multiLevelType w:val="hybridMultilevel"/>
    <w:lvl w:ilvl="0">
      <w:lvlJc w:val="left"/>
      <w:lvlText w:val="·"/>
      <w:numFmt w:val="bullet"/>
      <w:start w:val="1"/>
    </w:lvl>
  </w:abstractNum>
  <w:abstractNum w:abstractNumId="66">
    <w:nsid w:val="19E21BB2"/>
    <w:multiLevelType w:val="hybridMultilevel"/>
    <w:lvl w:ilvl="0">
      <w:lvlJc w:val="left"/>
      <w:lvlText w:val="·"/>
      <w:numFmt w:val="bullet"/>
      <w:start w:val="1"/>
    </w:lvl>
  </w:abstractNum>
  <w:abstractNum w:abstractNumId="67">
    <w:nsid w:val="75E0858A"/>
    <w:multiLevelType w:val="hybridMultilevel"/>
    <w:lvl w:ilvl="0">
      <w:lvlJc w:val="left"/>
      <w:lvlText w:val="·"/>
      <w:numFmt w:val="bullet"/>
      <w:start w:val="1"/>
    </w:lvl>
  </w:abstractNum>
  <w:abstractNum w:abstractNumId="68">
    <w:nsid w:val="57A61A29"/>
    <w:multiLevelType w:val="hybridMultilevel"/>
    <w:lvl w:ilvl="0">
      <w:lvlJc w:val="left"/>
      <w:lvlText w:val="·"/>
      <w:numFmt w:val="bullet"/>
      <w:start w:val="1"/>
    </w:lvl>
    <w:lvl w:ilvl="1">
      <w:lvlJc w:val="left"/>
      <w:lvlText w:val="·"/>
      <w:numFmt w:val="bullet"/>
      <w:start w:val="1"/>
    </w:lvl>
  </w:abstractNum>
  <w:abstractNum w:abstractNumId="69">
    <w:nsid w:val="5399C654"/>
    <w:multiLevelType w:val="hybridMultilevel"/>
    <w:lvl w:ilvl="0">
      <w:lvlJc w:val="left"/>
      <w:lvlText w:val="·"/>
      <w:numFmt w:val="bullet"/>
      <w:start w:val="1"/>
    </w:lvl>
  </w:abstractNum>
  <w:abstractNum w:abstractNumId="70">
    <w:nsid w:val="20EE1348"/>
    <w:multiLevelType w:val="hybridMultilevel"/>
    <w:lvl w:ilvl="0">
      <w:lvlJc w:val="left"/>
      <w:lvlText w:val="·"/>
      <w:numFmt w:val="bullet"/>
      <w:start w:val="1"/>
    </w:lvl>
    <w:lvl w:ilvl="1">
      <w:lvlJc w:val="left"/>
      <w:lvlText w:val="·"/>
      <w:numFmt w:val="bullet"/>
      <w:start w:val="1"/>
    </w:lvl>
  </w:abstractNum>
  <w:abstractNum w:abstractNumId="71">
    <w:nsid w:val="4427069A"/>
    <w:multiLevelType w:val="hybridMultilevel"/>
    <w:lvl w:ilvl="0">
      <w:lvlJc w:val="left"/>
      <w:lvlText w:val="%1."/>
      <w:numFmt w:val="upperLetter"/>
      <w:start w:val="3"/>
    </w:lvl>
  </w:abstractNum>
  <w:abstractNum w:abstractNumId="72">
    <w:nsid w:val="B37E80A"/>
    <w:multiLevelType w:val="hybridMultilevel"/>
    <w:lvl w:ilvl="0">
      <w:lvlJc w:val="left"/>
      <w:lvlText w:val="%1."/>
      <w:numFmt w:val="upperLetter"/>
      <w:start w:val="1"/>
    </w:lvl>
  </w:abstractNum>
  <w:abstractNum w:abstractNumId="73">
    <w:nsid w:val="2157F6BC"/>
    <w:multiLevelType w:val="hybridMultilevel"/>
    <w:lvl w:ilvl="0">
      <w:lvlJc w:val="left"/>
      <w:lvlText w:val="%1."/>
      <w:numFmt w:val="upperLetter"/>
      <w:start w:val="2"/>
    </w:lvl>
  </w:abstractNum>
  <w:abstractNum w:abstractNumId="74">
    <w:nsid w:val="704E1DD5"/>
    <w:multiLevelType w:val="hybridMultilevel"/>
    <w:lvl w:ilvl="0">
      <w:lvlJc w:val="left"/>
      <w:lvlText w:val="%1."/>
      <w:numFmt w:val="upperLetter"/>
      <w:start w:val="1"/>
    </w:lvl>
  </w:abstractNum>
  <w:abstractNum w:abstractNumId="75">
    <w:nsid w:val="57D2F10E"/>
    <w:multiLevelType w:val="hybridMultilevel"/>
    <w:lvl w:ilvl="0">
      <w:lvlJc w:val="left"/>
      <w:lvlText w:val="(%1)"/>
      <w:numFmt w:val="lowerLetter"/>
      <w:start w:val="1"/>
    </w:lvl>
  </w:abstractNum>
  <w:abstractNum w:abstractNumId="76">
    <w:nsid w:val="BFFAE18"/>
    <w:multiLevelType w:val="hybridMultilevel"/>
    <w:lvl w:ilvl="0">
      <w:lvlJc w:val="left"/>
      <w:lvlText w:val="·"/>
      <w:numFmt w:val="bullet"/>
      <w:start w:val="1"/>
    </w:lvl>
  </w:abstractNum>
  <w:abstractNum w:abstractNumId="77">
    <w:nsid w:val="E3E47A8"/>
    <w:multiLevelType w:val="hybridMultilevel"/>
    <w:lvl w:ilvl="0">
      <w:lvlJc w:val="left"/>
      <w:lvlText w:val="·"/>
      <w:numFmt w:val="bullet"/>
      <w:start w:val="1"/>
    </w:lvl>
  </w:abstractNum>
  <w:abstractNum w:abstractNumId="78">
    <w:nsid w:val="2E48F044"/>
    <w:multiLevelType w:val="hybridMultilevel"/>
    <w:lvl w:ilvl="0">
      <w:lvlJc w:val="left"/>
      <w:lvlText w:val="%1."/>
      <w:numFmt w:val="upperLetter"/>
      <w:start w:val="3"/>
    </w:lvl>
  </w:abstractNum>
  <w:abstractNum w:abstractNumId="79">
    <w:nsid w:val="49D0FEAC"/>
    <w:multiLevelType w:val="hybridMultilevel"/>
    <w:lvl w:ilvl="0">
      <w:lvlJc w:val="left"/>
      <w:lvlText w:val="%1."/>
      <w:numFmt w:val="upperLetter"/>
      <w:start w:val="4"/>
    </w:lvl>
  </w:abstractNum>
  <w:abstractNum w:abstractNumId="80">
    <w:nsid w:val="4BEE5A5B"/>
    <w:multiLevelType w:val="hybridMultilevel"/>
    <w:lvl w:ilvl="0">
      <w:lvlJc w:val="left"/>
      <w:lvlText w:val="%1."/>
      <w:numFmt w:val="upperLetter"/>
      <w:start w:val="5"/>
    </w:lvl>
  </w:abstractNum>
  <w:abstractNum w:abstractNumId="81">
    <w:nsid w:val="5551B9F3"/>
    <w:multiLevelType w:val="hybridMultilevel"/>
    <w:lvl w:ilvl="0">
      <w:lvlJc w:val="left"/>
      <w:lvlText w:val="·"/>
      <w:numFmt w:val="bullet"/>
      <w:start w:val="1"/>
    </w:lvl>
  </w:abstractNum>
  <w:abstractNum w:abstractNumId="82">
    <w:nsid w:val="24F6AB8E"/>
    <w:multiLevelType w:val="hybridMultilevel"/>
    <w:lvl w:ilvl="0">
      <w:lvlJc w:val="left"/>
      <w:lvlText w:val="·"/>
      <w:numFmt w:val="bullet"/>
      <w:start w:val="1"/>
    </w:lvl>
  </w:abstractNum>
  <w:abstractNum w:abstractNumId="83">
    <w:nsid w:val="634C574C"/>
    <w:multiLevelType w:val="hybridMultilevel"/>
    <w:lvl w:ilvl="0">
      <w:lvlJc w:val="left"/>
      <w:lvlText w:val="·"/>
      <w:numFmt w:val="bullet"/>
      <w:start w:val="1"/>
    </w:lvl>
  </w:abstractNum>
  <w:abstractNum w:abstractNumId="84">
    <w:nsid w:val="24E99DD7"/>
    <w:multiLevelType w:val="hybridMultilevel"/>
    <w:lvl w:ilvl="0">
      <w:lvlJc w:val="left"/>
      <w:lvlText w:val="(%1)"/>
      <w:numFmt w:val="lowerLetter"/>
      <w:start w:val="3"/>
    </w:lvl>
  </w:abstractNum>
  <w:abstractNum w:abstractNumId="85">
    <w:nsid w:val="2A31B62D"/>
    <w:multiLevelType w:val="hybridMultilevel"/>
    <w:lvl w:ilvl="0">
      <w:lvlJc w:val="left"/>
      <w:lvlText w:val="·"/>
      <w:numFmt w:val="bullet"/>
      <w:start w:val="1"/>
    </w:lvl>
  </w:abstractNum>
  <w:abstractNum w:abstractNumId="86">
    <w:nsid w:val="1849C29B"/>
    <w:multiLevelType w:val="hybridMultilevel"/>
    <w:lvl w:ilvl="0">
      <w:lvlJc w:val="left"/>
      <w:lvlText w:val="·"/>
      <w:numFmt w:val="bullet"/>
      <w:start w:val="1"/>
    </w:lvl>
  </w:abstractNum>
  <w:abstractNum w:abstractNumId="87">
    <w:nsid w:val="7DFF9D09"/>
    <w:multiLevelType w:val="hybridMultilevel"/>
    <w:lvl w:ilvl="0">
      <w:lvlJc w:val="left"/>
      <w:lvlText w:val="(%1)"/>
      <w:numFmt w:val="decimal"/>
      <w:start w:val="1"/>
    </w:lvl>
  </w:abstractNum>
  <w:abstractNum w:abstractNumId="88">
    <w:nsid w:val="754342"/>
    <w:multiLevelType w:val="hybridMultilevel"/>
    <w:lvl w:ilvl="0">
      <w:lvlJc w:val="left"/>
      <w:lvlText w:val="%1."/>
      <w:numFmt w:val="upperLetter"/>
      <w:start w:val="6"/>
    </w:lvl>
  </w:abstractNum>
  <w:abstractNum w:abstractNumId="89">
    <w:nsid w:val="69E7F3E5"/>
    <w:multiLevelType w:val="hybridMultilevel"/>
    <w:lvl w:ilvl="0">
      <w:lvlJc w:val="left"/>
      <w:lvlText w:val="%1."/>
      <w:numFmt w:val="upperLetter"/>
      <w:start w:val="7"/>
    </w:lvl>
  </w:abstractNum>
  <w:abstractNum w:abstractNumId="90">
    <w:nsid w:val="2A6DE806"/>
    <w:multiLevelType w:val="hybridMultilevel"/>
    <w:lvl w:ilvl="0">
      <w:lvlJc w:val="left"/>
      <w:lvlText w:val="%1."/>
      <w:numFmt w:val="upperLetter"/>
      <w:start w:val="9"/>
    </w:lvl>
  </w:abstractNum>
  <w:abstractNum w:abstractNumId="91">
    <w:nsid w:val="1816F8C4"/>
    <w:multiLevelType w:val="hybridMultilevel"/>
    <w:lvl w:ilvl="0">
      <w:lvlJc w:val="left"/>
      <w:lvlText w:val="%1."/>
      <w:numFmt w:val="upperLetter"/>
      <w:start w:val="1"/>
    </w:lvl>
  </w:abstractNum>
  <w:abstractNum w:abstractNumId="92">
    <w:nsid w:val="37DF2233"/>
    <w:multiLevelType w:val="hybridMultilevel"/>
    <w:lvl w:ilvl="0">
      <w:lvlJc w:val="left"/>
      <w:lvlText w:val="(%1)"/>
      <w:numFmt w:val="decimal"/>
      <w:start w:val="1"/>
    </w:lvl>
  </w:abstractNum>
  <w:abstractNum w:abstractNumId="93">
    <w:nsid w:val="7AB49DAF"/>
    <w:multiLevelType w:val="hybridMultilevel"/>
    <w:lvl w:ilvl="0">
      <w:lvlJc w:val="left"/>
      <w:lvlText w:val="·"/>
      <w:numFmt w:val="bullet"/>
      <w:start w:val="1"/>
    </w:lvl>
  </w:abstractNum>
  <w:abstractNum w:abstractNumId="94">
    <w:nsid w:val="759F82CD"/>
    <w:multiLevelType w:val="hybridMultilevel"/>
    <w:lvl w:ilvl="0">
      <w:lvlJc w:val="left"/>
      <w:lvlText w:val="(%1)"/>
      <w:numFmt w:val="decimal"/>
      <w:start w:val="1"/>
    </w:lvl>
  </w:abstractNum>
  <w:abstractNum w:abstractNumId="95">
    <w:nsid w:val="61E74EA3"/>
    <w:multiLevelType w:val="hybridMultilevel"/>
    <w:lvl w:ilvl="0">
      <w:lvlJc w:val="left"/>
      <w:lvlText w:val="%1."/>
      <w:numFmt w:val="decimal"/>
      <w:start w:val="1"/>
    </w:lvl>
  </w:abstractNum>
  <w:abstractNum w:abstractNumId="96">
    <w:nsid w:val="597B4D84"/>
    <w:multiLevelType w:val="hybridMultilevel"/>
    <w:lvl w:ilvl="0">
      <w:lvlJc w:val="left"/>
      <w:lvlText w:val="(%1)"/>
      <w:numFmt w:val="decimal"/>
      <w:start w:val="1"/>
    </w:lvl>
  </w:abstractNum>
  <w:abstractNum w:abstractNumId="97">
    <w:nsid w:val="F819E7F"/>
    <w:multiLevelType w:val="hybridMultilevel"/>
    <w:lvl w:ilvl="0">
      <w:lvlJc w:val="left"/>
      <w:lvlText w:val="(%1)"/>
      <w:numFmt w:val="decimal"/>
      <w:start w:val="3"/>
    </w:lvl>
  </w:abstractNum>
  <w:abstractNum w:abstractNumId="98">
    <w:nsid w:val="57C7D42D"/>
    <w:multiLevelType w:val="hybridMultilevel"/>
    <w:lvl w:ilvl="0">
      <w:lvlJc w:val="left"/>
      <w:lvlText w:val="·"/>
      <w:numFmt w:val="bullet"/>
      <w:start w:val="1"/>
    </w:lvl>
  </w:abstractNum>
  <w:abstractNum w:abstractNumId="99">
    <w:nsid w:val="312167AD"/>
    <w:multiLevelType w:val="hybridMultilevel"/>
    <w:lvl w:ilvl="0">
      <w:lvlJc w:val="left"/>
      <w:lvlText w:val="·"/>
      <w:numFmt w:val="bullet"/>
      <w:start w:val="1"/>
    </w:lvl>
  </w:abstractNum>
  <w:abstractNum w:abstractNumId="100">
    <w:nsid w:val="631B64D4"/>
    <w:multiLevelType w:val="hybridMultilevel"/>
    <w:lvl w:ilvl="0">
      <w:lvlJc w:val="left"/>
      <w:lvlText w:val="*"/>
      <w:numFmt w:val="bullet"/>
      <w:start w:val="1"/>
    </w:lvl>
  </w:abstractNum>
  <w:abstractNum w:abstractNumId="101">
    <w:nsid w:val="78B5E776"/>
    <w:multiLevelType w:val="hybridMultilevel"/>
    <w:lvl w:ilvl="0">
      <w:lvlJc w:val="left"/>
      <w:lvlText w:val="·"/>
      <w:numFmt w:val="bullet"/>
      <w:start w:val="1"/>
    </w:lvl>
  </w:abstractNum>
  <w:abstractNum w:abstractNumId="102">
    <w:nsid w:val="75486E47"/>
    <w:multiLevelType w:val="hybridMultilevel"/>
    <w:lvl w:ilvl="0">
      <w:lvlJc w:val="left"/>
      <w:lvlText w:val="·"/>
      <w:numFmt w:val="bullet"/>
      <w:start w:val="1"/>
    </w:lvl>
  </w:abstractNum>
  <w:abstractNum w:abstractNumId="103">
    <w:nsid w:val="6E534CDE"/>
    <w:multiLevelType w:val="hybridMultilevel"/>
    <w:lvl w:ilvl="0">
      <w:lvlJc w:val="left"/>
      <w:lvlText w:val="·"/>
      <w:numFmt w:val="bullet"/>
      <w:start w:val="1"/>
    </w:lvl>
  </w:abstractNum>
  <w:abstractNum w:abstractNumId="104">
    <w:nsid w:val="1A0DDE32"/>
    <w:multiLevelType w:val="hybridMultilevel"/>
    <w:lvl w:ilvl="0">
      <w:lvlJc w:val="left"/>
      <w:lvlText w:val="%1."/>
      <w:numFmt w:val="decimal"/>
      <w:start w:val="2"/>
    </w:lvl>
  </w:abstractNum>
  <w:abstractNum w:abstractNumId="105">
    <w:nsid w:val="65968C1C"/>
    <w:multiLevelType w:val="hybridMultilevel"/>
    <w:lvl w:ilvl="0">
      <w:lvlJc w:val="left"/>
      <w:lvlText w:val="(%1)"/>
      <w:numFmt w:val="lowerLetter"/>
      <w:start w:val="3"/>
    </w:lvl>
  </w:abstractNum>
  <w:abstractNum w:abstractNumId="106">
    <w:nsid w:val="46263DEC"/>
    <w:multiLevelType w:val="hybridMultilevel"/>
    <w:lvl w:ilvl="0">
      <w:lvlJc w:val="left"/>
      <w:lvlText w:val="(%1)"/>
      <w:numFmt w:val="lowerRoman"/>
      <w:start w:val="1"/>
    </w:lvl>
  </w:abstractNum>
  <w:abstractNum w:abstractNumId="107">
    <w:nsid w:val="260D8C4A"/>
    <w:multiLevelType w:val="hybridMultilevel"/>
    <w:lvl w:ilvl="0">
      <w:lvlJc w:val="left"/>
      <w:lvlText w:val="(%1)"/>
      <w:numFmt w:val="lowerRoman"/>
      <w:start w:val="2"/>
    </w:lvl>
  </w:abstractNum>
  <w:abstractNum w:abstractNumId="108">
    <w:nsid w:val="73D4D3C4"/>
    <w:multiLevelType w:val="hybridMultilevel"/>
    <w:lvl w:ilvl="0">
      <w:lvlJc w:val="left"/>
      <w:lvlText w:val="(%1)"/>
      <w:numFmt w:val="lowerRoman"/>
      <w:start w:val="3"/>
    </w:lvl>
  </w:abstractNum>
  <w:abstractNum w:abstractNumId="109">
    <w:nsid w:val="746F2E30"/>
    <w:multiLevelType w:val="hybridMultilevel"/>
    <w:lvl w:ilvl="0">
      <w:lvlJc w:val="left"/>
      <w:lvlText w:val="(%1)"/>
      <w:numFmt w:val="lowerLetter"/>
      <w:start w:val="2"/>
    </w:lvl>
  </w:abstractNum>
  <w:abstractNum w:abstractNumId="110">
    <w:nsid w:val="6FDE8AF6"/>
    <w:multiLevelType w:val="hybridMultilevel"/>
    <w:lvl w:ilvl="0">
      <w:lvlJc w:val="left"/>
      <w:lvlText w:val="(%1)"/>
      <w:numFmt w:val="lowerRoman"/>
      <w:start w:val="4"/>
    </w:lvl>
  </w:abstractNum>
  <w:abstractNum w:abstractNumId="111">
    <w:nsid w:val="3FC32E20"/>
    <w:multiLevelType w:val="hybridMultilevel"/>
    <w:lvl w:ilvl="0">
      <w:lvlJc w:val="left"/>
      <w:lvlText w:val="(%1)"/>
      <w:numFmt w:val="lowerLetter"/>
      <w:start w:val="5"/>
    </w:lvl>
  </w:abstractNum>
  <w:abstractNum w:abstractNumId="112">
    <w:nsid w:val="49C0E823"/>
    <w:multiLevelType w:val="hybridMultilevel"/>
    <w:lvl w:ilvl="0">
      <w:lvlJc w:val="left"/>
      <w:lvlText w:val="(%1)"/>
      <w:numFmt w:val="lowerLetter"/>
      <w:start w:val="6"/>
    </w:lvl>
  </w:abstractNum>
  <w:abstractNum w:abstractNumId="113">
    <w:nsid w:val="14D53685"/>
    <w:multiLevelType w:val="hybridMultilevel"/>
    <w:lvl w:ilvl="0">
      <w:lvlJc w:val="left"/>
      <w:lvlText w:val="(%1)"/>
      <w:numFmt w:val="lowerRoman"/>
      <w:start w:val="1"/>
    </w:lvl>
  </w:abstractNum>
  <w:abstractNum w:abstractNumId="114">
    <w:nsid w:val="230F856C"/>
    <w:multiLevelType w:val="hybridMultilevel"/>
    <w:lvl w:ilvl="0">
      <w:lvlJc w:val="left"/>
      <w:lvlText w:val="(%1)"/>
      <w:numFmt w:val="lowerLetter"/>
      <w:start w:val="10"/>
    </w:lvl>
  </w:abstractNum>
  <w:abstractNum w:abstractNumId="115">
    <w:nsid w:val="6EAA85FB"/>
    <w:multiLevelType w:val="hybridMultilevel"/>
    <w:lvl w:ilvl="0">
      <w:lvlJc w:val="left"/>
      <w:lvlText w:val="(%1)"/>
      <w:numFmt w:val="lowerLetter"/>
      <w:start w:val="12"/>
    </w:lvl>
  </w:abstractNum>
  <w:abstractNum w:abstractNumId="116">
    <w:nsid w:val="3F06ECB2"/>
    <w:multiLevelType w:val="hybridMultilevel"/>
    <w:lvl w:ilvl="0">
      <w:lvlJc w:val="left"/>
      <w:lvlText w:val="(%1)"/>
      <w:numFmt w:val="lowerLetter"/>
      <w:start w:val="18"/>
    </w:lvl>
  </w:abstractNum>
  <w:abstractNum w:abstractNumId="117">
    <w:nsid w:val="3B594807"/>
    <w:multiLevelType w:val="hybridMultilevel"/>
    <w:lvl w:ilvl="0">
      <w:lvlJc w:val="left"/>
      <w:lvlText w:val="(%1)"/>
      <w:numFmt w:val="lowerLetter"/>
      <w:start w:val="19"/>
    </w:lvl>
  </w:abstractNum>
  <w:abstractNum w:abstractNumId="118">
    <w:nsid w:val="6CAA2304"/>
    <w:multiLevelType w:val="hybridMultilevel"/>
    <w:lvl w:ilvl="0">
      <w:lvlJc w:val="left"/>
      <w:lvlText w:val="(%1)"/>
      <w:numFmt w:val="lowerLetter"/>
      <w:start w:val="20"/>
    </w:lvl>
  </w:abstractNum>
  <w:abstractNum w:abstractNumId="119">
    <w:nsid w:val="3F7C2FF4"/>
    <w:multiLevelType w:val="hybridMultilevel"/>
    <w:lvl w:ilvl="0">
      <w:lvlJc w:val="left"/>
      <w:lvlText w:val="%1."/>
      <w:numFmt w:val="decimal"/>
      <w:start w:val="3"/>
    </w:lvl>
  </w:abstractNum>
  <w:abstractNum w:abstractNumId="120">
    <w:nsid w:val="25413BEC"/>
    <w:multiLevelType w:val="hybridMultilevel"/>
    <w:lvl w:ilvl="0">
      <w:lvlJc w:val="left"/>
      <w:lvlText w:val="(%1)"/>
      <w:numFmt w:val="lowerLetter"/>
      <w:start w:val="3"/>
    </w:lvl>
  </w:abstractNum>
  <w:abstractNum w:abstractNumId="121">
    <w:nsid w:val="17180B0B"/>
    <w:multiLevelType w:val="hybridMultilevel"/>
    <w:lvl w:ilvl="0">
      <w:lvlJc w:val="left"/>
      <w:lvlText w:val="(%1)"/>
      <w:numFmt w:val="lowerLetter"/>
      <w:start w:val="5"/>
    </w:lvl>
  </w:abstractNum>
  <w:abstractNum w:abstractNumId="122">
    <w:nsid w:val="579328B9"/>
    <w:multiLevelType w:val="hybridMultilevel"/>
    <w:lvl w:ilvl="0">
      <w:lvlJc w:val="left"/>
      <w:lvlText w:val="%1."/>
      <w:numFmt w:val="decimal"/>
      <w:start w:val="4"/>
    </w:lvl>
  </w:abstractNum>
  <w:abstractNum w:abstractNumId="123">
    <w:nsid w:val="5D205E20"/>
    <w:multiLevelType w:val="hybridMultilevel"/>
    <w:lvl w:ilvl="0">
      <w:lvlJc w:val="left"/>
      <w:lvlText w:val="%1."/>
      <w:numFmt w:val="decimal"/>
      <w:start w:val="6"/>
    </w:lvl>
  </w:abstractNum>
  <w:abstractNum w:abstractNumId="124">
    <w:nsid w:val="11CCA8BA"/>
    <w:multiLevelType w:val="hybridMultilevel"/>
    <w:lvl w:ilvl="0">
      <w:lvlJc w:val="left"/>
      <w:lvlText w:val="%1."/>
      <w:numFmt w:val="decimal"/>
      <w:start w:val="8"/>
    </w:lvl>
  </w:abstractNum>
  <w:abstractNum w:abstractNumId="125">
    <w:nsid w:val="4D32AB86"/>
    <w:multiLevelType w:val="hybridMultilevel"/>
    <w:lvl w:ilvl="0">
      <w:lvlJc w:val="left"/>
      <w:lvlText w:val="(%1)"/>
      <w:numFmt w:val="lowerLetter"/>
      <w:start w:val="1"/>
    </w:lvl>
  </w:abstractNum>
  <w:abstractNum w:abstractNumId="126">
    <w:nsid w:val="3F07ACC3"/>
    <w:multiLevelType w:val="hybridMultilevel"/>
    <w:lvl w:ilvl="0">
      <w:lvlJc w:val="left"/>
      <w:lvlText w:val="(%1)"/>
      <w:numFmt w:val="decimal"/>
      <w:start w:val="1"/>
    </w:lvl>
  </w:abstractNum>
  <w:abstractNum w:abstractNumId="127">
    <w:nsid w:val="6B47F63E"/>
    <w:multiLevelType w:val="hybridMultilevel"/>
    <w:lvl w:ilvl="0">
      <w:lvlJc w:val="left"/>
      <w:lvlText w:val="(%1)"/>
      <w:numFmt w:val="decimal"/>
      <w:start w:val="2"/>
    </w:lvl>
  </w:abstractNum>
  <w:abstractNum w:abstractNumId="128">
    <w:nsid w:val="5CB44A05"/>
    <w:multiLevelType w:val="hybridMultilevel"/>
    <w:lvl w:ilvl="0">
      <w:lvlJc w:val="left"/>
      <w:lvlText w:val="(%1)"/>
      <w:numFmt w:val="lowerLetter"/>
      <w:start w:val="2"/>
    </w:lvl>
  </w:abstractNum>
  <w:abstractNum w:abstractNumId="129">
    <w:nsid w:val="16CF80F1"/>
    <w:multiLevelType w:val="hybridMultilevel"/>
    <w:lvl w:ilvl="0">
      <w:lvlJc w:val="left"/>
      <w:lvlText w:val="(%1)"/>
      <w:numFmt w:val="lowerLetter"/>
      <w:start w:val="3"/>
    </w:lvl>
  </w:abstractNum>
  <w:abstractNum w:abstractNumId="130">
    <w:nsid w:val="1C695DEC"/>
    <w:multiLevelType w:val="hybridMultilevel"/>
    <w:lvl w:ilvl="0">
      <w:lvlJc w:val="left"/>
      <w:lvlText w:val="(%1)"/>
      <w:numFmt w:val="lowerLetter"/>
      <w:start w:val="3"/>
    </w:lvl>
  </w:abstractNum>
  <w:abstractNum w:abstractNumId="131">
    <w:nsid w:val="3FCFAED9"/>
    <w:multiLevelType w:val="hybridMultilevel"/>
    <w:lvl w:ilvl="0">
      <w:lvlJc w:val="left"/>
      <w:lvlText w:val="(%1)"/>
      <w:numFmt w:val="lowerLetter"/>
      <w:start w:val="2"/>
    </w:lvl>
  </w:abstractNum>
  <w:abstractNum w:abstractNumId="132">
    <w:nsid w:val="F856867"/>
    <w:multiLevelType w:val="hybridMultilevel"/>
    <w:lvl w:ilvl="0">
      <w:lvlJc w:val="left"/>
      <w:lvlText w:val="%1."/>
      <w:numFmt w:val="decimal"/>
      <w:start w:val="1"/>
    </w:lvl>
  </w:abstractNum>
  <w:abstractNum w:abstractNumId="133">
    <w:nsid w:val="11B1CC33"/>
    <w:multiLevelType w:val="hybridMultilevel"/>
    <w:lvl w:ilvl="0">
      <w:lvlJc w:val="left"/>
      <w:lvlText w:val="%1."/>
      <w:numFmt w:val="decimal"/>
      <w:start w:val="1"/>
    </w:lvl>
  </w:abstractNum>
  <w:abstractNum w:abstractNumId="134">
    <w:nsid w:val="2E22FBB7"/>
    <w:multiLevelType w:val="hybridMultilevel"/>
    <w:lvl w:ilvl="0">
      <w:lvlJc w:val="left"/>
      <w:lvlText w:val="%1."/>
      <w:numFmt w:val="decimal"/>
      <w:start w:val="4"/>
    </w:lvl>
    <w:lvl w:ilvl="1">
      <w:lvlJc w:val="left"/>
      <w:lvlText w:val="%2"/>
      <w:numFmt w:val="lowerLetter"/>
      <w:start w:val="1"/>
    </w:lvl>
  </w:abstractNum>
  <w:abstractNum w:abstractNumId="135">
    <w:nsid w:val="29934699"/>
    <w:multiLevelType w:val="hybridMultilevel"/>
    <w:lvl w:ilvl="0">
      <w:lvlJc w:val="left"/>
      <w:lvlText w:val="%1."/>
      <w:numFmt w:val="lowerLetter"/>
      <w:start w:val="2"/>
    </w:lvl>
  </w:abstractNum>
  <w:abstractNum w:abstractNumId="136">
    <w:nsid w:val="77485850"/>
    <w:multiLevelType w:val="hybridMultilevel"/>
    <w:lvl w:ilvl="0">
      <w:lvlJc w:val="left"/>
      <w:lvlText w:val="(%1)"/>
      <w:numFmt w:val="decimal"/>
      <w:start w:val="1"/>
    </w:lvl>
  </w:abstractNum>
  <w:abstractNum w:abstractNumId="137">
    <w:nsid w:val="744939A3"/>
    <w:multiLevelType w:val="hybridMultilevel"/>
    <w:lvl w:ilvl="0">
      <w:lvlJc w:val="left"/>
      <w:lvlText w:val="(%1)"/>
      <w:numFmt w:val="upperLetter"/>
      <w:start w:val="1"/>
    </w:lvl>
  </w:abstractNum>
  <w:abstractNum w:abstractNumId="138">
    <w:nsid w:val="4FA0D2E3"/>
    <w:multiLevelType w:val="hybridMultilevel"/>
    <w:lvl w:ilvl="0">
      <w:lvlJc w:val="left"/>
      <w:lvlText w:val="%1."/>
      <w:numFmt w:val="decimal"/>
      <w:start w:val="1"/>
    </w:lvl>
    <w:lvl w:ilvl="1">
      <w:lvlJc w:val="left"/>
      <w:lvlText w:val="(%2)"/>
      <w:numFmt w:val="lowerLetter"/>
      <w:start w:val="1"/>
    </w:lvl>
  </w:abstractNum>
  <w:abstractNum w:abstractNumId="139">
    <w:nsid w:val="6B1D2C14"/>
    <w:multiLevelType w:val="hybridMultilevel"/>
    <w:lvl w:ilvl="0">
      <w:lvlJc w:val="left"/>
      <w:lvlText w:val="(%1)"/>
      <w:numFmt w:val="lowerLetter"/>
      <w:start w:val="4"/>
    </w:lvl>
  </w:abstractNum>
  <w:abstractNum w:abstractNumId="140">
    <w:nsid w:val="68B867D3"/>
    <w:multiLevelType w:val="hybridMultilevel"/>
    <w:lvl w:ilvl="0">
      <w:lvlJc w:val="left"/>
      <w:lvlText w:val="(%1)"/>
      <w:numFmt w:val="lowerLetter"/>
      <w:start w:val="5"/>
    </w:lvl>
  </w:abstractNum>
  <w:abstractNum w:abstractNumId="141">
    <w:nsid w:val="3F7F5DD9"/>
    <w:multiLevelType w:val="hybridMultilevel"/>
    <w:lvl w:ilvl="0">
      <w:lvlJc w:val="left"/>
      <w:lvlText w:val="(%1)"/>
      <w:numFmt w:val="lowerLetter"/>
      <w:start w:val="1"/>
    </w:lvl>
  </w:abstractNum>
  <w:abstractNum w:abstractNumId="142">
    <w:nsid w:val="2AE05A34"/>
    <w:multiLevelType w:val="hybridMultilevel"/>
    <w:lvl w:ilvl="0">
      <w:lvlJc w:val="left"/>
      <w:lvlText w:val="%1."/>
      <w:numFmt w:val="decimal"/>
      <w:start w:val="2"/>
    </w:lvl>
    <w:lvl w:ilvl="1">
      <w:lvlJc w:val="left"/>
      <w:lvlText w:val="(%2)"/>
      <w:numFmt w:val="lowerLetter"/>
      <w:start w:val="1"/>
    </w:lvl>
  </w:abstractNum>
  <w:abstractNum w:abstractNumId="143">
    <w:nsid w:val="32794FF7"/>
    <w:multiLevelType w:val="hybridMultilevel"/>
    <w:lvl w:ilvl="0">
      <w:lvlJc w:val="left"/>
      <w:lvlText w:val="(%1)"/>
      <w:numFmt w:val="lowerLetter"/>
      <w:start w:val="1"/>
    </w:lvl>
  </w:abstractNum>
  <w:abstractNum w:abstractNumId="144">
    <w:nsid w:val="5454945E"/>
    <w:multiLevelType w:val="hybridMultilevel"/>
    <w:lvl w:ilvl="0">
      <w:lvlJc w:val="left"/>
      <w:lvlText w:val="(%1)"/>
      <w:numFmt w:val="lowerLetter"/>
      <w:start w:val="5"/>
    </w:lvl>
  </w:abstractNum>
  <w:abstractNum w:abstractNumId="145">
    <w:nsid w:val="4DEFDFA0"/>
    <w:multiLevelType w:val="hybridMultilevel"/>
    <w:lvl w:ilvl="0">
      <w:lvlJc w:val="left"/>
      <w:lvlText w:val="%1"/>
      <w:numFmt w:val="decimal"/>
      <w:start w:val="1"/>
    </w:lvl>
    <w:lvl w:ilvl="1">
      <w:lvlJc w:val="left"/>
      <w:lvlText w:val="(%2)"/>
      <w:numFmt w:val="lowerLetter"/>
      <w:start w:val="6"/>
    </w:lvl>
  </w:abstractNum>
  <w:abstractNum w:abstractNumId="146">
    <w:nsid w:val="2123D5F2"/>
    <w:multiLevelType w:val="hybridMultilevel"/>
    <w:lvl w:ilvl="0">
      <w:lvlJc w:val="left"/>
      <w:lvlText w:val="%1."/>
      <w:numFmt w:val="decimal"/>
      <w:start w:val="3"/>
    </w:lvl>
    <w:lvl w:ilvl="1">
      <w:lvlJc w:val="left"/>
      <w:lvlText w:val="(%2)"/>
      <w:numFmt w:val="lowerLetter"/>
      <w:start w:val="1"/>
    </w:lvl>
  </w:abstractNum>
  <w:abstractNum w:abstractNumId="147">
    <w:nsid w:val="135B8110"/>
    <w:multiLevelType w:val="hybridMultilevel"/>
    <w:lvl w:ilvl="0">
      <w:lvlJc w:val="left"/>
      <w:lvlText w:val="(%1)"/>
      <w:numFmt w:val="lowerLetter"/>
      <w:start w:val="6"/>
    </w:lvl>
  </w:abstractNum>
  <w:abstractNum w:abstractNumId="148">
    <w:nsid w:val="94927A8"/>
    <w:multiLevelType w:val="hybridMultilevel"/>
    <w:lvl w:ilvl="0">
      <w:lvlJc w:val="left"/>
      <w:lvlText w:val="(%1)"/>
      <w:numFmt w:val="lowerLetter"/>
      <w:start w:val="1"/>
    </w:lvl>
  </w:abstractNum>
  <w:abstractNum w:abstractNumId="149">
    <w:nsid w:val="DCDF8F6"/>
    <w:multiLevelType w:val="hybridMultilevel"/>
    <w:lvl w:ilvl="0">
      <w:lvlJc w:val="left"/>
      <w:lvlText w:val="(%1)"/>
      <w:numFmt w:val="lowerLetter"/>
      <w:start w:val="5"/>
    </w:lvl>
  </w:abstractNum>
  <w:abstractNum w:abstractNumId="150">
    <w:nsid w:val="52D7B105"/>
    <w:multiLevelType w:val="hybridMultilevel"/>
    <w:lvl w:ilvl="0">
      <w:lvlJc w:val="left"/>
      <w:lvlText w:val="%1"/>
      <w:numFmt w:val="decimal"/>
      <w:start w:val="1"/>
    </w:lvl>
    <w:lvl w:ilvl="1">
      <w:lvlJc w:val="left"/>
      <w:lvlText w:val="(%2)"/>
      <w:numFmt w:val="lowerLetter"/>
      <w:start w:val="6"/>
    </w:lvl>
  </w:abstractNum>
  <w:abstractNum w:abstractNumId="151">
    <w:nsid w:val="2E8A6394"/>
    <w:multiLevelType w:val="hybridMultilevel"/>
    <w:lvl w:ilvl="0">
      <w:lvlJc w:val="left"/>
      <w:lvlText w:val="%1."/>
      <w:numFmt w:val="decimal"/>
      <w:start w:val="4"/>
    </w:lvl>
    <w:lvl w:ilvl="1">
      <w:lvlJc w:val="left"/>
      <w:lvlText w:val="%2"/>
      <w:numFmt w:val="lowerLetter"/>
      <w:start w:val="1"/>
    </w:lvl>
  </w:abstractNum>
  <w:abstractNum w:abstractNumId="152">
    <w:nsid w:val="24E60401"/>
    <w:multiLevelType w:val="hybridMultilevel"/>
    <w:lvl w:ilvl="0">
      <w:lvlJc w:val="left"/>
      <w:lvlText w:val="%1."/>
      <w:numFmt w:val="decimal"/>
      <w:start w:val="6"/>
    </w:lvl>
  </w:abstractNum>
  <w:abstractNum w:abstractNumId="153">
    <w:nsid w:val="2A6AD9BE"/>
    <w:multiLevelType w:val="hybridMultilevel"/>
    <w:lvl w:ilvl="0">
      <w:lvlJc w:val="left"/>
      <w:lvlText w:val="%1."/>
      <w:numFmt w:val="decimal"/>
      <w:start w:val="8"/>
    </w:lvl>
  </w:abstractNum>
  <w:abstractNum w:abstractNumId="154">
    <w:nsid w:val="BAAC1B4"/>
    <w:multiLevelType w:val="hybridMultilevel"/>
    <w:lvl w:ilvl="0">
      <w:lvlJc w:val="left"/>
      <w:lvlText w:val="%1."/>
      <w:numFmt w:val="decimal"/>
      <w:start w:val="2"/>
    </w:lvl>
  </w:abstractNum>
  <w:abstractNum w:abstractNumId="155">
    <w:nsid w:val="36B2ACBC"/>
    <w:multiLevelType w:val="hybridMultilevel"/>
    <w:lvl w:ilvl="0">
      <w:lvlJc w:val="left"/>
      <w:lvlText w:val="(%1)"/>
      <w:numFmt w:val="decimal"/>
      <w:start w:val="1"/>
    </w:lvl>
  </w:abstractNum>
  <w:abstractNum w:abstractNumId="156">
    <w:nsid w:val="779D8544"/>
    <w:multiLevelType w:val="hybridMultilevel"/>
    <w:lvl w:ilvl="0">
      <w:lvlJc w:val="left"/>
      <w:lvlText w:val="(%1)"/>
      <w:numFmt w:val="upperLetter"/>
      <w:start w:val="1"/>
    </w:lvl>
  </w:abstractNum>
  <w:abstractNum w:abstractNumId="157">
    <w:nsid w:val="4AB26E78"/>
    <w:multiLevelType w:val="hybridMultilevel"/>
    <w:lvl w:ilvl="0">
      <w:lvlJc w:val="left"/>
      <w:lvlText w:val="%1."/>
      <w:numFmt w:val="decimal"/>
      <w:start w:val="1"/>
    </w:lvl>
  </w:abstractNum>
  <w:abstractNum w:abstractNumId="158">
    <w:nsid w:val="21FAA2FA"/>
    <w:multiLevelType w:val="hybridMultilevel"/>
    <w:lvl w:ilvl="0">
      <w:lvlJc w:val="left"/>
      <w:lvlText w:val="(%1)"/>
      <w:numFmt w:val="decimal"/>
      <w:start w:val="1"/>
    </w:lvl>
  </w:abstractNum>
  <w:abstractNum w:abstractNumId="159">
    <w:nsid w:val="5451CF49"/>
    <w:multiLevelType w:val="hybridMultilevel"/>
    <w:lvl w:ilvl="0">
      <w:lvlJc w:val="left"/>
      <w:lvlText w:val="(%1)"/>
      <w:numFmt w:val="decimal"/>
      <w:start w:val="2"/>
    </w:lvl>
  </w:abstractNum>
  <w:abstractNum w:abstractNumId="160">
    <w:nsid w:val="6181EF69"/>
    <w:multiLevelType w:val="hybridMultilevel"/>
    <w:lvl w:ilvl="0">
      <w:lvlJc w:val="left"/>
      <w:lvlText w:val="%1."/>
      <w:numFmt w:val="decimal"/>
      <w:start w:val="2"/>
    </w:lvl>
  </w:abstractNum>
  <w:abstractNum w:abstractNumId="161">
    <w:nsid w:val="3E6400E6"/>
    <w:multiLevelType w:val="hybridMultilevel"/>
    <w:lvl w:ilvl="0">
      <w:lvlJc w:val="left"/>
      <w:lvlText w:val="(%1)"/>
      <w:numFmt w:val="upperLetter"/>
      <w:start w:val="1"/>
    </w:lvl>
  </w:abstractNum>
  <w:abstractNum w:abstractNumId="162">
    <w:nsid w:val="14217E23"/>
    <w:multiLevelType w:val="hybridMultilevel"/>
    <w:lvl w:ilvl="0">
      <w:lvlJc w:val="left"/>
      <w:lvlText w:val="%1."/>
      <w:numFmt w:val="decimal"/>
      <w:start w:val="3"/>
    </w:lvl>
  </w:abstractNum>
  <w:abstractNum w:abstractNumId="163">
    <w:nsid w:val="710757D0"/>
    <w:multiLevelType w:val="hybridMultilevel"/>
    <w:lvl w:ilvl="0">
      <w:lvlJc w:val="left"/>
      <w:lvlText w:val="(%1)"/>
      <w:numFmt w:val="decimal"/>
      <w:start w:val="1"/>
    </w:lvl>
  </w:abstractNum>
  <w:abstractNum w:abstractNumId="164">
    <w:nsid w:val="5015CD1A"/>
    <w:multiLevelType w:val="hybridMultilevel"/>
    <w:lvl w:ilvl="0">
      <w:lvlJc w:val="left"/>
      <w:lvlText w:val="%1."/>
      <w:numFmt w:val="decimal"/>
      <w:start w:val="5"/>
    </w:lvl>
    <w:lvl w:ilvl="1">
      <w:lvlJc w:val="left"/>
      <w:lvlText w:val="(%2)"/>
      <w:numFmt w:val="lowerLetter"/>
      <w:start w:val="1"/>
    </w:lvl>
  </w:abstractNum>
  <w:abstractNum w:abstractNumId="165">
    <w:nsid w:val="424479DA"/>
    <w:multiLevelType w:val="hybridMultilevel"/>
    <w:lvl w:ilvl="0">
      <w:lvlJc w:val="left"/>
      <w:lvlText w:val="(%1)"/>
      <w:numFmt w:val="lowerLetter"/>
      <w:start w:val="4"/>
    </w:lvl>
  </w:abstractNum>
  <w:abstractNum w:abstractNumId="166">
    <w:nsid w:val="1A9A9E69"/>
    <w:multiLevelType w:val="hybridMultilevel"/>
    <w:lvl w:ilvl="0">
      <w:lvlJc w:val="left"/>
      <w:lvlText w:val="(%1)"/>
      <w:numFmt w:val="lowerLetter"/>
      <w:start w:val="1"/>
    </w:lvl>
  </w:abstractNum>
  <w:abstractNum w:abstractNumId="167">
    <w:nsid w:val="475E256A"/>
    <w:multiLevelType w:val="hybridMultilevel"/>
    <w:lvl w:ilvl="0">
      <w:lvlJc w:val="left"/>
      <w:lvlText w:val="%1"/>
      <w:numFmt w:val="decimal"/>
      <w:start w:val="1"/>
    </w:lvl>
    <w:lvl w:ilvl="1">
      <w:lvlJc w:val="left"/>
      <w:lvlText w:val="(%2)"/>
      <w:numFmt w:val="lowerLetter"/>
      <w:start w:val="3"/>
    </w:lvl>
  </w:abstractNum>
  <w:abstractNum w:abstractNumId="168">
    <w:nsid w:val="368DB37E"/>
    <w:multiLevelType w:val="hybridMultilevel"/>
    <w:lvl w:ilvl="0">
      <w:lvlJc w:val="left"/>
      <w:lvlText w:val="%1."/>
      <w:numFmt w:val="decimal"/>
      <w:start w:val="7"/>
    </w:lvl>
    <w:lvl w:ilvl="1">
      <w:lvlJc w:val="left"/>
      <w:lvlText w:val="(%2)"/>
      <w:numFmt w:val="lowerLetter"/>
      <w:start w:val="1"/>
    </w:lvl>
  </w:abstractNum>
  <w:abstractNum w:abstractNumId="169">
    <w:nsid w:val="6A3B714C"/>
    <w:multiLevelType w:val="hybridMultilevel"/>
    <w:lvl w:ilvl="0">
      <w:lvlJc w:val="left"/>
      <w:lvlText w:val="%1"/>
      <w:numFmt w:val="decimal"/>
      <w:start w:val="1"/>
    </w:lvl>
    <w:lvl w:ilvl="1">
      <w:lvlJc w:val="left"/>
      <w:lvlText w:val="(%2)"/>
      <w:numFmt w:val="decimal"/>
      <w:start w:val="1"/>
    </w:lvl>
  </w:abstractNum>
  <w:abstractNum w:abstractNumId="170">
    <w:nsid w:val="327B517E"/>
    <w:multiLevelType w:val="hybridMultilevel"/>
    <w:lvl w:ilvl="0">
      <w:lvlJc w:val="left"/>
      <w:lvlText w:val="%1."/>
      <w:numFmt w:val="decimal"/>
      <w:start w:val="9"/>
    </w:lvl>
    <w:lvl w:ilvl="1">
      <w:lvlJc w:val="left"/>
      <w:lvlText w:val="%2"/>
      <w:numFmt w:val="decimal"/>
      <w:start w:val="1"/>
    </w:lvl>
  </w:abstractNum>
  <w:abstractNum w:abstractNumId="171">
    <w:nsid w:val="1F461B51"/>
    <w:multiLevelType w:val="hybridMultilevel"/>
    <w:lvl w:ilvl="0">
      <w:lvlJc w:val="left"/>
      <w:lvlText w:val="%1."/>
      <w:numFmt w:val="decimal"/>
      <w:start w:val="11"/>
    </w:lvl>
  </w:abstractNum>
  <w:abstractNum w:abstractNumId="172">
    <w:nsid w:val="29BACF25"/>
    <w:multiLevelType w:val="hybridMultilevel"/>
    <w:lvl w:ilvl="0">
      <w:lvlJc w:val="left"/>
      <w:lvlText w:val="%1."/>
      <w:numFmt w:val="decimal"/>
      <w:start w:val="13"/>
    </w:lvl>
  </w:abstractNum>
  <w:abstractNum w:abstractNumId="173">
    <w:nsid w:val="5D5BABB3"/>
    <w:multiLevelType w:val="hybridMultilevel"/>
    <w:lvl w:ilvl="0">
      <w:lvlJc w:val="left"/>
      <w:lvlText w:val="%1."/>
      <w:numFmt w:val="decimal"/>
      <w:start w:val="1"/>
    </w:lvl>
  </w:abstractNum>
  <w:abstractNum w:abstractNumId="174">
    <w:nsid w:val="51BF6B48"/>
    <w:multiLevelType w:val="hybridMultilevel"/>
    <w:lvl w:ilvl="0">
      <w:lvlJc w:val="left"/>
      <w:lvlText w:val="%1."/>
      <w:numFmt w:val="decimal"/>
      <w:start w:val="1"/>
    </w:lvl>
  </w:abstractNum>
  <w:abstractNum w:abstractNumId="175">
    <w:nsid w:val="7E0F6384"/>
    <w:multiLevelType w:val="hybridMultilevel"/>
    <w:lvl w:ilvl="0">
      <w:lvlJc w:val="left"/>
      <w:lvlText w:val="%1."/>
      <w:numFmt w:val="decimal"/>
      <w:start w:val="2"/>
    </w:lvl>
  </w:abstractNum>
  <w:abstractNum w:abstractNumId="176">
    <w:nsid w:val="2B4B8B53"/>
    <w:multiLevelType w:val="hybridMultilevel"/>
    <w:lvl w:ilvl="0">
      <w:lvlJc w:val="left"/>
      <w:lvlText w:val="%1."/>
      <w:numFmt w:val="decimal"/>
      <w:start w:val="3"/>
    </w:lvl>
  </w:abstractNum>
  <w:abstractNum w:abstractNumId="177">
    <w:nsid w:val="72E3413A"/>
    <w:multiLevelType w:val="hybridMultilevel"/>
    <w:lvl w:ilvl="0">
      <w:lvlJc w:val="left"/>
      <w:lvlText w:val="%1."/>
      <w:numFmt w:val="decimal"/>
      <w:start w:val="4"/>
    </w:lvl>
  </w:abstractNum>
  <w:abstractNum w:abstractNumId="178">
    <w:nsid w:val="116AE494"/>
    <w:multiLevelType w:val="hybridMultilevel"/>
    <w:lvl w:ilvl="0">
      <w:lvlJc w:val="left"/>
      <w:lvlText w:val="%1."/>
      <w:numFmt w:val="decimal"/>
      <w:start w:val="5"/>
    </w:lvl>
  </w:abstractNum>
  <w:abstractNum w:abstractNumId="179">
    <w:nsid w:val="3494B2FB"/>
    <w:multiLevelType w:val="hybridMultilevel"/>
    <w:lvl w:ilvl="0">
      <w:lvlJc w:val="left"/>
      <w:lvlText w:val="%1."/>
      <w:numFmt w:val="decimal"/>
      <w:start w:val="6"/>
    </w:lvl>
  </w:abstractNum>
  <w:abstractNum w:abstractNumId="180">
    <w:nsid w:val="B13A31"/>
    <w:multiLevelType w:val="hybridMultilevel"/>
    <w:lvl w:ilvl="0">
      <w:lvlJc w:val="left"/>
      <w:lvlText w:val="%1."/>
      <w:numFmt w:val="decimal"/>
      <w:start w:val="7"/>
    </w:lvl>
  </w:abstractNum>
  <w:abstractNum w:abstractNumId="181">
    <w:nsid w:val="64429599"/>
    <w:multiLevelType w:val="hybridMultilevel"/>
    <w:lvl w:ilvl="0">
      <w:lvlJc w:val="left"/>
      <w:lvlText w:val="%1."/>
      <w:numFmt w:val="decimal"/>
      <w:start w:val="9"/>
    </w:lvl>
  </w:abstractNum>
  <w:abstractNum w:abstractNumId="182">
    <w:nsid w:val="631F1690"/>
    <w:multiLevelType w:val="hybridMultilevel"/>
    <w:lvl w:ilvl="0">
      <w:lvlJc w:val="left"/>
      <w:lvlText w:val="%1."/>
      <w:numFmt w:val="decimal"/>
      <w:start w:val="10"/>
    </w:lvl>
  </w:abstractNum>
  <w:abstractNum w:abstractNumId="183">
    <w:nsid w:val="25973E32"/>
    <w:multiLevelType w:val="hybridMultilevel"/>
    <w:lvl w:ilvl="0">
      <w:lvlJc w:val="left"/>
      <w:lvlText w:val="%1."/>
      <w:numFmt w:val="decimal"/>
      <w:start w:val="1"/>
    </w:lvl>
  </w:abstractNum>
  <w:abstractNum w:abstractNumId="184">
    <w:nsid w:val="EAD6F57"/>
    <w:multiLevelType w:val="hybridMultilevel"/>
    <w:lvl w:ilvl="0">
      <w:lvlJc w:val="left"/>
      <w:lvlText w:val="%1."/>
      <w:numFmt w:val="decimal"/>
      <w:start w:val="1"/>
    </w:lvl>
  </w:abstractNum>
  <w:abstractNum w:abstractNumId="185">
    <w:nsid w:val="6EC9D844"/>
    <w:multiLevelType w:val="hybridMultilevel"/>
    <w:lvl w:ilvl="0">
      <w:lvlJc w:val="left"/>
      <w:lvlText w:val="%1."/>
      <w:numFmt w:val="decimal"/>
      <w:start w:val="2"/>
    </w:lvl>
  </w:abstractNum>
  <w:abstractNum w:abstractNumId="186">
    <w:nsid w:val="5C49EAEE"/>
    <w:multiLevelType w:val="hybridMultilevel"/>
    <w:lvl w:ilvl="0">
      <w:lvlJc w:val="left"/>
      <w:lvlText w:val="%1."/>
      <w:numFmt w:val="decimal"/>
      <w:start w:val="4"/>
    </w:lvl>
  </w:abstractNum>
  <w:abstractNum w:abstractNumId="187">
    <w:nsid w:val="64AF49B"/>
    <w:multiLevelType w:val="hybridMultilevel"/>
    <w:lvl w:ilvl="0">
      <w:lvlJc w:val="left"/>
      <w:lvlText w:val="%1."/>
      <w:numFmt w:val="decimal"/>
      <w:start w:val="5"/>
    </w:lvl>
  </w:abstractNum>
  <w:abstractNum w:abstractNumId="188">
    <w:nsid w:val="397C46BC"/>
    <w:multiLevelType w:val="hybridMultilevel"/>
    <w:lvl w:ilvl="0">
      <w:lvlJc w:val="left"/>
      <w:lvlText w:val="(%1)"/>
      <w:numFmt w:val="decimal"/>
      <w:start w:val="1"/>
    </w:lvl>
  </w:abstractNum>
  <w:abstractNum w:abstractNumId="189">
    <w:nsid w:val="7E448DE9"/>
    <w:multiLevelType w:val="hybridMultilevel"/>
    <w:lvl w:ilvl="0">
      <w:lvlJc w:val="left"/>
      <w:lvlText w:val="%1."/>
      <w:numFmt w:val="decimal"/>
      <w:start w:val="1"/>
    </w:lvl>
    <w:lvl w:ilvl="1">
      <w:lvlJc w:val="left"/>
      <w:lvlText w:val="(%2)"/>
      <w:numFmt w:val="lowerLetter"/>
      <w:start w:val="1"/>
    </w:lvl>
  </w:abstractNum>
  <w:abstractNum w:abstractNumId="190">
    <w:nsid w:val="5A9CC3E5"/>
    <w:multiLevelType w:val="hybridMultilevel"/>
    <w:lvl w:ilvl="0">
      <w:lvlJc w:val="left"/>
      <w:lvlText w:val="%1."/>
      <w:numFmt w:val="decimal"/>
      <w:start w:val="1"/>
    </w:lvl>
    <w:lvl w:ilvl="1">
      <w:lvlJc w:val="left"/>
      <w:lvlText w:val="(%2)"/>
      <w:numFmt w:val="lowerLetter"/>
      <w:start w:val="1"/>
    </w:lvl>
  </w:abstractNum>
  <w:abstractNum w:abstractNumId="191">
    <w:nsid w:val="1AFE3625"/>
    <w:multiLevelType w:val="hybridMultilevel"/>
    <w:lvl w:ilvl="0">
      <w:lvlJc w:val="left"/>
      <w:lvlText w:val="%1."/>
      <w:numFmt w:val="decimal"/>
      <w:start w:val="1"/>
    </w:lvl>
  </w:abstractNum>
  <w:abstractNum w:abstractNumId="192">
    <w:nsid w:val="3CA88E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251" Type="http://schemas.openxmlformats.org/officeDocument/2006/relationships/image" Target="media/image183.png"/><Relationship Id="rId252" Type="http://schemas.openxmlformats.org/officeDocument/2006/relationships/image" Target="media/image184.png"/><Relationship Id="rId253" Type="http://schemas.openxmlformats.org/officeDocument/2006/relationships/image" Target="media/image185.png"/><Relationship Id="rId254" Type="http://schemas.openxmlformats.org/officeDocument/2006/relationships/image" Target="media/image186.png"/><Relationship Id="rId255" Type="http://schemas.openxmlformats.org/officeDocument/2006/relationships/image" Target="media/image187.png"/><Relationship Id="rId256" Type="http://schemas.openxmlformats.org/officeDocument/2006/relationships/image" Target="media/image188.png"/><Relationship Id="rId257" Type="http://schemas.openxmlformats.org/officeDocument/2006/relationships/image" Target="media/image189.png"/><Relationship Id="rId258" Type="http://schemas.openxmlformats.org/officeDocument/2006/relationships/image" Target="media/image190.png"/><Relationship Id="rId259" Type="http://schemas.openxmlformats.org/officeDocument/2006/relationships/image" Target="media/image191.png"/><Relationship Id="rId260" Type="http://schemas.openxmlformats.org/officeDocument/2006/relationships/image" Target="media/image192.png"/><Relationship Id="rId261" Type="http://schemas.openxmlformats.org/officeDocument/2006/relationships/image" Target="media/image193.png"/><Relationship Id="rId262" Type="http://schemas.openxmlformats.org/officeDocument/2006/relationships/image" Target="media/image194.png"/><Relationship Id="rId263" Type="http://schemas.openxmlformats.org/officeDocument/2006/relationships/image" Target="media/image195.png"/><Relationship Id="rId264" Type="http://schemas.openxmlformats.org/officeDocument/2006/relationships/image" Target="media/image196.png"/><Relationship Id="rId265" Type="http://schemas.openxmlformats.org/officeDocument/2006/relationships/image" Target="media/image197.png"/><Relationship Id="rId266"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6" Type="http://schemas.openxmlformats.org/officeDocument/2006/relationships/image" Target="media/image218.png"/><Relationship Id="rId287"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0" Type="http://schemas.openxmlformats.org/officeDocument/2006/relationships/image" Target="media/image222.png"/><Relationship Id="rId291" Type="http://schemas.openxmlformats.org/officeDocument/2006/relationships/image" Target="media/image223.png"/><Relationship Id="rId292" Type="http://schemas.openxmlformats.org/officeDocument/2006/relationships/image" Target="media/image224.png"/><Relationship Id="rId293" Type="http://schemas.openxmlformats.org/officeDocument/2006/relationships/image" Target="media/image225.png"/><Relationship Id="rId294" Type="http://schemas.openxmlformats.org/officeDocument/2006/relationships/image" Target="media/image226.png"/><Relationship Id="rId295" Type="http://schemas.openxmlformats.org/officeDocument/2006/relationships/image" Target="media/image227.png"/><Relationship Id="rId296" Type="http://schemas.openxmlformats.org/officeDocument/2006/relationships/image" Target="media/image228.png"/><Relationship Id="rId297" Type="http://schemas.openxmlformats.org/officeDocument/2006/relationships/image" Target="media/image229.png"/><Relationship Id="rId298" Type="http://schemas.openxmlformats.org/officeDocument/2006/relationships/image" Target="media/image230.png"/><Relationship Id="rId299" Type="http://schemas.openxmlformats.org/officeDocument/2006/relationships/image" Target="media/image231.png"/><Relationship Id="rId300" Type="http://schemas.openxmlformats.org/officeDocument/2006/relationships/image" Target="media/image232.png"/><Relationship Id="rId301" Type="http://schemas.openxmlformats.org/officeDocument/2006/relationships/image" Target="media/image233.png"/><Relationship Id="rId302" Type="http://schemas.openxmlformats.org/officeDocument/2006/relationships/image" Target="media/image234.png"/><Relationship Id="rId303" Type="http://schemas.openxmlformats.org/officeDocument/2006/relationships/image" Target="media/image235.png"/><Relationship Id="rId304" Type="http://schemas.openxmlformats.org/officeDocument/2006/relationships/image" Target="media/image236.png"/><Relationship Id="rId305" Type="http://schemas.openxmlformats.org/officeDocument/2006/relationships/image" Target="media/image237.png"/><Relationship Id="rId306" Type="http://schemas.openxmlformats.org/officeDocument/2006/relationships/image" Target="media/image238.png"/><Relationship Id="rId307" Type="http://schemas.openxmlformats.org/officeDocument/2006/relationships/image" Target="media/image239.png"/><Relationship Id="rId308" Type="http://schemas.openxmlformats.org/officeDocument/2006/relationships/image" Target="media/image240.png"/><Relationship Id="rId309" Type="http://schemas.openxmlformats.org/officeDocument/2006/relationships/image" Target="media/image241.png"/><Relationship Id="rId310" Type="http://schemas.openxmlformats.org/officeDocument/2006/relationships/image" Target="media/image242.png"/><Relationship Id="rId311" Type="http://schemas.openxmlformats.org/officeDocument/2006/relationships/image" Target="media/image243.png"/><Relationship Id="rId312" Type="http://schemas.openxmlformats.org/officeDocument/2006/relationships/image" Target="media/image244.png"/><Relationship Id="rId313" Type="http://schemas.openxmlformats.org/officeDocument/2006/relationships/image" Target="media/image245.png"/><Relationship Id="rId314" Type="http://schemas.openxmlformats.org/officeDocument/2006/relationships/image" Target="media/image246.png"/><Relationship Id="rId315" Type="http://schemas.openxmlformats.org/officeDocument/2006/relationships/image" Target="media/image247.png"/><Relationship Id="rId316"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322" Type="http://schemas.openxmlformats.org/officeDocument/2006/relationships/image" Target="media/image254.png"/><Relationship Id="rId323" Type="http://schemas.openxmlformats.org/officeDocument/2006/relationships/image" Target="media/image255.png"/><Relationship Id="rId324" Type="http://schemas.openxmlformats.org/officeDocument/2006/relationships/image" Target="media/image256.png"/><Relationship Id="rId325" Type="http://schemas.openxmlformats.org/officeDocument/2006/relationships/image" Target="media/image257.png"/><Relationship Id="rId326" Type="http://schemas.openxmlformats.org/officeDocument/2006/relationships/image" Target="media/image258.png"/><Relationship Id="rId327" Type="http://schemas.openxmlformats.org/officeDocument/2006/relationships/image" Target="media/image259.png"/><Relationship Id="rId328" Type="http://schemas.openxmlformats.org/officeDocument/2006/relationships/image" Target="media/image260.pn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333" Type="http://schemas.openxmlformats.org/officeDocument/2006/relationships/image" Target="media/image265.png"/><Relationship Id="rId334" Type="http://schemas.openxmlformats.org/officeDocument/2006/relationships/image" Target="media/image266.png"/><Relationship Id="rId335" Type="http://schemas.openxmlformats.org/officeDocument/2006/relationships/image" Target="media/image267.png"/><Relationship Id="rId336" Type="http://schemas.openxmlformats.org/officeDocument/2006/relationships/image" Target="media/image268.png"/><Relationship Id="rId337" Type="http://schemas.openxmlformats.org/officeDocument/2006/relationships/image" Target="media/image269.png"/><Relationship Id="rId338" Type="http://schemas.openxmlformats.org/officeDocument/2006/relationships/image" Target="media/image270.png"/><Relationship Id="rId339" Type="http://schemas.openxmlformats.org/officeDocument/2006/relationships/image" Target="media/image271.png"/><Relationship Id="rId340" Type="http://schemas.openxmlformats.org/officeDocument/2006/relationships/image" Target="media/image272.png"/><Relationship Id="rId341" Type="http://schemas.openxmlformats.org/officeDocument/2006/relationships/image" Target="media/image273.png"/><Relationship Id="rId342" Type="http://schemas.openxmlformats.org/officeDocument/2006/relationships/image" Target="media/image274.png"/><Relationship Id="rId343" Type="http://schemas.openxmlformats.org/officeDocument/2006/relationships/image" Target="media/image275.png"/><Relationship Id="rId344" Type="http://schemas.openxmlformats.org/officeDocument/2006/relationships/image" Target="media/image276.png"/><Relationship Id="rId345" Type="http://schemas.openxmlformats.org/officeDocument/2006/relationships/image" Target="media/image277.png"/><Relationship Id="rId346" Type="http://schemas.openxmlformats.org/officeDocument/2006/relationships/image" Target="media/image278.png"/><Relationship Id="rId347" Type="http://schemas.openxmlformats.org/officeDocument/2006/relationships/image" Target="media/image279.png"/><Relationship Id="rId348" Type="http://schemas.openxmlformats.org/officeDocument/2006/relationships/image" Target="media/image280.png"/><Relationship Id="rId349" Type="http://schemas.openxmlformats.org/officeDocument/2006/relationships/image" Target="media/image281.png"/><Relationship Id="rId350" Type="http://schemas.openxmlformats.org/officeDocument/2006/relationships/image" Target="media/image282.png"/><Relationship Id="rId351" Type="http://schemas.openxmlformats.org/officeDocument/2006/relationships/image" Target="media/image283.png"/><Relationship Id="rId352" Type="http://schemas.openxmlformats.org/officeDocument/2006/relationships/image" Target="media/image284.png"/><Relationship Id="rId353" Type="http://schemas.openxmlformats.org/officeDocument/2006/relationships/image" Target="media/image285.png"/><Relationship Id="rId354" Type="http://schemas.openxmlformats.org/officeDocument/2006/relationships/image" Target="media/image286.png"/><Relationship Id="rId355" Type="http://schemas.openxmlformats.org/officeDocument/2006/relationships/image" Target="media/image287.png"/><Relationship Id="rId356" Type="http://schemas.openxmlformats.org/officeDocument/2006/relationships/image" Target="media/image288.png"/><Relationship Id="rId357" Type="http://schemas.openxmlformats.org/officeDocument/2006/relationships/image" Target="media/image289.png"/><Relationship Id="rId358" Type="http://schemas.openxmlformats.org/officeDocument/2006/relationships/image" Target="media/image290.png"/><Relationship Id="rId359" Type="http://schemas.openxmlformats.org/officeDocument/2006/relationships/image" Target="media/image291.png"/><Relationship Id="rId360" Type="http://schemas.openxmlformats.org/officeDocument/2006/relationships/image" Target="media/image292.png"/><Relationship Id="rId361" Type="http://schemas.openxmlformats.org/officeDocument/2006/relationships/image" Target="media/image293.png"/><Relationship Id="rId362" Type="http://schemas.openxmlformats.org/officeDocument/2006/relationships/image" Target="media/image294.png"/><Relationship Id="rId363" Type="http://schemas.openxmlformats.org/officeDocument/2006/relationships/image" Target="media/image295.png"/><Relationship Id="rId364" Type="http://schemas.openxmlformats.org/officeDocument/2006/relationships/image" Target="media/image296.png"/><Relationship Id="rId365" Type="http://schemas.openxmlformats.org/officeDocument/2006/relationships/image" Target="media/image297.png"/><Relationship Id="rId366" Type="http://schemas.openxmlformats.org/officeDocument/2006/relationships/image" Target="media/image298.png"/><Relationship Id="rId367" Type="http://schemas.openxmlformats.org/officeDocument/2006/relationships/image" Target="media/image299.png"/><Relationship Id="rId368" Type="http://schemas.openxmlformats.org/officeDocument/2006/relationships/image" Target="media/image300.png"/><Relationship Id="rId369" Type="http://schemas.openxmlformats.org/officeDocument/2006/relationships/image" Target="media/image301.png"/><Relationship Id="rId370" Type="http://schemas.openxmlformats.org/officeDocument/2006/relationships/image" Target="media/image302.png"/><Relationship Id="rId371" Type="http://schemas.openxmlformats.org/officeDocument/2006/relationships/image" Target="media/image303.png"/><Relationship Id="rId151" Type="http://schemas.openxmlformats.org/officeDocument/2006/relationships/hyperlink" Target="http://www.sec.gov/Archives/edgar/data/1110646/000102140803009190/dex13.txt" TargetMode="External"/><Relationship Id="rId152" Type="http://schemas.openxmlformats.org/officeDocument/2006/relationships/hyperlink" Target="http://www.sec.gov/Archives/edgar/data/1110646/000110465915030142/a15-4743_1ex3d3.htm" TargetMode="External"/><Relationship Id="rId153" Type="http://schemas.openxmlformats.org/officeDocument/2006/relationships/hyperlink" Target="http://www.sec.gov/Archives/edgar/data/1110646/000110465916113375/a16-3849_1ex3d8.htm" TargetMode="External"/><Relationship Id="rId154" Type="http://schemas.openxmlformats.org/officeDocument/2006/relationships/hyperlink" Target="http://www.sec.gov/Archives/edgar/data/1110646/000110465916113375/a16-3849_1ex3d9.htm" TargetMode="External"/><Relationship Id="rId155" Type="http://schemas.openxmlformats.org/officeDocument/2006/relationships/hyperlink" Target="http://www.sec.gov/Archives/edgar/data/1110646/000110465916113375/a16-3849_1ex3d6.htm" TargetMode="External"/><Relationship Id="rId156" Type="http://schemas.openxmlformats.org/officeDocument/2006/relationships/hyperlink" Target="http://www.sec.gov/Archives/edgar/data/1110646/000110465916113375/a16-3849_1ex3d5.htm" TargetMode="External"/><Relationship Id="rId157" Type="http://schemas.openxmlformats.org/officeDocument/2006/relationships/hyperlink" Target="http://www.sec.gov/Archives/edgar/data/1110646/000110465916113375/a16-3849_1ex3d7.htm" TargetMode="External"/><Relationship Id="rId158" Type="http://schemas.openxmlformats.org/officeDocument/2006/relationships/hyperlink" Target="http://www.sec.gov/Archives/edgar/data/1110646/000110465917025196/a17-1327_1ex3d6.htm" TargetMode="External"/><Relationship Id="rId159" Type="http://schemas.openxmlformats.org/officeDocument/2006/relationships/hyperlink" Target="file:///data/convert/a18-5396_1ex3d8.htm#Exhibit4_563_8_032411" TargetMode="External"/><Relationship Id="rId160" Type="http://schemas.openxmlformats.org/officeDocument/2006/relationships/hyperlink" Target="http://www.sec.gov/Archives/edgar/data/1110646/000119312510003078/dex101.htm" TargetMode="External"/><Relationship Id="rId161" Type="http://schemas.openxmlformats.org/officeDocument/2006/relationships/hyperlink" Target="http://www.sec.gov/Archives/edgar/data/1110646/000119312510149321/dex43.htm" TargetMode="External"/><Relationship Id="rId166" Type="http://schemas.openxmlformats.org/officeDocument/2006/relationships/hyperlink" Target="http://www.sec.gov/Archives/edgar/data/1110646/000119312505131680/dex439.htm" TargetMode="External"/><Relationship Id="rId167" Type="http://schemas.openxmlformats.org/officeDocument/2006/relationships/hyperlink" Target="http://www.sec.gov/Archives/edgar/data/1110646/000119312505131680/dex440.htm" TargetMode="External"/><Relationship Id="rId168" Type="http://schemas.openxmlformats.org/officeDocument/2006/relationships/hyperlink" Target="http://www.sec.gov/Archives/edgar/data/1110646/000119312505131680/dex441.htm" TargetMode="External"/><Relationship Id="rId169" Type="http://schemas.openxmlformats.org/officeDocument/2006/relationships/hyperlink" Target="http://www.sec.gov/Archives/edgar/data/1110646/000110465913031064/a12-28368_1ex4d25.htm" TargetMode="External"/><Relationship Id="rId170" Type="http://schemas.openxmlformats.org/officeDocument/2006/relationships/hyperlink" Target="http://www.sec.gov/Archives/edgar/data/1110646/000110465915030142/a15-4743_1ex4d25.htm" TargetMode="External"/><Relationship Id="rId171" Type="http://schemas.openxmlformats.org/officeDocument/2006/relationships/hyperlink" Target="http://www.sec.gov/Archives/edgar/data/1110646/000110465915030142/a15-4743_1ex4d26.htm" TargetMode="External"/><Relationship Id="rId172" Type="http://schemas.openxmlformats.org/officeDocument/2006/relationships/hyperlink" Target="http://www.sec.gov/Archives/edgar/data/1110646/000110465915030142/a15-4743_1ex4d27.htm" TargetMode="External"/><Relationship Id="rId173" Type="http://schemas.openxmlformats.org/officeDocument/2006/relationships/hyperlink" Target="http://www.sec.gov/Archives/edgar/data/1110646/000110465915030142/a15-4743_1ex4d28.htm" TargetMode="External"/><Relationship Id="rId174" Type="http://schemas.openxmlformats.org/officeDocument/2006/relationships/hyperlink" Target="http://www.sec.gov/Archives/edgar/data/1110646/000110465915030142/a15-4743_1ex4d29.htm" TargetMode="External"/><Relationship Id="rId175" Type="http://schemas.openxmlformats.org/officeDocument/2006/relationships/hyperlink" Target="http://www.sec.gov/Archives/edgar/data/1110646/000110465915030142/a15-4743_1ex4d30.htm" TargetMode="External"/><Relationship Id="rId176" Type="http://schemas.openxmlformats.org/officeDocument/2006/relationships/hyperlink" Target="http://www.sec.gov/Archives/edgar/data/1110646/000110465915030142/a15-4743_1ex4d31.htm" TargetMode="External"/><Relationship Id="rId177" Type="http://schemas.openxmlformats.org/officeDocument/2006/relationships/hyperlink" Target="http://www.sec.gov/Archives/edgar/data/1110646/000110465915030142/a15-4743_1ex4d32.htm" TargetMode="External"/><Relationship Id="rId178" Type="http://schemas.openxmlformats.org/officeDocument/2006/relationships/hyperlink" Target="http://www.sec.gov/Archives/edgar/data/1110646/000110465915030142/a15-4743_1ex4d33.htm" TargetMode="External"/><Relationship Id="rId179" Type="http://schemas.openxmlformats.org/officeDocument/2006/relationships/hyperlink" Target="http://www.sec.gov/Archives/edgar/data/1110646/000110465915030142/a15-4743_1ex4d34.htm" TargetMode="External"/><Relationship Id="rId180" Type="http://schemas.openxmlformats.org/officeDocument/2006/relationships/hyperlink" Target="http://www.sec.gov/Archives/edgar/data/1110646/000110465915030142/a15-4743_1ex4d35.htm" TargetMode="External"/><Relationship Id="rId183" Type="http://schemas.openxmlformats.org/officeDocument/2006/relationships/hyperlink" Target="http://www.sec.gov/Archives/edgar/data/1110646/000110465915030142/a15-4743_1ex4d36.htm" TargetMode="External"/><Relationship Id="rId184" Type="http://schemas.openxmlformats.org/officeDocument/2006/relationships/hyperlink" Target="http://www.sec.gov/Archives/edgar/data/1110646/000110465916113375/a16-3849_1ex4d37.htm" TargetMode="External"/><Relationship Id="rId185" Type="http://schemas.openxmlformats.org/officeDocument/2006/relationships/hyperlink" Target="http://www.sec.gov/Archives/edgar/data/1110646/000110465916113375/a16-3849_1ex4d38.htm" TargetMode="External"/><Relationship Id="rId186" Type="http://schemas.openxmlformats.org/officeDocument/2006/relationships/hyperlink" Target="http://www.sec.gov/Archives/edgar/data/1110646/000110465916113375/a16-3849_1ex4d39.htm" TargetMode="External"/><Relationship Id="rId187" Type="http://schemas.openxmlformats.org/officeDocument/2006/relationships/hyperlink" Target="http://www.sec.gov/Archives/edgar/data/1110646/000110465916113375/a16-3849_1ex4d40.htm" TargetMode="External"/><Relationship Id="rId188" Type="http://schemas.openxmlformats.org/officeDocument/2006/relationships/hyperlink" Target="http://www.sec.gov/Archives/edgar/data/1110646/000110465916113375/a16-3849_1ex4d41.htm" TargetMode="External"/><Relationship Id="rId189" Type="http://schemas.openxmlformats.org/officeDocument/2006/relationships/hyperlink" Target="http://www.sec.gov/Archives/edgar/data/1110646/000110465916113375/a16-3849_1ex4d42.htm" TargetMode="External"/><Relationship Id="rId190" Type="http://schemas.openxmlformats.org/officeDocument/2006/relationships/hyperlink" Target="http://www.sec.gov/Archives/edgar/data/1110646/000110465916113375/a16-3849_1ex4d43.htm" TargetMode="External"/><Relationship Id="rId191" Type="http://schemas.openxmlformats.org/officeDocument/2006/relationships/hyperlink" Target="http://www.sec.gov/Archives/edgar/data/1110646/000110465916113375/a16-3849_1ex4d44.htm" TargetMode="External"/><Relationship Id="rId192" Type="http://schemas.openxmlformats.org/officeDocument/2006/relationships/hyperlink" Target="http://www.sec.gov/Archives/edgar/data/1110646/000110465916113375/a16-3849_1ex4d45.htm" TargetMode="External"/><Relationship Id="rId193" Type="http://schemas.openxmlformats.org/officeDocument/2006/relationships/hyperlink" Target="http://www.sec.gov/Archives/edgar/data/1110646/000110465916113375/a16-3849_1ex4d46.htm" TargetMode="External"/><Relationship Id="rId194" Type="http://schemas.openxmlformats.org/officeDocument/2006/relationships/hyperlink" Target="http://www.sec.gov/Archives/edgar/data/1110646/000110465916113375/a16-3849_1ex4d47.htm" TargetMode="External"/><Relationship Id="rId195" Type="http://schemas.openxmlformats.org/officeDocument/2006/relationships/hyperlink" Target="http://www.sec.gov/Archives/edgar/data/1110646/000110465916113375/a16-3849_1ex4d48.htm" TargetMode="External"/><Relationship Id="rId196" Type="http://schemas.openxmlformats.org/officeDocument/2006/relationships/hyperlink" Target="http://www.sec.gov/Archives/edgar/data/1110646/000110465916113375/a16-3849_1ex4d49.htm" TargetMode="External"/><Relationship Id="rId197" Type="http://schemas.openxmlformats.org/officeDocument/2006/relationships/hyperlink" Target="http://www.sec.gov/Archives/edgar/data/1110646/000110465916113375/a16-3849_1ex4d50.htm" TargetMode="External"/><Relationship Id="rId198" Type="http://schemas.openxmlformats.org/officeDocument/2006/relationships/hyperlink" Target="http://www.sec.gov/Archives/edgar/data/1110646/000110465916113375/a16-3849_1ex4d51.htm" TargetMode="External"/><Relationship Id="rId203" Type="http://schemas.openxmlformats.org/officeDocument/2006/relationships/hyperlink" Target="http://www.sec.gov/Archives/edgar/data/1110646/000110465917025196/a17-1327_1ex4d51.htm" TargetMode="External"/><Relationship Id="rId204" Type="http://schemas.openxmlformats.org/officeDocument/2006/relationships/hyperlink" Target="http://www.sec.gov/Archives/edgar/data/1110646/000110465917025196/a17-1327_1ex4d52.htm" TargetMode="External"/><Relationship Id="rId205" Type="http://schemas.openxmlformats.org/officeDocument/2006/relationships/hyperlink" Target="http://www.sec.gov/Archives/edgar/data/1110646/000110465917025196/a17-1327_1ex4d53.htm" TargetMode="External"/><Relationship Id="rId206" Type="http://schemas.openxmlformats.org/officeDocument/2006/relationships/hyperlink" Target="http://www.sec.gov/Archives/edgar/data/1110646/000110465917025196/a17-1327_1ex4d54.htm" TargetMode="External"/><Relationship Id="rId207" Type="http://schemas.openxmlformats.org/officeDocument/2006/relationships/hyperlink" Target="http://www.sec.gov/Archives/edgar/data/1110646/000110465917025196/a17-1327_1ex4d55.htm" TargetMode="External"/><Relationship Id="rId208" Type="http://schemas.openxmlformats.org/officeDocument/2006/relationships/hyperlink" Target="file:///data/convert/a18-5396_1ex4d52.htm#Exhibit4_52_103401" TargetMode="External"/><Relationship Id="rId209" Type="http://schemas.openxmlformats.org/officeDocument/2006/relationships/hyperlink" Target="file:///data/convert/a18-5396_1ex4d53.htm#Exhibit4_53_111830" TargetMode="External"/><Relationship Id="rId210" Type="http://schemas.openxmlformats.org/officeDocument/2006/relationships/hyperlink" Target="file:///data/convert/a18-5396_1ex4d54.htm#Exhibhit4_54_105131" TargetMode="External"/><Relationship Id="rId211" Type="http://schemas.openxmlformats.org/officeDocument/2006/relationships/hyperlink" Target="file:///data/convert/a18-5396_1ex4d55.htm#Exhibit4_55_105743" TargetMode="External"/><Relationship Id="rId212" Type="http://schemas.openxmlformats.org/officeDocument/2006/relationships/hyperlink" Target="file:///data/convert/a18-5396_1ex8d1.htm#Exhibit8_1_112957" TargetMode="External"/><Relationship Id="rId213" Type="http://schemas.openxmlformats.org/officeDocument/2006/relationships/hyperlink" Target="http://www.sec.gov/Archives/edgar/data/1110646/000119312507142483/dex111.htm" TargetMode="External"/><Relationship Id="rId214" Type="http://schemas.openxmlformats.org/officeDocument/2006/relationships/hyperlink" Target="file:///data/convert/a18-5396_1ex12d1.htm#Exhibit12_1_113344" TargetMode="External"/><Relationship Id="rId215" Type="http://schemas.openxmlformats.org/officeDocument/2006/relationships/hyperlink" Target="file:///data/convert/a18-5396_1ex12d2.htm#Exhibit12_2_114854" TargetMode="External"/><Relationship Id="rId216" Type="http://schemas.openxmlformats.org/officeDocument/2006/relationships/hyperlink" Target="file:///data/convert/a18-5396_1ex13d1.htm#Exhibit13_1_115020" TargetMode="External"/><Relationship Id="rId217" Type="http://schemas.openxmlformats.org/officeDocument/2006/relationships/hyperlink" Target="file:///data/convert/a18-5396_1ex13d2.htm#Exhibit13_2_115140" TargetMode="External"/><Relationship Id="rId218" Type="http://schemas.openxmlformats.org/officeDocument/2006/relationships/hyperlink" Target="http://www.sec.gov/Archives/edgar/data/1110646/000110465915030142/a15-4743_1ex15d1.htm" TargetMode="External"/><Relationship Id="rId219" Type="http://schemas.openxmlformats.org/officeDocument/2006/relationships/hyperlink" Target="file:///data/convert/a18-5396_1ex15d2.htm#Exhibit15_2_011318" TargetMode="External"/><Relationship Id="rId220" Type="http://schemas.openxmlformats.org/officeDocument/2006/relationships/hyperlink" Target="file:///data/convert/a18-5396_1ex15d3.htm#Exhibit15_3_101915" TargetMode="External"/><Relationship Id="rId221" Type="http://schemas.openxmlformats.org/officeDocument/2006/relationships/hyperlink" Target="file:///data/convert/a18-5396_1ex15d4.htm#Exhibit15_4_0220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2019-12-06T15:40:56Z</dcterms:created>
  <dcterms:modified xsi:type="dcterms:W3CDTF">2019-12-06T15:40:56Z</dcterms:modified>
</cp:coreProperties>
</file>