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 Bin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40" w:type="dxa"/>
            <w:vAlign w:val="bottom"/>
            <w:tcBorders>
              <w:top w:val="single" w:sz="8" w:color="0000EE"/>
              <w:bottom w:val="single" w:sz="8" w:color="9A9A9A"/>
            </w:tcBorders>
          </w:tcPr>
          <w:p>
            <w:pPr>
              <w:spacing w:after="0"/>
              <w:rPr>
                <w:sz w:val="17"/>
                <w:szCs w:val="17"/>
                <w:color w:val="auto"/>
              </w:rPr>
            </w:pPr>
          </w:p>
        </w:tc>
        <w:tc>
          <w:tcPr>
            <w:tcW w:w="2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NetEase,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NTES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C/O NETEASE, INC. NETEASE BUILDING</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NO. 599 WANGSHANG</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ROAD,BINJIANG DISTRICT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HANGZHOU F4</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310052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Vice President, Finance</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Doris Fang, Attorney-</w:t>
            </w:r>
          </w:p>
        </w:tc>
        <w:tc>
          <w:tcPr>
            <w:tcW w:w="2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in-Fact for Mo Bin</w:t>
            </w:r>
          </w:p>
        </w:tc>
        <w:tc>
          <w:tcPr>
            <w:tcW w:w="7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bottom w:val="single" w:sz="8" w:color="auto"/>
            </w:tcBorders>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Executing Forms 3, 4 and 5</w:t>
      </w:r>
    </w:p>
    <w:p>
      <w:pPr>
        <w:spacing w:after="0" w:line="23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Paul W. Boltz, Jr., Yawen Han, Doris Fang, Emily Hu and Sarah Li, or any of them, each acting alone, his or her true and lawful attorney-in-fact to:</w:t>
      </w:r>
    </w:p>
    <w:p>
      <w:pPr>
        <w:spacing w:after="0" w:line="180" w:lineRule="exact"/>
        <w:rPr>
          <w:sz w:val="20"/>
          <w:szCs w:val="20"/>
          <w:color w:val="auto"/>
        </w:rPr>
      </w:pPr>
    </w:p>
    <w:p>
      <w:pPr>
        <w:ind w:left="2160" w:hanging="719"/>
        <w:spacing w:after="0" w:line="258" w:lineRule="auto"/>
        <w:tabs>
          <w:tab w:leader="none" w:pos="2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and/or regenerate codes, passphrases and passwords enabling the undersigned to make electronic filings with the SEC of reports required by Section 16 of the Securities Exchange Act of 1934, as amended, and the rules and regulations promulgated thereunder;</w:t>
      </w:r>
    </w:p>
    <w:p>
      <w:pPr>
        <w:spacing w:after="0" w:line="204" w:lineRule="exact"/>
        <w:rPr>
          <w:rFonts w:ascii="Times New Roman" w:cs="Times New Roman" w:eastAsia="Times New Roman" w:hAnsi="Times New Roman"/>
          <w:sz w:val="20"/>
          <w:szCs w:val="20"/>
          <w:color w:val="auto"/>
        </w:rPr>
      </w:pPr>
    </w:p>
    <w:p>
      <w:pPr>
        <w:ind w:left="2160" w:right="40" w:hanging="719"/>
        <w:spacing w:after="0" w:line="266" w:lineRule="auto"/>
        <w:tabs>
          <w:tab w:leader="none" w:pos="2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 Form 3, Form 4 or Form 5, or any amendment thereto, relating to the securities of NetEase, Inc., in accordance with Section 16(a) of the Securities Exchange Act of 1934 and the rules thereunder;</w:t>
      </w:r>
    </w:p>
    <w:p>
      <w:pPr>
        <w:spacing w:after="0" w:line="195" w:lineRule="exact"/>
        <w:rPr>
          <w:rFonts w:ascii="Times New Roman" w:cs="Times New Roman" w:eastAsia="Times New Roman" w:hAnsi="Times New Roman"/>
          <w:sz w:val="20"/>
          <w:szCs w:val="20"/>
          <w:color w:val="auto"/>
        </w:rPr>
      </w:pPr>
    </w:p>
    <w:p>
      <w:pPr>
        <w:ind w:left="2160" w:right="100" w:hanging="719"/>
        <w:spacing w:after="0" w:line="266" w:lineRule="auto"/>
        <w:tabs>
          <w:tab w:leader="none" w:pos="2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such Form 3, Form 4 or Form 5, or any amendment thereto, and the timely filing of such form with the SEC and any other authority; and</w:t>
      </w:r>
    </w:p>
    <w:p>
      <w:pPr>
        <w:spacing w:after="0" w:line="195" w:lineRule="exact"/>
        <w:rPr>
          <w:rFonts w:ascii="Times New Roman" w:cs="Times New Roman" w:eastAsia="Times New Roman" w:hAnsi="Times New Roman"/>
          <w:sz w:val="20"/>
          <w:szCs w:val="20"/>
          <w:color w:val="auto"/>
        </w:rPr>
      </w:pPr>
    </w:p>
    <w:p>
      <w:pPr>
        <w:ind w:left="2160" w:right="60" w:hanging="719"/>
        <w:spacing w:after="0" w:line="258" w:lineRule="auto"/>
        <w:tabs>
          <w:tab w:leader="none" w:pos="2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and proper to be done in the exercise of any of the rights and powers herein granted, as fully to all intents and purposes as such undersigned might or could do if personally present, hereby ratifying and confirming all that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NetEase, Inc. unless earlier revoked by the undersigned in a signed writing delivered to the foregoing attorneys-in-fact.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10th day of February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Mo Bin</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Name:Mo 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5882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2918" TargetMode="External"/><Relationship Id="rId11" Type="http://schemas.openxmlformats.org/officeDocument/2006/relationships/hyperlink" Target="http://www.sec.gov/cgi-bin/browse-edgar?action=getcompany&amp;CIK=0001110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2026-03-17T05:30:21Z</dcterms:created>
  <dcterms:modified xsi:type="dcterms:W3CDTF">2026-03-17T05:30:21Z</dcterms:modified>
</cp:coreProperties>
</file>