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568d1_6k.htm"/>
      <w:bookmarkStart w:id="1" w:name="kstm262656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next day disclosure return form dated September 28, 2026 in relation to the movements in our authorized issued shares or treasury shares as a result of or in connection with certain events, attached as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6568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6568d1_ex99-1.htm">
              <w:r>
                <w:rPr>
                  <w:rStyle w:val="InternetLink"/>
                  <w:rFonts w:ascii="Times New Roman;Times;Serif" w:hAnsi="Times New Roman;Times;Serif"/>
                  <w:sz w:val="20"/>
                </w:rPr>
                <w:t>Next Day Disclosure Return with The Stock Exchange of Hong Kong Limited – Next Day Disclosure Return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r>
        <w:trPr/>
        <w:tc>
          <w:tcPr>
            <w:tcW w:w="75" w:type="dxa"/>
            <w:tcBorders/>
            <w:vAlign w:val="center"/>
          </w:tcPr>
          <w:p>
            <w:pPr>
              <w:pStyle w:val="TableContents"/>
              <w:bidi w:val="0"/>
              <w:spacing w:before="0" w:after="283"/>
              <w:jc w:val="left"/>
              <w:rPr/>
            </w:pPr>
            <w:r>
              <w:rPr/>
              <w:t> </w:t>
            </w:r>
          </w:p>
        </w:tc>
        <w:tc>
          <w:tcPr>
            <w:tcW w:w="5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6568d1_ex99-1.htm"/>
      <w:bookmarkStart w:id="3" w:name="kstm2626568d1_ex991"/>
      <w:bookmarkEnd w:id="2"/>
      <w:bookmarkEnd w:id="3"/>
      <w:r>
        <w:rPr>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7 v 1.3.0 Next Day Disclosure Return (Equity issuer - changes in issued shares or treasury shares, share buybacks and/or on-market sales of treasury shares) Instrument: Equity issuer Status: New Submission Name of Issuer: NetEase, Inc. Date Submitted: 28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Ordinary shares Type of shares Not applicable Listed on the Exchange Yes Stock code (if listed) 09999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August 2026 3,201,250,981 10,804,675 3,212,055,656 1). Issue of new shares or transfer of treasury shares in respect of share awards or options granted to a participant (who is not a director of the issuer) under a share scheme - treasury shares involved Trasnsfer of treasury shares pursuant to the vesting of awards granted under the 2019 Share Incentive Plan (as amended from time to time) Date of changes 01 September 2026 416,865 0.013 % -416,865 USD 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2). Repurchase of shares (shares held as treasury shares) Date of changes 25 September 2026 -15,695 0.0005 % 15,695 USD 22.9784 Closing balance as at (Notes 5 and 6) 25 September 2026 3,201,652,151 10,403,505 3,212,055,656 B. Shares redeemed or repurchased for cancellation but not yet cancelled as at the closing balance date (Notes 5 and 6) Not applicable Remarks: (i) The balance of ordinary shares excludes 7,508,925 ordinary shares issued and reserved for future issuance upon the exercise or vesting of awards granted under the Company’s share incentive plans. (ii) The treasury shares refer to ordinary shares underlying the Company's treasury ADSs.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Section II must also be completed by a listed issuer where it has made a repurchase of shares which is discloseable under Main Board Rule 10.06(4)(a) / GEM Rule 13.13(1). Repurchase report Section II 1. Class of shares Ordinary shares Type of shares Not applicable Listed on the Exchange Yes Stock code (if listed) 09999 Description A. Repurchase report Trading date Number of shares repurchased Method of repurchase (Note 1) Repurchase price per share or highest repurchase price per share $ Lowest repurchase price per share $ Aggregate price paid $ 1). 25 September 2026 15,695 On another stock exchange NASDAQ USD 22.998 USD 22.9 USD 360,645.36 Total number of shares repurchased 15,695 Aggregate price paid $ USD 360,645.36 Number of shares repurchased for cancellation 0 Number of shares repurchased for holding as treasury shares 15,695 B. Additional information for issuer who has a primary listing on the Exchange 1). Date of the resolution granting the repurchase mandate 23 June 2026 2). Total number of shares which the issuer is authorised to repurchase under the repurchase mandate 320,125,098 3). Number of shares repurchased on the Exchange or another stock exchange under the repurchase mandate (a) 15,695 4). As a % of number of issued shares (excluding treasury shares) as at the date of the resolution granting the repurchase mandate (a) x 100 / number of issued shares (excluding treasury shares) as at the date of the resolution granting the repurchase mandate 0.0005 % 5). Moratorium period for any issue of new shares, or sale or transfer of treasury shares after the share repurchase(s) set out in Part A (Note 2) Up to 25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We hereby confirm that the repurchases made on the Exchange set out in Part A above were made in accordance with the Main Board Rules and that there have been no material changes to the particulars contained in the Explanatory Statement dated 18 May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 Ching Man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1994</Words>
  <Characters>9863</Characters>
  <CharactersWithSpaces>11869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