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86d1_6k.htm"/>
      <w:bookmarkStart w:id="1" w:name="kstm2622286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3"/>
        <w:gridCol w:w="60"/>
        <w:gridCol w:w="9262"/>
      </w:tblGrid>
      <w:tr>
        <w:trPr/>
        <w:tc>
          <w:tcPr>
            <w:tcW w:w="883" w:type="dxa"/>
            <w:tcBorders/>
            <w:vAlign w:val="center"/>
          </w:tcPr>
          <w:p>
            <w:pPr>
              <w:pStyle w:val="TableContents"/>
              <w:bidi w:val="0"/>
              <w:spacing w:before="0" w:after="283"/>
              <w:jc w:val="left"/>
              <w:rPr/>
            </w:pPr>
            <w:hyperlink w:anchor="tm2622286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hyperlink w:anchor="tm2622286d1_ex99-1.htm">
              <w:r>
                <w:rPr>
                  <w:rStyle w:val="InternetLink"/>
                  <w:rFonts w:ascii="Times New Roman;Times;Serif" w:hAnsi="Times New Roman;Times;Serif"/>
                  <w:sz w:val="20"/>
                </w:rPr>
                <w:t>Announcement with The Stock Exchange of Hong Kong Limited – Date of Board Meeting and Date of Publication of Results Announcement for the Second Quarter and First Half of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NETEASE,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2286d1_ex99-1.htm"/>
      <w:bookmarkStart w:id="3" w:name="kstm2622286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Hong Kong Exchanges and Clearing Limited and The Stock Exchange of Hong Kong Limited (the “</w:t>
      </w:r>
      <w:r>
        <w:rPr>
          <w:rFonts w:ascii="Times New Roman;Times;Serif" w:hAnsi="Times New Roman;Times;Serif"/>
          <w:b/>
          <w:i w:val="false"/>
          <w:caps w:val="false"/>
          <w:smallCaps w:val="false"/>
          <w:sz w:val="20"/>
          <w:bdr w:val="single" w:sz="8" w:space="1" w:color="000000"/>
        </w:rPr>
        <w:t>Hong Kong Stock Exchange</w:t>
      </w:r>
      <w:r>
        <w:rPr>
          <w:rFonts w:ascii="Times New Roman;Times;Serif" w:hAnsi="Times New Roman;Times;Serif"/>
          <w:b w:val="false"/>
          <w:i w:val="false"/>
          <w:caps w:val="false"/>
          <w:smallCaps w:val="false"/>
          <w:sz w:val="20"/>
          <w:bdr w:val="single" w:sz="8" w:space="1" w:color="000000"/>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47675"/>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9999)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 AND DATE OF PUBLICATION OF RESULTS</w:t>
        <w:br/>
        <w:t>ANNOUNCEMENT FOR THE SECOND QUARTER AND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NetEase,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hold a board meeting on Thursday, August 20, 2026 (Beijing/Hong Kong time) for the purposes of, among other matters, approving the Company’s unaudited results and announcement for the second quarter and first half year ended June 30, 2026 (the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xml:space="preserve">”). The Company will announce the Results at or around 6:00 p.m. on Thursday, August 20, 2026 (Beijing/Hong Kong time) on the website of the Hong Kong Stock Exchange at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earnings teleconference call with simultaneous webcast will take place at 8:00 p.m. on Thursday, August 20, 2026 (Beijing/Hong Kong time). The Company’s management will be on the call to discuss the Results and answer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may participate in the conference call by dialing 1-914-202-3258 and providing conference ID: 10056362, 15 minutes prior to the initiation of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0" w:right="0" w:firstLine="94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firstLine="94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William Lei Ding</w:t>
      </w:r>
    </w:p>
    <w:p>
      <w:pPr>
        <w:pStyle w:val="TextBody"/>
        <w:bidi w:val="0"/>
        <w:spacing w:before="0" w:after="0"/>
        <w:ind w:left="0" w:right="0" w:firstLine="940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William Lei Ding as the director, and Ms. Grace Tang, Ms. Alice Cheng, Mr. Joseph Tong, Mr. Michael Leung and Mr. Johnny Chan as the independent directors.</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483</Words>
  <Characters>2487</Characters>
  <CharactersWithSpaces>2990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