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Boltz Paul William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NETEASE, RM 802,CHINA LIFE CTR, TW A</w:t>
      </w:r>
    </w:p>
    <w:p>
      <w:pPr>
        <w:spacing w:after="0" w:line="1" w:lineRule="exact"/>
        <w:rPr>
          <w:sz w:val="24"/>
          <w:szCs w:val="24"/>
          <w:color w:val="auto"/>
        </w:rPr>
      </w:pPr>
    </w:p>
    <w:p>
      <w:pPr>
        <w:ind w:left="120" w:right="200"/>
        <w:spacing w:after="0" w:line="299" w:lineRule="auto"/>
        <w:rPr>
          <w:sz w:val="20"/>
          <w:szCs w:val="20"/>
          <w:color w:val="auto"/>
        </w:rPr>
      </w:pPr>
      <w:r>
        <w:rPr>
          <w:rFonts w:ascii="Times New Roman" w:cs="Times New Roman" w:eastAsia="Times New Roman" w:hAnsi="Times New Roman"/>
          <w:sz w:val="17"/>
          <w:szCs w:val="17"/>
          <w:color w:val="0000FF"/>
        </w:rPr>
        <w:t>ONE HARBOURGATE, NO.18 HUNG LUEN RD, KLN</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HONG KONG  F4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000000</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NetEase,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NTES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12,223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represents five ordinary shares of NetEase, Inc. (the "Company").</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$128.08 to $129.00; the price reported above reflects the weighted average sale price. The reporting person hereby undertakes to provide full information regarding the number of shares and prices at which the transactions were effected upon request to the SEC staff, the Company, or a security holder of the Company.</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Doris Fang,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Paul William Boltz,</w:t>
        <w:tab/>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9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402" TargetMode="External"/><Relationship Id="rId14" Type="http://schemas.openxmlformats.org/officeDocument/2006/relationships/hyperlink" Target="http://www.sec.gov/cgi-bin/browse-edgar?action=getcompany&amp;CIK=0001110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2026-06-30T05:45:02Z</dcterms:created>
  <dcterms:modified xsi:type="dcterms:W3CDTF">2026-06-30T05:45:02Z</dcterms:modified>
</cp:coreProperties>
</file>