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200025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3" w:lineRule="exact"/>
        <w:rPr>
          <w:sz w:val="24"/>
          <w:szCs w:val="24"/>
          <w:color w:val="auto"/>
        </w:rPr>
      </w:pPr>
    </w:p>
    <w:p>
      <w:pPr>
        <w:ind w:left="600" w:right="60" w:hanging="356"/>
        <w:spacing w:after="0" w:line="256" w:lineRule="auto"/>
        <w:tabs>
          <w:tab w:leader="none" w:pos="6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REGISTRATION STATEMENT PURSUANT TO SECTION 12(b) OR 12(g) OF THE SECURITIES EXCHANGE ACT OF 1934</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600" w:right="120" w:hanging="356"/>
        <w:spacing w:after="0" w:line="256" w:lineRule="auto"/>
        <w:tabs>
          <w:tab w:leader="none" w:pos="6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2015</w:t>
      </w:r>
    </w:p>
    <w:p>
      <w:pPr>
        <w:spacing w:after="0" w:line="14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600" w:right="160" w:hanging="356"/>
        <w:spacing w:after="0" w:line="242" w:lineRule="auto"/>
        <w:tabs>
          <w:tab w:leader="none" w:pos="6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ind w:left="600"/>
        <w:spacing w:after="0"/>
        <w:tabs>
          <w:tab w:leader="none" w:pos="39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16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600" w:hanging="356"/>
        <w:spacing w:after="0" w:line="256" w:lineRule="auto"/>
        <w:tabs>
          <w:tab w:leader="none" w:pos="60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Date of event requiring this shell company report . . . . . . . . . . . . . . . . . . .</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000-30666</w:t>
      </w:r>
    </w:p>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Building No. 7, West Zone,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Zhongguancun Software Park (Phase II),</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 10 Xibeiwang East Road, Haidian District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Beijing 100193, People’s Republic of China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Onward Choi</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Building No. 7, West Zone,</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Zhongguancun Software Park (Phase II),</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 10 Xibeiwang East Road, Haidian District</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Beijing 100193, People’s Republic of China</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Phone (86 10) 8255-8163</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Facsimile (86 10) 8261 7823</w:t>
      </w:r>
    </w:p>
    <w:p>
      <w:pPr>
        <w:spacing w:after="0" w:line="9"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American Depositary Shares, each representing 25 ordinary shares, par value US$0.0001 per share,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NASDAQ Global Select Market</w:t>
      </w:r>
    </w:p>
    <w:p>
      <w:pPr>
        <w:spacing w:after="0" w:line="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(Title of Each Class and 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w:t>
      </w: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-130810</wp:posOffset>
            </wp:positionV>
            <wp:extent cx="71691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43" w:orient="portrait"/>
          <w:cols w:equalWidth="0" w:num="1">
            <w:col w:w="11280"/>
          </w:cols>
          <w:pgMar w:left="240" w:top="233" w:right="37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(Title of Class)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3,286,932,181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14605</wp:posOffset>
            </wp:positionV>
            <wp:extent cx="3936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x Yes  o No</w:t>
      </w:r>
    </w:p>
    <w:p>
      <w:pPr>
        <w:spacing w:after="0" w:line="20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 (d) of the Securities Exchange Act of 1934.</w:t>
      </w:r>
    </w:p>
    <w:p>
      <w:pPr>
        <w:spacing w:after="0" w:line="1"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o Yes  x No</w:t>
      </w:r>
    </w:p>
    <w:p>
      <w:pPr>
        <w:spacing w:after="0" w:line="209"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40"/>
        <w:spacing w:after="0"/>
        <w:rPr>
          <w:sz w:val="20"/>
          <w:szCs w:val="20"/>
          <w:color w:val="auto"/>
        </w:rPr>
      </w:pPr>
      <w:r>
        <w:rPr>
          <w:rFonts w:ascii="Arial" w:cs="Arial" w:eastAsia="Arial" w:hAnsi="Arial"/>
          <w:sz w:val="17"/>
          <w:szCs w:val="17"/>
          <w:color w:val="auto"/>
        </w:rPr>
        <w:t>x Yes  o No</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540"/>
        <w:spacing w:after="0"/>
        <w:rPr>
          <w:sz w:val="20"/>
          <w:szCs w:val="20"/>
          <w:color w:val="auto"/>
        </w:rPr>
      </w:pPr>
      <w:r>
        <w:rPr>
          <w:rFonts w:ascii="Arial" w:cs="Arial" w:eastAsia="Arial" w:hAnsi="Arial"/>
          <w:sz w:val="17"/>
          <w:szCs w:val="17"/>
          <w:color w:val="auto"/>
        </w:rPr>
        <w:t>x Yes  o No</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57" w:lineRule="exact"/>
        <w:rPr>
          <w:sz w:val="20"/>
          <w:szCs w:val="20"/>
          <w:color w:val="auto"/>
        </w:rPr>
      </w:pPr>
    </w:p>
    <w:p>
      <w:pPr>
        <w:ind w:left="960"/>
        <w:spacing w:after="0"/>
        <w:tabs>
          <w:tab w:leader="none" w:pos="5040" w:val="left"/>
          <w:tab w:leader="none" w:pos="874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5" w:right="239" w:bottom="0" w:gutter="0" w:footer="0" w:header="0"/>
        </w:sectPr>
      </w:pPr>
    </w:p>
    <w:p>
      <w:pPr>
        <w:spacing w:after="0" w:line="21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U.S. GAAP x</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International Financial Reporting Standards as issued</w:t>
      </w:r>
    </w:p>
    <w:p>
      <w:pPr>
        <w:spacing w:after="0" w:line="46" w:lineRule="exact"/>
        <w:rPr>
          <w:sz w:val="20"/>
          <w:szCs w:val="20"/>
          <w:color w:val="auto"/>
        </w:rPr>
      </w:pPr>
    </w:p>
    <w:p>
      <w:pPr>
        <w:jc w:val="center"/>
        <w:ind w:right="1240"/>
        <w:spacing w:after="0"/>
        <w:rPr>
          <w:sz w:val="20"/>
          <w:szCs w:val="20"/>
          <w:color w:val="auto"/>
        </w:rPr>
      </w:pPr>
      <w:r>
        <w:rPr>
          <w:rFonts w:ascii="Arial" w:cs="Arial" w:eastAsia="Arial" w:hAnsi="Arial"/>
          <w:sz w:val="17"/>
          <w:szCs w:val="17"/>
          <w:color w:val="auto"/>
        </w:rPr>
        <w:t>by the International Accounting Standards Board 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Other o</w:t>
      </w:r>
    </w:p>
    <w:p>
      <w:pPr>
        <w:spacing w:after="0" w:line="441" w:lineRule="exact"/>
        <w:rPr>
          <w:sz w:val="20"/>
          <w:szCs w:val="20"/>
          <w:color w:val="auto"/>
        </w:rPr>
      </w:pPr>
    </w:p>
    <w:p>
      <w:pPr>
        <w:sectPr>
          <w:pgSz w:w="11900" w:h="16838" w:orient="portrait"/>
          <w:cols w:equalWidth="0" w:num="3">
            <w:col w:w="3080" w:space="720"/>
            <w:col w:w="5080" w:space="720"/>
            <w:col w:w="1820"/>
          </w:cols>
          <w:pgMar w:left="240" w:top="125" w:right="239"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46" w:lineRule="exact"/>
        <w:rPr>
          <w:sz w:val="20"/>
          <w:szCs w:val="20"/>
          <w:color w:val="auto"/>
        </w:rPr>
      </w:pPr>
    </w:p>
    <w:p>
      <w:pPr>
        <w:ind w:left="9900"/>
        <w:spacing w:after="0"/>
        <w:rPr>
          <w:sz w:val="20"/>
          <w:szCs w:val="20"/>
          <w:color w:val="auto"/>
        </w:rPr>
      </w:pPr>
      <w:r>
        <w:rPr>
          <w:rFonts w:ascii="Arial" w:cs="Arial" w:eastAsia="Arial" w:hAnsi="Arial"/>
          <w:sz w:val="17"/>
          <w:szCs w:val="17"/>
          <w:color w:val="auto"/>
        </w:rPr>
        <w:t>o Item 17  o Item 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 Yes  x No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 Yes  o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gridSpan w:val="1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INTRODUCTION</w:t>
              </w:r>
            </w:hyperlink>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60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840" w:type="dxa"/>
            <w:vAlign w:val="bottom"/>
            <w:tcBorders>
              <w:top w:val="single" w:sz="8" w:color="0000EE"/>
            </w:tcBorders>
            <w:gridSpan w:val="7"/>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360" w:type="dxa"/>
            <w:vAlign w:val="bottom"/>
          </w:tcPr>
          <w:p>
            <w:pPr>
              <w:spacing w:after="0"/>
              <w:rPr>
                <w:sz w:val="24"/>
                <w:szCs w:val="24"/>
                <w:color w:val="auto"/>
              </w:rPr>
            </w:pPr>
          </w:p>
        </w:tc>
        <w:tc>
          <w:tcPr>
            <w:tcW w:w="560" w:type="dxa"/>
            <w:vAlign w:val="bottom"/>
            <w:gridSpan w:val="4"/>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66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56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Identity of Directors, Senior Management and Advisers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Item 2.</w:t>
              </w:r>
            </w:hyperlink>
          </w:p>
        </w:tc>
        <w:tc>
          <w:tcPr>
            <w:tcW w:w="66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Offer Statistics and Expected Timetable</w:t>
              </w:r>
            </w:hyperlink>
          </w:p>
        </w:tc>
        <w:tc>
          <w:tcPr>
            <w:tcW w:w="1120" w:type="dxa"/>
            <w:vAlign w:val="bottom"/>
            <w:tcBorders>
              <w:top w:val="single" w:sz="8" w:color="0000EE"/>
            </w:tcBorders>
            <w:gridSpan w:val="6"/>
          </w:tcPr>
          <w:p>
            <w:pPr>
              <w:spacing w:after="0"/>
              <w:rPr>
                <w:sz w:val="17"/>
                <w:szCs w:val="17"/>
                <w:color w:val="auto"/>
              </w:rPr>
            </w:pPr>
          </w:p>
        </w:tc>
        <w:tc>
          <w:tcPr>
            <w:tcW w:w="1600" w:type="dxa"/>
            <w:vAlign w:val="bottom"/>
            <w:gridSpan w:val="2"/>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520" w:type="dxa"/>
            <w:vAlign w:val="bottom"/>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Item 3.</w:t>
              </w:r>
            </w:hyperlink>
          </w:p>
        </w:tc>
        <w:tc>
          <w:tcPr>
            <w:tcW w:w="7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Key Information</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Item 4.</w:t>
              </w:r>
            </w:hyperlink>
          </w:p>
        </w:tc>
        <w:tc>
          <w:tcPr>
            <w:tcW w:w="7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Information on the Company</w:t>
              </w:r>
            </w:hyperlink>
          </w:p>
        </w:tc>
        <w:tc>
          <w:tcPr>
            <w:tcW w:w="3500" w:type="dxa"/>
            <w:vAlign w:val="bottom"/>
            <w:gridSpan w:val="10"/>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60" w:type="dxa"/>
            <w:vAlign w:val="bottom"/>
          </w:tcPr>
          <w:p>
            <w:pPr>
              <w:spacing w:after="0"/>
              <w:rPr>
                <w:sz w:val="17"/>
                <w:szCs w:val="17"/>
                <w:color w:val="auto"/>
              </w:rPr>
            </w:pPr>
          </w:p>
        </w:tc>
        <w:tc>
          <w:tcPr>
            <w:tcW w:w="1220" w:type="dxa"/>
            <w:vAlign w:val="bottom"/>
            <w:gridSpan w:val="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4A.</w:t>
              </w:r>
            </w:hyperlink>
          </w:p>
        </w:tc>
        <w:tc>
          <w:tcPr>
            <w:tcW w:w="5740" w:type="dxa"/>
            <w:vAlign w:val="bottom"/>
            <w:gridSpan w:val="19"/>
          </w:tcPr>
          <w:p>
            <w:pPr>
              <w:ind w:left="14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Unresolved Staff Comments</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Item 5.</w:t>
              </w:r>
            </w:hyperlink>
          </w:p>
        </w:tc>
        <w:tc>
          <w:tcPr>
            <w:tcW w:w="80" w:type="dxa"/>
            <w:vAlign w:val="bottom"/>
            <w:gridSpan w:val="2"/>
          </w:tcPr>
          <w:p>
            <w:pPr>
              <w:spacing w:after="0"/>
              <w:rPr>
                <w:sz w:val="17"/>
                <w:szCs w:val="17"/>
                <w:color w:val="auto"/>
              </w:rPr>
            </w:pPr>
          </w:p>
        </w:tc>
        <w:tc>
          <w:tcPr>
            <w:tcW w:w="62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Operating and Financial Review and Prospects</w:t>
              </w:r>
            </w:hyperlink>
          </w:p>
        </w:tc>
        <w:tc>
          <w:tcPr>
            <w:tcW w:w="2220" w:type="dxa"/>
            <w:vAlign w:val="bottom"/>
            <w:gridSpan w:val="6"/>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360" w:type="dxa"/>
            <w:vAlign w:val="bottom"/>
          </w:tcPr>
          <w:p>
            <w:pPr>
              <w:spacing w:after="0"/>
              <w:rPr>
                <w:sz w:val="17"/>
                <w:szCs w:val="17"/>
                <w:color w:val="auto"/>
              </w:rPr>
            </w:pPr>
          </w:p>
        </w:tc>
        <w:tc>
          <w:tcPr>
            <w:tcW w:w="520" w:type="dxa"/>
            <w:vAlign w:val="bottom"/>
            <w:gridSpan w:val="3"/>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Item 6.</w:t>
              </w:r>
            </w:hyperlink>
          </w:p>
        </w:tc>
        <w:tc>
          <w:tcPr>
            <w:tcW w:w="7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5600" w:type="dxa"/>
            <w:vAlign w:val="bottom"/>
            <w:gridSpan w:val="1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Directors, Senior Management and Employees</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Item 7.</w:t>
              </w:r>
            </w:hyperlink>
          </w:p>
        </w:tc>
        <w:tc>
          <w:tcPr>
            <w:tcW w:w="7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Major Shareholders and Related Party Transactions</w:t>
              </w:r>
            </w:hyperlink>
          </w:p>
        </w:tc>
        <w:tc>
          <w:tcPr>
            <w:tcW w:w="1880" w:type="dxa"/>
            <w:vAlign w:val="bottom"/>
            <w:gridSpan w:val="4"/>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360" w:type="dxa"/>
            <w:vAlign w:val="bottom"/>
          </w:tcPr>
          <w:p>
            <w:pPr>
              <w:spacing w:after="0"/>
              <w:rPr>
                <w:sz w:val="17"/>
                <w:szCs w:val="17"/>
                <w:color w:val="auto"/>
              </w:rPr>
            </w:pPr>
          </w:p>
        </w:tc>
        <w:tc>
          <w:tcPr>
            <w:tcW w:w="5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Item 8.</w:t>
              </w:r>
            </w:hyperlink>
          </w:p>
        </w:tc>
        <w:tc>
          <w:tcPr>
            <w:tcW w:w="7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Financial Information</w:t>
              </w:r>
            </w:hyperlink>
          </w:p>
        </w:tc>
        <w:tc>
          <w:tcPr>
            <w:tcW w:w="4000" w:type="dxa"/>
            <w:vAlign w:val="bottom"/>
            <w:gridSpan w:val="14"/>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360" w:type="dxa"/>
            <w:vAlign w:val="bottom"/>
          </w:tcPr>
          <w:p>
            <w:pPr>
              <w:spacing w:after="0"/>
              <w:rPr>
                <w:sz w:val="17"/>
                <w:szCs w:val="17"/>
                <w:color w:val="auto"/>
              </w:rPr>
            </w:pPr>
          </w:p>
        </w:tc>
        <w:tc>
          <w:tcPr>
            <w:tcW w:w="52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Item 9.</w:t>
              </w:r>
            </w:hyperlink>
          </w:p>
        </w:tc>
        <w:tc>
          <w:tcPr>
            <w:tcW w:w="70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The Offer and Listing</w:t>
              </w:r>
            </w:hyperlink>
          </w:p>
        </w:tc>
        <w:tc>
          <w:tcPr>
            <w:tcW w:w="4020" w:type="dxa"/>
            <w:vAlign w:val="bottom"/>
            <w:gridSpan w:val="15"/>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360" w:type="dxa"/>
            <w:vAlign w:val="bottom"/>
          </w:tcPr>
          <w:p>
            <w:pPr>
              <w:spacing w:after="0"/>
              <w:rPr>
                <w:sz w:val="17"/>
                <w:szCs w:val="17"/>
                <w:color w:val="auto"/>
              </w:rPr>
            </w:pPr>
          </w:p>
        </w:tc>
        <w:tc>
          <w:tcPr>
            <w:tcW w:w="1220" w:type="dxa"/>
            <w:vAlign w:val="bottom"/>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10.</w:t>
              </w:r>
            </w:hyperlink>
          </w:p>
        </w:tc>
        <w:tc>
          <w:tcPr>
            <w:tcW w:w="5740" w:type="dxa"/>
            <w:vAlign w:val="bottom"/>
            <w:gridSpan w:val="19"/>
          </w:tcPr>
          <w:p>
            <w:pPr>
              <w:ind w:left="14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Additional Information</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220" w:type="dxa"/>
            <w:vAlign w:val="bottom"/>
            <w:gridSpan w:val="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11.</w:t>
              </w:r>
            </w:hyperlink>
          </w:p>
        </w:tc>
        <w:tc>
          <w:tcPr>
            <w:tcW w:w="5740" w:type="dxa"/>
            <w:vAlign w:val="bottom"/>
            <w:gridSpan w:val="19"/>
          </w:tcPr>
          <w:p>
            <w:pPr>
              <w:ind w:left="14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220" w:type="dxa"/>
            <w:vAlign w:val="bottom"/>
            <w:gridSpan w:val="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12.</w:t>
              </w:r>
            </w:hyperlink>
          </w:p>
        </w:tc>
        <w:tc>
          <w:tcPr>
            <w:tcW w:w="5740" w:type="dxa"/>
            <w:vAlign w:val="bottom"/>
            <w:gridSpan w:val="19"/>
          </w:tcPr>
          <w:p>
            <w:pPr>
              <w:ind w:left="14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Description of Securities Other than Equity Securities</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12"/>
        </w:trPr>
        <w:tc>
          <w:tcPr>
            <w:tcW w:w="1580" w:type="dxa"/>
            <w:vAlign w:val="bottom"/>
            <w:gridSpan w:val="10"/>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w:t>
              </w:r>
            </w:hyperlink>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1220" w:type="dxa"/>
            <w:vAlign w:val="bottom"/>
            <w:gridSpan w:val="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13.</w:t>
              </w:r>
            </w:hyperlink>
          </w:p>
        </w:tc>
        <w:tc>
          <w:tcPr>
            <w:tcW w:w="5740" w:type="dxa"/>
            <w:vAlign w:val="bottom"/>
            <w:gridSpan w:val="19"/>
          </w:tcPr>
          <w:p>
            <w:pPr>
              <w:ind w:left="140"/>
              <w:spacing w:after="0"/>
              <w:rPr>
                <w:rFonts w:ascii="Arial" w:cs="Arial" w:eastAsia="Arial" w:hAnsi="Arial"/>
                <w:sz w:val="18"/>
                <w:szCs w:val="18"/>
                <w:color w:val="0000EE"/>
              </w:rPr>
            </w:pPr>
            <w:hyperlink w:anchor="page78">
              <w:r>
                <w:rPr>
                  <w:rFonts w:ascii="Arial" w:cs="Arial" w:eastAsia="Arial" w:hAnsi="Arial"/>
                  <w:sz w:val="18"/>
                  <w:szCs w:val="18"/>
                  <w:color w:val="0000EE"/>
                </w:rPr>
                <w:t>Defaults, Dividend Arrearages and Delinquencies</w:t>
              </w:r>
            </w:hyperlink>
          </w:p>
        </w:tc>
        <w:tc>
          <w:tcPr>
            <w:tcW w:w="41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3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220" w:type="dxa"/>
            <w:vAlign w:val="bottom"/>
            <w:gridSpan w:val="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14.</w:t>
              </w:r>
            </w:hyperlink>
          </w:p>
        </w:tc>
        <w:tc>
          <w:tcPr>
            <w:tcW w:w="5740" w:type="dxa"/>
            <w:vAlign w:val="bottom"/>
            <w:gridSpan w:val="19"/>
          </w:tcPr>
          <w:p>
            <w:pPr>
              <w:ind w:left="140"/>
              <w:spacing w:after="0" w:line="196"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Material Modifications to the Rights of Security Holders and Use of Proceeds</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3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100" w:type="dxa"/>
            <w:vAlign w:val="bottom"/>
            <w:gridSpan w:val="9"/>
            <w:shd w:val="clear" w:color="auto" w:fill="0000EE"/>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15.</w:t>
              </w:r>
            </w:hyperlink>
          </w:p>
        </w:tc>
        <w:tc>
          <w:tcPr>
            <w:tcW w:w="5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Controls and Procedures</w:t>
              </w:r>
            </w:hyperlink>
          </w:p>
        </w:tc>
        <w:tc>
          <w:tcPr>
            <w:tcW w:w="3820" w:type="dxa"/>
            <w:vAlign w:val="bottom"/>
            <w:gridSpan w:val="12"/>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360" w:type="dxa"/>
            <w:vAlign w:val="bottom"/>
          </w:tcPr>
          <w:p>
            <w:pPr>
              <w:spacing w:after="0"/>
              <w:rPr>
                <w:sz w:val="17"/>
                <w:szCs w:val="17"/>
                <w:color w:val="auto"/>
              </w:rPr>
            </w:pPr>
          </w:p>
        </w:tc>
        <w:tc>
          <w:tcPr>
            <w:tcW w:w="7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79">
              <w:r>
                <w:rPr>
                  <w:rFonts w:ascii="Arial" w:cs="Arial" w:eastAsia="Arial" w:hAnsi="Arial"/>
                  <w:sz w:val="18"/>
                  <w:szCs w:val="18"/>
                  <w:color w:val="0000EE"/>
                  <w:w w:val="93"/>
                </w:rPr>
                <w:t>Item 16A.</w:t>
              </w:r>
            </w:hyperlink>
          </w:p>
        </w:tc>
        <w:tc>
          <w:tcPr>
            <w:tcW w:w="4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Audit Committee Financial Expert</w:t>
              </w:r>
            </w:hyperlink>
          </w:p>
        </w:tc>
        <w:tc>
          <w:tcPr>
            <w:tcW w:w="3100" w:type="dxa"/>
            <w:vAlign w:val="bottom"/>
            <w:gridSpan w:val="9"/>
          </w:tcPr>
          <w:p>
            <w:pPr>
              <w:spacing w:after="0"/>
              <w:rPr>
                <w:sz w:val="17"/>
                <w:szCs w:val="17"/>
                <w:color w:val="auto"/>
              </w:rPr>
            </w:pPr>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360" w:type="dxa"/>
            <w:vAlign w:val="bottom"/>
          </w:tcPr>
          <w:p>
            <w:pPr>
              <w:spacing w:after="0"/>
              <w:rPr>
                <w:sz w:val="17"/>
                <w:szCs w:val="17"/>
                <w:color w:val="auto"/>
              </w:rPr>
            </w:pPr>
          </w:p>
        </w:tc>
        <w:tc>
          <w:tcPr>
            <w:tcW w:w="1220" w:type="dxa"/>
            <w:vAlign w:val="bottom"/>
            <w:gridSpan w:val="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16B.</w:t>
              </w:r>
            </w:hyperlink>
          </w:p>
        </w:tc>
        <w:tc>
          <w:tcPr>
            <w:tcW w:w="5740" w:type="dxa"/>
            <w:vAlign w:val="bottom"/>
            <w:gridSpan w:val="19"/>
          </w:tcPr>
          <w:p>
            <w:pPr>
              <w:ind w:left="14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Code of Ethics</w:t>
              </w:r>
            </w:hyperlink>
          </w:p>
        </w:tc>
        <w:tc>
          <w:tcPr>
            <w:tcW w:w="41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740" w:type="dxa"/>
            <w:vAlign w:val="bottom"/>
            <w:gridSpan w:val="4"/>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Item 16C.</w:t>
              </w:r>
            </w:hyperlink>
          </w:p>
        </w:tc>
        <w:tc>
          <w:tcPr>
            <w:tcW w:w="7860" w:type="dxa"/>
            <w:vAlign w:val="bottom"/>
            <w:gridSpan w:val="9"/>
          </w:tcPr>
          <w:p>
            <w:pPr>
              <w:ind w:left="620"/>
              <w:spacing w:after="0"/>
              <w:rPr>
                <w:rFonts w:ascii="Arial" w:cs="Arial" w:eastAsia="Arial" w:hAnsi="Arial"/>
                <w:sz w:val="18"/>
                <w:szCs w:val="18"/>
                <w:color w:val="0000EE"/>
              </w:rPr>
            </w:pPr>
            <w:hyperlink w:anchor="page79">
              <w:r>
                <w:rPr>
                  <w:rFonts w:ascii="Arial" w:cs="Arial" w:eastAsia="Arial" w:hAnsi="Arial"/>
                  <w:sz w:val="18"/>
                  <w:szCs w:val="18"/>
                  <w:color w:val="0000EE"/>
                </w:rPr>
                <w:t>Principal Accountant Fees and Services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Item 16D.</w:t>
              </w:r>
            </w:hyperlink>
          </w:p>
        </w:tc>
        <w:tc>
          <w:tcPr>
            <w:tcW w:w="620" w:type="dxa"/>
            <w:vAlign w:val="bottom"/>
          </w:tcPr>
          <w:p>
            <w:pPr>
              <w:spacing w:after="0"/>
              <w:rPr>
                <w:sz w:val="17"/>
                <w:szCs w:val="17"/>
                <w:color w:val="auto"/>
              </w:rPr>
            </w:pPr>
          </w:p>
        </w:tc>
        <w:tc>
          <w:tcPr>
            <w:tcW w:w="44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Exemptions from the Listing Standards for Audit Committees</w:t>
              </w:r>
            </w:hyperlink>
          </w:p>
        </w:tc>
        <w:tc>
          <w:tcPr>
            <w:tcW w:w="2780" w:type="dxa"/>
            <w:vAlign w:val="bottom"/>
            <w:gridSpan w:val="2"/>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36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Item 16E.</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Purchases of Equity Securities by the Issuer and Affiliated Purchasers</w:t>
              </w:r>
            </w:hyperlink>
          </w:p>
        </w:tc>
        <w:tc>
          <w:tcPr>
            <w:tcW w:w="2200" w:type="dxa"/>
            <w:vAlign w:val="bottom"/>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360" w:type="dxa"/>
            <w:vAlign w:val="bottom"/>
          </w:tcPr>
          <w:p>
            <w:pPr>
              <w:spacing w:after="0"/>
              <w:rPr>
                <w:sz w:val="17"/>
                <w:szCs w:val="17"/>
                <w:color w:val="auto"/>
              </w:rPr>
            </w:pPr>
          </w:p>
        </w:tc>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Item 16F.</w:t>
              </w:r>
            </w:hyperlink>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Change in Registrants’ Certifying Accountant</w:t>
              </w:r>
            </w:hyperlink>
          </w:p>
        </w:tc>
        <w:tc>
          <w:tcPr>
            <w:tcW w:w="3920" w:type="dxa"/>
            <w:vAlign w:val="bottom"/>
            <w:gridSpan w:val="3"/>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360" w:type="dxa"/>
            <w:vAlign w:val="bottom"/>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Item 16G.</w:t>
              </w:r>
            </w:hyperlink>
          </w:p>
        </w:tc>
        <w:tc>
          <w:tcPr>
            <w:tcW w:w="620" w:type="dxa"/>
            <w:vAlign w:val="bottom"/>
          </w:tcPr>
          <w:p>
            <w:pPr>
              <w:spacing w:after="0"/>
              <w:rPr>
                <w:sz w:val="17"/>
                <w:szCs w:val="17"/>
                <w:color w:val="auto"/>
              </w:rPr>
            </w:pPr>
          </w:p>
        </w:tc>
        <w:tc>
          <w:tcPr>
            <w:tcW w:w="17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Corporate Governance</w:t>
              </w:r>
            </w:hyperlink>
          </w:p>
        </w:tc>
        <w:tc>
          <w:tcPr>
            <w:tcW w:w="5540" w:type="dxa"/>
            <w:vAlign w:val="bottom"/>
            <w:gridSpan w:val="5"/>
          </w:tcPr>
          <w:p>
            <w:pPr>
              <w:spacing w:after="0"/>
              <w:rPr>
                <w:sz w:val="17"/>
                <w:szCs w:val="17"/>
                <w:color w:val="auto"/>
              </w:rPr>
            </w:pPr>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360" w:type="dxa"/>
            <w:vAlign w:val="bottom"/>
          </w:tcPr>
          <w:p>
            <w:pPr>
              <w:spacing w:after="0"/>
              <w:rPr>
                <w:sz w:val="17"/>
                <w:szCs w:val="17"/>
                <w:color w:val="auto"/>
              </w:rPr>
            </w:pPr>
          </w:p>
        </w:tc>
        <w:tc>
          <w:tcPr>
            <w:tcW w:w="740" w:type="dxa"/>
            <w:vAlign w:val="bottom"/>
            <w:gridSpan w:val="4"/>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Item 16H.</w:t>
              </w:r>
            </w:hyperlink>
          </w:p>
        </w:tc>
        <w:tc>
          <w:tcPr>
            <w:tcW w:w="620" w:type="dxa"/>
            <w:vAlign w:val="bottom"/>
          </w:tcPr>
          <w:p>
            <w:pPr>
              <w:spacing w:after="0"/>
              <w:rPr>
                <w:sz w:val="17"/>
                <w:szCs w:val="17"/>
                <w:color w:val="auto"/>
              </w:rPr>
            </w:pPr>
          </w:p>
        </w:tc>
        <w:tc>
          <w:tcPr>
            <w:tcW w:w="7240" w:type="dxa"/>
            <w:vAlign w:val="bottom"/>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Mine Safety Disclosure</w:t>
              </w:r>
            </w:hyperlink>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3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PART III</w:t>
              </w:r>
            </w:hyperlink>
          </w:p>
        </w:tc>
        <w:tc>
          <w:tcPr>
            <w:tcW w:w="36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12"/>
        </w:trPr>
        <w:tc>
          <w:tcPr>
            <w:tcW w:w="360" w:type="dxa"/>
            <w:vAlign w:val="bottom"/>
          </w:tcPr>
          <w:p>
            <w:pPr>
              <w:spacing w:after="0"/>
              <w:rPr>
                <w:sz w:val="24"/>
                <w:szCs w:val="24"/>
                <w:color w:val="auto"/>
              </w:rPr>
            </w:pPr>
          </w:p>
        </w:tc>
        <w:tc>
          <w:tcPr>
            <w:tcW w:w="740" w:type="dxa"/>
            <w:vAlign w:val="bottom"/>
            <w:gridSpan w:val="4"/>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Item 17.</w:t>
              </w:r>
            </w:hyperlink>
          </w:p>
        </w:tc>
        <w:tc>
          <w:tcPr>
            <w:tcW w:w="7860" w:type="dxa"/>
            <w:vAlign w:val="bottom"/>
            <w:gridSpan w:val="9"/>
          </w:tcPr>
          <w:p>
            <w:pPr>
              <w:ind w:left="620"/>
              <w:spacing w:after="0"/>
              <w:rPr>
                <w:rFonts w:ascii="Arial" w:cs="Arial" w:eastAsia="Arial" w:hAnsi="Arial"/>
                <w:sz w:val="18"/>
                <w:szCs w:val="18"/>
                <w:color w:val="0000EE"/>
              </w:rPr>
            </w:pPr>
            <w:hyperlink w:anchor="page80">
              <w:r>
                <w:rPr>
                  <w:rFonts w:ascii="Arial" w:cs="Arial" w:eastAsia="Arial" w:hAnsi="Arial"/>
                  <w:sz w:val="18"/>
                  <w:szCs w:val="18"/>
                  <w:color w:val="0000EE"/>
                </w:rPr>
                <w:t>Financial Statements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40" w:type="dxa"/>
            <w:vAlign w:val="bottom"/>
            <w:gridSpan w:val="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18.</w:t>
              </w:r>
            </w:hyperlink>
          </w:p>
        </w:tc>
        <w:tc>
          <w:tcPr>
            <w:tcW w:w="7860" w:type="dxa"/>
            <w:vAlign w:val="bottom"/>
            <w:gridSpan w:val="9"/>
          </w:tcPr>
          <w:p>
            <w:pPr>
              <w:ind w:left="62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Financial Statements</w:t>
              </w:r>
            </w:hyperlink>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20"/>
        </w:trPr>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40" w:type="dxa"/>
            <w:vAlign w:val="bottom"/>
            <w:gridSpan w:val="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19.</w:t>
              </w:r>
            </w:hyperlink>
          </w:p>
        </w:tc>
        <w:tc>
          <w:tcPr>
            <w:tcW w:w="7860" w:type="dxa"/>
            <w:vAlign w:val="bottom"/>
            <w:gridSpan w:val="9"/>
          </w:tcPr>
          <w:p>
            <w:pPr>
              <w:ind w:left="62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25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453"/>
        </w:trPr>
        <w:tc>
          <w:tcPr>
            <w:tcW w:w="36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860" w:type="dxa"/>
            <w:vAlign w:val="bottom"/>
            <w:gridSpan w:val="5"/>
          </w:tcPr>
          <w:p>
            <w:pPr>
              <w:jc w:val="right"/>
              <w:ind w:right="42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32"/>
        </w:trPr>
        <w:tc>
          <w:tcPr>
            <w:tcW w:w="3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25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This annual report on Form 20-F includes our audited consolidated financial statements as of December 31, 2014 and 2015 and for the years ended December 31, 2013, 2014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w:t>
      </w:r>
    </w:p>
    <w:p>
      <w:pPr>
        <w:spacing w:after="0" w:line="154" w:lineRule="exact"/>
        <w:rPr>
          <w:sz w:val="20"/>
          <w:szCs w:val="20"/>
          <w:color w:val="auto"/>
        </w:rPr>
      </w:pPr>
    </w:p>
    <w:p>
      <w:pPr>
        <w:ind w:left="1020" w:right="100" w:hanging="502"/>
        <w:spacing w:after="0" w:line="264" w:lineRule="auto"/>
        <w:tabs>
          <w:tab w:leader="none" w:pos="9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the online game market will not continue to grow or that we will not be able to maintain our leading position in that market, which could occur if, for example, our new online games or expansion packs and other improvements to our existing games do not become as popular as management anticipates;</w:t>
      </w:r>
    </w:p>
    <w:p>
      <w:pPr>
        <w:spacing w:after="0" w:line="181" w:lineRule="exact"/>
        <w:rPr>
          <w:rFonts w:ascii="Arial" w:cs="Arial" w:eastAsia="Arial" w:hAnsi="Arial"/>
          <w:sz w:val="18"/>
          <w:szCs w:val="18"/>
          <w:color w:val="auto"/>
        </w:rPr>
      </w:pPr>
    </w:p>
    <w:p>
      <w:pPr>
        <w:ind w:left="1020" w:right="560" w:hanging="502"/>
        <w:spacing w:after="0" w:line="308" w:lineRule="auto"/>
        <w:tabs>
          <w:tab w:leader="none" w:pos="98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 that we will not be successful in our product diversification efforts, including our focus on item- and fee-based games and mobile games, entry into strategic licensing arrangements, and expansion of our mobile Internet and e-commerce offerings;</w:t>
      </w:r>
    </w:p>
    <w:p>
      <w:pPr>
        <w:spacing w:after="0" w:line="146" w:lineRule="exact"/>
        <w:rPr>
          <w:rFonts w:ascii="Arial" w:cs="Arial" w:eastAsia="Arial" w:hAnsi="Arial"/>
          <w:sz w:val="17"/>
          <w:szCs w:val="17"/>
          <w:color w:val="auto"/>
        </w:rPr>
      </w:pPr>
    </w:p>
    <w:p>
      <w:pPr>
        <w:ind w:left="1020" w:right="400" w:hanging="502"/>
        <w:spacing w:after="0" w:line="277" w:lineRule="auto"/>
        <w:tabs>
          <w:tab w:leader="none" w:pos="9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changes in Chinese government regulation of the online game or e-commerce markets that limit future growth of our revenues or causes revenues to decline;</w:t>
      </w:r>
    </w:p>
    <w:p>
      <w:pPr>
        <w:spacing w:after="0" w:line="170" w:lineRule="exact"/>
        <w:rPr>
          <w:rFonts w:ascii="Arial" w:cs="Arial" w:eastAsia="Arial" w:hAnsi="Arial"/>
          <w:sz w:val="18"/>
          <w:szCs w:val="18"/>
          <w:color w:val="auto"/>
        </w:rPr>
      </w:pPr>
    </w:p>
    <w:p>
      <w:pPr>
        <w:ind w:left="1020" w:right="80" w:hanging="502"/>
        <w:spacing w:after="0" w:line="277" w:lineRule="auto"/>
        <w:tabs>
          <w:tab w:leader="none" w:pos="9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may not be able to continuously develop new and creative online services or that we will not be able to set, or follow in a timely manner, trends in the market;</w:t>
      </w:r>
    </w:p>
    <w:p>
      <w:pPr>
        <w:spacing w:after="0" w:line="170" w:lineRule="exact"/>
        <w:rPr>
          <w:rFonts w:ascii="Arial" w:cs="Arial" w:eastAsia="Arial" w:hAnsi="Arial"/>
          <w:sz w:val="18"/>
          <w:szCs w:val="18"/>
          <w:color w:val="auto"/>
        </w:rPr>
      </w:pPr>
    </w:p>
    <w:p>
      <w:pPr>
        <w:ind w:left="1020" w:right="260" w:hanging="502"/>
        <w:spacing w:after="0" w:line="264" w:lineRule="auto"/>
        <w:tabs>
          <w:tab w:leader="none" w:pos="9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the Internet advertising market in China will not continue to grow and will remain subject to intense competition and the risk that investments by us in our content and services may not increase the appeal of our websites among Internet users or result in increased advertising revenues;</w:t>
      </w:r>
    </w:p>
    <w:p>
      <w:pPr>
        <w:spacing w:after="0" w:line="181" w:lineRule="exact"/>
        <w:rPr>
          <w:rFonts w:ascii="Arial" w:cs="Arial" w:eastAsia="Arial" w:hAnsi="Arial"/>
          <w:sz w:val="18"/>
          <w:szCs w:val="18"/>
          <w:color w:val="auto"/>
        </w:rPr>
      </w:pPr>
    </w:p>
    <w:p>
      <w:pPr>
        <w:ind w:left="1000" w:hanging="48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will not be able to control our expenses in future periods;</w:t>
      </w:r>
    </w:p>
    <w:p>
      <w:pPr>
        <w:spacing w:after="0" w:line="225" w:lineRule="exact"/>
        <w:rPr>
          <w:rFonts w:ascii="Arial" w:cs="Arial" w:eastAsia="Arial" w:hAnsi="Arial"/>
          <w:sz w:val="18"/>
          <w:szCs w:val="18"/>
          <w:color w:val="auto"/>
        </w:rPr>
      </w:pPr>
    </w:p>
    <w:p>
      <w:pPr>
        <w:ind w:left="1020" w:right="460" w:hanging="502"/>
        <w:spacing w:after="0" w:line="342" w:lineRule="auto"/>
        <w:tabs>
          <w:tab w:leader="none" w:pos="987" w:val="left"/>
        </w:tabs>
        <w:numPr>
          <w:ilvl w:val="0"/>
          <w:numId w:val="5"/>
        </w:numPr>
        <w:rPr>
          <w:rFonts w:ascii="Arial" w:cs="Arial" w:eastAsia="Arial" w:hAnsi="Arial"/>
          <w:sz w:val="16"/>
          <w:szCs w:val="16"/>
          <w:color w:val="auto"/>
        </w:rPr>
      </w:pPr>
      <w:r>
        <w:rPr>
          <w:rFonts w:ascii="Arial" w:cs="Arial" w:eastAsia="Arial" w:hAnsi="Arial"/>
          <w:sz w:val="16"/>
          <w:szCs w:val="16"/>
          <w:color w:val="auto"/>
        </w:rPr>
        <w:t>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p>
      <w:pPr>
        <w:spacing w:after="0" w:line="123" w:lineRule="exact"/>
        <w:rPr>
          <w:rFonts w:ascii="Arial" w:cs="Arial" w:eastAsia="Arial" w:hAnsi="Arial"/>
          <w:sz w:val="16"/>
          <w:szCs w:val="16"/>
          <w:color w:val="auto"/>
        </w:rPr>
      </w:pPr>
    </w:p>
    <w:p>
      <w:pPr>
        <w:ind w:left="1020" w:right="200" w:hanging="502"/>
        <w:spacing w:after="0" w:line="277" w:lineRule="auto"/>
        <w:tabs>
          <w:tab w:leader="none" w:pos="9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fluctuations in the value of the Renminbi with respect to other currencies could adversely affect our business and financial results; and</w:t>
      </w:r>
    </w:p>
    <w:p>
      <w:pPr>
        <w:spacing w:after="0" w:line="170" w:lineRule="exact"/>
        <w:rPr>
          <w:rFonts w:ascii="Arial" w:cs="Arial" w:eastAsia="Arial" w:hAnsi="Arial"/>
          <w:sz w:val="18"/>
          <w:szCs w:val="18"/>
          <w:color w:val="auto"/>
        </w:rPr>
      </w:pPr>
    </w:p>
    <w:p>
      <w:pPr>
        <w:ind w:left="1000" w:hanging="482"/>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outlined in our filings with the Securities and Exchange Commission, or the SEC.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undertake any obligation to update this forward-looking information, except as required under applicable law.</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Key Information</w:t>
      </w:r>
    </w:p>
    <w:p>
      <w:pPr>
        <w:sectPr>
          <w:pgSz w:w="11900" w:h="16838" w:orient="portrait"/>
          <w:cols w:equalWidth="0" w:num="1">
            <w:col w:w="11460"/>
          </w:cols>
          <w:pgMar w:left="240" w:top="108" w:right="199" w:bottom="0" w:gutter="0" w:footer="0" w:header="0"/>
        </w:sectPr>
      </w:pPr>
    </w:p>
    <w:bookmarkStart w:id="3" w:name="page4"/>
    <w:bookmarkEnd w:id="3"/>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60" w:firstLine="506"/>
        <w:spacing w:after="0" w:line="255" w:lineRule="auto"/>
        <w:rPr>
          <w:sz w:val="20"/>
          <w:szCs w:val="20"/>
          <w:color w:val="auto"/>
        </w:rPr>
      </w:pPr>
      <w:r>
        <w:rPr>
          <w:rFonts w:ascii="Arial" w:cs="Arial" w:eastAsia="Arial" w:hAnsi="Arial"/>
          <w:sz w:val="18"/>
          <w:szCs w:val="18"/>
          <w:color w:val="auto"/>
        </w:rPr>
        <w:t>The following table presents the selected consolidated financial information for our business. You should read the following information in conjunction with Item 5 “Operating and Financial Review and Prospects” below. The following data for the years ended December 31, 2013, 2014 and 2015 and as of December 31, 2014 and 2015 have been derived from our audited consolidated financial statements for those years, which were prepared in accordance with accounting principles generally accepted in the United States, or U.S. GAAP, and should be read in conjunction with those statements, which are included in this annual report beginning on page F-1. The following data for the years ended December 31, 2011 and 2012 and as of December 31, 2011, 2012 and 2013 have been derived from our audited consolidated financial statements for those years, which were prepared in accordance with U.S. GAAP and are not included in this annual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1260" w:type="dxa"/>
            <w:vAlign w:val="bottom"/>
            <w:gridSpan w:val="2"/>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116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14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14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140" w:type="dxa"/>
            <w:vAlign w:val="bottom"/>
            <w:tcBorders>
              <w:top w:val="single" w:sz="8" w:color="auto"/>
            </w:tcBorders>
          </w:tcPr>
          <w:p>
            <w:pPr>
              <w:jc w:val="right"/>
              <w:ind w:right="311"/>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Borders>
              <w:top w:val="single" w:sz="8" w:color="auto"/>
            </w:tcBorders>
          </w:tcPr>
          <w:p>
            <w:pPr>
              <w:jc w:val="right"/>
              <w:ind w:right="331"/>
              <w:spacing w:after="0" w:line="119"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top w:val="single" w:sz="8" w:color="auto"/>
            </w:tcBorders>
          </w:tcPr>
          <w:p>
            <w:pPr>
              <w:jc w:val="right"/>
              <w:ind w:right="33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Borders>
              <w:top w:val="single" w:sz="8" w:color="auto"/>
            </w:tcBorders>
          </w:tcPr>
          <w:p>
            <w:pPr>
              <w:jc w:val="right"/>
              <w:ind w:right="331"/>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140" w:type="dxa"/>
            <w:vAlign w:val="bottom"/>
            <w:tcBorders>
              <w:top w:val="single" w:sz="8" w:color="auto"/>
            </w:tcBorders>
          </w:tcPr>
          <w:p>
            <w:pPr>
              <w:jc w:val="right"/>
              <w:ind w:right="311"/>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Borders>
              <w:top w:val="single" w:sz="8" w:color="auto"/>
            </w:tcBorders>
          </w:tcPr>
          <w:p>
            <w:pPr>
              <w:jc w:val="right"/>
              <w:ind w:right="91"/>
              <w:spacing w:after="0" w:line="119" w:lineRule="exact"/>
              <w:rPr>
                <w:sz w:val="20"/>
                <w:szCs w:val="20"/>
                <w:color w:val="auto"/>
              </w:rPr>
            </w:pPr>
            <w:r>
              <w:rPr>
                <w:rFonts w:ascii="Arial" w:cs="Arial" w:eastAsia="Arial" w:hAnsi="Arial"/>
                <w:sz w:val="13"/>
                <w:szCs w:val="13"/>
                <w:b w:val="1"/>
                <w:bCs w:val="1"/>
                <w:color w:val="auto"/>
              </w:rPr>
              <w:t>US$ (Note 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(in thousands, except per share/ADS data)</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Statement of Operations and</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Income Data:</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Online game services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6,448,607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7,200,585</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7,864,464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9,266,158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17,314,148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2,672,844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Advertising services (Note 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720,073</w:t>
            </w:r>
          </w:p>
        </w:tc>
        <w:tc>
          <w:tcPr>
            <w:tcW w:w="1160" w:type="dxa"/>
            <w:vAlign w:val="bottom"/>
          </w:tcPr>
          <w:p>
            <w:pPr>
              <w:jc w:val="right"/>
              <w:spacing w:after="0"/>
              <w:rPr>
                <w:sz w:val="20"/>
                <w:szCs w:val="20"/>
                <w:color w:val="auto"/>
              </w:rPr>
            </w:pPr>
            <w:r>
              <w:rPr>
                <w:rFonts w:ascii="Arial" w:cs="Arial" w:eastAsia="Arial" w:hAnsi="Arial"/>
                <w:sz w:val="18"/>
                <w:szCs w:val="18"/>
                <w:color w:val="auto"/>
              </w:rPr>
              <w:t>767,477</w:t>
            </w:r>
          </w:p>
        </w:tc>
        <w:tc>
          <w:tcPr>
            <w:tcW w:w="12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987,467</w:t>
            </w:r>
          </w:p>
        </w:tc>
        <w:tc>
          <w:tcPr>
            <w:tcW w:w="1160" w:type="dxa"/>
            <w:vAlign w:val="bottom"/>
          </w:tcPr>
          <w:p>
            <w:pPr>
              <w:jc w:val="right"/>
              <w:spacing w:after="0"/>
              <w:rPr>
                <w:sz w:val="20"/>
                <w:szCs w:val="20"/>
                <w:color w:val="auto"/>
              </w:rPr>
            </w:pPr>
            <w:r>
              <w:rPr>
                <w:rFonts w:ascii="Arial" w:cs="Arial" w:eastAsia="Arial" w:hAnsi="Arial"/>
                <w:sz w:val="18"/>
                <w:szCs w:val="18"/>
                <w:color w:val="auto"/>
              </w:rPr>
              <w:t>1,344,829</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1,789,377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276,232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E-mail, e-commerce and others (Note 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121,972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232,894</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344,244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1,101,847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3,699,370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net revenues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7,290,652</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8,200,956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9,196,175</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11,712,834</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22,802,895</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3,520,160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Cost of revenues (Note 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(2,372,288)</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(2,578,067)</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(2,478,516)</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(3,261,544)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(9,399,260)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(1,450,996)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4,918,364</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5,622,889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13,403,635</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2,069,164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(849,205)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(906,707)</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(1,093,612)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(1,894,998)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(2,958,229)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(456,672)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(280,227)</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(286,223)</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(349,832)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(467,669)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(1,014,395)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(465,490)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(718,315)</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(921,618)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(1,323,498)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(2,158,888)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(333,275)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(1,594,922)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(1,911,245)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(2,365,062)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(3,686,165)</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(6,131,512)</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(946,543)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3,323,442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3,711,644</w:t>
            </w:r>
          </w:p>
        </w:tc>
        <w:tc>
          <w:tcPr>
            <w:tcW w:w="1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4,352,597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4,765,125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7,272,123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1,122,621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 income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43,770</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37,255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258,053</w:t>
            </w:r>
          </w:p>
        </w:tc>
        <w:tc>
          <w:tcPr>
            <w:tcW w:w="1160" w:type="dxa"/>
            <w:vAlign w:val="bottom"/>
          </w:tcPr>
          <w:p>
            <w:pPr>
              <w:jc w:val="right"/>
              <w:spacing w:after="0"/>
              <w:rPr>
                <w:sz w:val="20"/>
                <w:szCs w:val="20"/>
                <w:color w:val="auto"/>
              </w:rPr>
            </w:pPr>
            <w:r>
              <w:rPr>
                <w:rFonts w:ascii="Arial" w:cs="Arial" w:eastAsia="Arial" w:hAnsi="Arial"/>
                <w:sz w:val="18"/>
                <w:szCs w:val="18"/>
                <w:color w:val="auto"/>
              </w:rPr>
              <w:t>423,634</w:t>
            </w:r>
          </w:p>
        </w:tc>
        <w:tc>
          <w:tcPr>
            <w:tcW w:w="12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506,181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601,502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596,930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(losses)/gains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(79,058)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(15,348)</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133,776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99,164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99,718</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95,136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82,438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45,138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tax</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3,615,729</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4,278,212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4,975,821</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5,458,440</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8,110,308</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(392,756)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(691,642)</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(530,603)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(662,735)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(1,273,408)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(196,579)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3,222,973</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3,586,570</w:t>
            </w:r>
          </w:p>
        </w:tc>
        <w:tc>
          <w:tcPr>
            <w:tcW w:w="120" w:type="dxa"/>
            <w:vAlign w:val="bottom"/>
          </w:tcPr>
          <w:p>
            <w:pPr>
              <w:spacing w:after="0"/>
              <w:rPr>
                <w:sz w:val="20"/>
                <w:szCs w:val="20"/>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4,445,218</w:t>
            </w:r>
          </w:p>
        </w:tc>
        <w:tc>
          <w:tcPr>
            <w:tcW w:w="1160" w:type="dxa"/>
            <w:vAlign w:val="bottom"/>
          </w:tcPr>
          <w:p>
            <w:pPr>
              <w:jc w:val="right"/>
              <w:spacing w:after="0"/>
              <w:rPr>
                <w:sz w:val="20"/>
                <w:szCs w:val="20"/>
                <w:color w:val="auto"/>
              </w:rPr>
            </w:pPr>
            <w:r>
              <w:rPr>
                <w:rFonts w:ascii="Arial" w:cs="Arial" w:eastAsia="Arial" w:hAnsi="Arial"/>
                <w:sz w:val="18"/>
                <w:szCs w:val="18"/>
                <w:color w:val="auto"/>
              </w:rPr>
              <w:t>4,795,705</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6,836,900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1,055,435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2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Add: Net loss (income) attributable to</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 and mezzanine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classified noncontrolling interests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(39,082)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(101,792)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w w:val="99"/>
              </w:rPr>
              <w:t>Net income attributable to NetEase, Inc.’s</w:t>
            </w: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vMerge w:val="continue"/>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3,234,264</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3,637,452</w:t>
            </w:r>
          </w:p>
        </w:tc>
        <w:tc>
          <w:tcPr>
            <w:tcW w:w="12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4,443,910</w:t>
            </w:r>
          </w:p>
        </w:tc>
        <w:tc>
          <w:tcPr>
            <w:tcW w:w="22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4,756,623</w:t>
            </w:r>
          </w:p>
        </w:tc>
        <w:tc>
          <w:tcPr>
            <w:tcW w:w="2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6,735,108</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1,039,721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shareholders</w:t>
            </w: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3,222,973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3,586,570</w:t>
            </w:r>
          </w:p>
        </w:tc>
        <w:tc>
          <w:tcPr>
            <w:tcW w:w="120" w:type="dxa"/>
            <w:vAlign w:val="bottom"/>
          </w:tcPr>
          <w:p>
            <w:pPr>
              <w:spacing w:after="0"/>
              <w:rPr>
                <w:sz w:val="18"/>
                <w:szCs w:val="18"/>
                <w:color w:val="auto"/>
              </w:rPr>
            </w:pPr>
          </w:p>
        </w:tc>
        <w:tc>
          <w:tcPr>
            <w:tcW w:w="1480" w:type="dxa"/>
            <w:vAlign w:val="bottom"/>
            <w:gridSpan w:val="3"/>
          </w:tcPr>
          <w:p>
            <w:pPr>
              <w:jc w:val="right"/>
              <w:ind w:right="220"/>
              <w:spacing w:after="0"/>
              <w:rPr>
                <w:sz w:val="20"/>
                <w:szCs w:val="20"/>
                <w:color w:val="auto"/>
              </w:rPr>
            </w:pPr>
            <w:r>
              <w:rPr>
                <w:rFonts w:ascii="Arial" w:cs="Arial" w:eastAsia="Arial" w:hAnsi="Arial"/>
                <w:sz w:val="18"/>
                <w:szCs w:val="18"/>
                <w:color w:val="auto"/>
              </w:rPr>
              <w:t>4,445,218</w:t>
            </w:r>
          </w:p>
        </w:tc>
        <w:tc>
          <w:tcPr>
            <w:tcW w:w="1160" w:type="dxa"/>
            <w:vAlign w:val="bottom"/>
          </w:tcPr>
          <w:p>
            <w:pPr>
              <w:jc w:val="right"/>
              <w:spacing w:after="0"/>
              <w:rPr>
                <w:sz w:val="20"/>
                <w:szCs w:val="20"/>
                <w:color w:val="auto"/>
              </w:rPr>
            </w:pPr>
            <w:r>
              <w:rPr>
                <w:rFonts w:ascii="Arial" w:cs="Arial" w:eastAsia="Arial" w:hAnsi="Arial"/>
                <w:sz w:val="18"/>
                <w:szCs w:val="18"/>
                <w:color w:val="auto"/>
              </w:rPr>
              <w:t>4,795,705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6,836,900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1,055,435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Other comprehensive income: Unrealized</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gains on available-for-sale securities,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comprehensive 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3,222,973</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3,586,570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4,445,218</w:t>
            </w:r>
          </w:p>
        </w:tc>
        <w:tc>
          <w:tcPr>
            <w:tcW w:w="2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4,795,705</w:t>
            </w:r>
          </w:p>
        </w:tc>
        <w:tc>
          <w:tcPr>
            <w:tcW w:w="2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6,864,352</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1,059,673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Add: Comprehensive loss (income)</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attributable to noncontrolling interests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and mezzanine classified noncontrolling</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(39,082)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(101,792)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Comprehensive income attributable to</w:t>
            </w: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vMerge w:val="continue"/>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3,234,264</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3,637,452</w:t>
            </w:r>
          </w:p>
        </w:tc>
        <w:tc>
          <w:tcPr>
            <w:tcW w:w="12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4,443,910</w:t>
            </w:r>
          </w:p>
        </w:tc>
        <w:tc>
          <w:tcPr>
            <w:tcW w:w="220" w:type="dxa"/>
            <w:vAlign w:val="bottom"/>
            <w:vMerge w:val="restart"/>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4,756,623</w:t>
            </w:r>
          </w:p>
        </w:tc>
        <w:tc>
          <w:tcPr>
            <w:tcW w:w="200" w:type="dxa"/>
            <w:vAlign w:val="bottom"/>
          </w:tcPr>
          <w:p>
            <w:pPr>
              <w:spacing w:after="0"/>
              <w:rPr>
                <w:sz w:val="15"/>
                <w:szCs w:val="15"/>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6,762,560</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1,043,959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NetEase, Inc.’s shareholders</w:t>
            </w: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Cash dividend per share</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Net income attributable to NetEase, Inc.’s</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0.99</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7"/>
                <w:szCs w:val="17"/>
                <w:color w:val="auto"/>
              </w:rPr>
            </w:pPr>
          </w:p>
        </w:tc>
        <w:tc>
          <w:tcPr>
            <w:tcW w:w="148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1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per share, basic</w:t>
            </w:r>
          </w:p>
        </w:tc>
        <w:tc>
          <w:tcPr>
            <w:tcW w:w="1360" w:type="dxa"/>
            <w:vAlign w:val="bottom"/>
            <w:gridSpan w:val="2"/>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3"/>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w w:val="99"/>
              </w:rPr>
              <w:t>Net income attributable to NetEase, Inc.’s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vMerge w:val="continue"/>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0.99</w:t>
            </w:r>
          </w:p>
        </w:tc>
        <w:tc>
          <w:tcPr>
            <w:tcW w:w="220" w:type="dxa"/>
            <w:vAlign w:val="bottom"/>
            <w:vMerge w:val="restart"/>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220" w:type="dxa"/>
            <w:vAlign w:val="bottom"/>
            <w:vMerge w:val="restart"/>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200" w:type="dxa"/>
            <w:vAlign w:val="bottom"/>
            <w:vMerge w:val="restart"/>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2.04</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shareholders per share, diluted</w:t>
            </w:r>
          </w:p>
        </w:tc>
        <w:tc>
          <w:tcPr>
            <w:tcW w:w="11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gridSpan w:val="2"/>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99"/>
              </w:rPr>
              <w:t>Net income attributable to NetEase, Inc.’s</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vMerge w:val="continue"/>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220" w:type="dxa"/>
            <w:vAlign w:val="bottom"/>
            <w:vMerge w:val="restart"/>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220" w:type="dxa"/>
            <w:vAlign w:val="bottom"/>
            <w:vMerge w:val="restart"/>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200" w:type="dxa"/>
            <w:vAlign w:val="bottom"/>
            <w:vMerge w:val="restart"/>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51.27</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shareholders per ADS, basic</w:t>
            </w:r>
          </w:p>
        </w:tc>
        <w:tc>
          <w:tcPr>
            <w:tcW w:w="11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w w:val="99"/>
              </w:rPr>
              <w:t>Net income attributable to NetEase, Inc.’s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vMerge w:val="continue"/>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24.68</w:t>
            </w:r>
          </w:p>
        </w:tc>
        <w:tc>
          <w:tcPr>
            <w:tcW w:w="220" w:type="dxa"/>
            <w:vAlign w:val="bottom"/>
            <w:vMerge w:val="restart"/>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27.65</w:t>
            </w:r>
          </w:p>
        </w:tc>
        <w:tc>
          <w:tcPr>
            <w:tcW w:w="12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34.12</w:t>
            </w:r>
          </w:p>
        </w:tc>
        <w:tc>
          <w:tcPr>
            <w:tcW w:w="220" w:type="dxa"/>
            <w:vAlign w:val="bottom"/>
            <w:vMerge w:val="restart"/>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36.29</w:t>
            </w:r>
          </w:p>
        </w:tc>
        <w:tc>
          <w:tcPr>
            <w:tcW w:w="200" w:type="dxa"/>
            <w:vAlign w:val="bottom"/>
            <w:vMerge w:val="restart"/>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50.94</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7.86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shareholders per ADS, diluted</w:t>
            </w:r>
          </w:p>
        </w:tc>
        <w:tc>
          <w:tcPr>
            <w:tcW w:w="11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gridSpan w:val="2"/>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Weighted average number of ordinary</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vMerge w:val="continue"/>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3,265,550</w:t>
            </w:r>
          </w:p>
        </w:tc>
        <w:tc>
          <w:tcPr>
            <w:tcW w:w="2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3,282,663</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3,247,874</w:t>
            </w:r>
          </w:p>
        </w:tc>
        <w:tc>
          <w:tcPr>
            <w:tcW w:w="220" w:type="dxa"/>
            <w:vAlign w:val="bottom"/>
            <w:vMerge w:val="restart"/>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3,264,450</w:t>
            </w:r>
          </w:p>
        </w:tc>
        <w:tc>
          <w:tcPr>
            <w:tcW w:w="2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3,284,382</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3,284,382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outstanding, basic</w:t>
            </w: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-4572635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-4572635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Weighted average number of ADS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130,622</w:t>
            </w:r>
          </w:p>
        </w:tc>
        <w:tc>
          <w:tcPr>
            <w:tcW w:w="1160" w:type="dxa"/>
            <w:vAlign w:val="bottom"/>
          </w:tcPr>
          <w:p>
            <w:pPr>
              <w:jc w:val="right"/>
              <w:spacing w:after="0"/>
              <w:rPr>
                <w:sz w:val="20"/>
                <w:szCs w:val="20"/>
                <w:color w:val="auto"/>
              </w:rPr>
            </w:pPr>
            <w:r>
              <w:rPr>
                <w:rFonts w:ascii="Arial" w:cs="Arial" w:eastAsia="Arial" w:hAnsi="Arial"/>
                <w:sz w:val="18"/>
                <w:szCs w:val="18"/>
                <w:color w:val="auto"/>
              </w:rPr>
              <w:t>131,307</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129,915</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130,578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131,375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outstanding, basic</w:t>
            </w:r>
          </w:p>
        </w:tc>
        <w:tc>
          <w:tcPr>
            <w:tcW w:w="11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ordinary</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3,276,704</w:t>
            </w:r>
          </w:p>
        </w:tc>
        <w:tc>
          <w:tcPr>
            <w:tcW w:w="2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3,288,330</w:t>
            </w:r>
          </w:p>
        </w:tc>
        <w:tc>
          <w:tcPr>
            <w:tcW w:w="2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3,256,297</w:t>
            </w:r>
          </w:p>
        </w:tc>
        <w:tc>
          <w:tcPr>
            <w:tcW w:w="3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3,277,049</w:t>
            </w:r>
          </w:p>
        </w:tc>
        <w:tc>
          <w:tcPr>
            <w:tcW w:w="2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3,305,213</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3,305,213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outstanding, diluted</w:t>
            </w:r>
          </w:p>
        </w:tc>
        <w:tc>
          <w:tcPr>
            <w:tcW w:w="1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Weighted average number of ADS</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gridSpan w:val="2"/>
            <w:vMerge w:val="continue"/>
          </w:tcPr>
          <w:p>
            <w:pPr>
              <w:spacing w:after="0"/>
              <w:rPr>
                <w:sz w:val="13"/>
                <w:szCs w:val="13"/>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131,068</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131,533</w:t>
            </w:r>
          </w:p>
        </w:tc>
        <w:tc>
          <w:tcPr>
            <w:tcW w:w="220" w:type="dxa"/>
            <w:vAlign w:val="bottom"/>
          </w:tcPr>
          <w:p>
            <w:pPr>
              <w:spacing w:after="0"/>
              <w:rPr>
                <w:sz w:val="13"/>
                <w:szCs w:val="13"/>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130,252</w:t>
            </w:r>
          </w:p>
        </w:tc>
        <w:tc>
          <w:tcPr>
            <w:tcW w:w="32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131,082</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132,209</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132,209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outstanding, diluted</w:t>
            </w:r>
          </w:p>
        </w:tc>
        <w:tc>
          <w:tcPr>
            <w:tcW w:w="1360" w:type="dxa"/>
            <w:vAlign w:val="bottom"/>
            <w:gridSpan w:val="2"/>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9"/>
              </w:rPr>
              <w:t>Share-based compensation cost included</w:t>
            </w: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57,318</w:t>
            </w:r>
          </w:p>
        </w:tc>
        <w:tc>
          <w:tcPr>
            <w:tcW w:w="1160" w:type="dxa"/>
            <w:vAlign w:val="bottom"/>
          </w:tcPr>
          <w:p>
            <w:pPr>
              <w:jc w:val="right"/>
              <w:spacing w:after="0"/>
              <w:rPr>
                <w:sz w:val="20"/>
                <w:szCs w:val="20"/>
                <w:color w:val="auto"/>
              </w:rPr>
            </w:pPr>
            <w:r>
              <w:rPr>
                <w:rFonts w:ascii="Arial" w:cs="Arial" w:eastAsia="Arial" w:hAnsi="Arial"/>
                <w:sz w:val="18"/>
                <w:szCs w:val="18"/>
                <w:color w:val="auto"/>
              </w:rPr>
              <w:t>100,540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165,708</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169,621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328,480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50,709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13,368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23,253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17,897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33,374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48,350</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51,475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120,925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35,460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55,736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74,283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104,928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199,039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206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122,032</w:t>
            </w:r>
          </w:p>
        </w:tc>
        <w:tc>
          <w:tcPr>
            <w:tcW w:w="22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203,018</w:t>
            </w:r>
          </w:p>
        </w:tc>
        <w:tc>
          <w:tcPr>
            <w:tcW w:w="22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306,308</w:t>
            </w: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349,277</w:t>
            </w:r>
          </w:p>
        </w:tc>
        <w:tc>
          <w:tcPr>
            <w:tcW w:w="2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684,467</w:t>
            </w:r>
          </w:p>
        </w:tc>
        <w:tc>
          <w:tcPr>
            <w:tcW w:w="2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105,664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410,120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178,654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218,936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537,376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866,314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Net cash provided by/(used in):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4,072,948</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4,224,290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5,235,890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5,873,023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8,076,920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80"/>
              <w:spacing w:after="0"/>
              <w:rPr>
                <w:sz w:val="20"/>
                <w:szCs w:val="20"/>
                <w:color w:val="auto"/>
              </w:rPr>
            </w:pPr>
            <w:r>
              <w:rPr>
                <w:rFonts w:ascii="Arial" w:cs="Arial" w:eastAsia="Arial" w:hAnsi="Arial"/>
                <w:sz w:val="18"/>
                <w:szCs w:val="18"/>
                <w:color w:val="auto"/>
              </w:rPr>
              <w:t>Investing activities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(3,208,233)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(4,454,038)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(5,453,279)</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(4,520,166)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(2,536,524)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(391,573)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73,544</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(390,230)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86,848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(778,442)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(1,632,736)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As of December 31,</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1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1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140" w:type="dxa"/>
            <w:vAlign w:val="bottom"/>
          </w:tcPr>
          <w:p>
            <w:pPr>
              <w:jc w:val="right"/>
              <w:ind w:right="3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Pr>
          <w:p>
            <w:pPr>
              <w:jc w:val="right"/>
              <w:ind w:right="33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60" w:type="dxa"/>
            <w:vAlign w:val="bottom"/>
          </w:tcPr>
          <w:p>
            <w:pPr>
              <w:jc w:val="right"/>
              <w:ind w:right="333"/>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tcPr>
          <w:p>
            <w:pPr>
              <w:jc w:val="right"/>
              <w:ind w:right="332"/>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140" w:type="dxa"/>
            <w:vAlign w:val="bottom"/>
          </w:tcPr>
          <w:p>
            <w:pPr>
              <w:jc w:val="right"/>
              <w:ind w:right="3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140" w:type="dxa"/>
            <w:vAlign w:val="bottom"/>
          </w:tcPr>
          <w:p>
            <w:pPr>
              <w:jc w:val="right"/>
              <w:ind w:right="352"/>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center"/>
              <w:ind w:left="693"/>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jc w:val="right"/>
              <w:spacing w:after="0"/>
              <w:rPr>
                <w:sz w:val="20"/>
                <w:szCs w:val="20"/>
                <w:color w:val="auto"/>
              </w:rPr>
            </w:pPr>
            <w:r>
              <w:rPr>
                <w:rFonts w:ascii="Arial" w:cs="Arial" w:eastAsia="Arial" w:hAnsi="Arial"/>
                <w:sz w:val="18"/>
                <w:szCs w:val="18"/>
                <w:color w:val="auto"/>
              </w:rPr>
              <w:t>2,214,618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1,590,769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1,458,298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2,021,453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6,071,487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9,704,777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13,098,661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16,625,468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18,496,574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14,593,291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Property, equipment and software, net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848,469</w:t>
            </w:r>
          </w:p>
        </w:tc>
        <w:tc>
          <w:tcPr>
            <w:tcW w:w="1160" w:type="dxa"/>
            <w:vAlign w:val="bottom"/>
          </w:tcPr>
          <w:p>
            <w:pPr>
              <w:jc w:val="right"/>
              <w:spacing w:after="0"/>
              <w:rPr>
                <w:sz w:val="20"/>
                <w:szCs w:val="20"/>
                <w:color w:val="auto"/>
              </w:rPr>
            </w:pPr>
            <w:r>
              <w:rPr>
                <w:rFonts w:ascii="Arial" w:cs="Arial" w:eastAsia="Arial" w:hAnsi="Arial"/>
                <w:sz w:val="18"/>
                <w:szCs w:val="18"/>
                <w:color w:val="auto"/>
              </w:rPr>
              <w:t>815,026</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872,113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1,281,225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2,092,046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322,956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15,444,931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19,277,956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24,546,330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30,354,671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41,157,430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6,353,612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2,282,577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3,576,502</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4,233,184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6,756,447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11,667,423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1,801,139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63,890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99,968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144,883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106,430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Working capital (Note 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12,191,609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14,292,171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18,564,579</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20,976,075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22,741,501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3,510,683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Mezzanine classified noncontrolling</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133,634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13,098,464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15,601,486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20,168,263</w:t>
            </w:r>
          </w:p>
        </w:tc>
        <w:tc>
          <w:tcPr>
            <w:tcW w:w="3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23,358,160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29,323,599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4,526,784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-2437765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-2437765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Note 1:</w:t>
      </w:r>
      <w:r>
        <w:rPr>
          <w:sz w:val="20"/>
          <w:szCs w:val="20"/>
          <w:color w:val="auto"/>
        </w:rPr>
        <w:tab/>
      </w:r>
      <w:r>
        <w:rPr>
          <w:rFonts w:ascii="Arial" w:cs="Arial" w:eastAsia="Arial" w:hAnsi="Arial"/>
          <w:sz w:val="16"/>
          <w:szCs w:val="16"/>
          <w:color w:val="auto"/>
        </w:rPr>
        <w:t>See the section titled “Exchange Rate Information” below.</w:t>
      </w:r>
    </w:p>
    <w:p>
      <w:pPr>
        <w:spacing w:after="0" w:line="23" w:lineRule="exact"/>
        <w:rPr>
          <w:sz w:val="20"/>
          <w:szCs w:val="20"/>
          <w:color w:val="auto"/>
        </w:rPr>
      </w:pPr>
    </w:p>
    <w:p>
      <w:pPr>
        <w:ind w:left="1240" w:right="220" w:hanging="1240"/>
        <w:spacing w:after="0" w:line="270" w:lineRule="auto"/>
        <w:tabs>
          <w:tab w:leader="none" w:pos="122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Beginning from January 1, 2015, we made a reclassification of certain revenue and cost of revenue items from our advertising services segment to our e-mail, e-commerce and others segment. The reclassification of these segments reflects changes in the way we evaluate business performance and manage operations. Accordingly, reclassifications have been made in the consolidated statements of operations and segment information for the year ended December 31, 2014 as set out below in order to conform to the presentation for the year ended December 31, 2015. There are no changes from the reclassification to our consolidated balance sheets, consolidated statements of shareholders’ equity and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Before</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Reclassification</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16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For the year ended December 31, 2014</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4"/>
              </w:rPr>
              <w:t>Net revenues:</w:t>
            </w:r>
          </w:p>
        </w:tc>
        <w:tc>
          <w:tcPr>
            <w:tcW w:w="17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Advertising service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1,397,069</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(52,240)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ind w:left="180"/>
              <w:spacing w:after="0"/>
              <w:rPr>
                <w:sz w:val="20"/>
                <w:szCs w:val="20"/>
                <w:color w:val="auto"/>
              </w:rPr>
            </w:pPr>
            <w:r>
              <w:rPr>
                <w:rFonts w:ascii="Arial" w:cs="Arial" w:eastAsia="Arial" w:hAnsi="Arial"/>
                <w:sz w:val="18"/>
                <w:szCs w:val="18"/>
                <w:color w:val="auto"/>
              </w:rPr>
              <w:t>E-mail, e-commerce and others</w:t>
            </w:r>
          </w:p>
        </w:tc>
        <w:tc>
          <w:tcPr>
            <w:tcW w:w="1380" w:type="dxa"/>
            <w:vAlign w:val="bottom"/>
          </w:tcPr>
          <w:p>
            <w:pPr>
              <w:jc w:val="right"/>
              <w:spacing w:after="0"/>
              <w:rPr>
                <w:sz w:val="20"/>
                <w:szCs w:val="20"/>
                <w:color w:val="auto"/>
              </w:rPr>
            </w:pPr>
            <w:r>
              <w:rPr>
                <w:rFonts w:ascii="Arial" w:cs="Arial" w:eastAsia="Arial" w:hAnsi="Arial"/>
                <w:sz w:val="18"/>
                <w:szCs w:val="18"/>
                <w:color w:val="auto"/>
              </w:rPr>
              <w:t>1,049,607</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52,240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1,101,847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ind w:left="160"/>
              <w:spacing w:after="0"/>
              <w:rPr>
                <w:sz w:val="20"/>
                <w:szCs w:val="20"/>
                <w:color w:val="auto"/>
              </w:rPr>
            </w:pPr>
            <w:r>
              <w:rPr>
                <w:rFonts w:ascii="Arial" w:cs="Arial" w:eastAsia="Arial" w:hAnsi="Arial"/>
                <w:sz w:val="18"/>
                <w:szCs w:val="18"/>
                <w:color w:val="auto"/>
              </w:rPr>
              <w:t>Advertising service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(528,665)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9,974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(518,691)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E-mail, e-commerce and others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(621,178)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1,296,833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Note 3:</w:t>
            </w:r>
          </w:p>
        </w:tc>
        <w:tc>
          <w:tcPr>
            <w:tcW w:w="5480" w:type="dxa"/>
            <w:vAlign w:val="bottom"/>
            <w:gridSpan w:val="3"/>
          </w:tcPr>
          <w:p>
            <w:pPr>
              <w:ind w:left="80"/>
              <w:spacing w:after="0"/>
              <w:rPr>
                <w:sz w:val="20"/>
                <w:szCs w:val="20"/>
                <w:color w:val="auto"/>
              </w:rPr>
            </w:pPr>
            <w:r>
              <w:rPr>
                <w:rFonts w:ascii="Arial" w:cs="Arial" w:eastAsia="Arial" w:hAnsi="Arial"/>
                <w:sz w:val="18"/>
                <w:szCs w:val="18"/>
                <w:color w:val="auto"/>
                <w:w w:val="91"/>
              </w:rPr>
              <w:t>Working capital represents total current assets less total current liabilities.</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5"/>
          </w:tcPr>
          <w:p>
            <w:pPr>
              <w:spacing w:after="0"/>
              <w:rPr>
                <w:sz w:val="20"/>
                <w:szCs w:val="20"/>
                <w:color w:val="auto"/>
              </w:rPr>
            </w:pPr>
            <w:r>
              <w:rPr>
                <w:rFonts w:ascii="Arial" w:cs="Arial" w:eastAsia="Arial" w:hAnsi="Arial"/>
                <w:sz w:val="18"/>
                <w:szCs w:val="18"/>
                <w:b w:val="1"/>
                <w:bCs w:val="1"/>
                <w:color w:val="auto"/>
              </w:rPr>
              <w:t>Exchange Rate Information</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We have published our financial statements in Renminbi, or RMB. Our business is currently conducted in and from China in Renminbi. In this annual report, all references to Renminbi and RMB are to the legal currency of China and all references to U.S. dollars, dollars, $ and US$ are to the legal currency of the United States. Translations in this annual report of amounts from RMB into U.S. dollars for the convenience of the reader were calculated at the noon buying rate of US$1.00: RMB6.4778 on the last trading day of 2015 (December 31, 2015) as set forth in the H.10 statistical release of the U.S. Federal Reserve Board. The prevailing rate on April 15, 2016 was US$1.00: RMB6.4730. We make no representation that any Renminbi or U.S. dollar amounts could have been, or could be, converted into U.S. dollars or Renminbi, as the case may be, at any particular rate, the rates stated above, or at all, on December 31, 2015 or on any other date. The Chinese government imposes control over its foreign currency reserves in part through direct regulation of the conversion of Renminbi into foreign exchange and through restrictions on foreign trade.</w:t>
      </w:r>
    </w:p>
    <w:p>
      <w:pPr>
        <w:sectPr>
          <w:pgSz w:w="11900" w:h="16838" w:orient="portrait"/>
          <w:cols w:equalWidth="0" w:num="1">
            <w:col w:w="11460"/>
          </w:cols>
          <w:pgMar w:left="240" w:top="125" w:right="199" w:bottom="0" w:gutter="0" w:footer="0" w:header="0"/>
        </w:sectPr>
      </w:pPr>
    </w:p>
    <w:bookmarkStart w:id="5" w:name="page6"/>
    <w:bookmarkEnd w:id="5"/>
    <w:p>
      <w:pPr>
        <w:ind w:left="660"/>
        <w:spacing w:after="0"/>
        <w:rPr>
          <w:sz w:val="20"/>
          <w:szCs w:val="20"/>
          <w:color w:val="auto"/>
        </w:rPr>
      </w:pPr>
      <w:r>
        <w:rPr>
          <w:rFonts w:ascii="Arial" w:cs="Arial" w:eastAsia="Arial" w:hAnsi="Arial"/>
          <w:sz w:val="16"/>
          <w:szCs w:val="16"/>
          <w:color w:val="auto"/>
        </w:rPr>
        <w:t>The following table sets forth the average buying rate for Renminbi expressed as per one U.S. dollar for the years 2011, 2012, 2013, 2014 and 2015.</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260" w:type="dxa"/>
            <w:vAlign w:val="bottom"/>
            <w:gridSpan w:val="2"/>
          </w:tcPr>
          <w:p>
            <w:pPr>
              <w:ind w:left="420"/>
              <w:spacing w:after="0"/>
              <w:rPr>
                <w:sz w:val="20"/>
                <w:szCs w:val="20"/>
                <w:color w:val="auto"/>
              </w:rPr>
            </w:pPr>
            <w:r>
              <w:rPr>
                <w:rFonts w:ascii="Arial" w:cs="Arial" w:eastAsia="Arial" w:hAnsi="Arial"/>
                <w:sz w:val="14"/>
                <w:szCs w:val="14"/>
                <w:b w:val="1"/>
                <w:bCs w:val="1"/>
                <w:color w:val="auto"/>
              </w:rPr>
              <w:t>Renminbi Average(1)</w:t>
            </w: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2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6.2990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6.1412</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8"/>
                <w:szCs w:val="18"/>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6.1704</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60" w:right="3860" w:hanging="5652"/>
        <w:spacing w:after="0" w:line="528" w:lineRule="auto"/>
        <w:tabs>
          <w:tab w:leader="none" w:pos="299"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Determined by averaging the rates on the last business day of each month during the relevant period.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high and low exchange rates for Renminbi expressed as per one U.S. dollar during the past six months.</w:t>
      </w:r>
    </w:p>
    <w:p>
      <w:pPr>
        <w:spacing w:after="0" w:line="228"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Month Ended</w:t>
            </w:r>
          </w:p>
        </w:tc>
        <w:tc>
          <w:tcPr>
            <w:tcW w:w="1640" w:type="dxa"/>
            <w:vAlign w:val="bottom"/>
            <w:gridSpan w:val="2"/>
          </w:tcPr>
          <w:p>
            <w:pPr>
              <w:ind w:left="520"/>
              <w:spacing w:after="0"/>
              <w:rPr>
                <w:sz w:val="20"/>
                <w:szCs w:val="20"/>
                <w:color w:val="auto"/>
              </w:rPr>
            </w:pPr>
            <w:r>
              <w:rPr>
                <w:rFonts w:ascii="Arial" w:cs="Arial" w:eastAsia="Arial" w:hAnsi="Arial"/>
                <w:sz w:val="14"/>
                <w:szCs w:val="14"/>
                <w:b w:val="1"/>
                <w:bCs w:val="1"/>
                <w:color w:val="auto"/>
              </w:rPr>
              <w:t>High</w:t>
            </w: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Low</w:t>
            </w:r>
          </w:p>
        </w:tc>
      </w:tr>
      <w:tr>
        <w:trPr>
          <w:trHeight w:val="210"/>
        </w:trPr>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31, 2015</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November 30, 2015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6.3180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6.3945</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6.3883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6.4896</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January 31, 2016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6.5219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6.5932</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28, 2016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6.5154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6.5795</w:t>
            </w: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March 31, 2016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6.4480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6.5500</w:t>
            </w:r>
          </w:p>
        </w:tc>
      </w:tr>
    </w:tbl>
    <w:p>
      <w:pPr>
        <w:spacing w:after="0" w:line="183" w:lineRule="exact"/>
        <w:rPr>
          <w:sz w:val="20"/>
          <w:szCs w:val="20"/>
          <w:color w:val="auto"/>
        </w:rPr>
      </w:pPr>
    </w:p>
    <w:p>
      <w:pPr>
        <w:ind w:left="520" w:right="8420" w:hanging="512"/>
        <w:spacing w:after="0" w:line="501" w:lineRule="auto"/>
        <w:tabs>
          <w:tab w:leader="none" w:pos="51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520" w:right="7660" w:hanging="512"/>
        <w:spacing w:after="0" w:line="501" w:lineRule="auto"/>
        <w:tabs>
          <w:tab w:leader="none" w:pos="52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225" w:lineRule="exact"/>
        <w:rPr>
          <w:sz w:val="20"/>
          <w:szCs w:val="20"/>
          <w:color w:val="auto"/>
        </w:rPr>
      </w:pPr>
    </w:p>
    <w:p>
      <w:pPr>
        <w:ind w:right="420"/>
        <w:spacing w:after="0" w:line="313" w:lineRule="auto"/>
        <w:rPr>
          <w:sz w:val="20"/>
          <w:szCs w:val="20"/>
          <w:color w:val="auto"/>
        </w:rPr>
      </w:pPr>
      <w:r>
        <w:rPr>
          <w:rFonts w:ascii="Arial" w:cs="Arial" w:eastAsia="Arial" w:hAnsi="Arial"/>
          <w:sz w:val="17"/>
          <w:szCs w:val="17"/>
          <w:b w:val="1"/>
          <w:bCs w:val="1"/>
          <w:color w:val="auto"/>
        </w:rPr>
        <w:t>Our business depends to a significant extent on certain online games, which accounted for 77.5%, 72.3% and 69.2% of our total net revenues in 2013, 2014 and 2015, respectively. We may not be able to maintain the popularity of these games for a variety of reasons.</w:t>
      </w:r>
    </w:p>
    <w:p>
      <w:pPr>
        <w:spacing w:after="0" w:line="142" w:lineRule="exact"/>
        <w:rPr>
          <w:sz w:val="20"/>
          <w:szCs w:val="20"/>
          <w:color w:val="auto"/>
        </w:rPr>
      </w:pPr>
    </w:p>
    <w:p>
      <w:pPr>
        <w:ind w:firstLine="510"/>
        <w:spacing w:after="0" w:line="281" w:lineRule="auto"/>
        <w:rPr>
          <w:sz w:val="20"/>
          <w:szCs w:val="20"/>
          <w:color w:val="auto"/>
        </w:rPr>
      </w:pPr>
      <w:r>
        <w:rPr>
          <w:rFonts w:ascii="Arial" w:cs="Arial" w:eastAsia="Arial" w:hAnsi="Arial"/>
          <w:sz w:val="16"/>
          <w:szCs w:val="16"/>
          <w:color w:val="auto"/>
        </w:rPr>
        <w:t>Certain of our internally developed massively multi-player online role-playing PC-client games, known as PC-client MMORPGs, including New Westward Journey Online II, Fantasy Westward Journey II, Tianxia III, New Ghost (a new version of Ghost II), Revelation, Heroes of Tang Dynasty Zero, and certain of our mobile games, including the Fantasy Westward Journey and Westward Journey Online mobile games and Battle to the West, as well as games such as World of Warcraft</w:t>
      </w:r>
      <w:r>
        <w:rPr>
          <w:rFonts w:ascii="Arial" w:cs="Arial" w:eastAsia="Arial" w:hAnsi="Arial"/>
          <w:sz w:val="20"/>
          <w:szCs w:val="20"/>
          <w:color w:val="auto"/>
          <w:vertAlign w:val="superscript"/>
        </w:rPr>
        <w:t>®</w:t>
      </w:r>
      <w:r>
        <w:rPr>
          <w:rFonts w:ascii="Arial" w:cs="Arial" w:eastAsia="Arial" w:hAnsi="Arial"/>
          <w:sz w:val="16"/>
          <w:szCs w:val="16"/>
          <w:color w:val="auto"/>
        </w:rPr>
        <w:t>, Hearthstone</w:t>
      </w:r>
      <w:r>
        <w:rPr>
          <w:rFonts w:ascii="Arial" w:cs="Arial" w:eastAsia="Arial" w:hAnsi="Arial"/>
          <w:sz w:val="20"/>
          <w:szCs w:val="20"/>
          <w:color w:val="auto"/>
          <w:vertAlign w:val="superscript"/>
        </w:rPr>
        <w:t>®</w:t>
      </w:r>
      <w:r>
        <w:rPr>
          <w:rFonts w:ascii="Arial" w:cs="Arial" w:eastAsia="Arial" w:hAnsi="Arial"/>
          <w:sz w:val="16"/>
          <w:szCs w:val="16"/>
          <w:color w:val="auto"/>
        </w:rPr>
        <w:t>: Heroes of Warcraft™ and Diablo III</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licensed from Blizzard Entertainment, Inc. (together with its affiliated companies, referred to as Blizzard in this annual report), contributed 77.5%, 72.3% and 69.2% of our total net revenues in 2013, 2014 and 2015, respectively. We expect that we will need to continually introduce new versions or substantive upgrades of these and our other online games on a frequent basis to maintain their popularity, although changes in users’ tastes or in the overall market for online games in China could alter the anticipated life cycle of each version or upgrade or even cause our users to stop playing our games altogether. Because of the limited history of the online games market in China, we cannot at this time estimate the total life cycle of any of our games, particularly our more recently launched PC or mobile games. If we are unable to maintain the popularity of our existing online games or are unable to introduce new online games which are popular with online game users in China (as discussed in the next risk factor), our business and results of operations could be materially and adversely affected. In particular, we have devoted, and expect to continue to devote, significant resources to maintain and raise the popularity of our online games through the release of new versions and/or expansion packs on a periodic basis and various promotional activities such as media advertising and game tournaments. For example, in 2015, we released New Ghost, a new version of Ghost II, and introduced new expansion packs for Fantasy Westward Journey II, New Westward Journey Online II, Tianxia III and Heroes of Tang Dynasty Zero, as well as the Fantasy Westward Journey mobile game and the Westward Journey Online mobile game.</w:t>
      </w:r>
    </w:p>
    <w:p>
      <w:pPr>
        <w:spacing w:after="0" w:line="16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fail to develop and introduce new online games timely and successfully, we will not be able to compete effectively and our ability to generate revenues will suffer.</w:t>
      </w:r>
    </w:p>
    <w:p>
      <w:pPr>
        <w:spacing w:after="0" w:line="16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We operate in a highly competitive, quickly changing environment, and our future success depends not only on the popularity of our existing online games but also on our ability to develop and introduce new games that our customers and users choose to buy. If we are unsuccessful at developing and introducing new online games that are appealing to users with acceptable prices and terms, our business and operating results will be negatively impacted because we would not be able to compete effectively and our ability to generate revenues would suffer. The development of new games can be very difficult and requires high levels of innovation.</w:t>
      </w:r>
    </w:p>
    <w:p>
      <w:pPr>
        <w:spacing w:after="0" w:line="188"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New technologies in online game programming or operations could render our current online titles or other online games that we develop in the future obsolete or unattractive to our subscribers, thereby limiting our ability to recover development costs and potentially adversely affecting our future revenues and profitability. For example, the online game industry in China is transitioning to mobile games, which have become increasingly popular as Internet users in China rely more and more on mobile devices, such as smart phones and tablets, to access the Internet. In response to this trend, we have started to develop games that can be operated on mobile devices. We have commercially launched over 80 self-developed and licensed mobile games as of December 31, 2015, including the Fantasy Westward Journey and Westward Journey Online mobile games. Each of our new games has required long periods of time for research and development and testing and also typically experience long ramp-up periods as players become familiar with the games. In particular, we are relatively new to the development of mobile games, and we cannot guarantee that we will be able to develop successful mobile games that appeal to players. We are not</w:t>
      </w:r>
    </w:p>
    <w:p>
      <w:pPr>
        <w:sectPr>
          <w:pgSz w:w="11900" w:h="16838" w:orient="portrait"/>
          <w:cols w:equalWidth="0" w:num="1">
            <w:col w:w="11420"/>
          </w:cols>
          <w:pgMar w:left="240" w:top="125" w:right="239" w:bottom="0" w:gutter="0" w:footer="0" w:header="0"/>
        </w:sectPr>
      </w:pPr>
    </w:p>
    <w:bookmarkStart w:id="6" w:name="page7"/>
    <w:bookmarkEnd w:id="6"/>
    <w:p>
      <w:pPr>
        <w:spacing w:after="0" w:line="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able to predict if or when we will commercially launch additional new games and whether any of our new games will gain popularity in the Chinese online game market.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60" w:firstLine="510"/>
        <w:spacing w:after="0" w:line="259" w:lineRule="auto"/>
        <w:rPr>
          <w:sz w:val="20"/>
          <w:szCs w:val="20"/>
          <w:color w:val="auto"/>
        </w:rPr>
      </w:pPr>
      <w:r>
        <w:rPr>
          <w:rFonts w:ascii="Arial" w:cs="Arial" w:eastAsia="Arial" w:hAnsi="Arial"/>
          <w:sz w:val="18"/>
          <w:szCs w:val="18"/>
          <w:color w:val="auto"/>
        </w:rPr>
        <w:t>In addition, we are required to devote significant resources to the ongoing operations of our online games, such as staff costs related to our “Game Masters” which supervise the activities within our games and development costs for expansion packs of existing online games. If we fail to anticipate our users’ needs and technological trends accurately or are otherwise unable to complete the development of games in a timely fashion, we will be unable to introduce new games into the market to successfully compete.</w:t>
      </w:r>
    </w:p>
    <w:p>
      <w:pPr>
        <w:spacing w:after="0" w:line="18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demand for new games is difficult to forecast, in part due to the relative immaturity of the market and relatively short life cycles of online games. As we introduce and support additional games and as competition in the market for our games intensify, we expect that it will become more difficult to forecast demand. In particular, competition in the online game market is growing as more and more online games are introduced by existing and new market participants.</w:t>
      </w:r>
    </w:p>
    <w:p>
      <w:pPr>
        <w:spacing w:after="0" w:line="18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may not be successful in making our mobile games profitable and our profits from mobile games may be relatively lower than the profits we have enjoyed historically for PC-client MMORPGs.</w:t>
      </w:r>
    </w:p>
    <w:p>
      <w:pPr>
        <w:spacing w:after="0" w:line="166" w:lineRule="exact"/>
        <w:rPr>
          <w:sz w:val="20"/>
          <w:szCs w:val="20"/>
          <w:color w:val="auto"/>
        </w:rPr>
      </w:pPr>
    </w:p>
    <w:p>
      <w:pPr>
        <w:ind w:right="160" w:firstLine="510"/>
        <w:spacing w:after="0" w:line="312" w:lineRule="auto"/>
        <w:rPr>
          <w:sz w:val="20"/>
          <w:szCs w:val="20"/>
          <w:color w:val="auto"/>
        </w:rPr>
      </w:pPr>
      <w:r>
        <w:rPr>
          <w:rFonts w:ascii="Arial" w:cs="Arial" w:eastAsia="Arial" w:hAnsi="Arial"/>
          <w:sz w:val="16"/>
          <w:szCs w:val="16"/>
          <w:color w:val="auto"/>
        </w:rPr>
        <w:t>Our profits from our mobile games, even if the games are successful, are likely to be relatively lower than our profits generated from PC-client MMORPGs, because, in order to gain access for our games on mobile app stores, which are the primary distribution channel for our mobile games, we must enter into revenue-sharing arrangements that result in lower profit margins compared with those of our PC-client MMORPGs and other online games.</w:t>
      </w:r>
    </w:p>
    <w:p>
      <w:pPr>
        <w:spacing w:after="0" w:line="147" w:lineRule="exact"/>
        <w:rPr>
          <w:sz w:val="20"/>
          <w:szCs w:val="20"/>
          <w:color w:val="auto"/>
        </w:rPr>
      </w:pPr>
    </w:p>
    <w:p>
      <w:pPr>
        <w:jc w:val="both"/>
        <w:ind w:right="440" w:firstLine="510"/>
        <w:spacing w:after="0" w:line="264" w:lineRule="auto"/>
        <w:rPr>
          <w:sz w:val="20"/>
          <w:szCs w:val="20"/>
          <w:color w:val="auto"/>
        </w:rPr>
      </w:pPr>
      <w:r>
        <w:rPr>
          <w:rFonts w:ascii="Arial" w:cs="Arial" w:eastAsia="Arial" w:hAnsi="Arial"/>
          <w:sz w:val="18"/>
          <w:szCs w:val="18"/>
          <w:color w:val="auto"/>
        </w:rPr>
        <w:t>We have devoted and expect to continue to devote a significant amount of resources to the development of our mobile games, but these and other uncertainties make it difficult to know whether we will succeed in making our mobile game operations profitable. If we do not succeed in doing so, our business and results of operations will be adversely affected.</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rely on third-party platforms to distribute our mobile games and collect payments. If we fail to maintain our relationships with these platforms, or if the platforms lose popularity among users, our mobile games business may be adversely affected.</w:t>
      </w:r>
    </w:p>
    <w:p>
      <w:pPr>
        <w:spacing w:after="0" w:line="166"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In addition to our proprietary distribution channels, we publish our mobile games through the Apple iOS app store and other mobile app stores or platforms owned and operated by third parties. We rely on these third parties to promote and publish our mobile games, record gross billings, maintain the security of their platforms to prevent fraudulent activities, provide certain user services and, in some instances, process payments from users.</w:t>
      </w:r>
    </w:p>
    <w:p>
      <w:pPr>
        <w:spacing w:after="0" w:line="14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are subject to these third parties’ standard terms and conditions for application developers, which govern the promotion, distribution and operation of games and other applications on their platforms. If we violate, or if a platform provider believes that we have violated, its terms and conditions, the particular platform provider may discontinue or limit our access to that platform, which could harm our business.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These platforms’ operators could also develop their own competitive offerings that could compete with our mobile games.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Disputes with third-party platforms, such as disputes relating to intellectual property rights, distribution fee arrangements and billing issues, may also arise from time to time and we cannot assure you that we will be able to resolve such disputes in a timely manner or at all. If our collaboration with a major third-party platform terminates for any reason, we may not be able to find a replacement in a timely manner or at all and the distribution of our games may be adversely affected. Any failure on our part to maintain good relationships with a sufficient number of popular platforms for the distribution of our games could cause the number of our game downloads and activations to decrease, which will have a material adverse effect on our business, financial condition and results of operations.</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rely on the continued operation of third-party platforms. We distribute our games through China’s major mobile platforms, including major app stores and social networking platforms. Our games benefit from the strong brand recognition, large user base and the stickiness of these mobile platforms. If any of these mobile platforms lose their market positions or are no longer popular with users, our ability to reach more users will be limited. In addition, we would need to identify alternative channels for marketing, promoting and distributing our games, which would consume substantial resources and may not be effective.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not be able to maintain a stable relationship with Blizzard, and we may experience difficulties in the operation of the online games licensed from it or its affiliates.</w:t>
      </w:r>
    </w:p>
    <w:p>
      <w:pPr>
        <w:spacing w:after="0" w:line="166"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In August 2008 and April 2009, Blizzard agreed to license certain online games developed by it to Shanghai EaseNet Network Technology Co., Ltd., or Shanghai EaseNet, for operation in the PRC, including StarCraft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 Wings of Liberty</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World of Warcraft. Shanghai EaseNet is a PRC company owned by William Lei Ding, our Chief Executive Officer, director and major shareholder, and has contractual arrangements with us and with the joint venture established between Blizzard and us. In addition, Blizzard agreed to license StarCraft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 Heart of Swarm</w:t>
      </w:r>
      <w:r>
        <w:rPr>
          <w:rFonts w:ascii="Arial" w:cs="Arial" w:eastAsia="Arial" w:hAnsi="Arial"/>
          <w:sz w:val="20"/>
          <w:szCs w:val="20"/>
          <w:color w:val="auto"/>
          <w:vertAlign w:val="superscript"/>
        </w:rPr>
        <w:t>®</w:t>
      </w:r>
      <w:r>
        <w:rPr>
          <w:rFonts w:ascii="Arial" w:cs="Arial" w:eastAsia="Arial" w:hAnsi="Arial"/>
          <w:sz w:val="16"/>
          <w:szCs w:val="16"/>
          <w:color w:val="auto"/>
        </w:rPr>
        <w:t>, Heroes of the Storm™ (previously named Blizzard All-Stars), Hearthstone: Heroes of Warcraft, Diablo III, StarCraft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 Legacy of the Void™ and OverWatch™ to Shanghai EaseNet for operation in the PRC in July 2011, November 2012, July 2013, June 2014, January 2015 and May 2015, respectively. Shanghai EaseNet commercially launched World of Warcraft in 2009, StarCraft II: Wings of Liberty in 2011, StarCraft II: Heart of Swarm in 2013, Hearthstone: Heroes of Warcraft in 2014, Diablo III and Heroes of the Storm in 2015 after receiving the relevant government authorities’ approvals. For further details, see Item 4.B. “Business Overview — Our Services — Game Licensing and Joint Venture with Blizzard.” If we are unable to maintain a stable relationship with Blizzard, or if Blizzard establishes similar or more favorable relationships with our competitors in violation of its contractual arrangements with us or otherwise, we may not be able to ensure the smooth operation of these licensed online games, and Blizzard could terminate or fail to renew the license and joint venture agreements with us, which in either case could harm our operating results and business. Moreover, the success of our arrangements with Blizzard depends on the popularity of the games</w:t>
      </w:r>
    </w:p>
    <w:p>
      <w:pPr>
        <w:sectPr>
          <w:pgSz w:w="11900" w:h="16919" w:orient="portrait"/>
          <w:cols w:equalWidth="0" w:num="1">
            <w:col w:w="11420"/>
          </w:cols>
          <w:pgMar w:left="240" w:top="125" w:right="239" w:bottom="0" w:gutter="0" w:footer="0" w:header="0"/>
        </w:sectPr>
      </w:pPr>
    </w:p>
    <w:bookmarkStart w:id="7" w:name="page8"/>
    <w:bookmarkEnd w:id="7"/>
    <w:p>
      <w:pPr>
        <w:ind w:right="20"/>
        <w:spacing w:after="0" w:line="276" w:lineRule="auto"/>
        <w:rPr>
          <w:sz w:val="20"/>
          <w:szCs w:val="20"/>
          <w:color w:val="auto"/>
        </w:rPr>
      </w:pPr>
      <w:r>
        <w:rPr>
          <w:rFonts w:ascii="Arial" w:cs="Arial" w:eastAsia="Arial" w:hAnsi="Arial"/>
          <w:sz w:val="17"/>
          <w:szCs w:val="17"/>
          <w:color w:val="auto"/>
        </w:rPr>
        <w:t>licensed to us by it in the Chinese market, which is affected by, among other things, the frequency and success of updates and expansion packs to those games developed by Blizzard over which we have no control. In addition, certain events may limit Blizzard’s ability to develop or license online games, such as claims by third parties that Blizzard’s online games infringe such third parties’ intellectual property rights or Blizzard’s inability to acquire or maintain licenses to use another party’s intellectual property in its online games. In the case of such events, Blizzard may be unable to continue licensing online games to us or to continue participating in any joint venture with us, regardless of the stability of our relationship with Blizzard.</w:t>
      </w:r>
    </w:p>
    <w:p>
      <w:pPr>
        <w:spacing w:after="0" w:line="173"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The licenses between Shanghai EaseNet and Blizzard have terms of up to three year and require Shanghai EaseNet, as licensee of the games, to pay to Blizzard license fees, royalties and consultancy fees for the games over the terms of the licenses (except Hearthstone: Heroes of the Warcraft, Heroes of the Storm and Diablo III, for which no license and consultancy fees are required to be paid), and also have minimum marketing expenditure commitments and require Shanghai EaseNet to provide funds for hardware to operate the games. We have guaranteed the payment of the foregoing amounts if and to the extent Shanghai EaseNet has insufficient funds to make such payments. We will be entitled to reimbursement of any amounts paid under the guarantee for marketing the licensed games and for hardware support to operate the games from any net profits subsequently generated by Shanghai EaseNet, after the deduction of, among others, various fees and expenses payable to Blizzard, us and our joint venture with Blizzard which will provide technical services to Shanghai EaseNet. See Item 4.B. “Business Overview — Our Services — Game Licensing and Joint Venture with Blizzard.” for details about these arrangements.</w:t>
      </w:r>
    </w:p>
    <w:p>
      <w:pPr>
        <w:spacing w:after="0" w:line="16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believe that our current cash and cash equivalents and cash flow from operations will be sufficient to meet our foregoing obligations. To the extent our obligations exceed our cash resources, we may seek to sell additional equity or debt securities or to obtain a credit facility. The sale of additional equity or convertible debt securities could result in additional dilution to shareholders. The incurrence of indebtedness would result in increased debt service obligations and could result in operating and financial covenants that would restrict operations. Financing may not be available in amounts or on terms acceptable to us, if at all. If we are unable to meet our foregoing obligations, our licensed games operation and financial condition could be adversely affected and our licenses with Blizzard could be terminated.</w:t>
      </w:r>
    </w:p>
    <w:p>
      <w:pPr>
        <w:spacing w:after="0" w:line="193" w:lineRule="exact"/>
        <w:rPr>
          <w:sz w:val="20"/>
          <w:szCs w:val="20"/>
          <w:color w:val="auto"/>
        </w:rPr>
      </w:pPr>
    </w:p>
    <w:p>
      <w:pPr>
        <w:jc w:val="both"/>
        <w:ind w:right="160" w:firstLine="504"/>
        <w:spacing w:after="0" w:line="259" w:lineRule="auto"/>
        <w:rPr>
          <w:sz w:val="20"/>
          <w:szCs w:val="20"/>
          <w:color w:val="auto"/>
        </w:rPr>
      </w:pPr>
      <w:r>
        <w:rPr>
          <w:rFonts w:ascii="Arial" w:cs="Arial" w:eastAsia="Arial" w:hAnsi="Arial"/>
          <w:sz w:val="18"/>
          <w:szCs w:val="18"/>
          <w:color w:val="auto"/>
        </w:rPr>
        <w:t>In addition, we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results of operations and financial condition.</w:t>
      </w:r>
    </w:p>
    <w:p>
      <w:pPr>
        <w:spacing w:after="0" w:line="183"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b w:val="1"/>
          <w:bCs w:val="1"/>
          <w:color w:val="auto"/>
        </w:rPr>
        <w:t>Any difficulties or delays in receiving approval from the relevant government authorities for the operation of games we license from game developers outside of China or any expansion packs for or material changes to such games could adversely affect such games’ popularity and profitability.</w:t>
      </w:r>
    </w:p>
    <w:p>
      <w:pPr>
        <w:spacing w:after="0" w:line="18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Games we license from game developers outside of China require government approvals before operation of such games within China. Moreover, even after licensed games have received government approvals, any expansion packs for or material changes of content to those games may require further government approvals. We cannot be certain of the duration of any necessary approval processes, and any delay in receiving such government approvals may adversely affect the profitability and popularity of such licensed games.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alliances may have an adverse effect on our business.</w:t>
      </w:r>
    </w:p>
    <w:p>
      <w:pPr>
        <w:spacing w:after="0" w:line="229"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Strategic alliances with key players in the online game industry and other related industry sectors form part of our strategy to expand our portfolio of online games. For example, starting in August 2008, Blizzard agreed to license certain online games developed by it to Shanghai EaseNet for operation in the PRC. We have also formed a joint venture with Blizzard to provide technical services to Shanghai EaseNet. However, our ability to grow through future alliances, including through joint ventures, will depend on the availability of suitable partners at reasonable terms, our ability to compete effectively to attract these partners, the availability of financing to complete larger joint ventures, and our ability to obtain any required governmental approvals. Further, the benefits of an alliance may take considerable time to develop, and we cannot be certain that any particular alliance will produce its intended benefits.</w:t>
      </w:r>
    </w:p>
    <w:p>
      <w:pPr>
        <w:spacing w:after="0" w:line="165"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and results of operations. We have limited experience in identifying, financing or completing strategic alliances.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pacing w:after="0" w:line="17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Our new games may attract game players away from our existing games, which may have a material adverse effect on our business, financial condition and results of operations.</w:t>
      </w:r>
    </w:p>
    <w:p>
      <w:pPr>
        <w:spacing w:after="0" w:line="166"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Our new online games, including PC-client games and mobile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 changed game features in our online games may not be well received by our game players.</w:t>
      </w:r>
    </w:p>
    <w:p>
      <w:pPr>
        <w:spacing w:after="0" w:line="229" w:lineRule="exact"/>
        <w:rPr>
          <w:sz w:val="20"/>
          <w:szCs w:val="20"/>
          <w:color w:val="auto"/>
        </w:rPr>
      </w:pPr>
    </w:p>
    <w:p>
      <w:pPr>
        <w:ind w:right="100" w:firstLine="504"/>
        <w:spacing w:after="0" w:line="302" w:lineRule="auto"/>
        <w:rPr>
          <w:sz w:val="20"/>
          <w:szCs w:val="20"/>
          <w:color w:val="auto"/>
        </w:rPr>
      </w:pPr>
      <w:r>
        <w:rPr>
          <w:rFonts w:ascii="Arial" w:cs="Arial" w:eastAsia="Arial" w:hAnsi="Arial"/>
          <w:sz w:val="16"/>
          <w:szCs w:val="16"/>
          <w:color w:val="auto"/>
        </w:rPr>
        <w:t>In the course of launching and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sectPr>
          <w:pgSz w:w="11900" w:h="16838" w:orient="portrait"/>
          <w:cols w:equalWidth="0" w:num="1">
            <w:col w:w="11420"/>
          </w:cols>
          <w:pgMar w:left="240" w:top="125" w:right="239" w:bottom="29" w:gutter="0" w:footer="0" w:header="0"/>
        </w:sectPr>
      </w:pPr>
    </w:p>
    <w:bookmarkStart w:id="8" w:name="page9"/>
    <w:bookmarkEnd w:id="8"/>
    <w:p>
      <w:pPr>
        <w:ind w:right="80"/>
        <w:spacing w:after="0" w:line="282" w:lineRule="auto"/>
        <w:rPr>
          <w:sz w:val="20"/>
          <w:szCs w:val="20"/>
          <w:color w:val="auto"/>
        </w:rPr>
      </w:pPr>
      <w:r>
        <w:rPr>
          <w:rFonts w:ascii="Arial" w:cs="Arial" w:eastAsia="Arial" w:hAnsi="Arial"/>
          <w:sz w:val="18"/>
          <w:szCs w:val="18"/>
          <w:b w:val="1"/>
          <w:bCs w:val="1"/>
          <w:color w:val="auto"/>
        </w:rPr>
        <w:t>A prolonged slowdown in the PRC economy may materially and adversely affect our results of operations, financial condition, prospects and future expansion plans.</w:t>
      </w:r>
    </w:p>
    <w:p>
      <w:pPr>
        <w:spacing w:after="0" w:line="166"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We derive substantially all of our revenue from China. As a result, our revenue and net income are impacted to a significant extent by economic conditions in China and globally, as well as economic conditions specific to online and mobile Internet usage and advertising. The global economy, markets and levels of consumer spending are influenced by many factors beyond our control, including consumer perception of current and future economic conditions, political uncertainty, levels of employment, inflation or deflation, real disposable income, interest rates, taxation and currency exchange rates.</w:t>
      </w:r>
    </w:p>
    <w:p>
      <w:pPr>
        <w:spacing w:after="0" w:line="154"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The rate of economic growth in the PRC has been experiencing a significant slowdown. Although the PRC government has implemented a number of measures to address the slowdown, these measures may not be successful. Any continuing or worsening slowdown could significantly reduce domestic commerce in China, including through the Internet generally and within our ecosystem. An economic downturn, whether actual or perceived, a further decrease in economic growth rates or an otherwise uncertain economic outlook in China or any other market in which we may operate could have a material adverse effect on our business, financial condition and results of operations.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Reports of violence and theft related to online games may result in negative publicity or a governmental response that could have a material and adverse impact on our business.</w:t>
      </w:r>
    </w:p>
    <w:p>
      <w:pPr>
        <w:spacing w:after="0" w:line="16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new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below “—Risks Related to the Telecommunications and Internet Industries in China—The Chinese government has taken steps to limit online game playing time for all minors. These and any other new restrictions may materially and adversely impact our business and results of operations.” If the Chinese government should determine that online games have a negative impact on society, it may impose certain additional restrictions on the online game industry, which could in turn have a material and adverse effect on our business and results of operations.</w:t>
      </w:r>
    </w:p>
    <w:p>
      <w:pPr>
        <w:spacing w:after="0" w:line="178"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Acts of cheating by users of online games could lessen the popularity of our online games adversely affect our reputation and our results of operations.</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Although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spacing w:after="0" w:line="19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we suspect a player of installing cheating programs on our online games, or of engaging in other types of unauthorized activities, we may freeze that player’s game account or even ban the player from logging on to our games and other media. Such activities to regulate the behavior of our users are essential to maintain a fair playing environment for our users. However, if any of our regulatory activities are found to be wrongly implemented, our users may institute legal proceedings against us for damages or claims. Our operation, business and financial performance may be materially and adversely affected as a result.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Illegal game servers could harm our business and reputation and materially and adversely affect our results of operations.</w:t>
      </w:r>
    </w:p>
    <w:p>
      <w:pPr>
        <w:spacing w:after="0" w:line="229" w:lineRule="exact"/>
        <w:rPr>
          <w:sz w:val="20"/>
          <w:szCs w:val="20"/>
          <w:color w:val="auto"/>
        </w:rPr>
      </w:pPr>
    </w:p>
    <w:p>
      <w:pPr>
        <w:ind w:right="40" w:firstLine="510"/>
        <w:spacing w:after="0" w:line="276" w:lineRule="auto"/>
        <w:rPr>
          <w:sz w:val="20"/>
          <w:szCs w:val="20"/>
          <w:color w:val="auto"/>
        </w:rPr>
      </w:pPr>
      <w:r>
        <w:rPr>
          <w:rFonts w:ascii="Arial" w:cs="Arial" w:eastAsia="Arial" w:hAnsi="Arial"/>
          <w:sz w:val="17"/>
          <w:szCs w:val="17"/>
          <w:color w:val="auto"/>
        </w:rPr>
        <w:t>Several of our competitors have reported that some Internet cafés have installed illegal copies of such competitors’ games on the cafés’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16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We expect that a portion of our future revenues will continue to come from our advertising services, which represented approximately 7.8% of our total net revenues for 2015, but we may not be able to compete effectively in this market because it is relatively new and intensely competitive, in which case our ability to generate and maintain advertising revenue in the future could be adversely affected.</w:t>
      </w:r>
    </w:p>
    <w:p>
      <w:pPr>
        <w:spacing w:after="0" w:line="162" w:lineRule="exact"/>
        <w:rPr>
          <w:sz w:val="20"/>
          <w:szCs w:val="20"/>
          <w:color w:val="auto"/>
        </w:rPr>
      </w:pPr>
    </w:p>
    <w:p>
      <w:pPr>
        <w:ind w:firstLine="506"/>
        <w:spacing w:after="0" w:line="255" w:lineRule="auto"/>
        <w:rPr>
          <w:sz w:val="20"/>
          <w:szCs w:val="20"/>
          <w:color w:val="auto"/>
        </w:rPr>
      </w:pPr>
      <w:r>
        <w:rPr>
          <w:rFonts w:ascii="Arial" w:cs="Arial" w:eastAsia="Arial" w:hAnsi="Arial"/>
          <w:sz w:val="18"/>
          <w:szCs w:val="18"/>
          <w:color w:val="auto"/>
        </w:rPr>
        <w:t>Although we anticipate that the revenues generated by our online games will continue to constitute the major portion of our future revenues, we believe that we will continue to rely on advertising revenues as one of our primary revenue sources for the foreseeable future. The popularity of online advertising in China has been growing quickly in recent years and many of our current and potential advertisers have gained in experience with using the Internet as an advertising medium. Many advertisers, however, still do not devote a significant portion of their advertising expenditures to Internet-based advertising. Some advertisers may also not find the Internet to be effective for promoting their products and services relative to traditional print and broadcast media. Our ability to generate and maintain significant advertising revenue will depend on a number of factors, many of which are beyond our control, including:</w:t>
      </w:r>
    </w:p>
    <w:p>
      <w:pPr>
        <w:spacing w:after="0" w:line="189" w:lineRule="exact"/>
        <w:rPr>
          <w:sz w:val="20"/>
          <w:szCs w:val="20"/>
          <w:color w:val="auto"/>
        </w:rPr>
      </w:pPr>
    </w:p>
    <w:p>
      <w:pPr>
        <w:ind w:left="940" w:hanging="428"/>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a large base of users possessing demographic characteristics attractive to advertisers;</w:t>
      </w:r>
    </w:p>
    <w:p>
      <w:pPr>
        <w:spacing w:after="0" w:line="225" w:lineRule="exact"/>
        <w:rPr>
          <w:rFonts w:ascii="Arial" w:cs="Arial" w:eastAsia="Arial" w:hAnsi="Arial"/>
          <w:sz w:val="18"/>
          <w:szCs w:val="18"/>
          <w:color w:val="auto"/>
        </w:rPr>
      </w:pPr>
    </w:p>
    <w:p>
      <w:pPr>
        <w:ind w:left="940" w:hanging="42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software that blocks Internet advertisements before they appear on a user’s screen;</w:t>
      </w:r>
    </w:p>
    <w:p>
      <w:pPr>
        <w:spacing w:after="0" w:line="225" w:lineRule="exact"/>
        <w:rPr>
          <w:rFonts w:ascii="Arial" w:cs="Arial" w:eastAsia="Arial" w:hAnsi="Arial"/>
          <w:sz w:val="18"/>
          <w:szCs w:val="18"/>
          <w:color w:val="auto"/>
        </w:rPr>
      </w:pPr>
    </w:p>
    <w:p>
      <w:pPr>
        <w:ind w:left="940" w:hanging="42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downward pressure on online advertising prices; and</w:t>
      </w:r>
    </w:p>
    <w:p>
      <w:pPr>
        <w:spacing w:after="0" w:line="225" w:lineRule="exact"/>
        <w:rPr>
          <w:rFonts w:ascii="Arial" w:cs="Arial" w:eastAsia="Arial" w:hAnsi="Arial"/>
          <w:sz w:val="18"/>
          <w:szCs w:val="18"/>
          <w:color w:val="auto"/>
        </w:rPr>
      </w:pPr>
    </w:p>
    <w:p>
      <w:pPr>
        <w:ind w:left="940" w:hanging="422"/>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advertising delivery and tracking system.</w:t>
      </w:r>
    </w:p>
    <w:p>
      <w:pPr>
        <w:sectPr>
          <w:pgSz w:w="11900" w:h="16838" w:orient="portrait"/>
          <w:cols w:equalWidth="0" w:num="1">
            <w:col w:w="11380"/>
          </w:cols>
          <w:pgMar w:left="240" w:top="121" w:right="279" w:bottom="0" w:gutter="0" w:footer="0" w:header="0"/>
        </w:sectPr>
      </w:pPr>
    </w:p>
    <w:bookmarkStart w:id="9" w:name="page10"/>
    <w:bookmarkEnd w:id="9"/>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506"/>
        <w:spacing w:after="0" w:line="302" w:lineRule="auto"/>
        <w:rPr>
          <w:sz w:val="20"/>
          <w:szCs w:val="20"/>
          <w:color w:val="auto"/>
        </w:rPr>
      </w:pPr>
      <w:r>
        <w:rPr>
          <w:rFonts w:ascii="Arial" w:cs="Arial" w:eastAsia="Arial" w:hAnsi="Arial"/>
          <w:sz w:val="16"/>
          <w:szCs w:val="16"/>
          <w:color w:val="auto"/>
        </w:rPr>
        <w:t>Changes in government policy could also restrict or curtail our online advertising services. Moreover, the acceptance of the Internet as a medium for advertising depends on the development of a measurement standard. No standards have been widely accepted for the measurement of the effectiveness of online advertising. Industry-wide standards may not develop sufficiently to support the Internet as an effective advertising medium. If these standards do not develop, advertisers may choose not to advertise on the Internet in general or through our media or search engines.</w:t>
      </w:r>
    </w:p>
    <w:p>
      <w:pPr>
        <w:spacing w:after="0" w:line="154" w:lineRule="exact"/>
        <w:rPr>
          <w:sz w:val="20"/>
          <w:szCs w:val="20"/>
          <w:color w:val="auto"/>
        </w:rPr>
      </w:pPr>
    </w:p>
    <w:p>
      <w:pPr>
        <w:ind w:right="420" w:firstLine="506"/>
        <w:spacing w:after="0" w:line="297" w:lineRule="auto"/>
        <w:rPr>
          <w:sz w:val="20"/>
          <w:szCs w:val="20"/>
          <w:color w:val="auto"/>
        </w:rPr>
      </w:pPr>
      <w:r>
        <w:rPr>
          <w:rFonts w:ascii="Arial" w:cs="Arial" w:eastAsia="Arial" w:hAnsi="Arial"/>
          <w:sz w:val="16"/>
          <w:szCs w:val="16"/>
          <w:color w:val="auto"/>
        </w:rPr>
        <w:t>In addition, competition in the online advertising industry in China is intense with numerous competitors such as Baidu, Inc., or Baidu, Sina Corporation, or Sina, Sohu.com Inc., or Sohu, Tencent Holdings Limited, or Tencent, Alibaba Group Holding Limited, or Alibaba, Youku Tudou Inc., or Youku, and other new entrants such as Qihoo 360 Technology Co. Ltd., or Qihoo, Phoenix New Media Limited, or iFeng.com, TouTiao.com, as well as virtual media such as SouFun Holdings Ltd. and Autohome Inc. The entry of additional, highly competitive Internet companies, whether domestic or international, into the Chinese market has and may continue to further heighten competition for advertising spending in China.</w:t>
      </w:r>
    </w:p>
    <w:p>
      <w:pPr>
        <w:spacing w:after="0" w:line="158" w:lineRule="exact"/>
        <w:rPr>
          <w:sz w:val="20"/>
          <w:szCs w:val="20"/>
          <w:color w:val="auto"/>
        </w:rPr>
      </w:pPr>
    </w:p>
    <w:p>
      <w:pPr>
        <w:ind w:firstLine="506"/>
        <w:spacing w:after="0" w:line="255" w:lineRule="auto"/>
        <w:rPr>
          <w:sz w:val="20"/>
          <w:szCs w:val="20"/>
          <w:color w:val="auto"/>
        </w:rPr>
      </w:pPr>
      <w:r>
        <w:rPr>
          <w:rFonts w:ascii="Arial" w:cs="Arial" w:eastAsia="Arial" w:hAnsi="Arial"/>
          <w:sz w:val="18"/>
          <w:szCs w:val="18"/>
          <w:color w:val="auto"/>
        </w:rPr>
        <w:t>As competition intensified for advertising services, we launched new marketing strategies to grow our advertising business and to cater to changes in the needs of our advertising services customers. In particular, we increased our sales staff to support more direct contacts with advertisers. In addition, to increase traffic on the NetEase websites and our mobile news application, NetEase News App, and enhance their appeal to advertisers, we have been focusing on high profile events, such as the NetEase Annual Economist Conference. We believe that these efforts, together with other factors, contributed to the growth of our net revenues from advertising services in recent years. We cannot assure you, however, that any of these efforts will continue to be successful in improving the financial results of our advertising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keep up with rapid changes in technologies and user behavior, our future success may be adversely affected.</w:t>
      </w:r>
    </w:p>
    <w:p>
      <w:pPr>
        <w:spacing w:after="0" w:line="229" w:lineRule="exact"/>
        <w:rPr>
          <w:sz w:val="20"/>
          <w:szCs w:val="20"/>
          <w:color w:val="auto"/>
        </w:rPr>
      </w:pPr>
    </w:p>
    <w:p>
      <w:pPr>
        <w:ind w:right="40" w:firstLine="506"/>
        <w:spacing w:after="0" w:line="270" w:lineRule="auto"/>
        <w:rPr>
          <w:sz w:val="20"/>
          <w:szCs w:val="20"/>
          <w:color w:val="auto"/>
        </w:rPr>
      </w:pPr>
      <w:r>
        <w:rPr>
          <w:rFonts w:ascii="Arial" w:cs="Arial" w:eastAsia="Arial" w:hAnsi="Arial"/>
          <w:sz w:val="17"/>
          <w:szCs w:val="17"/>
          <w:color w:val="auto"/>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3G, 4G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joint venture to operate a social instant messaging application may not succeed.</w:t>
      </w:r>
    </w:p>
    <w:p>
      <w:pPr>
        <w:spacing w:after="0" w:line="229" w:lineRule="exact"/>
        <w:rPr>
          <w:sz w:val="20"/>
          <w:szCs w:val="20"/>
          <w:color w:val="auto"/>
        </w:rPr>
      </w:pPr>
    </w:p>
    <w:p>
      <w:pPr>
        <w:ind w:right="40" w:firstLine="506"/>
        <w:spacing w:after="0" w:line="291" w:lineRule="auto"/>
        <w:rPr>
          <w:sz w:val="20"/>
          <w:szCs w:val="20"/>
          <w:color w:val="auto"/>
        </w:rPr>
      </w:pPr>
      <w:r>
        <w:rPr>
          <w:rFonts w:ascii="Arial" w:cs="Arial" w:eastAsia="Arial" w:hAnsi="Arial"/>
          <w:sz w:val="16"/>
          <w:szCs w:val="16"/>
          <w:color w:val="auto"/>
        </w:rPr>
        <w:t>We established a new joint venture in 2013 with China Telecom Corporation Limited, or China Telecom, to develop and operate YiChat, a new proprietary social instant messaging application for smartphones. As our social instant messaging application business has a limited operating history, there is limited information upon which you can evaluate its prospects and we may not be able to successfully develop it into one of our primary businesses or to successfully compete against more established social instant messaging applications in China such as Tencent’s WeChat. Furthermore, as part of this new business venture, we need to incur costs to continue to develop and improve our technology, human resources, financial and management controls and our reporting systems and procedures. We cannot assure you that we will be able to efficiently or effectively manage or grow this new business, and any failure to do so may materially and adversely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e-commerce business may expose us to new challenges and risks and may lower our profit margin.</w:t>
      </w:r>
    </w:p>
    <w:p>
      <w:pPr>
        <w:spacing w:after="0" w:line="229" w:lineRule="exact"/>
        <w:rPr>
          <w:sz w:val="20"/>
          <w:szCs w:val="20"/>
          <w:color w:val="auto"/>
        </w:rPr>
      </w:pPr>
    </w:p>
    <w:p>
      <w:pPr>
        <w:ind w:right="80" w:firstLine="506"/>
        <w:spacing w:after="0" w:line="287" w:lineRule="auto"/>
        <w:rPr>
          <w:sz w:val="20"/>
          <w:szCs w:val="20"/>
          <w:color w:val="auto"/>
        </w:rPr>
      </w:pPr>
      <w:r>
        <w:rPr>
          <w:rFonts w:ascii="Arial" w:cs="Arial" w:eastAsia="Arial" w:hAnsi="Arial"/>
          <w:sz w:val="16"/>
          <w:szCs w:val="16"/>
          <w:color w:val="auto"/>
        </w:rPr>
        <w:t>We established our cross-border e-commerce platform, Kaola.com, or Kaola, in January 2015, which sells imported maternity and baby products, skincare and cosmetics and other general merchandise through an online platform. Our cross-border e-commerce business exposes us to new challenges and risks associated with, for example, managing a global logistical network, operating directly in foreign jurisdictions and handling more complex supply and product return issues. Furthermore, our cross-border e-commerce business has required us to make significant investments in building a global supply and logistics infrastructure. The PRC regulatory framework, as well as the implementation policies of local authorities, in respect of overseas direct purchase and sale of merchandise, including beauty products, are still evolving. New laws and regulations and new interpretations of existing laws and regulations may be adopted from time to time to regulate our e-commerce business, and additional licenses and permits may be required. For example, in March 2016, relevant PRC regulatory authorities introduced new rules, which took effect on April 8, 2016, governing taxation of cross-border e-commerce retail imports that caps the value of goods that may be imported at a reduced tax rate, which may adversely impact transaction volumes on e-commerce platforms like Kaola. For more information on this and other regulations affecting our e-commerce business, see “Government Regulations — Cross-border E-commerce.” As a result, substantial uncertainties exist regarding the evolution of the regulatory system and the interpretation and implementation of current and future PRC laws and regulations applicable to our cross-border e-commerce business.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506"/>
        <w:spacing w:after="0" w:line="276" w:lineRule="auto"/>
        <w:rPr>
          <w:sz w:val="20"/>
          <w:szCs w:val="20"/>
          <w:color w:val="auto"/>
        </w:rPr>
      </w:pPr>
      <w:r>
        <w:rPr>
          <w:rFonts w:ascii="Arial" w:cs="Arial" w:eastAsia="Arial" w:hAnsi="Arial"/>
          <w:sz w:val="17"/>
          <w:szCs w:val="17"/>
          <w:color w:val="auto"/>
        </w:rPr>
        <w:t>We have limited experience and operating history in the cross-border e-commerce business, which makes predicting our future results of operations difficult. Therefore, our past results of operations should not be taken as indicative of our future performance. In addition, our profit margin from the cross-border e-commerce business, even if the business is successful, is likely to be relatively lower than our profit margin from our online game business and advertising business. If we cannot successfully address new challenges and compete effectively, we may not be able to recover the costs of our investments, and our future results of operations and growth prospects may be materially and adversely affected.</w:t>
      </w:r>
    </w:p>
    <w:p>
      <w:pPr>
        <w:spacing w:after="0" w:line="169"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If we are unable to offer products that attract new customers and new purchases from existing customers, our e-commerce business may be materially and adversely affected.</w:t>
      </w:r>
    </w:p>
    <w:p>
      <w:pPr>
        <w:spacing w:after="0" w:line="166" w:lineRule="exact"/>
        <w:rPr>
          <w:sz w:val="20"/>
          <w:szCs w:val="20"/>
          <w:color w:val="auto"/>
        </w:rPr>
      </w:pPr>
    </w:p>
    <w:p>
      <w:pPr>
        <w:ind w:right="40" w:firstLine="506"/>
        <w:spacing w:after="0" w:line="342" w:lineRule="auto"/>
        <w:rPr>
          <w:sz w:val="20"/>
          <w:szCs w:val="20"/>
          <w:color w:val="auto"/>
        </w:rPr>
      </w:pPr>
      <w:r>
        <w:rPr>
          <w:rFonts w:ascii="Arial" w:cs="Arial" w:eastAsia="Arial" w:hAnsi="Arial"/>
          <w:sz w:val="16"/>
          <w:szCs w:val="16"/>
          <w:color w:val="auto"/>
        </w:rPr>
        <w:t>The future growth of our cross-border e-commerce business depends on our ability to continue to attract new customers as well as new purchases from existing customers. Constantly changing consumer preferences have affected and will continue to affect the online retail industry. We must stay abreast of</w:t>
      </w:r>
    </w:p>
    <w:p>
      <w:pPr>
        <w:sectPr>
          <w:pgSz w:w="11900" w:h="16975" w:orient="portrait"/>
          <w:cols w:equalWidth="0" w:num="1">
            <w:col w:w="11420"/>
          </w:cols>
          <w:pgMar w:left="240" w:top="125" w:right="239" w:bottom="0" w:gutter="0" w:footer="0" w:header="0"/>
        </w:sectPr>
      </w:pPr>
    </w:p>
    <w:bookmarkStart w:id="10" w:name="page11"/>
    <w:bookmarkEnd w:id="10"/>
    <w:p>
      <w:pPr>
        <w:spacing w:after="0" w:line="2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emerging consumer preferences and anticipate product trends that will appeal to existing and potential customers. We are relatively new to this business and our lack of relevant customer data may make it more difficult for us to keep pace with evolving customer demands and preferences. Our e-commerce website makes recommendations to customers based on their past purchases or on products that they viewed but did not purchase, and we also send e-mails to our customers with product recommendations tailored to their purchase profile. Our ability to make individually tailored recommendations is dependent on our business intelligence system, which tracks, collects and analyzes our users’ browsing and purchasing behavior. Our customers choose to purchase products on our website due in part to our ability to offer attractive prices, and they may choose to shop elsewhere if we cannot match the prices offered by other websites or by physical stores. If our customers cannot find their desired products on our website at attractive prices, they may lose interest in us and visit our website less frequently or even stop visiting our website altogether, which in turn may materially and adversely affect our e-commerce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manage our inventory effectively, our e-commerce business may be materially and adversely affected.</w:t>
      </w:r>
    </w:p>
    <w:p>
      <w:pPr>
        <w:spacing w:after="0" w:line="229" w:lineRule="exact"/>
        <w:rPr>
          <w:sz w:val="20"/>
          <w:szCs w:val="20"/>
          <w:color w:val="auto"/>
        </w:rPr>
      </w:pPr>
    </w:p>
    <w:p>
      <w:pPr>
        <w:ind w:firstLine="506"/>
        <w:spacing w:after="0" w:line="271" w:lineRule="auto"/>
        <w:rPr>
          <w:sz w:val="20"/>
          <w:szCs w:val="20"/>
          <w:color w:val="auto"/>
        </w:rPr>
      </w:pPr>
      <w:r>
        <w:rPr>
          <w:rFonts w:ascii="Arial" w:cs="Arial" w:eastAsia="Arial" w:hAnsi="Arial"/>
          <w:sz w:val="17"/>
          <w:szCs w:val="17"/>
          <w:color w:val="auto"/>
        </w:rPr>
        <w:t>Our cross-border e-commerce business requires us to manage a large volume of inventory effectively. We depend on our demand forecasts for various kinds of products to make purchase decisions and to manage our inventory. Demand for products, however, can change significantly between the time inventory is ordered and the date by which we hope to sell it, especially for direct sales for cross-border goods. Demand may be affected by seasonality, new product launches, changes in product cycles and pricing, product defects, changes in consumer spending patterns, changes in consumer tastes with respect to our products and other factors, and our customers may not order products in the quantities that we expect. In addition, when we begin selling a new product, it may be difficult to establish supplier relationships, determine appropriate product selection, and accurately forecast demand. The acquisition of certain types of inventory may require significant lead time and prepayment and they may not be returnable. For those products we sell directly, we normally do not have the right to return unsold items to our suppliers.</w:t>
      </w:r>
    </w:p>
    <w:p>
      <w:pPr>
        <w:spacing w:after="0" w:line="179" w:lineRule="exact"/>
        <w:rPr>
          <w:sz w:val="20"/>
          <w:szCs w:val="20"/>
          <w:color w:val="auto"/>
        </w:rPr>
      </w:pPr>
    </w:p>
    <w:p>
      <w:pPr>
        <w:ind w:firstLine="506"/>
        <w:spacing w:after="0" w:line="264" w:lineRule="auto"/>
        <w:rPr>
          <w:sz w:val="20"/>
          <w:szCs w:val="20"/>
          <w:color w:val="auto"/>
        </w:rPr>
      </w:pPr>
      <w:r>
        <w:rPr>
          <w:rFonts w:ascii="Arial" w:cs="Arial" w:eastAsia="Arial" w:hAnsi="Arial"/>
          <w:sz w:val="18"/>
          <w:szCs w:val="18"/>
          <w:color w:val="auto"/>
        </w:rPr>
        <w:t>Our net inventories have increased significantly in 2015, from RMB28.3 million as of December 31, 2014 to RMB817.8 million (US$126.2 million) as of December 31, 2015. As we plan to continue expanding our product offerings, we expect to include more products in our inventory, which will make it more challenging for us to manage our inventory effectively and will put more pressure on our warehousing system.</w:t>
      </w:r>
    </w:p>
    <w:p>
      <w:pPr>
        <w:spacing w:after="0" w:line="181" w:lineRule="exact"/>
        <w:rPr>
          <w:sz w:val="20"/>
          <w:szCs w:val="20"/>
          <w:color w:val="auto"/>
        </w:rPr>
      </w:pPr>
    </w:p>
    <w:p>
      <w:pPr>
        <w:ind w:right="320" w:firstLine="506"/>
        <w:spacing w:after="0" w:line="279" w:lineRule="auto"/>
        <w:rPr>
          <w:sz w:val="20"/>
          <w:szCs w:val="20"/>
          <w:color w:val="auto"/>
        </w:rPr>
      </w:pPr>
      <w:r>
        <w:rPr>
          <w:rFonts w:ascii="Arial" w:cs="Arial" w:eastAsia="Arial" w:hAnsi="Arial"/>
          <w:sz w:val="17"/>
          <w:szCs w:val="17"/>
          <w:color w:val="auto"/>
        </w:rPr>
        <w:t>If we fail to manage our inventory effectively, we may be subject to a heightened risk of inventory obsolescence, a decline in inventory values, and significant inventory write-downs or write-offs. In addition, we may be required to lower sale prices in order to reduce inventory level, which may lead to lower gross margins. High inventory levels may also require us to commit substantial capital resources, preventing us from using that capital for other important purposes. Any of the above may materially and adversely affect our results of operations and financial condition.</w:t>
      </w:r>
    </w:p>
    <w:p>
      <w:pPr>
        <w:spacing w:after="0" w:line="171" w:lineRule="exact"/>
        <w:rPr>
          <w:sz w:val="20"/>
          <w:szCs w:val="20"/>
          <w:color w:val="auto"/>
        </w:rPr>
      </w:pPr>
    </w:p>
    <w:p>
      <w:pPr>
        <w:ind w:right="320" w:firstLine="506"/>
        <w:spacing w:after="0" w:line="264" w:lineRule="auto"/>
        <w:rPr>
          <w:sz w:val="20"/>
          <w:szCs w:val="20"/>
          <w:color w:val="auto"/>
        </w:rPr>
      </w:pPr>
      <w:r>
        <w:rPr>
          <w:rFonts w:ascii="Arial" w:cs="Arial" w:eastAsia="Arial" w:hAnsi="Arial"/>
          <w:sz w:val="18"/>
          <w:szCs w:val="18"/>
          <w:color w:val="auto"/>
        </w:rPr>
        <w:t>On the other hand, if we underestimate demand for our products, or if our suppliers fail to supply quality products in a timely manner, we may experience inventory shortages, which might result in missed sales, diminished brand loyalty and lost revenues, any of which could harm our e-commerce business and reputation.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experienced a decline in the rate of growth of our online games which appears to be a result of the outbreak of severe acute respiratory syndrome, or SARS, in 2003. Any recurrence of SARS or another widespread public health problem could adversely affect our business and results of operations.</w:t>
      </w:r>
    </w:p>
    <w:p>
      <w:pPr>
        <w:spacing w:after="0" w:line="180" w:lineRule="exact"/>
        <w:rPr>
          <w:sz w:val="20"/>
          <w:szCs w:val="20"/>
          <w:color w:val="auto"/>
        </w:rPr>
      </w:pPr>
    </w:p>
    <w:p>
      <w:pPr>
        <w:ind w:right="100" w:firstLine="506"/>
        <w:spacing w:after="0" w:line="264" w:lineRule="auto"/>
        <w:rPr>
          <w:sz w:val="20"/>
          <w:szCs w:val="20"/>
          <w:color w:val="auto"/>
        </w:rPr>
      </w:pPr>
      <w:r>
        <w:rPr>
          <w:rFonts w:ascii="Arial" w:cs="Arial" w:eastAsia="Arial" w:hAnsi="Arial"/>
          <w:sz w:val="18"/>
          <w:szCs w:val="18"/>
          <w:color w:val="auto"/>
        </w:rPr>
        <w:t>During April and May 2003, we experienced a decline in the rate of growth of our online game services which we believe resulted from the closure of Internet cafés in Beijing and elsewhere to prevent the spread of SARS. Many users of our online game services can only access those services at Internet cafés.</w:t>
      </w:r>
    </w:p>
    <w:p>
      <w:pPr>
        <w:spacing w:after="0" w:line="181" w:lineRule="exact"/>
        <w:rPr>
          <w:sz w:val="20"/>
          <w:szCs w:val="20"/>
          <w:color w:val="auto"/>
        </w:rPr>
      </w:pPr>
    </w:p>
    <w:p>
      <w:pPr>
        <w:jc w:val="both"/>
        <w:ind w:right="200" w:firstLine="506"/>
        <w:spacing w:after="0" w:line="257" w:lineRule="auto"/>
        <w:rPr>
          <w:sz w:val="20"/>
          <w:szCs w:val="20"/>
          <w:color w:val="auto"/>
        </w:rPr>
      </w:pPr>
      <w:r>
        <w:rPr>
          <w:rFonts w:ascii="Arial" w:cs="Arial" w:eastAsia="Arial" w:hAnsi="Arial"/>
          <w:sz w:val="18"/>
          <w:szCs w:val="18"/>
          <w:color w:val="auto"/>
        </w:rPr>
        <w:t>There have been confirmed human cases of the H5N1 strain of influenza virus, commonly referred to as “bird flu” or “avian influenza,” in the PRC, Vietnam, Iraq, Thailand, Indonesia, Turkey, Cambodia and other countries, which have proven fatal in some instances. In addition, in April 2009, H1N1, a new strain of the influenza virus commonly referred to as “swine flu,” was first discovered in North America and quickly spread to other parts of the world, including China. There have also been recent reports of outbreaks of an avian flu caused by the H7N9 virus, or H7N9, including confirmed human cases, in China.</w:t>
      </w:r>
    </w:p>
    <w:p>
      <w:pPr>
        <w:spacing w:after="0" w:line="188" w:lineRule="exact"/>
        <w:rPr>
          <w:sz w:val="20"/>
          <w:szCs w:val="20"/>
          <w:color w:val="auto"/>
        </w:rPr>
      </w:pPr>
    </w:p>
    <w:p>
      <w:pPr>
        <w:jc w:val="both"/>
        <w:ind w:right="120" w:firstLine="506"/>
        <w:spacing w:after="0" w:line="264" w:lineRule="auto"/>
        <w:rPr>
          <w:sz w:val="20"/>
          <w:szCs w:val="20"/>
          <w:color w:val="auto"/>
        </w:rPr>
      </w:pPr>
      <w:r>
        <w:rPr>
          <w:rFonts w:ascii="Arial" w:cs="Arial" w:eastAsia="Arial" w:hAnsi="Arial"/>
          <w:sz w:val="18"/>
          <w:szCs w:val="18"/>
          <w:color w:val="auto"/>
        </w:rPr>
        <w:t>A renewed outbreak of SARS, the spread of H5N1, H1N1 or H7N9, or another widespread public health problem in China, where virtually all of our revenue is derived, or in Beijing, Shanghai, Guangzhou or Hangzhou, where most of our employees are located, could have a negative effect on our business and operations.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operations may be impacted by a number of health-related factors, including, among other things:</w:t>
      </w:r>
    </w:p>
    <w:p>
      <w:pPr>
        <w:spacing w:after="0" w:line="225" w:lineRule="exact"/>
        <w:rPr>
          <w:sz w:val="20"/>
          <w:szCs w:val="20"/>
          <w:color w:val="auto"/>
        </w:rPr>
      </w:pPr>
    </w:p>
    <w:p>
      <w:pPr>
        <w:ind w:left="940" w:hanging="428"/>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quarantines or closures of some of our offices which would severely disrupt our operations;</w:t>
      </w:r>
    </w:p>
    <w:p>
      <w:pPr>
        <w:spacing w:after="0" w:line="225" w:lineRule="exact"/>
        <w:rPr>
          <w:rFonts w:ascii="Arial" w:cs="Arial" w:eastAsia="Arial" w:hAnsi="Arial"/>
          <w:sz w:val="18"/>
          <w:szCs w:val="18"/>
          <w:color w:val="auto"/>
        </w:rPr>
      </w:pPr>
    </w:p>
    <w:p>
      <w:pPr>
        <w:ind w:left="960" w:hanging="446"/>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sickness or death of our key officers and employees;</w:t>
      </w:r>
    </w:p>
    <w:p>
      <w:pPr>
        <w:spacing w:after="0" w:line="225" w:lineRule="exact"/>
        <w:rPr>
          <w:rFonts w:ascii="Arial" w:cs="Arial" w:eastAsia="Arial" w:hAnsi="Arial"/>
          <w:sz w:val="18"/>
          <w:szCs w:val="18"/>
          <w:color w:val="auto"/>
        </w:rPr>
      </w:pPr>
    </w:p>
    <w:p>
      <w:pPr>
        <w:ind w:left="960" w:hanging="446"/>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closure of Internet cafés and other public areas where people access the Internet; and</w:t>
      </w:r>
    </w:p>
    <w:p>
      <w:pPr>
        <w:spacing w:after="0" w:line="225" w:lineRule="exact"/>
        <w:rPr>
          <w:rFonts w:ascii="Arial" w:cs="Arial" w:eastAsia="Arial" w:hAnsi="Arial"/>
          <w:sz w:val="18"/>
          <w:szCs w:val="18"/>
          <w:color w:val="auto"/>
        </w:rPr>
      </w:pPr>
    </w:p>
    <w:p>
      <w:pPr>
        <w:ind w:left="960" w:hanging="446"/>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general slowdown in the Chinese economy.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 foregoing events or other unforeseen consequences of public health problems could adversely affect our business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success of our business is dependent on our ability to retain our existing key employees and to add and retain senior officers to our management.</w:t>
      </w:r>
    </w:p>
    <w:p>
      <w:pPr>
        <w:spacing w:after="0" w:line="264"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While we believe we offer compensation packages that are consistent with</w:t>
      </w:r>
    </w:p>
    <w:p>
      <w:pPr>
        <w:sectPr>
          <w:pgSz w:w="11900" w:h="16867" w:orient="portrait"/>
          <w:cols w:equalWidth="0" w:num="1">
            <w:col w:w="11420"/>
          </w:cols>
          <w:pgMar w:left="240" w:top="125" w:right="239" w:bottom="0" w:gutter="0" w:footer="0" w:header="0"/>
        </w:sectPr>
      </w:pPr>
    </w:p>
    <w:bookmarkStart w:id="11" w:name="page12"/>
    <w:bookmarkEnd w:id="11"/>
    <w:p>
      <w:pPr>
        <w:spacing w:after="0" w:line="2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pacing w:after="0" w:line="17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Our revenues fluctuate significantly and may adversely impact the trading price of our American Depositary Shares, or ADSs, or any other securities which become publicly traded.</w:t>
      </w:r>
    </w:p>
    <w:p>
      <w:pPr>
        <w:spacing w:after="0" w:line="166" w:lineRule="exact"/>
        <w:rPr>
          <w:sz w:val="20"/>
          <w:szCs w:val="20"/>
          <w:color w:val="auto"/>
        </w:rPr>
      </w:pPr>
    </w:p>
    <w:p>
      <w:pPr>
        <w:ind w:right="140" w:firstLine="506"/>
        <w:spacing w:after="0" w:line="277" w:lineRule="auto"/>
        <w:rPr>
          <w:sz w:val="20"/>
          <w:szCs w:val="20"/>
          <w:color w:val="auto"/>
        </w:rPr>
      </w:pPr>
      <w:r>
        <w:rPr>
          <w:rFonts w:ascii="Arial" w:cs="Arial" w:eastAsia="Arial" w:hAnsi="Arial"/>
          <w:sz w:val="18"/>
          <w:szCs w:val="18"/>
          <w:color w:val="auto"/>
        </w:rPr>
        <w:t>Our revenues and results of operations have varied significantly in the past and may continue to fluctuate in the future. Many of the factors that cause such fluctuation are outside our control. Steady revenues and results of operations will depend largely on our ability to:</w:t>
      </w:r>
    </w:p>
    <w:p>
      <w:pPr>
        <w:spacing w:after="0" w:line="170" w:lineRule="exact"/>
        <w:rPr>
          <w:sz w:val="20"/>
          <w:szCs w:val="20"/>
          <w:color w:val="auto"/>
        </w:rPr>
      </w:pPr>
    </w:p>
    <w:p>
      <w:pPr>
        <w:ind w:left="940" w:hanging="42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and retain users to our websites and online games in the increasingly competitive Internet market in China;</w:t>
      </w:r>
    </w:p>
    <w:p>
      <w:pPr>
        <w:spacing w:after="0" w:line="225" w:lineRule="exact"/>
        <w:rPr>
          <w:rFonts w:ascii="Arial" w:cs="Arial" w:eastAsia="Arial" w:hAnsi="Arial"/>
          <w:sz w:val="18"/>
          <w:szCs w:val="18"/>
          <w:color w:val="auto"/>
        </w:rPr>
      </w:pPr>
    </w:p>
    <w:p>
      <w:pPr>
        <w:ind w:left="940" w:hanging="42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implement our business strategies as planned; and</w:t>
      </w:r>
    </w:p>
    <w:p>
      <w:pPr>
        <w:spacing w:after="0" w:line="225" w:lineRule="exact"/>
        <w:rPr>
          <w:rFonts w:ascii="Arial" w:cs="Arial" w:eastAsia="Arial" w:hAnsi="Arial"/>
          <w:sz w:val="18"/>
          <w:szCs w:val="18"/>
          <w:color w:val="auto"/>
        </w:rPr>
      </w:pPr>
    </w:p>
    <w:p>
      <w:pPr>
        <w:ind w:left="940" w:hanging="422"/>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update and develop our Internet applications, services, technologies and infrastructure.</w:t>
      </w:r>
    </w:p>
    <w:p>
      <w:pPr>
        <w:spacing w:after="0" w:line="225"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Historically, revenues from advertising and e-mail services have followed the same general seasonal trend throughout each year with the first quarter of the year being the weakest quarter due to the Chinese New Year holiday and the traditional close of customers’ annual budgets and the fourth quarter being the strongest. Usage of our e-commerce services and online games has generally increased around the Chinese New Year holiday and other Chinese holidays, in particular winter and summer school holidays during which school-aged users have more time to use such services and play games.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ADSs or any other securities of ours which may become publicly traded to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fail to establish and maintain relationships with content providers, we may not be able to attract traffic to the NetEase websites and mobile apps.</w:t>
      </w:r>
    </w:p>
    <w:p>
      <w:pPr>
        <w:spacing w:after="0" w:line="166" w:lineRule="exact"/>
        <w:rPr>
          <w:sz w:val="20"/>
          <w:szCs w:val="20"/>
          <w:color w:val="auto"/>
        </w:rPr>
      </w:pPr>
    </w:p>
    <w:p>
      <w:pPr>
        <w:ind w:right="100" w:firstLine="506"/>
        <w:spacing w:after="0" w:line="271" w:lineRule="auto"/>
        <w:rPr>
          <w:sz w:val="20"/>
          <w:szCs w:val="20"/>
          <w:color w:val="auto"/>
        </w:rPr>
      </w:pPr>
      <w:r>
        <w:rPr>
          <w:rFonts w:ascii="Arial" w:cs="Arial" w:eastAsia="Arial" w:hAnsi="Arial"/>
          <w:sz w:val="17"/>
          <w:szCs w:val="17"/>
          <w:color w:val="auto"/>
        </w:rPr>
        <w:t>We rely on a number of third-party relationships to attract traffic and provide content in order to make the NetEase websites and mobile apps more attractive to users and advertisers. Most of our arrangements with content providers are short-term and may be terminated at the convenience of the other party. Some content providers have increased the fees they charge us for their content. This trend could increase our costs and operating expenses and could adversely affect our ability to obtain content at an economically acceptable cost. Moreover, our agreements with content providers are usually non-exclusive, although some of our competitors have been entering into exclusive arrangements for certain content, particularly online video content. If we are not able to renew our agreements with content providers or our competitors obtain exclusive rights to content which we wish to offer on the NetEase websites and mobile apps, the attractiveness of our portal and other media to users will be severely impaired. Also, if other Internet companies present the same or similar content in a superior manner, it would adversely affect our visitor traffic.</w:t>
      </w:r>
    </w:p>
    <w:p>
      <w:pPr>
        <w:spacing w:after="0" w:line="17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do not own Guangzhou NetEase Computer System Co., Ltd., or Guangzhou NetEase, and certain other affiliated entities, and if they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180" w:lineRule="exact"/>
        <w:rPr>
          <w:sz w:val="20"/>
          <w:szCs w:val="20"/>
          <w:color w:val="auto"/>
        </w:rPr>
      </w:pPr>
    </w:p>
    <w:p>
      <w:pPr>
        <w:ind w:right="40" w:firstLine="510"/>
        <w:spacing w:after="0" w:line="267" w:lineRule="auto"/>
        <w:rPr>
          <w:sz w:val="20"/>
          <w:szCs w:val="20"/>
          <w:color w:val="auto"/>
        </w:rPr>
      </w:pPr>
      <w:r>
        <w:rPr>
          <w:rFonts w:ascii="Arial" w:cs="Arial" w:eastAsia="Arial" w:hAnsi="Arial"/>
          <w:sz w:val="17"/>
          <w:szCs w:val="17"/>
          <w:color w:val="auto"/>
        </w:rPr>
        <w:t>Certain of our affiliated companies are owned by shareholders whose interests may differ from ours and those of our shareholders because they own a larger percentage of such companies than of our company. In particular, the business and operations of Guangzhou NetEase, the operator of the NetEase websites and a provider of online games, e-mail, e-commerce and other fee-based premium services, Wangyibao Co., Ltd., or Wangyibao, the operator of our Wangyibao online payment platform and a wholly-owned subsidiary of Guangzhou NetEase, Beijing NetEase Youdao Computer System Co., Ltd., or Youdao Computer, a search-related business operator and a majority-owned subsidiary of Guangzhou NetEase, Beijing NetEase Media Co., Ltd. (previously named Beijing Guangyitong Advertising Co., Ltd.), or NetEase Advertising, an advertising firm, and Hangzhou NetEase Leihuo Network Co., Ltd., or Hangzhou Leihuo, a provider of mobile games, and certain other affiliated companies, are subject to Chinese laws and regulations that differ from the laws and regulations that govern the business and operations of NetEase. For example, Chinese laws and regulations require us to verify the content of third-party advertising we place on the NetEase websites, and we are partly dependent upon the conduct of NetEase Advertising, which is not directly subject to those laws and regulations, in order to ensure that we remain compliant with those laws and regulations. These affiliated companies or their ultimate shareholders could violate our arrangements with them by, among other things, failing to operate and maintain the NetEase websites or their various businesses in an acceptable manner, failing to remit revenue to us on a timely basis or at all or diverting customers or business opportunities from our company. In addition, the operation of the online games licensed from Blizzard is dependent on Shanghai EaseNet, which is owned by William Lei Ding, our Chief Executive Officer, director and major shareholder, and has contractual arrangements with us and with the joint venture established between Blizzard and us. The interests of Mr. Ding and the joint venture may differ from ours and those of our shareholders. A violation of the foregoing agreements could disrupt our business and adversely affect our reputation in the market. If these companies or their ultimate shareholders violate our agreements with them, we may have to incur substantial costs and expend significant resources to enforce those arrangements and rely on legal remedies under the PRC laws. The PRC laws, rules and regulations are relatively new, and because of the limited volume of published decisions and their non-binding nature, the interpretation and enforcement of these laws, rules and regulations involve substantial uncertainties. These uncertainties may impede our ability to enforce these agreements, or suffer significant delay or other obstacles in the process of enforcing these agreements and may materially and adversely affect our results of operations and financial position.</w:t>
      </w:r>
    </w:p>
    <w:p>
      <w:pPr>
        <w:spacing w:after="0" w:line="18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Because our contractual arrangements with Guangzhou NetEase and certain other affiliated entities and their ultimate shareholders do not detail the parties’ rights and obligations, our remedies for a breach of these arrangements are limited.</w:t>
      </w:r>
    </w:p>
    <w:p>
      <w:pPr>
        <w:spacing w:after="0" w:line="16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current relationship with Guangzhou NetEase and certain other affiliated entities and their ultimate shareholders is based on a number of contracts, and these affiliated companies are considered our “variable interest entities,” or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Guangzhou NetEase and certain other affiliated entities or their ultimate shareholders for breaching our agreements.</w:t>
      </w:r>
    </w:p>
    <w:p>
      <w:pPr>
        <w:sectPr>
          <w:pgSz w:w="11900" w:h="16867" w:orient="portrait"/>
          <w:cols w:equalWidth="0" w:num="1">
            <w:col w:w="11420"/>
          </w:cols>
          <w:pgMar w:left="240" w:top="125" w:right="239" w:bottom="0" w:gutter="0" w:footer="0" w:header="0"/>
        </w:sectPr>
      </w:pPr>
    </w:p>
    <w:bookmarkStart w:id="12" w:name="page13"/>
    <w:bookmarkEnd w:id="12"/>
    <w:p>
      <w:pPr>
        <w:ind w:right="60"/>
        <w:spacing w:after="0" w:line="277" w:lineRule="auto"/>
        <w:rPr>
          <w:sz w:val="20"/>
          <w:szCs w:val="20"/>
          <w:color w:val="auto"/>
        </w:rPr>
      </w:pPr>
      <w:r>
        <w:rPr>
          <w:rFonts w:ascii="Arial" w:cs="Arial" w:eastAsia="Arial" w:hAnsi="Arial"/>
          <w:sz w:val="18"/>
          <w:szCs w:val="18"/>
          <w:color w:val="auto"/>
        </w:rPr>
        <w:t>Because we rely significantly on these companies for our business, the realization of any of these risks may disrupt our operations or cause degradation in the quality and service provided on, or a temporary or permanent shutdown of, the NetEase websites.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A majority of the share capital of Guangzhou NetEase, NetEase Advertising, Wangyibao and Youdao Computer and the entire share capital of Shanghai EaseNet is held by our major shareholder, who may cause these agreements to be amended in a manner that is adverse to us.</w:t>
      </w:r>
    </w:p>
    <w:p>
      <w:pPr>
        <w:spacing w:after="0" w:line="120" w:lineRule="exact"/>
        <w:rPr>
          <w:sz w:val="20"/>
          <w:szCs w:val="20"/>
          <w:color w:val="auto"/>
        </w:rPr>
      </w:pPr>
    </w:p>
    <w:p>
      <w:pPr>
        <w:ind w:right="100" w:firstLine="504"/>
        <w:spacing w:after="0" w:line="290" w:lineRule="auto"/>
        <w:rPr>
          <w:sz w:val="20"/>
          <w:szCs w:val="20"/>
          <w:color w:val="auto"/>
        </w:rPr>
      </w:pPr>
      <w:r>
        <w:rPr>
          <w:rFonts w:ascii="Arial" w:cs="Arial" w:eastAsia="Arial" w:hAnsi="Arial"/>
          <w:sz w:val="16"/>
          <w:szCs w:val="16"/>
          <w:color w:val="auto"/>
        </w:rPr>
        <w:t>Our major shareholder, William Lei Ding, directly or indirectly holds the majority interest in Guangzhou NetEase, NetEase Advertising, Wangyibao and Youdao Computer. As a result, Mr. Ding may be able to cause the agreements related to those companies to be amended in a manner that will be adverse to our company, or may be able to cause these agreements not to be renewed, even if their renewal would be beneficial for us. Although we have entered into an agreement that prevents the amendment of these agreements without the approval of the members of our Board other than Mr. Ding, we can provide no assurances that these agreements will not be amended in the future to contain terms that might differ from the terms that are currently in place. These differences may be adverse to our interests. In addition, William Lei Ding also holds the entire share capital of Shanghai EaseNet, and we can provide no assurance that Mr. Ding will not cause the agreements related to Shanghai EaseNet to be amended in the future in a manner that will be adverse to us or to contain terms that might differ from the terms that are currently in place. These differences may be adverse to our interests.</w:t>
      </w:r>
    </w:p>
    <w:p>
      <w:pPr>
        <w:spacing w:after="0" w:line="16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may not be able to conduct our operations without the services provided by Guangzhou NetEase, NetEase Advertising, Hangzhou Leihuo, Shanghai EaseNet and certain other affiliated entities.</w:t>
      </w:r>
    </w:p>
    <w:p>
      <w:pPr>
        <w:spacing w:after="0" w:line="166"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Our operations are currently dependent upon our commercial relationships with Guangzhou NetEase, NetEase Advertising, Hangzhou Leihuo, Shanghai EaseNet and certain other affiliated entities, and we derive most of our revenues from these companies. If these companies are unwilling or unable to perform the agreements which we have entered into with them, we may not be able to conduct our operations in the manner in which we currently do. In addition, Guangzhou NetEase, NetEase Advertising, Hangzhou Leihuo, Shanghai EaseNet and certain other affiliated entities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of our shareholders has significant influence over our company.</w:t>
      </w:r>
    </w:p>
    <w:p>
      <w:pPr>
        <w:spacing w:after="0" w:line="22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founder, Chief Executive Officer and director, William Lei Ding, beneficially owned, as of December 31, 2015, approximately 44.3% of our outstanding ordinary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189"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Our corporate structure may restrict our ability to receive dividends from, and transfer funds to, our PRC subsidiaries and variable interest entities, which could restrict our ability to act in response to changing market conditions and reallocate funds internally in a timely manner.</w:t>
      </w:r>
    </w:p>
    <w:p>
      <w:pPr>
        <w:spacing w:after="0" w:line="142"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NetEase, Inc. is a holding company with no significant assets other than cash on hand and its equity interests in its directly and indirectly-owned subsidiaries, including those set forth in the organizational diagram appearing in Item 4.B. “Business Overview—Our Organizational Structure.” As a result, our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ADSs and service any debt we may incur. PRC tax authorities may also require us to amend our contractual arrangements with Guangzhou NetEase, NetEase Advertising, Hangzhou Leihuo, Shanghai EaseNet and certain other affiliated entities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PRC subsidiaries and variable interest entities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“—We may be treated as a resident enterprise for PRC tax purposes following the promulgation of the Enterprise Income Tax Law on January 1, 2008,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below for further details. Any limitation on the ability of our PRC subsidiaries and variable interest entities to transfer funds to us in the form of dividends or other distributions could materially and adversely limit our ability to grow, make investments or acquisitions that could be beneficial to our businesses, pay debt or dividends, and otherwise fund and conduct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 addition, any transfer of funds from us to any of our PRC subsidiaries or variable interest entities,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PRC subsidiaries and variable interest entities are not permitted under PRC law to directly lend money to one another. Therefore, it is difficult to change our capital expenditure plans once the relevant funds have been remitted from our company to our PRC subsidiaries or variable interest entities. These limitations on the free flow of funds between us and our PRC subsidiaries and variable interest entities could restrict our ability to act in response to changing market conditions and reallocate funds internally in a timely manner.</w:t>
      </w:r>
    </w:p>
    <w:p>
      <w:pPr>
        <w:spacing w:after="0" w:line="185"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Our arrangements with Guangzhou NetEase, NetEase Advertising, Hangzhou Leihuo, Shanghai EaseNet and certain other affiliated entities and their respective shareholders may cause a transfer pricing adjustment and may be subject to scrutiny by the PRC tax authorities.</w:t>
      </w:r>
    </w:p>
    <w:p>
      <w:pPr>
        <w:sectPr>
          <w:pgSz w:w="11900" w:h="16838" w:orient="portrait"/>
          <w:cols w:equalWidth="0" w:num="1">
            <w:col w:w="11420"/>
          </w:cols>
          <w:pgMar w:left="240" w:top="125" w:right="239" w:bottom="0" w:gutter="0" w:footer="0" w:header="0"/>
        </w:sectPr>
      </w:pPr>
    </w:p>
    <w:bookmarkStart w:id="13" w:name="page14"/>
    <w:bookmarkEnd w:id="13"/>
    <w:p>
      <w:pPr>
        <w:ind w:right="160" w:firstLine="510"/>
        <w:spacing w:after="0" w:line="276" w:lineRule="auto"/>
        <w:rPr>
          <w:sz w:val="20"/>
          <w:szCs w:val="20"/>
          <w:color w:val="auto"/>
        </w:rPr>
      </w:pPr>
      <w:r>
        <w:rPr>
          <w:rFonts w:ascii="Arial" w:cs="Arial" w:eastAsia="Arial" w:hAnsi="Arial"/>
          <w:sz w:val="17"/>
          <w:szCs w:val="17"/>
          <w:color w:val="auto"/>
        </w:rPr>
        <w:t>We could face material and adverse tax consequences if the PRC tax authorities determine that our contracts with Guangzhou NetEase, NetEase Advertising, Hangzhou Leihuo, Shanghai EaseNet and certain other affiliated entities and their respective shareholders were not entered into based on arm’s length negotiations. Although our contractual arrangements are similar to those of other companies conducting similar operations in China, if the PRC tax authorities determine that these contracts were not entered into on an arm’s length basis, they may adjust our income and expenses for PRC tax purposes in the form of a transfer pricing adjustment which may result in an increase in our taxes.</w:t>
      </w:r>
    </w:p>
    <w:p>
      <w:pPr>
        <w:spacing w:after="0" w:line="16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A transfer of shares of Guangzhou NetEase, NetEase Advertising, Hangzhou Leihuo, Shanghai EaseNet or certain other affiliated entities may trigger tax liability.</w:t>
      </w:r>
    </w:p>
    <w:p>
      <w:pPr>
        <w:spacing w:after="0" w:line="166"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If we need to cause the transfer of shareholdings of Guangzhou NetEase, NetEase Advertising, Hangzhou Leihuo, Shanghai EaseNet or certain other affiliated entities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and results of operations.</w:t>
      </w:r>
    </w:p>
    <w:p>
      <w:pPr>
        <w:spacing w:after="0" w:line="189"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business benefits from certain PRC government incentives. Expiration of, or changes to, these incentives and PRC tax laws could have a material adverse effect on our operating results.</w:t>
      </w:r>
    </w:p>
    <w:p>
      <w:pPr>
        <w:spacing w:after="0" w:line="166"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Effective as of January 1, 2008, the Chinese government adopted the Enterprise Income Tax Law, as further clarified by subsequent tax regulations implementing the new income tax law, which unified the enterprise income tax rates payable by domestic and foreign-invested enterprises at 25.0%. Preferential tax treatments continue to be granted to entities that conduct business in encouraged sectors and to entities that are classified as “High and New Technology Enterprises”, or HNTEs, or “Software Enterprises” or “Key Software Enterprises”, whether such entities are foreign invested enterprises or domestic companies.</w:t>
      </w:r>
    </w:p>
    <w:p>
      <w:pPr>
        <w:spacing w:after="0" w:line="188" w:lineRule="exact"/>
        <w:rPr>
          <w:sz w:val="20"/>
          <w:szCs w:val="20"/>
          <w:color w:val="auto"/>
        </w:rPr>
      </w:pPr>
    </w:p>
    <w:p>
      <w:pPr>
        <w:ind w:right="100" w:firstLine="504"/>
        <w:spacing w:after="0" w:line="276" w:lineRule="auto"/>
        <w:rPr>
          <w:sz w:val="20"/>
          <w:szCs w:val="20"/>
          <w:color w:val="auto"/>
        </w:rPr>
      </w:pPr>
      <w:r>
        <w:rPr>
          <w:rFonts w:ascii="Arial" w:cs="Arial" w:eastAsia="Arial" w:hAnsi="Arial"/>
          <w:sz w:val="17"/>
          <w:szCs w:val="17"/>
          <w:color w:val="auto"/>
        </w:rPr>
        <w:t>A number of our subsidiaries enjoy preferential tax rates by being recognized as a HNTE and/or a “Key Software Enterprise.” For example, in 2013, NetEase Beijing, Boguan and NetEase (Hangzhou) Network Co., Ltd., or NetEase Hangzhou, were approved as “Key Software Enterprises” and enjoyed preferential tax rates of 10.0% from 2011 to 2014. These three entities were also qualified as HNTEs in 2014 and enjoyed a preferential tax rate of 15% from 2015 to 2016. In addition, NetEase Media Technology (Beijing) Co., Ltd., or Media Beijing, was qualified as a HNTE in 2014 and enjoyed a preferential tax rate of 15% from 2014 to 2016. See Item 5.A. “Operating Results — Income Taxes.”</w:t>
      </w:r>
    </w:p>
    <w:p>
      <w:pPr>
        <w:spacing w:after="0" w:line="173" w:lineRule="exact"/>
        <w:rPr>
          <w:sz w:val="20"/>
          <w:szCs w:val="20"/>
          <w:color w:val="auto"/>
        </w:rPr>
      </w:pPr>
    </w:p>
    <w:p>
      <w:pPr>
        <w:ind w:right="80" w:firstLine="594"/>
        <w:spacing w:after="0" w:line="273" w:lineRule="auto"/>
        <w:rPr>
          <w:sz w:val="20"/>
          <w:szCs w:val="20"/>
          <w:color w:val="auto"/>
        </w:rPr>
      </w:pPr>
      <w:r>
        <w:rPr>
          <w:rFonts w:ascii="Arial" w:cs="Arial" w:eastAsia="Arial" w:hAnsi="Arial"/>
          <w:sz w:val="17"/>
          <w:szCs w:val="17"/>
          <w:color w:val="auto"/>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status are subject to an annual assessment by the relevant government authorities in China. Without any preferential tax status, the standard EIT rate is 25.0%. Moreover, if there are further changes to the relevant income tax laws and their implementation, our subsidiaries and variable interest entities may need to pay additional taxes, which could have a material adverse effect on our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right="80"/>
        <w:spacing w:after="0" w:line="314" w:lineRule="auto"/>
        <w:rPr>
          <w:sz w:val="20"/>
          <w:szCs w:val="20"/>
          <w:color w:val="auto"/>
        </w:rPr>
      </w:pPr>
      <w:r>
        <w:rPr>
          <w:rFonts w:ascii="Arial" w:cs="Arial" w:eastAsia="Arial" w:hAnsi="Arial"/>
          <w:sz w:val="16"/>
          <w:szCs w:val="16"/>
          <w:b w:val="1"/>
          <w:bCs w:val="1"/>
          <w:color w:val="auto"/>
        </w:rPr>
        <w:t>We may be treated as a resident enterprise for PRC tax purposes following the promulgation of the Enterprise Income Tax Law on January 1, 2008,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spacing w:after="0" w:line="146"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Under the Enterprise Income Tax Law, enterprises established outside of the PRC whose “de facto management bodies” are located in the PRC are considered “resident enterprises,” and will generally be subject to the uniform 25.0% enterprise income tax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spacing w:after="0" w:line="178"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Some of our management is currently located in the PRC. Accordingly, we may be considered a “resident enterprise” and may therefore be subject to the EIT rate of 25.0% of our global income, and as a result, the amount of dividends we can pay to our shareholders could be reduced. We cannot confirm whether we will be considered a “resident enterprise” because the implementation rules are unclear at this time.</w:t>
      </w:r>
    </w:p>
    <w:p>
      <w:pPr>
        <w:spacing w:after="0" w:line="16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Under the implementation rules of the Enterprise Income Tax Law, dividends paid to “non-resident enterprises” by “resident enterprises” on profits earned after January 1, 2008 are regarded as income from “sources within the PRC” and therefore subject to a 10.0% withholding income tax, while dividends on profits earned before January 1, 2008 are not subject to the withholding income tax. Similarly, gains realized on the transfer of ordinary shares or ADSs by “non-resident enterprises” are also subject to a 10.0% PRC enterprise income tax if such gains are regarded as income derived from sources within the PRC. A lower withholding income tax rate of 5.0% is applied if the “non-resident enterprises” are registered in Hong Kong or other jurisdictions that have a favorable tax treaty arrangement with China. Nevertheless, the PRC State Administration of Taxation promulgated a tax notice on October 27, 2009, or Circular 601, which provides that tax treaty benefits will be denied to “conduit” or shell companies without business substance, and a beneficial ownership analysis will be used based on a “substance-over-form” principle to determine whether or not to grant tax treaty benefits. It is unclear at this stage whether Circular 601 applies to dividends from our PRC subsidiaries paid to us through our Hong Kong subsidiaries. It is possible that under Circular 601 our Hong Kong subsidiaries would not be considered to be the beneficial owners of any such dividends, and that, if such dividends are subject to withholding, such withholding rate would be 10% rather than the favorable 5% rate generally applicable under the tax treaty between mainland China and Hong Kong.</w:t>
      </w:r>
    </w:p>
    <w:p>
      <w:pPr>
        <w:spacing w:after="0" w:line="173"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Because we may be treated as a “resident enterprise,” any dividends paid to the corporate shareholders or shareholders appearing as corporate entities on the share registers of NetEase, Inc. which are considered “non-resident enterprises” may be subject to withholding income tax, and gains realized on the transfer of our ordinary shares or ADSs by such shareholders may be subject to PRC income tax, which may adversely and materially affect the value of the investment in our shares or ADSs.</w:t>
      </w:r>
    </w:p>
    <w:p>
      <w:pPr>
        <w:sectPr>
          <w:pgSz w:w="11900" w:h="16838" w:orient="portrait"/>
          <w:cols w:equalWidth="0" w:num="1">
            <w:col w:w="11420"/>
          </w:cols>
          <w:pgMar w:left="240" w:top="125" w:right="239" w:bottom="0" w:gutter="0" w:footer="0" w:header="0"/>
        </w:sectPr>
      </w:pPr>
    </w:p>
    <w:bookmarkStart w:id="14" w:name="page15"/>
    <w:bookmarkEnd w:id="14"/>
    <w:p>
      <w:pPr>
        <w:spacing w:after="0" w:line="24"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If we fail to maintain an effective system of internal control over financial reporting, we may lose investor confidence in the reliability of our financial statements which in turn could negatively impact the trading price of our ADSs or otherwise harm our reputation.</w:t>
      </w:r>
    </w:p>
    <w:p>
      <w:pPr>
        <w:spacing w:after="0" w:line="142"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spacing w:after="0" w:line="187"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and concluded that our internal control over financial reporting was effective as of December 31, 2015. Our independent registered public accounting firm has also, in its audit report, concluded that our internal control over financial reporting was effective in all material aspects as of December 31, 2015. Please refer to Item 15 “Controls and Procedures— Management’s Annual Report on Internal Control over Financial Reporting and Attestation Report of the Registered Public Accounting Firm.”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ADSs or otherwise harm our reputation. Furthermore, we may need to incur additional costs and use additional management and other resources in an effort to comply with Section 404 of the Sarbanes-Oxley Act of 2002 and other requirements going forward.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network interruption caused by system failures may reduce visitor traffic and harm our reputation.</w:t>
      </w:r>
    </w:p>
    <w:p>
      <w:pPr>
        <w:spacing w:after="0" w:line="229" w:lineRule="exact"/>
        <w:rPr>
          <w:sz w:val="20"/>
          <w:szCs w:val="20"/>
          <w:color w:val="auto"/>
        </w:rPr>
      </w:pPr>
    </w:p>
    <w:p>
      <w:pPr>
        <w:ind w:right="60" w:firstLine="510"/>
        <w:spacing w:after="0" w:line="297" w:lineRule="auto"/>
        <w:rPr>
          <w:sz w:val="20"/>
          <w:szCs w:val="20"/>
          <w:color w:val="auto"/>
        </w:rPr>
      </w:pPr>
      <w:r>
        <w:rPr>
          <w:rFonts w:ascii="Arial" w:cs="Arial" w:eastAsia="Arial" w:hAnsi="Arial"/>
          <w:sz w:val="16"/>
          <w:szCs w:val="16"/>
          <w:color w:val="auto"/>
        </w:rPr>
        <w:t>Both the continual accessibility of the NetEase websites and the performance and reliability of our technical infrastructure are critical to our reputation and the ability of the NetEase websites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appeal to users and advertisers. As the number of NetEase Web pages and traffic increase, we cannot assure you that we will be able to scale our systems proportionately. In addition, any system failures and electrical outages could materially and adversely impact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vulnerable to natural disasters and other events.</w:t>
      </w:r>
    </w:p>
    <w:p>
      <w:pPr>
        <w:spacing w:after="0" w:line="229" w:lineRule="exact"/>
        <w:rPr>
          <w:sz w:val="20"/>
          <w:szCs w:val="20"/>
          <w:color w:val="auto"/>
        </w:rPr>
      </w:pPr>
    </w:p>
    <w:p>
      <w:pPr>
        <w:ind w:right="20" w:firstLine="510"/>
        <w:spacing w:after="0" w:line="276" w:lineRule="auto"/>
        <w:rPr>
          <w:sz w:val="20"/>
          <w:szCs w:val="20"/>
          <w:color w:val="auto"/>
        </w:rPr>
      </w:pPr>
      <w:r>
        <w:rPr>
          <w:rFonts w:ascii="Arial" w:cs="Arial" w:eastAsia="Arial" w:hAnsi="Arial"/>
          <w:sz w:val="17"/>
          <w:szCs w:val="17"/>
          <w:color w:val="auto"/>
        </w:rPr>
        <w:t>We have limited backup systems and have experienced system failures and electrical outages from time to time in the past, which have disrupted our operations. Most of our servers and routers are currently located at several different locations in China. Our disaster recovery plan cannot fully ensure safety in the event of damage from fire, floods, typhoons, earthquakes, power loss, telecommunications failures, break-ins and similar events. If any of the foregoing occurs, we may experience a system shutdown. We do not carry any business interruption insurance. To improve performance and to prevent disruption of our services, we may have to make substantial investments to deploy additional servers.</w:t>
      </w:r>
    </w:p>
    <w:p>
      <w:pPr>
        <w:spacing w:after="0" w:line="173"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We carry property insurance with low coverage limits that may not be adequate to compensate us for all losses, particularly with respect to loss of business and reputation, that may occur.</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addition, fire, floods, droughts, typhoons, earthquakes and other natural disasters could result in material disruptions of our operations and adversely affect our revenues and profit. For example, the PRC government declared April 21, 2010 as a national mourning day for the April 14, 2010 earthquake centered in Qinghai Province. As required by the PRC government, we and the other major online game operators in China suspended our game operations during this national mourning day.</w:t>
      </w:r>
    </w:p>
    <w:p>
      <w:pPr>
        <w:spacing w:after="0" w:line="18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may be subject to breaches of our information technology systems, which could materially adversely affect our reputation and our results of operations and financial position and expose us to liability claims.</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Any compromise of the security of our information technology systems could materially adversely affect the operations of NetEase’s websites, online games and other services and result in improper disclosure of personal information and other data. We transmit and store over our systems confidential and private information of our users, such as personal information, including names, user IDs and passwords, and payment or transaction related information. For example, we rely on our information technology systems to record and monitor the purchase and consumption of virtual items by our game players, which constitute a significant portion of the revenue generated from our online games.</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Hackers develop and deploy viruses, worms, and other malicious software programs to attack websites and gain access to networks and data centers, and there have been a number of well-publicized malicious attacks against a variety of companies worldwide to gain access to non-public information. Hackers may also act in a coordinated manner to launch distributed denial of service attacks, or other coordinated attacks, that may cause service outages or other interruptions. Although we believe that we have not experienced any hacking activity that allowed unauthorized access to any information stored on our information technology systems or caused any loss or corruption of personal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because of the high profile of our company in the Chinese Internet industry.</w:t>
      </w:r>
    </w:p>
    <w:p>
      <w:pPr>
        <w:spacing w:after="0" w:line="17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take a number of measures to ensure that our information technology systems are secure, including ensuring that our servers are hosted at physically secure sites and limiting access to server ports. We also use encryption and authentication technologies to secure the transmission and storage of data. These security measures may be compromised as a result of third-party security breaches, employee error, malfeasance, faulty password management, or other irregularities. Third parties may also attempt to fraudulently induce employees or customers into disclosing user names, passwords or other sensitive information, which may in turn be used to access our information technology systems. We expect that we will be required to continue to expend significant resources to system security, data encryption, and other security measures to protect our systems and data, but these security measures cannot provide absolute security. We may experience a breach of our systems and may be unable to protect sensitive data. For example, if our data on the purchase and consumption of virtual items by our game players is compromised, our ability to accurately recognize revenues from certain of our online games and the playing experience of our game players could be materially and adversely affected. Moreover, if a computer security breach affects our systems or results in the unauthorized release of personal information and other data of our users, our reputation and brand could be materially damaged and use of the NetEase</w:t>
      </w:r>
    </w:p>
    <w:p>
      <w:pPr>
        <w:sectPr>
          <w:pgSz w:w="11900" w:h="16863" w:orient="portrait"/>
          <w:cols w:equalWidth="0" w:num="1">
            <w:col w:w="11420"/>
          </w:cols>
          <w:pgMar w:left="240" w:top="121" w:right="239" w:bottom="0" w:gutter="0" w:footer="0" w:header="0"/>
        </w:sectPr>
      </w:pPr>
    </w:p>
    <w:bookmarkStart w:id="15" w:name="page16"/>
    <w:bookmarkEnd w:id="15"/>
    <w:p>
      <w:pPr>
        <w:ind w:right="580"/>
        <w:spacing w:after="0" w:line="277" w:lineRule="auto"/>
        <w:rPr>
          <w:sz w:val="20"/>
          <w:szCs w:val="20"/>
          <w:color w:val="auto"/>
        </w:rPr>
      </w:pPr>
      <w:r>
        <w:rPr>
          <w:rFonts w:ascii="Arial" w:cs="Arial" w:eastAsia="Arial" w:hAnsi="Arial"/>
          <w:sz w:val="18"/>
          <w:szCs w:val="18"/>
          <w:color w:val="auto"/>
        </w:rPr>
        <w:t>websites and our services could decrease. We could also be exposed to a risk of loss or litigation and possible liability, which could result in a material adverse effect on our business, results of operations and financial condition.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laws and other obligations regarding data protection in China.</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VIEs, and among our company, our subsidiaries, VIEs and other parties with which we have commercial relations. These laws are continuing to develop, and the PRC government may adopt other rules and restrictions in the future. Complying with emerging and changing requirements may cause us to incur substantial costs or require us to change our business practices. Noncompliance could result in penalties or significant legal liability, including fines and public announcements of misconduct by the relevant telecommunication regulatory authorities.</w:t>
      </w:r>
    </w:p>
    <w:p>
      <w:pPr>
        <w:spacing w:after="0" w:line="16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privacy policies and practices concerning the use and disclosure of data are posted on the NetEase websites.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results of operations and financial condition. In addition, any negative publicity on our website’s safety or privacy protection mechanism and policy could have a material and adverse effect on our business, results of operations and financial condition, public image and reputation.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acquisitions and investments could result in operating difficulties, dilution and other harmful consequences.</w:t>
      </w:r>
    </w:p>
    <w:p>
      <w:pPr>
        <w:spacing w:after="0" w:line="229" w:lineRule="exact"/>
        <w:rPr>
          <w:sz w:val="20"/>
          <w:szCs w:val="20"/>
          <w:color w:val="auto"/>
        </w:rPr>
      </w:pPr>
    </w:p>
    <w:p>
      <w:pPr>
        <w:jc w:val="both"/>
        <w:ind w:right="100" w:firstLine="389"/>
        <w:spacing w:after="0" w:line="259" w:lineRule="auto"/>
        <w:rPr>
          <w:sz w:val="20"/>
          <w:szCs w:val="20"/>
          <w:color w:val="auto"/>
        </w:rPr>
      </w:pPr>
      <w:r>
        <w:rPr>
          <w:rFonts w:ascii="Arial" w:cs="Arial" w:eastAsia="Arial" w:hAnsi="Arial"/>
          <w:sz w:val="18"/>
          <w:szCs w:val="18"/>
          <w:color w:val="auto"/>
        </w:rPr>
        <w:t>We from time to time evaluate and enter into discussions regarding a wide array of potential long-term investments, merger or acquisition transactions. Any transactions that we enter into could be material to our financial condition and results of operations. The process of integrating with another company or integrating an acquired company, business, asset or technology may create unforeseen operating difficulties and expenditures. The areas where we face risks include:</w:t>
      </w:r>
    </w:p>
    <w:p>
      <w:pPr>
        <w:spacing w:after="0" w:line="187"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costs of identifying and consummating acquisitions;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integrating the management, technologies and employees of the acquired businesses;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coordination of products and services, engineering and sales and marketing functions;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retention of employees from the businesses we acquire;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significant impairment losses related to goodwill and other intangible assets acquired or investments in other businesses;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expenses in obtaining approvals for the transaction from shareholders and relevant government authorities in China;</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case of overseas acquisitions, the need to integrate operations across different cultures and languages and to address the particular economic, currency, political and regulatory risks associated with specific countries;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achieve the intended objectives, benefits or revenue-enhancing opportunities.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89"/>
        <w:spacing w:after="0" w:line="276" w:lineRule="auto"/>
        <w:rPr>
          <w:sz w:val="20"/>
          <w:szCs w:val="20"/>
          <w:color w:val="auto"/>
        </w:rPr>
      </w:pPr>
      <w:r>
        <w:rPr>
          <w:rFonts w:ascii="Arial" w:cs="Arial" w:eastAsia="Arial" w:hAnsi="Arial"/>
          <w:sz w:val="17"/>
          <w:szCs w:val="17"/>
          <w:color w:val="auto"/>
        </w:rPr>
        <w:t>Our failure to address these risks or other problems encountered in connection with our future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ADSs and the underlying ordinary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spacing w:after="0" w:line="16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Some of our players make sales and purchases of our game accounts and virtual items through third-party auction websites, which may have a negative effect on our net revenues.</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Some of our players make sales and purchases of our game accounts and virtual items through third-party auction websites in exchange for real money.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results of operations and financial conditions.</w:t>
      </w:r>
    </w:p>
    <w:p>
      <w:pPr>
        <w:sectPr>
          <w:pgSz w:w="11900" w:h="16838" w:orient="portrait"/>
          <w:cols w:equalWidth="0" w:num="1">
            <w:col w:w="11420"/>
          </w:cols>
          <w:pgMar w:left="240" w:top="125"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If our providers of bandwidth and server custody service fail to provide these services, our business could be materially curtailed.</w:t>
      </w:r>
    </w:p>
    <w:p>
      <w:pPr>
        <w:spacing w:after="0" w:line="229"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rely on affiliates of China Unicom, China Telecom and CERNET to provide us with bandwidth and server custody service for Internet users to access the NetEase websites and online games. If China Unicom, China Telecom, CERNET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held liable for information displayed on, retrieved from or linked to the NetEase websites.</w:t>
      </w:r>
    </w:p>
    <w:p>
      <w:pPr>
        <w:spacing w:after="0" w:line="229"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may face liability for defamation, negligence, copyright, patent or trademark infringement and other claims based on the nature and content of the materials that are published on the NetEase websites. We are involved in several intellectual property infringement claims or actions and are occasionally subject to defamation claims.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and results of operations, if successful. We also could be subject to claims based upon content that is accessible on the NetEase websites such as content and materials posted by users on message boards, online communities, voting systems, e-mail or chat rooms that are offered on the NetEase websites. By providing technology for hypertext links to third-party websites, we may be held liable for copyright or trademark violations by those third-party sites. Third parties could assert claims against us for losses incurred in reliance on any erroneous information distributed by us. Moreover, users of the NetEase Web-based e-mail services could seek damages from us for:</w:t>
      </w:r>
    </w:p>
    <w:p>
      <w:pPr>
        <w:spacing w:after="0" w:line="167" w:lineRule="exact"/>
        <w:rPr>
          <w:sz w:val="20"/>
          <w:szCs w:val="20"/>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unsolicited e-mails;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lost or misplaced messages;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illegal or fraudulent use of e-mail; or</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or delays in e-mail service.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may incur significant costs in investigating and defending these claims, even if they do not result in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displayed on, retrieved from or linked to the NetEase websites may subject us to claims of violating Chinese laws.</w:t>
      </w:r>
    </w:p>
    <w:p>
      <w:pPr>
        <w:spacing w:after="0" w:line="229" w:lineRule="exact"/>
        <w:rPr>
          <w:sz w:val="20"/>
          <w:szCs w:val="20"/>
          <w:color w:val="auto"/>
        </w:rPr>
      </w:pPr>
    </w:p>
    <w:p>
      <w:pPr>
        <w:ind w:firstLine="506"/>
        <w:spacing w:after="0" w:line="291" w:lineRule="auto"/>
        <w:rPr>
          <w:sz w:val="20"/>
          <w:szCs w:val="20"/>
          <w:color w:val="auto"/>
        </w:rPr>
      </w:pPr>
      <w:r>
        <w:rPr>
          <w:rFonts w:ascii="Arial" w:cs="Arial" w:eastAsia="Arial" w:hAnsi="Arial"/>
          <w:sz w:val="16"/>
          <w:szCs w:val="16"/>
          <w:color w:val="auto"/>
        </w:rPr>
        <w:t>Violations or perceived violations of Chinese laws arising from information displayed on, retrieved from or linked to the NetEase websites could result in significant penalties, including a temporary or complete cessation of our business. China has enacted regulations governing Internet access and the distribution of news and other information. Furthermore, the Propaganda Department of the Chinese Communist Party has been given the responsibility to censor news published in China to ensure, supervise and control a particular political ideology. In addition, the PRC Ministry of Industries and Information Technology, or MII (prior to the PRC government restructuring in March 2008, its predecessor, the Ministry of Information Industry), has published implementing regulations that subject online information providers to potential liability for content included in their media and the actions of subscribers and others using their systems, including liability for violation of PRC laws prohibiting the distribution of content deemed to be socially destabilizing.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60" w:firstLine="510"/>
        <w:spacing w:after="0" w:line="264" w:lineRule="auto"/>
        <w:rPr>
          <w:sz w:val="20"/>
          <w:szCs w:val="20"/>
          <w:color w:val="auto"/>
        </w:rPr>
      </w:pPr>
      <w:r>
        <w:rPr>
          <w:rFonts w:ascii="Arial" w:cs="Arial" w:eastAsia="Arial" w:hAnsi="Arial"/>
          <w:sz w:val="18"/>
          <w:szCs w:val="18"/>
          <w:color w:val="auto"/>
        </w:rPr>
        <w:t>In addition, the Ministry of Public Security has from time to time prohibited the distribution over the Internet of information which it believes to be socially destabilizing. The Ministry of Public Security also has the authority to require any local Internet service provider to block any website maintained outside China at its sole discretion.</w:t>
      </w:r>
    </w:p>
    <w:p>
      <w:pPr>
        <w:spacing w:after="0" w:line="181" w:lineRule="exact"/>
        <w:rPr>
          <w:sz w:val="20"/>
          <w:szCs w:val="20"/>
          <w:color w:val="auto"/>
        </w:rPr>
      </w:pPr>
    </w:p>
    <w:p>
      <w:pPr>
        <w:ind w:right="160" w:firstLine="510"/>
        <w:spacing w:after="0" w:line="270" w:lineRule="auto"/>
        <w:rPr>
          <w:sz w:val="20"/>
          <w:szCs w:val="20"/>
          <w:color w:val="auto"/>
        </w:rPr>
      </w:pPr>
      <w:r>
        <w:rPr>
          <w:rFonts w:ascii="Arial" w:cs="Arial" w:eastAsia="Arial" w:hAnsi="Arial"/>
          <w:sz w:val="17"/>
          <w:szCs w:val="17"/>
          <w:color w:val="auto"/>
        </w:rPr>
        <w:t>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these pronouncements for content and materials posted or transmitted by users on message boards, virtual communities, chat rooms or e-mails. Furthermore, where the transmitted content clearly violates the laws of the PRC, we will be required to delete it. Moreover, if we consider transmitted content suspicious, we are required to report such content. We must also undergo computer security inspections, and if we fail to implement the relevant safeguards against security breaches, we may be shut down. In addition, under the relevant regulations, Internet companies which provide bulletin board systems, chat rooms or similar services, such as our company, must apply for the approval of the State Secrecy Bureau. As the implementing rules of these new regulations have not been issued, we do not know how or when we will be expected to comply, or how our business will be affected by the application of these regulations.</w:t>
      </w:r>
    </w:p>
    <w:p>
      <w:pPr>
        <w:spacing w:after="0" w:line="178"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If the Chinese government takes any action to limit or eliminate the distribution of information through the NetEase websites, or to limit or regulate any current or future community functions available to users or otherwise block the NetEase websites, our business would be significantly harmed.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adequately protect our intellectual property, and we may be exposed to infringement claims by third parties.</w:t>
      </w:r>
    </w:p>
    <w:p>
      <w:pPr>
        <w:spacing w:after="0" w:line="229" w:lineRule="exact"/>
        <w:rPr>
          <w:sz w:val="20"/>
          <w:szCs w:val="20"/>
          <w:color w:val="auto"/>
        </w:rPr>
      </w:pPr>
    </w:p>
    <w:p>
      <w:pPr>
        <w:ind w:right="60" w:firstLine="504"/>
        <w:spacing w:after="0" w:line="259" w:lineRule="auto"/>
        <w:rPr>
          <w:sz w:val="20"/>
          <w:szCs w:val="20"/>
          <w:color w:val="auto"/>
        </w:rPr>
      </w:pPr>
      <w:r>
        <w:rPr>
          <w:rFonts w:ascii="Arial" w:cs="Arial" w:eastAsia="Arial" w:hAnsi="Arial"/>
          <w:sz w:val="18"/>
          <w:szCs w:val="18"/>
          <w:color w:val="auto"/>
        </w:rPr>
        <w:t>We rely on a combination of copyright, trademark and trade secrecy laws and contractual restrictions on disclosure to protect our intellectual property rights. Our efforts to protect our proprietary rights may not be effective in preventing unauthorized parties from copying or otherwise obtaining and using our technology. Monitoring unauthorized use of our services is difficult and costly, and we cannot be certain that the steps we take will effectively prevent misappropriation of our technology.</w:t>
      </w:r>
    </w:p>
    <w:p>
      <w:pPr>
        <w:spacing w:after="0" w:line="18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From time to time, we may have to resort to litigation to enforce our intellectual property rights, which could result in substantial costs and diversion of our resources. In addition,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“Business Overview—Intellectual Property and Proprietary Rights.”</w:t>
      </w:r>
    </w:p>
    <w:p>
      <w:pPr>
        <w:sectPr>
          <w:pgSz w:w="11900" w:h="16838" w:orient="portrait"/>
          <w:cols w:equalWidth="0" w:num="1">
            <w:col w:w="11400"/>
          </w:cols>
          <w:pgMar w:left="240" w:top="121" w:right="259" w:bottom="0" w:gutter="0" w:footer="0" w:header="0"/>
        </w:sectPr>
      </w:pPr>
    </w:p>
    <w:bookmarkStart w:id="17" w:name="page18"/>
    <w:bookmarkEnd w:id="17"/>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or become a passive foreign investment company, which could result in adverse U.S. federal income tax consequences to U.S. investors.</w:t>
      </w:r>
    </w:p>
    <w:p>
      <w:pPr>
        <w:spacing w:after="0" w:line="25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may be classified as a passive foreign investment company, or PFIC, by the U.S. Internal Revenue Service for U.S. federal income tax purposes. Such characterization could result in adverse U.S. federal income tax consequences to you if you are a U.S. investor. For example, U.S. investors who owned our shares or ADSs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18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93"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color w:val="auto"/>
        </w:rPr>
        <w:t>We do not believe that we are currently a PFIC. However, because the PFIC determination is highly fact intensive and made at the end of each taxable year, there can be no assurance that we will not be a PFIC for the current or any future taxable year or that the U.S. Internal Revenue Service will not challenge our determination concerning our PFIC status.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If we are a PFIC in any year with respect to a U.S. Holder (as defined below), the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 U.S. Holders should consult their tax advisors regarding the potential application of the PFIC regime and related reporting requirements.</w:t>
      </w:r>
    </w:p>
    <w:p>
      <w:pPr>
        <w:spacing w:after="0" w:line="171"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For further discussion of the adverse U.S. federal income tax consequences of our possible classification as a PFIC, see Item 10.E “Additional Information — Taxation — United States Federal Income Taxation.”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uncertain legal environment in China could limit the legal protections available to you.</w:t>
      </w:r>
    </w:p>
    <w:p>
      <w:pPr>
        <w:spacing w:after="0" w:line="229" w:lineRule="exact"/>
        <w:rPr>
          <w:sz w:val="20"/>
          <w:szCs w:val="20"/>
          <w:color w:val="auto"/>
        </w:rPr>
      </w:pPr>
    </w:p>
    <w:p>
      <w:pPr>
        <w:ind w:right="40" w:firstLine="510"/>
        <w:spacing w:after="0" w:line="276" w:lineRule="auto"/>
        <w:rPr>
          <w:sz w:val="20"/>
          <w:szCs w:val="20"/>
          <w:color w:val="auto"/>
        </w:rPr>
      </w:pPr>
      <w:r>
        <w:rPr>
          <w:rFonts w:ascii="Arial" w:cs="Arial" w:eastAsia="Arial" w:hAnsi="Arial"/>
          <w:sz w:val="17"/>
          <w:szCs w:val="17"/>
          <w:color w:val="auto"/>
        </w:rPr>
        <w:t>The Chinese legal system is a civil law system based on written statutes. Unlike common law systems, it is a system in which decided legal cases have little precedential value. In the late 1970s, the Chinese government began to promulgate a comprehensive system of laws and regulations governing economic matters. The overall effect of legislation enacted over the past 30 years has significantly enhanced the protections afforded to foreign invested enterprises in China. However, these laws, regulations and legal requirements are relatively recent and are evolving rapidly, and their interpretation and enforcement involve uncertainties. These uncertainties could limit the legal protections available to foreign investors.</w:t>
      </w:r>
    </w:p>
    <w:p>
      <w:pPr>
        <w:spacing w:after="0" w:line="169"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Substantial uncertainties exist with respect to the enactment timetable, interpretation and implementation of a draft PRC Foreign Investment Law and how it may impact the viability of our current corporate structure, corporate governance and business operations.</w:t>
      </w:r>
    </w:p>
    <w:p>
      <w:pPr>
        <w:spacing w:after="0" w:line="14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PRC Ministry of Commerce published a discussion draft of a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Foreign-Owned Enterprise Law, together with their implementation rules and ancillary regulations. The Ministry of Commerce is currently soliciting comments on this draft and substantial uncertainties exist with respect to its enactment timetable, interpretation and implementation.</w:t>
      </w:r>
    </w:p>
    <w:p>
      <w:pPr>
        <w:spacing w:after="0" w:line="18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Among other things, the draft Foreign Investment Law proposes to expand the definition of foreign investment and to introduce the principle of “actual control” in determining whether a company is considered a foreign-invested enterprise. The draft Foreign Investment Law specifically proposes that entities established in China but “controlled” by foreign investors will be treated as foreign-invested enterprises, whereas an entity established in China by an investor from a foreign jurisdiction but “controlled” by PRC entities and/or citizens would be treated as a permitted PRC domestic investor in a restricted industry. In this connection, “control” is broadly defined in the draft law to cover the following summarized categories: (i) holding 50% or more of the shares, voting rights or other similar rights of the subject entity; (ii) holding less than 50% of the shares, voting rights or other similar rights of the subject entity but having the power to secure at least 50% of the seats on the board or other equivalent decision making bodies, or having the voting power to exert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 Once an entity is determined to be a foreign-invested enterprise, it will be subject to the foreign investment restrictions or prohibitions set forth in a “negative list,” to be separately issued by the State Council at a later date. If the underlying business of the foreign-invested enterprise falls within the negative list, market entry clearance by the Ministry of Commerce would be required for the establishment of such foreign-invested enterprise.</w:t>
      </w:r>
    </w:p>
    <w:p>
      <w:pPr>
        <w:spacing w:after="0" w:line="169" w:lineRule="exact"/>
        <w:rPr>
          <w:sz w:val="20"/>
          <w:szCs w:val="20"/>
          <w:color w:val="auto"/>
        </w:rPr>
      </w:pPr>
    </w:p>
    <w:p>
      <w:pPr>
        <w:ind w:right="220" w:firstLine="506"/>
        <w:spacing w:after="0" w:line="270" w:lineRule="auto"/>
        <w:rPr>
          <w:sz w:val="20"/>
          <w:szCs w:val="20"/>
          <w:color w:val="auto"/>
        </w:rPr>
      </w:pPr>
      <w:r>
        <w:rPr>
          <w:rFonts w:ascii="Arial" w:cs="Arial" w:eastAsia="Arial" w:hAnsi="Arial"/>
          <w:sz w:val="17"/>
          <w:szCs w:val="17"/>
          <w:color w:val="auto"/>
        </w:rPr>
        <w:t>The “variable interest entity” structure, or VIE structure, has been adopted by many PRC-based companies, including us, to obtain necessary licenses and permits in the industries that are currently subject to foreign investment restrictions in China. See “—Risks Related to Our Corporate Structure” and “Corporate History and Structure—Contractual Arrangements with Our Variable Interest Entities.” Under the draft Foreign Investment Law, variable interest entities that are controlled via contractual arrangements would also be deemed foreign-invested enterprises if they are ultimately “controlled” by foreign investors. Therefore, for any company with a VIE structure in a restricted industry category that is included on the “negative list”, the VIE structure may be permissible only if the ultimate controlling person(s) is/are of PRC nationality (either PRC companies or PRC citizens) or if such foreign investment has obtained market entry clearance from the Ministry of Commerce. Conversely, if the actual controlling person(s) is/are of foreign nationalities, then the variable interest entities will be treated as foreign-invested enterprises and any operations in a restricted industry category without prior market entry clearance may be considered illegal.</w:t>
      </w:r>
    </w:p>
    <w:p>
      <w:pPr>
        <w:spacing w:after="0" w:line="182"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It is uncertain whether we would be considered to be ultimately controlled by Chinese parties. Mr. William Lei Ding, our director and chief executive officer and a PRC citizen, was the largest shareholder of NetEase as of the close of the period covered by the annual report, but shares owned by him</w:t>
      </w:r>
    </w:p>
    <w:p>
      <w:pPr>
        <w:sectPr>
          <w:pgSz w:w="11900" w:h="16908" w:orient="portrait"/>
          <w:cols w:equalWidth="0" w:num="1">
            <w:col w:w="11420"/>
          </w:cols>
          <w:pgMar w:left="240" w:top="121" w:right="239" w:bottom="0" w:gutter="0" w:footer="0" w:header="0"/>
        </w:sectPr>
      </w:pPr>
    </w:p>
    <w:bookmarkStart w:id="18" w:name="page19"/>
    <w:bookmarkEnd w:id="18"/>
    <w:p>
      <w:pPr>
        <w:spacing w:after="0" w:line="271" w:lineRule="auto"/>
        <w:rPr>
          <w:sz w:val="20"/>
          <w:szCs w:val="20"/>
          <w:color w:val="auto"/>
        </w:rPr>
      </w:pPr>
      <w:r>
        <w:rPr>
          <w:rFonts w:ascii="Arial" w:cs="Arial" w:eastAsia="Arial" w:hAnsi="Arial"/>
          <w:sz w:val="17"/>
          <w:szCs w:val="17"/>
          <w:color w:val="auto"/>
        </w:rPr>
        <w:t>constituted less than 50% of NetEase’s then total outstanding ordinary shares. It is uncertain whether Mr. Ding would be deemed to have control over NetEase under the draft Foreign Investment Law. Moreover, the draft Foreign Investment Law has not taken a position on what actions would be taken with respect to the existing companies with a VIE structure, whether or not these companies are controlled by Chinese parties. In addition, it is uncertain whether the industries of online games, online advertising, e-commerce and other services in which our variable interest entities operate will be subject to the foreign investment restrictions or prohibitions set forth in the “negative list” that is to be issued by the State Council. If the enacted version of the Foreign Investment Law and the final “negative list” mandate further actions, such as market entry clearance or restructuring of corporate structure and operations, to be completed by companies with existing VIE structure like us, there may be substantial uncertainties as to whether we can complete these actions in a timely manner, or at all, and our business and financial condition may be materially and adversely affected.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proposes to impose stringent ad hoc and periodic information reporting requirements on foreign investors and the applicable foreign-invested enterprises. Aside from an investment implementation report and an investment amendment report that are required for each investment and alteration of investment specifics, an annual report is mandatory, and large foreign-invested enterprises meeting certain criteria are required to report on a quarterly basis. Also, the Ministry of Commerce may supervise and examine the foreign investors and the foreign-invested enterprises on a regular and irregular basis on their compliance with the Foreign Investment Law. Any company found to be non-compliant with these information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drafting, interpretation and enforcement in China involve significant uncertainty.</w:t>
      </w:r>
    </w:p>
    <w:p>
      <w:pPr>
        <w:spacing w:after="0" w:line="22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have entered into numerous contracts governed by PRC law, many of which are material to our business. As compared with contracts in the United States, contracts governed by PRC law tend to contain less detail and are not as comprehensive in defining contracting parties’ rights and obligations. As a result, contracts in China are more vulnerable to disputes and legal challenges. In addition, contract interpretation and enforcement in China is not as developed as in the United States, and the result of any contract dispute is subject to significant uncertainties. Therefore, we cannot assure you that we will not be subject to disputes under our material contracts, and if such disputes arise, we cannot assure you that we will prevail. Any dispute involving material contracts, even without merit, may materially and adversely affect our reputation and our business operations, and may cause the price of our ADSs to decline.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China’s political and economic policies could harm our business.</w:t>
      </w:r>
    </w:p>
    <w:p>
      <w:pPr>
        <w:spacing w:after="0" w:line="229" w:lineRule="exact"/>
        <w:rPr>
          <w:sz w:val="20"/>
          <w:szCs w:val="20"/>
          <w:color w:val="auto"/>
        </w:rPr>
      </w:pPr>
    </w:p>
    <w:p>
      <w:pPr>
        <w:ind w:right="60" w:firstLine="506"/>
        <w:spacing w:after="0" w:line="297" w:lineRule="auto"/>
        <w:rPr>
          <w:sz w:val="20"/>
          <w:szCs w:val="20"/>
          <w:color w:val="auto"/>
        </w:rPr>
      </w:pPr>
      <w:r>
        <w:rPr>
          <w:rFonts w:ascii="Arial" w:cs="Arial" w:eastAsia="Arial" w:hAnsi="Arial"/>
          <w:sz w:val="16"/>
          <w:szCs w:val="16"/>
          <w:color w:val="auto"/>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spacing w:after="0" w:line="158" w:lineRule="exact"/>
        <w:rPr>
          <w:sz w:val="20"/>
          <w:szCs w:val="20"/>
          <w:color w:val="auto"/>
        </w:rPr>
      </w:pPr>
    </w:p>
    <w:p>
      <w:pPr>
        <w:ind w:left="1000" w:hanging="482"/>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structure;</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government involvement in the economy;</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development;</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of capital reinvestment;</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 of foreign exchange;</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methods of allocating resources; and</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 of payments position.</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a result of these differences, our business may not develop in the same way or at the same rate as might be expected if the Chinese economy were similar to those of the OECD member countries.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 in Renminbi exchange rates could adversely affect the value of our ADSs and any cash dividend declared on them.</w:t>
      </w:r>
    </w:p>
    <w:p>
      <w:pPr>
        <w:spacing w:after="0" w:line="229"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The value of the RMB against the U.S. dollar and other currencies is affected by changes in China’s political and economic conditions and by China’s foreign exchange policies, among other things. On July 21, 2005, the PRC government changed its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The PRC government allowed the RMB to appreciate slowly against the U.S. dollar again, and it had appreciated more than 10% since June 2010 until it began to depreciate against the U.S. dollar in January 2014. Between January 2014 and December 2015, the RMB depreciated against the U.S. dollar by approximately 8%. It is difficult to predict how market forces or PRC or U.S. government policy may impact the exchange rate between the RMB and the U.S. dollar in the future. In addition, there remains significant international pressure on the PRC government to adopt a substantial liberalization of its currency policy, which could result in more uncertainties in the value</w:t>
      </w:r>
    </w:p>
    <w:p>
      <w:pPr>
        <w:sectPr>
          <w:pgSz w:w="11900" w:h="16838" w:orient="portrait"/>
          <w:cols w:equalWidth="0" w:num="1">
            <w:col w:w="11420"/>
          </w:cols>
          <w:pgMar w:left="240" w:top="125" w:right="239" w:bottom="0" w:gutter="0" w:footer="0" w:header="0"/>
        </w:sectPr>
      </w:pPr>
    </w:p>
    <w:bookmarkStart w:id="19" w:name="page20"/>
    <w:bookmarkEnd w:id="19"/>
    <w:p>
      <w:pPr>
        <w:ind w:right="160"/>
        <w:spacing w:after="0" w:line="277" w:lineRule="auto"/>
        <w:rPr>
          <w:sz w:val="20"/>
          <w:szCs w:val="20"/>
          <w:color w:val="auto"/>
        </w:rPr>
      </w:pPr>
      <w:r>
        <w:rPr>
          <w:rFonts w:ascii="Arial" w:cs="Arial" w:eastAsia="Arial" w:hAnsi="Arial"/>
          <w:sz w:val="18"/>
          <w:szCs w:val="18"/>
          <w:color w:val="auto"/>
        </w:rPr>
        <w:t>of the RMB against the U.S. dollar. Our revenues are primarily denominated in Renminbi, and any significant depreciation of the RMB may affect the value of, and dividends (if any) payable on, our ADSs in U.S. dollar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currency exchange may limit our ability to utilize our revenues effectively.</w:t>
      </w:r>
    </w:p>
    <w:p>
      <w:pPr>
        <w:spacing w:after="0" w:line="229"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spacing w:after="0" w:line="18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Under existing PRC foreign exchange regulations, payments of current account items, including payment of dividends, interest payments and trade and service-related foreign exchange transactions, can be made in foreign currencies without prior approval of the State Administration of Foreign Exchange, or SAFE, by complying with certain procedural requirements. Our PRC subsidiaries and affiliates may also retain foreign exchange in its current account to satisfy foreign exchange liabilities or to pay dividends. However, we cannot assure you that the relevant PRC governmental authorities will not limit or eliminate our ability to purchase and retain foreign currencies in the future.</w:t>
      </w:r>
    </w:p>
    <w:p>
      <w:pPr>
        <w:spacing w:after="0" w:line="188"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w:t>
      </w:r>
    </w:p>
    <w:p>
      <w:pPr>
        <w:spacing w:after="0" w:line="18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Foreign exchange transactions under the capital account are subject to limitations and require registration with or approval by the relevant PRC governmental authorities. In particular, any transfer of funds from us to any of our PRC subsidiaries or variable interest entities,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PRC subsidiaries or variable interest entities will depend on our ability to obtain these governmental registrations or approvals. In addition, because of the regulatory issues related to foreign currency loans to, and foreign investment in, domestic PRC enterprises, we may not be able to finance the operations of our PRC subsidiaries or variable interest entities by loans or capital contributions. We cannot assure you that we can obtain these governmental registrations or approvals on a timely basis, if at all.</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Failure to comply with PRC regulations regarding the registration requirements for employee equity incentive plans may subject our PRC citizen employees or us to fines and other legal or administrative sanctions.</w:t>
      </w:r>
    </w:p>
    <w:p>
      <w:pPr>
        <w:spacing w:after="0" w:line="166"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On March 28, 2007, SAFE promulgated the Application Procedure of Foreign Exchange Administration for Domestic Individuals Participating in Employee Stock Holding Plan or Share Option Plan of Overseas-Listed Company, or the Share Option Rule. On February 15, 2012, SAFE issued the Notices on Issues Concerning the Foreign Exchange Administration for Domestic Individuals Participating in Stock Incentive Plan of Overseas-Listed Company, or the Stock Incentive Plan Rule, which replaced the Share Option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We have registered with and obtained approvals from SAFE office in Beijing for the participants of our equity compensation plans who are PRC citizens. Nevertheless, if we or such PRC participants fail to comply with these regulations, we or such PRC participants may be subject to fines and other legal or administrative sanctions.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Chinese government has strengthened the regulation of investments made by Chinese residents in offshore companies and reinvestments in China made by these offshore companies. Our business may be adversely affected by these restrictions.</w:t>
      </w:r>
    </w:p>
    <w:p>
      <w:pPr>
        <w:spacing w:after="0" w:line="166" w:lineRule="exact"/>
        <w:rPr>
          <w:sz w:val="20"/>
          <w:szCs w:val="20"/>
          <w:color w:val="auto"/>
        </w:rPr>
      </w:pPr>
    </w:p>
    <w:p>
      <w:pPr>
        <w:ind w:right="100" w:firstLine="506"/>
        <w:spacing w:after="0" w:line="290" w:lineRule="auto"/>
        <w:rPr>
          <w:sz w:val="20"/>
          <w:szCs w:val="20"/>
          <w:color w:val="auto"/>
        </w:rPr>
      </w:pPr>
      <w:r>
        <w:rPr>
          <w:rFonts w:ascii="Arial" w:cs="Arial" w:eastAsia="Arial" w:hAnsi="Arial"/>
          <w:sz w:val="16"/>
          <w:szCs w:val="16"/>
          <w:color w:val="auto"/>
        </w:rPr>
        <w:t>The SAFE has adopted certain regulations that require registration with, and approval from, Chinese government authorities in connection with direct or indirect offshore investment activities by Chinese residents. The SAFE regulations retroactively require registration of investments in non-Chinese companies previously made by Chinese residents. In particular, the SAFE regulations require Chinese residents to file with SAFE information about offshore companies in which they have directly or indirectly invested and to make follow-up filings in connection with certain material transactions involving such offshore companies, such as mergers, acquisitions, capital increases and decreases, external equity investments or equity transfers. In addition, Chinese residents must obtain approval from SAFE before they transfer domestic assets or equity interests in exchange for equity or other property rights in an offshore company. A newly established enterprise in China which receives foreign investments is also required to provide detailed information about its controlling shareholders and to certify whether it is directly or indirectly controlled by a domestic entity or resident.</w:t>
      </w:r>
    </w:p>
    <w:p>
      <w:pPr>
        <w:spacing w:after="0" w:line="166" w:lineRule="exact"/>
        <w:rPr>
          <w:sz w:val="20"/>
          <w:szCs w:val="20"/>
          <w:color w:val="auto"/>
        </w:rPr>
      </w:pPr>
    </w:p>
    <w:p>
      <w:pPr>
        <w:ind w:right="120" w:firstLine="506"/>
        <w:spacing w:after="0" w:line="302" w:lineRule="auto"/>
        <w:rPr>
          <w:sz w:val="20"/>
          <w:szCs w:val="20"/>
          <w:color w:val="auto"/>
        </w:rPr>
      </w:pPr>
      <w:r>
        <w:rPr>
          <w:rFonts w:ascii="Arial" w:cs="Arial" w:eastAsia="Arial" w:hAnsi="Arial"/>
          <w:sz w:val="16"/>
          <w:szCs w:val="16"/>
          <w:color w:val="auto"/>
        </w:rPr>
        <w:t>In the event that a Chinese shareholder with a direct or indirect stake in an offshore parent company fails to make the required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pacing w:after="0" w:line="15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These regulations may have a significant impact on our present and future structuring and investment. We have requested our shareholders who to our knowledge are PRC residents to make the necessary applications, filings and amendments as required under these regulations. We intend to take all necessary measures for ensuring that all required applications and filings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ectPr>
          <w:pgSz w:w="11900" w:h="16838" w:orient="portrait"/>
          <w:cols w:equalWidth="0" w:num="1">
            <w:col w:w="11420"/>
          </w:cols>
          <w:pgMar w:left="240" w:top="125" w:right="239" w:bottom="57" w:gutter="0" w:footer="0" w:header="0"/>
        </w:sectPr>
      </w:pPr>
    </w:p>
    <w:bookmarkStart w:id="20" w:name="page21"/>
    <w:bookmarkEnd w:id="20"/>
    <w:p>
      <w:pPr>
        <w:ind w:right="100"/>
        <w:spacing w:after="0" w:line="313" w:lineRule="auto"/>
        <w:rPr>
          <w:sz w:val="20"/>
          <w:szCs w:val="20"/>
          <w:color w:val="auto"/>
        </w:rPr>
      </w:pPr>
      <w:r>
        <w:rPr>
          <w:rFonts w:ascii="Arial" w:cs="Arial" w:eastAsia="Arial" w:hAnsi="Arial"/>
          <w:sz w:val="17"/>
          <w:szCs w:val="17"/>
          <w:b w:val="1"/>
          <w:bCs w:val="1"/>
          <w:color w:val="auto"/>
        </w:rPr>
        <w:t>Our auditor, like other independent registered public accounting firms operating in China, is not permitted to be subject to inspection by the Public Company Accounting Oversight Board, and consequently you are deprived of the benefits of such inspection.</w:t>
      </w:r>
    </w:p>
    <w:p>
      <w:pPr>
        <w:spacing w:after="0" w:line="14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auditor, the independent registered public accounting firm that issued the audit report included elsewhere in this prospectus, as an auditor of companies that are registered with the SEC and traded publicly in the United States and a firm registered with the U.S. Public Company Accounting Oversight Board, or PCAOB, is required by the laws of the United States to undergo regular inspections by the PCAOB to assess its compliance with the laws of the United States and applicable professional standards. Our auditor is located in China and the PCAOB is currently unable to conduct inspections on auditors in China without the approval of the PRC authorities. The PCAOB announced on May 24, 2013 that it had entered into a Memorandum of Understanding on Enforcement Cooperation, or the MOU, with the China Securities Regulatory Commission, or the CSRC, and the PRC Ministry of Finance, or the MOF. The MOU establishes a cooperative framework between the parties for the production and exchange of audit documents relevant to investigations in the US and the PRC. The PCAOB continues to engage in discussions with the CSRC and the MOF to permit joint inspections in China of audit firms that are registered with the PCAOB and audit China-based companies that trade on U.S. exchanges. However, the implementation procedures of the MOU remain uncertain. As a result, our auditor, like other independent registered public accounting firms operating in China, is currently not inspected by the PCAOB.</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and such deficiencies may be addressed as part of the inspection process to improve future audit quality. The inability of the PCAOB to conduct inspections of independent registered public accounting firms operating in China makes it more difficult to evaluate the effectiveness of our auditor’s audit procedures or quality control procedures and, to the extent that such inspections might have facilitated improvements in our auditor’s audit procedures and quality control procedures, investors may be deprived of such benefits.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may be adversely affected by the outcome of the administrative proceedings brought by the SEC against the Big Four PRC-based accounting firms.</w:t>
      </w:r>
    </w:p>
    <w:p>
      <w:pPr>
        <w:spacing w:after="0" w:line="166" w:lineRule="exact"/>
        <w:rPr>
          <w:sz w:val="20"/>
          <w:szCs w:val="20"/>
          <w:color w:val="auto"/>
        </w:rPr>
      </w:pPr>
    </w:p>
    <w:p>
      <w:pPr>
        <w:ind w:right="180" w:firstLine="441"/>
        <w:spacing w:after="0" w:line="312" w:lineRule="auto"/>
        <w:rPr>
          <w:sz w:val="20"/>
          <w:szCs w:val="20"/>
          <w:color w:val="auto"/>
        </w:rPr>
      </w:pPr>
      <w:r>
        <w:rPr>
          <w:rFonts w:ascii="Arial" w:cs="Arial" w:eastAsia="Arial" w:hAnsi="Arial"/>
          <w:sz w:val="16"/>
          <w:szCs w:val="16"/>
          <w:color w:val="auto"/>
        </w:rPr>
        <w:t>In December 2012, the SEC brought administrative proceedings against the Big Four accounting firms in China, including our independent registered public accounting firm, alleging that these accounting firms had violated U.S. securities laws and the SEC’s rules and regulations thereunder by failing to provide to the SEC the firms’ audit papers and other documents related to certain PRC-based companies that are publicly traded in the United States.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January 22, 2014, the administrative law judge presiding over the matter reached an initial decision that the firms had each violated the SEC’s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rules of practice by failing to produce the audit work papers and related documents directly to the SEC. The initial decision further determined that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firms should be censured and barred from practicing before the SEC for a period of six months.</w:t>
      </w:r>
    </w:p>
    <w:p>
      <w:pPr>
        <w:spacing w:after="0" w:line="211"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On February 6, 2015, the four China-based accounting firms each agreed to a censure and to pay a fine to the SEC to settle the dispute and avoid suspension of their ability to practice before the SEC and to audit U.S.-listed companies. The settlement required the firms to follow detailed procedures and to seek to provide the SEC with access to Chinese firms’ audit documents via the CSRC. If future document productions fail to meet specified criteria, the SEC retains the authority to impose a variety of additional remedial measures on the firms depending on the nature of the failure. While we cannot predict if the SEC will further review the Big Four PRC-based accounting firms’ compliance with specified criteria or if the results of such a review would result in the SEC imposing penalties such as suspensions or restarting the administrative proceedings, if the accounting firms are subject to additional remedial measures, we may not be able to continue to meet our reporting obligations under the Exchange Act, which may ultimately result in our deregistration by the SEC and delisting from the NASDAQ, in which case our market capitalization may decline sharply and the value of your investment in our ADSs may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TELECOMMUNICATIONS AND INTERNET INDUSTRIES IN CHINA</w:t>
      </w:r>
    </w:p>
    <w:p>
      <w:pPr>
        <w:spacing w:after="0" w:line="225"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Increased government regulation of the telecommunications and Internet industries in China may result in the Chinese government requiring us to obtain additional licenses or other governmental approvals to conduct our business which, if unattainable, may restrict our operations.</w:t>
      </w:r>
    </w:p>
    <w:p>
      <w:pPr>
        <w:spacing w:after="0" w:line="120" w:lineRule="exact"/>
        <w:rPr>
          <w:sz w:val="20"/>
          <w:szCs w:val="20"/>
          <w:color w:val="auto"/>
        </w:rPr>
      </w:pPr>
    </w:p>
    <w:p>
      <w:pPr>
        <w:ind w:right="460" w:firstLine="510"/>
        <w:spacing w:after="0" w:line="257" w:lineRule="auto"/>
        <w:rPr>
          <w:sz w:val="20"/>
          <w:szCs w:val="20"/>
          <w:color w:val="auto"/>
        </w:rPr>
      </w:pPr>
      <w:r>
        <w:rPr>
          <w:rFonts w:ascii="Arial" w:cs="Arial" w:eastAsia="Arial" w:hAnsi="Arial"/>
          <w:sz w:val="18"/>
          <w:szCs w:val="18"/>
          <w:color w:val="auto"/>
        </w:rPr>
        <w:t>The telecommunications industry, including Internet content provider, or ICP, services and online games, is highly regulated by the Chinese government, with the main relevant government authority being the MII. Pursuant to the Administrative Rules for Foreign Investments in Telecommunications Enterprises promulgated by the State Council dated December 5, 2001, foreign investors are allowed to hold in the aggregate up to 50.0% of the total equity in any value-added telecommunications business in China. In addition, foreign investors and foreign invested enterprises are currently not able to apply for the required licenses for operating online games in China.</w:t>
      </w:r>
    </w:p>
    <w:p>
      <w:pPr>
        <w:spacing w:after="0" w:line="188" w:lineRule="exact"/>
        <w:rPr>
          <w:sz w:val="20"/>
          <w:szCs w:val="20"/>
          <w:color w:val="auto"/>
        </w:rPr>
      </w:pPr>
    </w:p>
    <w:p>
      <w:pPr>
        <w:ind w:right="80" w:firstLine="504"/>
        <w:spacing w:after="0" w:line="285" w:lineRule="auto"/>
        <w:rPr>
          <w:sz w:val="20"/>
          <w:szCs w:val="20"/>
          <w:color w:val="auto"/>
        </w:rPr>
      </w:pPr>
      <w:r>
        <w:rPr>
          <w:rFonts w:ascii="Arial" w:cs="Arial" w:eastAsia="Arial" w:hAnsi="Arial"/>
          <w:sz w:val="16"/>
          <w:szCs w:val="16"/>
          <w:color w:val="auto"/>
        </w:rPr>
        <w:t>To operate the NetEase websites in compliance with all the relevant ICP-related Chinese regulations, Guangzhou NetEase successfully obtained ICP licenses issued by the Guangdong Provincial Telecommunications Bureau in 2000. The ICP license of Guangzhou NetEase issued by the Guangdong Provincial Telecommunications Bureau was replaced by the Value-Added Telecommunication Operating License issued by the MII in 2004, which was further replaced by the Value-Added Telecommunication Operating License issued by the Guangdong Provincial Telecommunications Bureau in 2009. Guangzhou NetEase has also obtained the following licenses and registrations: a website registration with the Guangzhou Municipal Administrative Bureau of Industry and Commerce, an audio-visual product operating license issued by Guangdong Culture Department to sell audio-visual products on the Internet, which was replaced by a publication operating license issued by the Administration of Culture, Radio, Film and Television, Press and Publication of Guangzhou, an Internet publishing license issued by the State Administration of Press, Publication, Radio, Film and Television, or SAPPRFT (which was formed from the merger of the former General Administration of Press and Publication, or GAPP, with the former State Administration of Radio, Film and Television, or SARFT), an Internet Culture Operating License issued by the Ministry of Culture, or MOC, a license for online dissemination of drug-related information issued by Guangdong Food and Drug Administration, an Internet news information service license issued by the State Council Information Office, a permit for the Network Transmission of Audiovisual Programs issued by the State Administration of Radio, Film and Television, a permit for the production of audiovisual programs issued by the Radio, Film and Television Administration of Guangdong and a license for the sale of security products for computer information systems issued by the Ministry of Public Security. It has also received approvals for online dissemination of health information from the Department of Health of Guangdong Province and approvals for provision of online education-related information from the Department of Education of Guangdong Province. NetEase, Inc. relies exclusively on contractual arrangements with Guangzhou NetEase and its approvals to operate as an ICP. In addition, to operate the online games licensed from Blizzard in compliance with all the relevant ICP-related Chinese regulations, Shanghai EaseNet obtained</w:t>
      </w:r>
    </w:p>
    <w:p>
      <w:pPr>
        <w:sectPr>
          <w:pgSz w:w="11900" w:h="16838" w:orient="portrait"/>
          <w:cols w:equalWidth="0" w:num="1">
            <w:col w:w="11420"/>
          </w:cols>
          <w:pgMar w:left="240" w:top="121" w:right="239" w:bottom="0" w:gutter="0" w:footer="0" w:header="0"/>
        </w:sectPr>
      </w:pPr>
    </w:p>
    <w:bookmarkStart w:id="21" w:name="page22"/>
    <w:bookmarkEnd w:id="21"/>
    <w:p>
      <w:pPr>
        <w:spacing w:after="0" w:line="10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Value-Added Telecommunications Business Operating License issued by the Shanghai Provincial Telecommunications Bureau in October 2008 and an Internet Culture Operating License from MOC in October 2008.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We cannot be certain, however, that we or our affiliates will be granted renewals of existing licenses or any other additional license, permit or clearance we may need now or in the future. Moreover, we cannot be certain that any local or national ICP or telecommunications license requirements will not conflict with one another or that any given license will be deemed sufficient by the relevant governmental authorities for the provision of our services. There are substantial uncertainties regarding the interpretation of current PRC Internet laws and regulations. The PRC government may issue new interpretations of the regulations regarding supervision of the information industry from time to time. Any failure to obtain or maintain the licenses required to operate our businesses could have a material adverse effect on our business, results of operations and financial condition.</w:t>
      </w:r>
    </w:p>
    <w:p>
      <w:pPr>
        <w:spacing w:after="0" w:line="16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In addition, we are uncertain as to whether the Chinese government will reclassify our business as a media or retail company, due to our acceptance of fees for Internet advertising, online games and e-mail, e-commerce and other services as sources of revenues, or as a result of our current corporate structure. Such reclassification could subject us to penalties or fines or significant restrictions on our business. Moreover, NetEase, Inc. may have difficulties enforcing its rights under the agreements with Guangzhou NetEase, NetEase Advertising, Hangzhou Leihuo and Shanghai EaseNet if any of these parties breaches any of the agreements with them because NetEase, Inc. does not have approval from appropriate Chinese authorities to provide Internet content services, Internet advertising services or e-mail and e-commerce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Chinese government restricts the ability for foreign investors to invest in and operate in the telecommunications and online gaming businesses.</w:t>
      </w:r>
    </w:p>
    <w:p>
      <w:pPr>
        <w:spacing w:after="0" w:line="25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July 2006, the MII issued a notice to strengthen management of foreign investment in and operation of value-added telecommunication services. The notice emphasizes that foreign investors who wish to engage in value-added telecommunication services must strictly follow the relevant rules and regulations on foreign investment in telecommunication sectors. The notice also prohibits domestic telecommunication services providers from leasing, transferring or selling telecommunications business operating licenses to any foreign investor in any form, or providing any resources, sites or facilities to any foreign investor for their illegal operation of a telecommunications business in China. According to the notice, either the holder of a value-added telecommunication service license or its shareholders must directly own the domain names and trademarks used by such license holders in their provision of value-added telecommunication services. The notice further requires each license holder to have the necessary facilities, including servers, for its approved business operations and to maintain such facilities in the regions covered by its license. Value-added services license holders are required to evaluate the compliance with the requirements set forth in the notice. To comply with these requirements, Guangzhou NetEase submitted its self-correction report to MII in 2007.</w:t>
      </w:r>
    </w:p>
    <w:p>
      <w:pPr>
        <w:spacing w:after="0" w:line="178"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 xml:space="preserve">In September 2009, GAPP (later superseded by SAPPRFT), together with the National Copyright Administration, and National Office of Combating Pornography and Illegal Publications jointly issued a </w:t>
      </w:r>
      <w:r>
        <w:rPr>
          <w:rFonts w:ascii="Arial" w:cs="Arial" w:eastAsia="Arial" w:hAnsi="Arial"/>
          <w:sz w:val="16"/>
          <w:szCs w:val="16"/>
          <w:i w:val="1"/>
          <w:iCs w:val="1"/>
          <w:color w:val="auto"/>
        </w:rPr>
        <w:t>Notice on Further Strengthening on the Administration of Pre-examination and Approval of Online</w:t>
      </w:r>
      <w:r>
        <w:rPr>
          <w:rFonts w:ascii="Arial" w:cs="Arial" w:eastAsia="Arial" w:hAnsi="Arial"/>
          <w:sz w:val="16"/>
          <w:szCs w:val="16"/>
          <w:color w:val="auto"/>
        </w:rPr>
        <w:t xml:space="preserve"> </w:t>
      </w:r>
      <w:r>
        <w:rPr>
          <w:rFonts w:ascii="Arial" w:cs="Arial" w:eastAsia="Arial" w:hAnsi="Arial"/>
          <w:sz w:val="16"/>
          <w:szCs w:val="16"/>
          <w:i w:val="1"/>
          <w:iCs w:val="1"/>
          <w:color w:val="auto"/>
        </w:rPr>
        <w:t>Games and the Examination and Approval of Imported Online Games</w:t>
      </w:r>
      <w:r>
        <w:rPr>
          <w:rFonts w:ascii="Arial" w:cs="Arial" w:eastAsia="Arial" w:hAnsi="Arial"/>
          <w:sz w:val="16"/>
          <w:szCs w:val="16"/>
          <w:color w:val="auto"/>
        </w:rPr>
        <w:t>, or the SAPPRFT Notice. The SAPPRFT Notice restates that foreign investors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to invest in 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SAPPRFT and MII, effective on March 10, 2016, also forbids foreign investments in the online publishing sector. It is unclear whether the authorities will deem our VIE structure as a kind of such “indirect ways” by foreign investors to gain control over or participate in domestic online game operators. If our VIE structure is deemed as one such “indirect way” under the SAPPRFT Notice, our VIE structure may be challenged by the authorities and the authorities may require us to restructure our VIE structure and take action to prohibit or restrict our business operations. In such case, we may not be able to operate or control business in the same manner as we currently do and may not be able to consolidate the VIEs. In addition, the authorities would have broad discretion in dealing with such determination which may adversely impact our financial statements, operations and cash flows.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An ongoing government suspension has adversely affected our e-commerce services related to third-party lottery products and we may be required to obtain governmental authorizations and approvals for providing such e-commerce services, which, if unattainable, may adversely affect our e-commerce business.</w:t>
      </w:r>
    </w:p>
    <w:p>
      <w:pPr>
        <w:spacing w:after="0" w:line="180" w:lineRule="exact"/>
        <w:rPr>
          <w:sz w:val="20"/>
          <w:szCs w:val="20"/>
          <w:color w:val="auto"/>
        </w:rPr>
      </w:pPr>
    </w:p>
    <w:p>
      <w:pPr>
        <w:ind w:firstLine="506"/>
        <w:spacing w:after="0" w:line="287" w:lineRule="auto"/>
        <w:rPr>
          <w:sz w:val="20"/>
          <w:szCs w:val="20"/>
          <w:color w:val="auto"/>
        </w:rPr>
      </w:pPr>
      <w:r>
        <w:rPr>
          <w:rFonts w:ascii="Arial" w:cs="Arial" w:eastAsia="Arial" w:hAnsi="Arial"/>
          <w:sz w:val="16"/>
          <w:szCs w:val="16"/>
          <w:color w:val="auto"/>
        </w:rPr>
        <w:t>We have provided certain e-commerce services related to third-party lottery products. Under the Tentative Administrative Measures on Internet Lottery Sale promulgated by the PRC Ministry of Finance, or MOF, on September 26, 2010, an approval from the MOF is required for conducting an online lottery sales business. On January 18, 2012, the Implementation Rules of the Lottery Administration Regulations, or the Lottery Implementation Rules, were jointly issued by the MOF, the PRC Ministry of Civil Affairs and the State General Administration of Sport. The Lottery Implementation Rules became effective as of March 1, 2012 and explicitly stipulate that the welfare lotteries and sports lotteries sold without the approval of the MOF and the Lottery Issuing Authority’s and Lottery Sales Office’s commission may be categorized as illegal lotteries. In December 2012, the MOF issued the Lottery Distribution and Sale Administration Measures, which became effective on January 1, 2013, and the Tentative Administrative Measures on Telephone Lottery Sale, which became effective on April 1, 2014. These new measures expressly allow lottery sales online or via telephone after obtaining an approval from the MOF. However, there are no associated implementation rules. Under these newly issued rules or regulations, it is currently unclear if we need to obtain approval from the MOF with respect to our provision of e-commerce services related to third-party lottery products. We intend to apply for this approval if we are required to do so under any newly issued rules or regulations or by relevant government authorities. However, if we fail to obtain such approval if and when we are required to do so, we may be subject to regulatory penalties for lack of such approval, and our e-commerce business may be adversely affected.</w:t>
      </w:r>
    </w:p>
    <w:p>
      <w:pPr>
        <w:spacing w:after="0" w:line="169" w:lineRule="exact"/>
        <w:rPr>
          <w:sz w:val="20"/>
          <w:szCs w:val="20"/>
          <w:color w:val="auto"/>
        </w:rPr>
      </w:pPr>
    </w:p>
    <w:p>
      <w:pPr>
        <w:ind w:right="220" w:firstLine="654"/>
        <w:spacing w:after="0" w:line="302" w:lineRule="auto"/>
        <w:rPr>
          <w:sz w:val="20"/>
          <w:szCs w:val="20"/>
          <w:color w:val="auto"/>
        </w:rPr>
      </w:pPr>
      <w:r>
        <w:rPr>
          <w:rFonts w:ascii="Arial" w:cs="Arial" w:eastAsia="Arial" w:hAnsi="Arial"/>
          <w:sz w:val="16"/>
          <w:szCs w:val="16"/>
          <w:color w:val="auto"/>
        </w:rPr>
        <w:t>On January 15, 2015, the Notice on Issues Related to Self-Inspection and Self-Remedy of Unauthorized Online Lottery Sales, or the Lottery Self-Inspection Notice, was jointly issued by the MOF, the PRC Ministry of Civil Affairs and the State General Administration of Sport. In addition, on April 3, 2015, the MOF, the PRC Ministry of Public Security, the State Administration of Industry and Commerce, or SAIC, the MII, the PRC Ministry of Civil Affairs, the People’s Bank of China, the State General Administration of Sport and the China Banking Regulatory Commission jointly issued a public</w:t>
      </w:r>
    </w:p>
    <w:p>
      <w:pPr>
        <w:sectPr>
          <w:pgSz w:w="11900" w:h="16945" w:orient="portrait"/>
          <w:cols w:equalWidth="0" w:num="1">
            <w:col w:w="11400"/>
          </w:cols>
          <w:pgMar w:left="240" w:top="125" w:right="259" w:bottom="0" w:gutter="0" w:footer="0" w:header="0"/>
        </w:sectPr>
      </w:pPr>
    </w:p>
    <w:bookmarkStart w:id="22" w:name="page23"/>
    <w:bookmarkEnd w:id="22"/>
    <w:p>
      <w:pPr>
        <w:spacing w:after="0" w:line="4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announcement (Announcement No. 18 of 2015) with regard to online lottery sales in China, or Announcement No. 18, which reaffirmed that any entities or individuals engaged in online sales of lottery tickets which have not been approved by the MOF should immediately cease such activities and that lottery vendors shall be required to obtain written approval from the MOF before engaging in sales of lottery products online in the future. After the issuance of the Lottery Self-Inspection Notice, we were informed by provincial sports lottery administration centers that, as part of their self-inspection process, they would temporarily suspend accepting online purchase orders for lottery products. The suspension began in late February 2015 and remained in effect after Announcement No. 18 and as of the date of this annual report. As a result, our e-commerce services related to third-party lottery products were affected and we have not been able to process online purchase orders for the suspended lottery products. We have received no information as to when the suspension may be lifted, if at all. A prolonged or permanent suspension has had and will continue to have a material adverse impact on our e-commerce related revenues, and our results of operations and prospects may be adversely affected.</w:t>
      </w:r>
    </w:p>
    <w:p>
      <w:pPr>
        <w:spacing w:after="0" w:line="17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The PRC government has intensified its regulation of Internet cafés, which are currently one of the primary venues for our users to access the NetEase websites and our services, especially online games. Intensified government regulation of Internet cafés could restrict our ability to maintain or increase our revenues and expand our customer base.</w:t>
      </w:r>
    </w:p>
    <w:p>
      <w:pPr>
        <w:spacing w:after="0" w:line="180" w:lineRule="exact"/>
        <w:rPr>
          <w:sz w:val="20"/>
          <w:szCs w:val="20"/>
          <w:color w:val="auto"/>
        </w:rPr>
      </w:pPr>
    </w:p>
    <w:p>
      <w:pPr>
        <w:ind w:firstLine="504"/>
        <w:spacing w:after="0" w:line="287" w:lineRule="auto"/>
        <w:rPr>
          <w:sz w:val="20"/>
          <w:szCs w:val="20"/>
          <w:color w:val="auto"/>
        </w:rPr>
      </w:pPr>
      <w:r>
        <w:rPr>
          <w:rFonts w:ascii="Arial" w:cs="Arial" w:eastAsia="Arial" w:hAnsi="Arial"/>
          <w:sz w:val="16"/>
          <w:szCs w:val="16"/>
          <w:color w:val="auto"/>
        </w:rPr>
        <w:t>In April 2001, the PRC government began tightening its regulation and supervision of Internet cafés, at which many of our users access the NetEase websites and our services, especially online games. In particular, a large number of unlicensed Internet cafés have been closed. In addition, the PRC government has imposed higher capital and facility requirements for the establishment of Internet cafés. Furthermore, the PRC government’s policy, which encourages the development of a limited number of national and regional Internet café chains and discourages the establishment of independent Internet cafés, may slow down the growth of Internet cafés. Moreover, in 2007 the State Administration of Industry and Commerce, one of the government agencies in charge of Internet café licensing, and other government agencies jointly issued a notice temporarily suspending the issuance of new Internet café licenses for a period of six months. In March 2010, the MOC issued a circular to increase the punishment for Internet cafés that allow minors to enter and use the Internet in violation of government regulations. According to this circular, among other things, the government authorities may revoke an Internet café’s Internet Culture Operation License if that Internet café allows three or more minors to enter and use the Internet at one time. Governmental authorities may from time to time impose stricter requirements, for example, limiting customer age limits and hours of operation, based on the occurrence and perception of, and the media attention on, gang violence, arson, and other incidents in or associated with Internet cafés.</w:t>
      </w:r>
    </w:p>
    <w:p>
      <w:pPr>
        <w:spacing w:after="0" w:line="173"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So long as Internet cafés are one of the primary venues for our users to access the NetEase websites and services, especially online games, any reduction in the number, or any slowdown in the growth, of Internet cafés in China could limit our ability to maintain or increase our revenues and expand our customer base, thereby reducing our profitability and growth prospects.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right="340"/>
        <w:spacing w:after="0" w:line="386" w:lineRule="auto"/>
        <w:rPr>
          <w:sz w:val="20"/>
          <w:szCs w:val="20"/>
          <w:color w:val="auto"/>
        </w:rPr>
      </w:pPr>
      <w:r>
        <w:rPr>
          <w:rFonts w:ascii="Arial" w:cs="Arial" w:eastAsia="Arial" w:hAnsi="Arial"/>
          <w:sz w:val="15"/>
          <w:szCs w:val="15"/>
          <w:b w:val="1"/>
          <w:bCs w:val="1"/>
          <w:color w:val="auto"/>
        </w:rPr>
        <w:t>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w:t>
      </w:r>
    </w:p>
    <w:p>
      <w:pPr>
        <w:spacing w:after="0" w:line="16"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 xml:space="preserve">As part of its anti-addiction online game policy, the Chinese government has taken several steps to discourage minors under the age of 18 from continuously playing online games once they exceed a set number of hours of continuous play. For example, in July 2005, the MOC and the MII jointly issued an opinion which requires online game operators to develop systems and software for identity certification, to implement anti-addiction modifications to game rules and to restrict players under 18 years of age from playing certain games. Subsequently, in August 2005, GAPP (later superseded by SAPPRFT) proposed an online game anti-addiction system that would have reduced and eliminated experience points that a user can accumulate after three and five hours of consecutive playing, respectively. In March 2006, GAPP (later superseded by SAPPRFT) amended its proposal to require players to register with their real names and identity card numbers and to apply the anti-addiction system only to players under 18 years of age. In April 2007, GAPP (later superseded by SAPPRFT) and several other government authorities jointly promulgated the </w:t>
      </w:r>
      <w:r>
        <w:rPr>
          <w:rFonts w:ascii="Arial" w:cs="Arial" w:eastAsia="Arial" w:hAnsi="Arial"/>
          <w:sz w:val="17"/>
          <w:szCs w:val="17"/>
          <w:i w:val="1"/>
          <w:iCs w:val="1"/>
          <w:color w:val="auto"/>
        </w:rPr>
        <w:t>Notice Concerning the Protection of Minors’ Physical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Mental Well-being and Implementation of Anti-addiction System on Online Games, </w:t>
      </w:r>
      <w:r>
        <w:rPr>
          <w:rFonts w:ascii="Arial" w:cs="Arial" w:eastAsia="Arial" w:hAnsi="Arial"/>
          <w:sz w:val="17"/>
          <w:szCs w:val="17"/>
          <w:color w:val="auto"/>
        </w:rPr>
        <w:t>or the Anti-Addiction Notice, which confirmed the real-name verification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proposal and required online game operators to develop and test their anti-addiction systems from April 2007 to July 2007, after which no online games can be registered or operated without an anti-addiction system in accordance with the Anti-Addiction Notice. Accordingly, we implemented our anti-addiction system to comply with the Anti-Addiction Notice. Since its implementation, we have not experienced a significant negative impact on our business as a result of the Anti-Addiction Notice.</w:t>
      </w:r>
    </w:p>
    <w:p>
      <w:pPr>
        <w:spacing w:after="0" w:line="107" w:lineRule="exact"/>
        <w:rPr>
          <w:sz w:val="20"/>
          <w:szCs w:val="20"/>
          <w:color w:val="auto"/>
        </w:rPr>
      </w:pPr>
    </w:p>
    <w:p>
      <w:pPr>
        <w:ind w:right="40" w:firstLine="506"/>
        <w:spacing w:after="0" w:line="269" w:lineRule="auto"/>
        <w:rPr>
          <w:sz w:val="20"/>
          <w:szCs w:val="20"/>
          <w:color w:val="auto"/>
        </w:rPr>
      </w:pPr>
      <w:r>
        <w:rPr>
          <w:rFonts w:ascii="Arial" w:cs="Arial" w:eastAsia="Arial" w:hAnsi="Arial"/>
          <w:sz w:val="17"/>
          <w:szCs w:val="17"/>
          <w:color w:val="auto"/>
        </w:rPr>
        <w:t>In addition, on June 3, 2010, the MOC issued a decree on Interim Measures for the Administration of Online Games, or the Online Games Measures, which will be effective as of August 1, 2010. The Online Games Measures set forth certain requirements regarding online games,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Furthermore, in July 2010 the MOC enacted the Notice on Implementing Interim Measures for the Administration of Online Games, or the Online Games Notice, in which several provisions of the Online Games Measures are supplemented, including the required standard clauses for online games service contracts between game operators and users and the timing for the implementation of a real identity registration system. The Online Games Notice also adopts several new measures, including requirements for the domestic online games joint operation by game developers and operators. Although many of these requirements reflect previously issued government regulations with which we already comply, certain new requirements may cause us to change the way we launch and operate our online games. Because the Online Games Measures and Online Games Notice are relatively new and it is unclear how the MOC will interpret and enforce them, we are unable to fully assess what impact, if any, these new requirements may have on our business.</w:t>
      </w:r>
    </w:p>
    <w:p>
      <w:pPr>
        <w:spacing w:after="0" w:line="99" w:lineRule="exact"/>
        <w:rPr>
          <w:sz w:val="20"/>
          <w:szCs w:val="20"/>
          <w:color w:val="auto"/>
        </w:rPr>
      </w:pPr>
    </w:p>
    <w:p>
      <w:pPr>
        <w:ind w:right="240" w:firstLine="506"/>
        <w:spacing w:after="0" w:line="277" w:lineRule="auto"/>
        <w:rPr>
          <w:sz w:val="20"/>
          <w:szCs w:val="20"/>
          <w:color w:val="auto"/>
        </w:rPr>
      </w:pPr>
      <w:r>
        <w:rPr>
          <w:rFonts w:ascii="Arial" w:cs="Arial" w:eastAsia="Arial" w:hAnsi="Arial"/>
          <w:sz w:val="18"/>
          <w:szCs w:val="18"/>
          <w:color w:val="auto"/>
        </w:rPr>
        <w:t>It has been reported in the Chinese media that the Chinese government has concerns about the social impact of online games, and it may continue to impose additional regulatory restrictions on us or our customers or otherwise take actions that harm our business.</w:t>
      </w:r>
    </w:p>
    <w:p>
      <w:pPr>
        <w:spacing w:after="0" w:line="8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Chinese government has not enacted any laws regarding virtual asset property rights and, accordingly, it is not clear what liabilities, if any, online game providers may have for virtual assets.</w:t>
      </w:r>
    </w:p>
    <w:p>
      <w:pPr>
        <w:spacing w:after="0" w:line="85" w:lineRule="exact"/>
        <w:rPr>
          <w:sz w:val="20"/>
          <w:szCs w:val="20"/>
          <w:color w:val="auto"/>
        </w:rPr>
      </w:pPr>
    </w:p>
    <w:p>
      <w:pPr>
        <w:ind w:right="140" w:firstLine="506"/>
        <w:spacing w:after="0" w:line="273" w:lineRule="auto"/>
        <w:rPr>
          <w:sz w:val="20"/>
          <w:szCs w:val="20"/>
          <w:color w:val="auto"/>
        </w:rPr>
      </w:pPr>
      <w:r>
        <w:rPr>
          <w:rFonts w:ascii="Arial" w:cs="Arial" w:eastAsia="Arial" w:hAnsi="Arial"/>
          <w:sz w:val="17"/>
          <w:szCs w:val="17"/>
          <w:color w:val="auto"/>
        </w:rPr>
        <w:t>One of the features of our PC-client MMORPGs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The Chinese government has not enacted any laws regarding virtual asset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virtual currency may adversely affect our online game revenues.</w:t>
      </w:r>
    </w:p>
    <w:p>
      <w:pPr>
        <w:sectPr>
          <w:pgSz w:w="11900" w:h="16883" w:orient="portrait"/>
          <w:cols w:equalWidth="0" w:num="1">
            <w:col w:w="11420"/>
          </w:cols>
          <w:pgMar w:left="240" w:top="125" w:right="239" w:bottom="0" w:gutter="0" w:footer="0" w:header="0"/>
        </w:sectPr>
      </w:pPr>
    </w:p>
    <w:bookmarkStart w:id="23" w:name="page24"/>
    <w:bookmarkEnd w:id="23"/>
    <w:p>
      <w:pPr>
        <w:ind w:right="460" w:firstLine="510"/>
        <w:spacing w:after="0" w:line="277" w:lineRule="auto"/>
        <w:rPr>
          <w:sz w:val="20"/>
          <w:szCs w:val="20"/>
          <w:color w:val="auto"/>
        </w:rPr>
      </w:pPr>
      <w:r>
        <w:rPr>
          <w:rFonts w:ascii="Arial" w:cs="Arial" w:eastAsia="Arial" w:hAnsi="Arial"/>
          <w:sz w:val="18"/>
          <w:szCs w:val="18"/>
          <w:color w:val="auto"/>
        </w:rPr>
        <w:t>Our online game revenues are collected through the sale of physical and virtual prepaid point cards, as described elsewhere on this annual report, including below in the “User Fees” section in Item 4.B of this annual report.</w:t>
      </w:r>
    </w:p>
    <w:p>
      <w:pPr>
        <w:spacing w:after="0" w:line="8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On February 15, 2007, the MOC issued the Notice on the Reinforcement of the Administration of Internet Cafés and Online Games, or the Internet Cafés Notice, which directs the PBOC to strengthen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spacing w:after="0" w:line="10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June 4, 2009, the MOC and the Ministry of Commerce jointly issued the Notice on Strengthening the Administration of Online Game Virtual Currency, or the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Virtual Currency Notice categorizes companies involved with virtual currency as either issuers or trading platforms and prohibits companies from simultaneously engaging both as issuers and as trading platforms. The Virtual Currency Notice’s stated objective is to limit the circulation of virtual currency and thereby reduce concerns that it may impact real world inflation. To accomplish this, the Virtual Currency Notice requires online game operators to report the total amount of their issued virtual currencies on a quarterly basis and to refrain from issuing disproportionate amounts of virtual currencies in order to generate revenues. In addition, the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Virtual Currency Notice also requires online game operators to keep transaction data records for no less than 180 days and to not provide virtual currency trading services to minors.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510"/>
        <w:spacing w:after="0" w:line="264" w:lineRule="auto"/>
        <w:rPr>
          <w:sz w:val="20"/>
          <w:szCs w:val="20"/>
          <w:color w:val="auto"/>
        </w:rPr>
      </w:pPr>
      <w:r>
        <w:rPr>
          <w:rFonts w:ascii="Arial" w:cs="Arial" w:eastAsia="Arial" w:hAnsi="Arial"/>
          <w:sz w:val="18"/>
          <w:szCs w:val="18"/>
          <w:color w:val="auto"/>
        </w:rPr>
        <w:t>In order to comply with the requirements of the Virtual Currency Notice, we may need to change our prepaid point card distribution and database systems, resulting in higher costs of our online game operation, lower sales of our prepaid cards, or other changes in our business model. Such changes may therefore have an adverse effect on our revenues from online games.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financial transactions may adversely affect the operation and profitability of our business.</w:t>
      </w:r>
    </w:p>
    <w:p>
      <w:pPr>
        <w:spacing w:after="0" w:line="229" w:lineRule="exact"/>
        <w:rPr>
          <w:sz w:val="20"/>
          <w:szCs w:val="20"/>
          <w:color w:val="auto"/>
        </w:rPr>
      </w:pPr>
    </w:p>
    <w:p>
      <w:pPr>
        <w:ind w:firstLine="504"/>
        <w:spacing w:after="0" w:line="285" w:lineRule="auto"/>
        <w:rPr>
          <w:sz w:val="20"/>
          <w:szCs w:val="20"/>
          <w:color w:val="auto"/>
        </w:rPr>
      </w:pPr>
      <w:r>
        <w:rPr>
          <w:rFonts w:ascii="Arial" w:cs="Arial" w:eastAsia="Arial" w:hAnsi="Arial"/>
          <w:sz w:val="16"/>
          <w:szCs w:val="16"/>
          <w:color w:val="auto"/>
        </w:rPr>
        <w:t>On April 16, 2009, the PBOC issued a notice, or the PBOC Notice, regarding the regulation of non-financial institutions engaged in the business of effecting payments and settlements. The PBOC Notice requires non-financial institutions established before April 16, 2009 which are engaged in the payment and settlement business to register with the PBOC before July 31, 2009. According to the PBOC Notice, such registration is interpreted as a basis for future policy making rather than a permit. Guangzhou NetEase has finished the required registration with the PBOC. In addition, on June 14, 2010, the PBOC issued the Measures for the Administration of Non-financial Institutions Engaging in Payment and Settlement Services, or the PBOC Measures, which were effective as of September 1, 2010 and require that non-financial institutions engaging in the business of effecting payments and settlements before June 14, 2010 obtain a permit from the PBOC by August 31, 2011 to continue such business. On December 1, 2010, the PBOC issued Detailed Rules for the Implementation of the Administrative Measures for the Payment Services Provided by Non-financial Institutions, which provide, among other things, further explanation for the qualifications of applicants and more detailed description for the application materials. On December 28, 2015, the PBOC issued a notice regarding the Administrative Measures for the Online Payment Business of Non-bank Payment Institutions, or PBOC Notice 18, which is to take effect on July 1, 2016. According to the PBOC Notice 18, a payment institution is required to follow the principles of “know your clients”, and establish a sound client identification mechanism. The payment institution is required to manage the client on a real name basis when opening a payment account for such client. Pursuant to the PBOC Notice 18, a payment institution shall not engage in, including in a disguised form, such businesses as securities, insurance, credit loans, financing, wealth management, guarantee, trust, currency exchange, cash deposit and withdrawal services. In addition, a payment institution is required to, based on client identity, conduct affiliated management of all the payment accounts opened by the same client, and carry out classified management of an individual’s payment accounts according to the respective provisions stipulated in the PBOC Notice 18.</w:t>
      </w:r>
    </w:p>
    <w:p>
      <w:pPr>
        <w:spacing w:after="0" w:line="17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currently operate an online payment platform used by both distributors of our prepaid point cards and end users of our online services, which requires a permit under the PBOC Measures. We have obtained such permit from the PBOC. However, as the PBOC Measures and PBOC Notice 18 are relatively new, we cannot be certain how they will be interpreted and enforced by the PBOC and whether we will be able to maintain or renew such permit in the future. An inability to continue operating our current online payment platform would likely materially and adversely affect the operation and profitability of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compete successfully against new entrants and established industry competitors.</w:t>
      </w:r>
    </w:p>
    <w:p>
      <w:pPr>
        <w:spacing w:after="0" w:line="229" w:lineRule="exact"/>
        <w:rPr>
          <w:sz w:val="20"/>
          <w:szCs w:val="20"/>
          <w:color w:val="auto"/>
        </w:rPr>
      </w:pPr>
    </w:p>
    <w:p>
      <w:pPr>
        <w:ind w:right="40" w:firstLine="510"/>
        <w:spacing w:after="0" w:line="264" w:lineRule="auto"/>
        <w:rPr>
          <w:sz w:val="20"/>
          <w:szCs w:val="20"/>
          <w:color w:val="auto"/>
        </w:rPr>
      </w:pPr>
      <w:r>
        <w:rPr>
          <w:rFonts w:ascii="Arial" w:cs="Arial" w:eastAsia="Arial" w:hAnsi="Arial"/>
          <w:sz w:val="18"/>
          <w:szCs w:val="18"/>
          <w:color w:val="auto"/>
        </w:rPr>
        <w:t>The Chinese market for Internet content and services is intensely competitive and rapidly changing. Many companies offer competitive products or services including online games, Chinese language-based web search, retrieval and navigation services, e-commerce services and extensive Chinese language content, informational and community features, and e-mail.</w:t>
      </w:r>
    </w:p>
    <w:p>
      <w:pPr>
        <w:spacing w:after="0" w:line="181"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Currently, our competition comes from Chinese language-based Internet media companies as well as US-based media companies. Some of our current and potential competitors are much larger than we are, and currently offer, and could further develop or acquire, content and services that compete with the NetEase websites. We also face competition from online game developers and operators, Internet service providers, e-commerce service providers, website operators and providers of web browser software that incorporate search and retrieval features. With respect to online games, we believe that more competitors are entering this market in China and that our competitors are becoming more active in both licensing foreign-developed games and developing games in-house, which trends, if they continue, could adversely affect our online game revenues in the future. We believe that competition in the online advertising industry in China is intense with numerous competitors such as Baidu, Sina, Sohu, Tencent, Alibaba, Qihoo, iFeng.com, TouTiao.com, Youku and other vertical Internet media. Any of our present or future competitors may offer products and services that provide significant performance, price, creativity or other advantages over those offered by us and, therefore, achieve greater market acceptance than ours.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60" w:right="239" w:bottom="0" w:gutter="0" w:footer="0" w:header="0"/>
        </w:sectPr>
      </w:pPr>
    </w:p>
    <w:bookmarkStart w:id="24" w:name="page25"/>
    <w:bookmarkEnd w:id="24"/>
    <w:p>
      <w:pPr>
        <w:ind w:right="100" w:firstLine="510"/>
        <w:spacing w:after="0" w:line="257" w:lineRule="auto"/>
        <w:rPr>
          <w:sz w:val="20"/>
          <w:szCs w:val="20"/>
          <w:color w:val="auto"/>
        </w:rPr>
      </w:pPr>
      <w:r>
        <w:rPr>
          <w:rFonts w:ascii="Arial" w:cs="Arial" w:eastAsia="Arial" w:hAnsi="Arial"/>
          <w:sz w:val="18"/>
          <w:szCs w:val="18"/>
          <w:color w:val="auto"/>
        </w:rPr>
        <w:t>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Any increased competition could reduce page views, make it difficult for us to attract and retain users, reduce or eliminate our market share, lower our profit margins and reduce our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business was founded in June 1997, and we began offering search services and free Web-based e-mail starting mid-1997 and early-1998, respectively. In mid-1998, we changed our business model from a software developer to an Internet technology company and commenced developing the NetEase websites. In mid-1999, we established our advertising sales force to sell advertisements on the NetEase websites and also began to offer e-commerce platforms and to provide online shopping mall and other e-commerce services in China. In 2001, we also began focusing on fee-based premium services and online entertainment services, including online games, wireless value-added services, premium e-mail services and other subscription-type services. We developed our own proprietary Internet search engine, Youdao, which was launched in December 2007 and is free of charge to users. We launched our self-operated cross-border e-commerce platform, Kaola, in January 2015.</w:t>
      </w:r>
    </w:p>
    <w:p>
      <w:pPr>
        <w:spacing w:after="0" w:line="178" w:lineRule="exact"/>
        <w:rPr>
          <w:sz w:val="20"/>
          <w:szCs w:val="20"/>
          <w:color w:val="auto"/>
        </w:rPr>
      </w:pPr>
    </w:p>
    <w:p>
      <w:pPr>
        <w:jc w:val="both"/>
        <w:ind w:right="300" w:firstLine="510"/>
        <w:spacing w:after="0" w:line="264" w:lineRule="auto"/>
        <w:rPr>
          <w:sz w:val="20"/>
          <w:szCs w:val="20"/>
          <w:color w:val="auto"/>
        </w:rPr>
      </w:pPr>
      <w:r>
        <w:rPr>
          <w:rFonts w:ascii="Arial" w:cs="Arial" w:eastAsia="Arial" w:hAnsi="Arial"/>
          <w:sz w:val="18"/>
          <w:szCs w:val="18"/>
          <w:color w:val="auto"/>
        </w:rPr>
        <w:t>Our company was incorporated in the Cayman Islands on July 6, 1999, and it operates under the Cayman Islands Companies Law (2013 Revision). Our principal executive offices are located at Building No. 7, West Zone, Zhongguancun Software Park (Phase II), No. 10 Xibeiwang East Road, Haidian District, Beijing, People’s Republic of China 100193. Our telephone number is (86-10) 8255-8163.</w:t>
      </w:r>
    </w:p>
    <w:p>
      <w:pPr>
        <w:spacing w:after="0" w:line="181" w:lineRule="exact"/>
        <w:rPr>
          <w:sz w:val="20"/>
          <w:szCs w:val="20"/>
          <w:color w:val="auto"/>
        </w:rPr>
      </w:pPr>
    </w:p>
    <w:p>
      <w:pPr>
        <w:ind w:firstLine="576"/>
        <w:spacing w:after="0" w:line="290" w:lineRule="auto"/>
        <w:rPr>
          <w:sz w:val="20"/>
          <w:szCs w:val="20"/>
          <w:color w:val="auto"/>
        </w:rPr>
      </w:pPr>
      <w:r>
        <w:rPr>
          <w:rFonts w:ascii="Arial" w:cs="Arial" w:eastAsia="Arial" w:hAnsi="Arial"/>
          <w:sz w:val="16"/>
          <w:szCs w:val="16"/>
          <w:color w:val="auto"/>
        </w:rPr>
        <w:t>Our principal capital expenditures for 2015 consisted mainly of cost incurred for the construction of our new office buildings and warehouses in Beijing, Guangzhou, Hangzhou, Zhoushan and Ningbo in China, acquisition of new servers in connection with the operation of our self-developed and licensed games, and investment in the expansion and upgrade of our mailbox infrastructure for a total of approximately RMB866.3 million (US$133.7 million). Our principal capital expenditures for 2014 consisted mainly of cost incurred for the construction of our new office buildings in Beijing, Guangzhou, Hangzhou and Zhoushan in China, acquisition of new servers in connection with the operation of our self-developed and licensed games, and investment in the expansion and upgrade of our mailbox infrastructure for a total of approximately RMB537.4 million. Our principal capital expenditures for 2013 consisted mainly of acquisition of new servers in connection with the operation of our self-developed games, investment in the expansion and upgrade of our mailbox infrastructure, and cost incurred for the construction of our new office building in Beijing, China, for a total of approximately RMB218.9 million.</w:t>
      </w:r>
    </w:p>
    <w:p>
      <w:pPr>
        <w:spacing w:after="0" w:line="166"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addition, in connection with the licensing of certain online games by Blizzard to Shanghai EaseNet for operation in the PRC, during the respective terms of the licenses, Shanghai EaseNet as licensee of the games is required to pay royalties and consultancy fees to Blizzard for the games, have a minimum marketing expenditure commitment, and provide funds for hardware to operate the games. For further details, see Item 4.B. “Business Overview — Our Services — Game Licensing and Joint Venture with Blizzard.” As of December 31, 2015, we had capital expenditure commitments of RMB1,192.3 million (US$184.1 million) for 2016 onwards, which primarily consist of commitments made in connection with the construction of new office buildings in Hangzhou, Guangzhou and Zhoushan. Our capital expenditures in 2015 have been, and future capital expenditures are expected to continue to be, funded by operating cash flows and our existing capital resources.</w:t>
      </w:r>
    </w:p>
    <w:p>
      <w:pPr>
        <w:spacing w:after="0" w:line="18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Through our subsidiaries and contracts with our affiliates Guangzhou NetEase, NetEase Advertising, Hanghzou Leihuo, Shanghai EaseNet and certain other affiliated companies and their respective shareholders, we operate a leading interactive online community in China and are a major provider of Chinese language content and services through our online games, Internet media, e-mail, e-commerce and other businesses.</w:t>
      </w:r>
    </w:p>
    <w:p>
      <w:pPr>
        <w:spacing w:after="0" w:line="166" w:lineRule="exact"/>
        <w:rPr>
          <w:sz w:val="20"/>
          <w:szCs w:val="20"/>
          <w:color w:val="auto"/>
        </w:rPr>
      </w:pPr>
    </w:p>
    <w:p>
      <w:pPr>
        <w:ind w:right="560" w:firstLine="510"/>
        <w:spacing w:after="0" w:line="308" w:lineRule="auto"/>
        <w:rPr>
          <w:sz w:val="20"/>
          <w:szCs w:val="20"/>
          <w:color w:val="auto"/>
        </w:rPr>
      </w:pPr>
      <w:r>
        <w:rPr>
          <w:rFonts w:ascii="Arial" w:cs="Arial" w:eastAsia="Arial" w:hAnsi="Arial"/>
          <w:sz w:val="17"/>
          <w:szCs w:val="17"/>
          <w:color w:val="auto"/>
        </w:rPr>
        <w:t>We generate revenues from fees we charge users of our online games, from selling advertisements on the NetEase websites, and from e-mail, e-commerce and other services. Our basic service offerings on the NetEase websites are available without charge to our users.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Our ability to leverage our Internet media traffic to generate revenues in online gaming, advertising services and e-commerce is a key component of our growth strategy.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Online Games Services</w:t>
      </w:r>
    </w:p>
    <w:p>
      <w:pPr>
        <w:spacing w:after="0" w:line="22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online games business primarily focuses on offering PC-client massively multi-player online role-playing games (commonly known as “PC-client MMORPGs”), as well as mobile games to the Chinese market.</w:t>
      </w:r>
    </w:p>
    <w:p>
      <w:pPr>
        <w:spacing w:after="0" w:line="170" w:lineRule="exact"/>
        <w:rPr>
          <w:sz w:val="20"/>
          <w:szCs w:val="20"/>
          <w:color w:val="auto"/>
        </w:rPr>
      </w:pPr>
    </w:p>
    <w:p>
      <w:pPr>
        <w:ind w:right="100" w:firstLine="510"/>
        <w:spacing w:after="0" w:line="302" w:lineRule="auto"/>
        <w:rPr>
          <w:sz w:val="20"/>
          <w:szCs w:val="20"/>
          <w:color w:val="auto"/>
        </w:rPr>
      </w:pPr>
      <w:r>
        <w:rPr>
          <w:rFonts w:ascii="Arial" w:cs="Arial" w:eastAsia="Arial" w:hAnsi="Arial"/>
          <w:sz w:val="16"/>
          <w:szCs w:val="16"/>
          <w:color w:val="auto"/>
        </w:rPr>
        <w:t>PC-client MMORPGs are played over the Internet in “virtual worlds” that exist on networked game servers to which thousands of players simultaneously connect to interact with each other. We develop and operate PC-client MMORPGs that are targeted at or localized to the Chinese market, and we strive to provide the highest quality game playing experience to our users. In addition, starting in August 2008, Blizzard agreed to license certain online games to Shanghai EaseNet for operation in the PRC, as discussed below under “Our Services — Game Licensing and Joint Venture with Blizzard”.</w:t>
      </w:r>
    </w:p>
    <w:p>
      <w:pPr>
        <w:spacing w:after="0" w:line="154"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use two revenue models for such games: a time-based model, in which players pay for game playing time, and an item-based model, in which players can play the basic features of the game for free and can purchase virtual items that enhance their playing experience. A majority of our revenues come from our in-house games that use the time-based model, like New Westward Journey Online II and Fantasy Westward Journey II, and from World of Warcraft and StarCraft II: Wings of Liberty, which also use the time-based model. We also operate more than 16 self-developed item-based PC-client MMORPG games, such as Tianxia III, New Ghost (a new version of Ghost II), Revelation, Demon Seals, Hegemon-King of Western Chu, Heroes of Tang Dynasty Zero, and an item-based version of New Westward Journey Online II. We plan to launch other new games using the item-based revenue model in the future.</w:t>
      </w:r>
    </w:p>
    <w:p>
      <w:pPr>
        <w:sectPr>
          <w:pgSz w:w="11900" w:h="16838" w:orient="portrait"/>
          <w:cols w:equalWidth="0" w:num="1">
            <w:col w:w="11420"/>
          </w:cols>
          <w:pgMar w:left="240" w:top="341" w:right="239" w:bottom="0" w:gutter="0" w:footer="0" w:header="0"/>
        </w:sectPr>
      </w:pPr>
    </w:p>
    <w:bookmarkStart w:id="25" w:name="page26"/>
    <w:bookmarkEnd w:id="25"/>
    <w:p>
      <w:pPr>
        <w:ind w:firstLine="504"/>
        <w:spacing w:after="0" w:line="276" w:lineRule="auto"/>
        <w:rPr>
          <w:sz w:val="20"/>
          <w:szCs w:val="20"/>
          <w:color w:val="auto"/>
        </w:rPr>
      </w:pPr>
      <w:r>
        <w:rPr>
          <w:rFonts w:ascii="Arial" w:cs="Arial" w:eastAsia="Arial" w:hAnsi="Arial"/>
          <w:sz w:val="17"/>
          <w:szCs w:val="17"/>
          <w:color w:val="auto"/>
        </w:rPr>
        <w:t>To pay for PC-client MMORPG playing time or virtual items purchased within a game, players use our proprietary prepaid point system by purchasing physical prepaid point cards or virtual prepaid point cards. We work with a wide range of distributors to distribute our point cards to gamers across China. Physical prepaid point card distribution channels include wholesalers, Internet cafés, software stores, supermarkets, bookstores and newspaper stands, as well as convenience stores mainly in Guangzhou Province, Shanghai, Beijing and in several second tier cities. Virtual prepaid point cards can be purchased online by debit card, credit card or bank transfer using our Wangyibao online payment platform.</w:t>
      </w:r>
    </w:p>
    <w:p>
      <w:pPr>
        <w:spacing w:after="0" w:line="173"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As of December 31, 2015, we also offered over 80 self-developed and licensed mobile games of various genres, such as the Fantasy Westward Journey and Westward Journey Online mobile games, Battle to the West, The World HD, Fairy Tales and Kari-ri-sei Million Arthur. We distribute our mobile games by partnering with major Android- and iOS-based app stores in China as well as through our proprietary distribution channels, such as our website and NetEase News App. Mobile game revenues are primarily derived from sales of in-game virtual items, including items, avatars, skills, privileges or other in-game consumables, features or functionalities, within our games. Users have a variety of payment options for our in-game virtual items, including our prepaid cards, online payments through app stores and other online payment channels.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Internet Media Business</w:t>
      </w:r>
    </w:p>
    <w:p>
      <w:pPr>
        <w:spacing w:after="0" w:line="22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NetEase websites provide Internet users with Chinese language online services centered around three core service categories—content, community and communication. Our wide range of content appeals to a broad audience group spanning all age groups. However, our services are particularly popular among younger audiences between the ages of 23 and 35. We are continually working to reinforce our leadership position through premium content and service development and innovation. In particular, China’s Internet sector is quickly transitioning from PC to mobile platforms. We believe there are significant opportunities to explore new revenue streams related to the mobile Internet market. We have been proactively migrating our PC products onto mobile across our different business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w:t>
      </w:r>
    </w:p>
    <w:p>
      <w:pPr>
        <w:spacing w:after="0" w:line="225"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The NetEase content channels provide news, information and online entertainment to the Chinese public. The websites consolidate and distribute content from more than one hundred international and domestic content providers. Content is distributed through various channels, including channels focusing on news, entertainment, sports, finance, information technology, automobiles, education and real estate.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and Communication</w:t>
      </w:r>
    </w:p>
    <w:p>
      <w:pPr>
        <w:spacing w:after="0" w:line="225" w:lineRule="exact"/>
        <w:rPr>
          <w:sz w:val="20"/>
          <w:szCs w:val="20"/>
          <w:color w:val="auto"/>
        </w:rPr>
      </w:pPr>
    </w:p>
    <w:p>
      <w:pPr>
        <w:ind w:right="40" w:firstLine="510"/>
        <w:spacing w:after="0" w:line="264" w:lineRule="auto"/>
        <w:rPr>
          <w:sz w:val="20"/>
          <w:szCs w:val="20"/>
          <w:color w:val="auto"/>
        </w:rPr>
      </w:pPr>
      <w:r>
        <w:rPr>
          <w:rFonts w:ascii="Arial" w:cs="Arial" w:eastAsia="Arial" w:hAnsi="Arial"/>
          <w:sz w:val="18"/>
          <w:szCs w:val="18"/>
          <w:color w:val="auto"/>
        </w:rPr>
        <w:t>The NetEase websites provide a broad array of free and fee-based community and communication services, including photo album, instant messaging, online personal advertisements, open courses (NetEase Open Courses), mobile news applications (NetEase News App), interactive online video (NetEase BoBo) and community forums.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80" w:firstLine="510"/>
        <w:spacing w:after="0" w:line="264" w:lineRule="auto"/>
        <w:rPr>
          <w:sz w:val="20"/>
          <w:szCs w:val="20"/>
          <w:color w:val="auto"/>
        </w:rPr>
      </w:pPr>
      <w:r>
        <w:rPr>
          <w:rFonts w:ascii="Arial" w:cs="Arial" w:eastAsia="Arial" w:hAnsi="Arial"/>
          <w:sz w:val="18"/>
          <w:szCs w:val="18"/>
          <w:color w:val="auto"/>
        </w:rPr>
        <w:t>In addition to the services described above, the NetEase websites provide other services to our users, including various search functions, dictionary (Youdao Dictionary) and cloud note-taking application (Youdao Cloudnote). These products are powered by our own proprietary Internet search engine, Youdao, which was developed by us and launched in December 2007 and is free of charge to users.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Services</w:t>
      </w:r>
    </w:p>
    <w:p>
      <w:pPr>
        <w:spacing w:after="0" w:line="22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large and growing user base attracts well-known advertisers to our web sites. The various content channels and wide range of online services offered through our Internet media forms an effective medium for our clients to conduct integrated marketing campaigns to the millions of loyal NetEase users. Our online advertising offerings include banner advertising, channel sponsorships, direct e-mail, interactive media-rich sites, sponsored special events, games, contests and other activities. We mainly charge advertisers on a per diem fixed fees basis, and we also adopted a Cost Per Impression, or CPM, pricing model for certain of our advertisers at their request. Our standard advertising charges vary depending on the terms of the contract and the advertisement’s location within our website. Discounts from standard rates are typically provided for higher-volume, longer-term advertising contracts, and may be provided for promotional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 E-commerce and Others</w:t>
      </w:r>
    </w:p>
    <w:p>
      <w:pPr>
        <w:spacing w:after="0" w:line="229" w:lineRule="exact"/>
        <w:rPr>
          <w:sz w:val="20"/>
          <w:szCs w:val="20"/>
          <w:color w:val="auto"/>
        </w:rPr>
      </w:pPr>
    </w:p>
    <w:p>
      <w:pPr>
        <w:ind w:right="140" w:firstLine="510"/>
        <w:spacing w:after="0" w:line="287" w:lineRule="auto"/>
        <w:rPr>
          <w:sz w:val="20"/>
          <w:szCs w:val="20"/>
          <w:color w:val="auto"/>
        </w:rPr>
      </w:pPr>
      <w:r>
        <w:rPr>
          <w:rFonts w:ascii="Arial" w:cs="Arial" w:eastAsia="Arial" w:hAnsi="Arial"/>
          <w:sz w:val="16"/>
          <w:szCs w:val="16"/>
          <w:color w:val="auto"/>
        </w:rPr>
        <w:t>As one of the largest e-mail services provider in China, we offer free and fee-based premium e-mail services to our individual users and corporate users. We also offer a wide range of e-commerce services, which primarily include Caipiao, an online service that facilitates the processing of end users’ purchase orders for lotteries operated by third-party vendors, and Baoxian, an online service that facilitates the sale of insurance products from third-party insurers. We established our self-operated, cross-border e-commerce platform, Kaola, in January 2015. Kaola primarily sells imported maternity and baby products, skincare and cosmetics and other general merchandise through our online platform. We also provide e-commerce marketplace services for third-party vendors to sell their products on our platform. We also operate the Duobao platform, an online service that allows users to exchange a virtual currency for products. Our other services include Wangyibao, our online payment platform, EaseRead, our e-reading apps, Cloud Music, our online music social network, NetEase Cloud Classroom, our online education platform, Internet finance services as well as the sale of game-related accessories to our users. For additional information, see Item 3.D. “Risk Factors—Risks Related to the Telecommunications and Internet Industries in China—An ongoing government suspension has adversely affected our e-commerce services related to third-party lottery products and we may be required to obtain governmental authorizations and approvals for providing such e-commerce services, which, if unattainable, may adversely affect our e-commerce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with China Telecom Corporation Limited, or China Telecom</w:t>
      </w:r>
    </w:p>
    <w:p>
      <w:pPr>
        <w:spacing w:after="0" w:line="229" w:lineRule="exact"/>
        <w:rPr>
          <w:sz w:val="20"/>
          <w:szCs w:val="20"/>
          <w:color w:val="auto"/>
        </w:rPr>
      </w:pPr>
    </w:p>
    <w:p>
      <w:pPr>
        <w:ind w:firstLine="510"/>
        <w:spacing w:after="0" w:line="302" w:lineRule="auto"/>
        <w:rPr>
          <w:sz w:val="20"/>
          <w:szCs w:val="20"/>
          <w:color w:val="auto"/>
        </w:rPr>
      </w:pPr>
      <w:r>
        <w:rPr>
          <w:rFonts w:ascii="Arial" w:cs="Arial" w:eastAsia="Arial" w:hAnsi="Arial"/>
          <w:sz w:val="16"/>
          <w:szCs w:val="16"/>
          <w:color w:val="auto"/>
        </w:rPr>
        <w:t>In August 2013, we established a joint venture with China Telecom in which we hold a minority ownership stake. The joint venture operates “YiChat”, a proprietary social instant messaging application for smart phones. YiChat differentiates itself from other social instant messaging applications through the integration of various unique technologies. Among its specially developed and distinctive features, YiChat offers proprietary environmental noise reduction technology, high-quality photo messaging and various original stickers and emoticon designs. Our strategic joint venture with China Telecom aims to provide</w:t>
      </w:r>
    </w:p>
    <w:p>
      <w:pPr>
        <w:sectPr>
          <w:pgSz w:w="11900" w:h="16838" w:orient="portrait"/>
          <w:cols w:equalWidth="0" w:num="1">
            <w:col w:w="11400"/>
          </w:cols>
          <w:pgMar w:left="240" w:top="125" w:right="259" w:bottom="0" w:gutter="0" w:footer="0" w:header="0"/>
        </w:sectPr>
      </w:pPr>
    </w:p>
    <w:bookmarkStart w:id="26" w:name="page27"/>
    <w:bookmarkEnd w:id="26"/>
    <w:p>
      <w:pPr>
        <w:ind w:right="80"/>
        <w:spacing w:after="0" w:line="277" w:lineRule="auto"/>
        <w:rPr>
          <w:sz w:val="20"/>
          <w:szCs w:val="20"/>
          <w:color w:val="auto"/>
        </w:rPr>
      </w:pPr>
      <w:r>
        <w:rPr>
          <w:rFonts w:ascii="Arial" w:cs="Arial" w:eastAsia="Arial" w:hAnsi="Arial"/>
          <w:sz w:val="18"/>
          <w:szCs w:val="18"/>
          <w:color w:val="auto"/>
        </w:rPr>
        <w:t>a superior social instant messaging application for smart phone users. This partnership signaled the start of our entry into the mobile instant messaging space and is a key component of our mobile Internet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conduct our business in China solely through our subsidiaries and VIEs. Under current Chinese regulations, there are restrictions on the percentage interest foreign or foreign-invested companies may have in Chinese companies providing value-added telecommunications services in China, which include the provision of Internet content, online games and e-mail, e-commerce and other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NetEase Advertising, Hangzhou Leihuo, as well as certain other affiliated entities. Under the contracts, we provide our Internet, e-mail and e-commerce applications, services and technologies and advertising services to Guangzhou NetEase, NetEase Advertising, Hangzhou Leihuo and certain other affiliated entities and they operate the NetEase online games, websites, the online advertising business as well the e-mail and e-commerce business. Guangzhou NetEase also has a majority-owned subsidiary, Youdao Computer, a search-related business operator, and a wholly-owned subsidiary, Wangyibao, the operator of our Wangyibao online payment platform. For more information on these agreements, see Item 7.B. “Major Shareholders and Related Party Transactions—Related Party Transactions.”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Each of Guangzhou NetEase and NetEase Advertising is 99.0% beneficially owned by our founder, Chief Executive Officer and major shareholder, William Lei Ding, and 1.0% owned by one of our employees. Youdao Computer is 71.1% owned by Guangzhou NetEase and 28.9% owned by individuals who are employees of Youdao Computer. Wangyibao is 100.0% owned by Guangzhou NetEase. Hangzhou Leihuo is owned by two of our employees. We do not have any direct ownership interest in those companies.</w:t>
      </w:r>
    </w:p>
    <w:p>
      <w:pPr>
        <w:spacing w:after="0" w:line="18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Under our agreements with Guangzhou NetEase, we have agreed to pay its operating costs. Under our agreements with NetEase Advertising and Hangzhou Leihuo, we have agreed to provide performance guarantees and guarantee loans for working capital purposes to the extent required by NetEase Advertising or Hangzhou Leihuo for their operations. Guangzhou NetEase, NetEase Advertising and Hangzhou Leihuo are each prohibited from incurring any debt without our prior approval.</w:t>
      </w:r>
    </w:p>
    <w:p>
      <w:pPr>
        <w:spacing w:after="0" w:line="187" w:lineRule="exact"/>
        <w:rPr>
          <w:sz w:val="20"/>
          <w:szCs w:val="20"/>
          <w:color w:val="auto"/>
        </w:rPr>
      </w:pPr>
    </w:p>
    <w:p>
      <w:pPr>
        <w:jc w:val="both"/>
        <w:ind w:right="200" w:firstLine="510"/>
        <w:spacing w:after="0" w:line="259" w:lineRule="auto"/>
        <w:rPr>
          <w:sz w:val="20"/>
          <w:szCs w:val="20"/>
          <w:color w:val="auto"/>
        </w:rPr>
      </w:pPr>
      <w:r>
        <w:rPr>
          <w:rFonts w:ascii="Arial" w:cs="Arial" w:eastAsia="Arial" w:hAnsi="Arial"/>
          <w:sz w:val="18"/>
          <w:szCs w:val="18"/>
          <w:color w:val="auto"/>
        </w:rPr>
        <w:t>Starting in August 2008, Blizzard agreed to license certain online games to Shanghai EaseNet for operation in the PRC. Shanghai EaseNet is a PRC company owned by William Lei Ding, our Chief Executive Officer, director and major shareholder and has contractual arrangements with the joint venture established between, and owned equally by, Blizzard and us, and with us. The joint venture was established concurrently with the licensing of games from Blizzard in August 2008 and provides technical services to Shanghai EaseNet.</w:t>
      </w:r>
    </w:p>
    <w:p>
      <w:pPr>
        <w:spacing w:after="0" w:line="187" w:lineRule="exact"/>
        <w:rPr>
          <w:sz w:val="20"/>
          <w:szCs w:val="20"/>
          <w:color w:val="auto"/>
        </w:rPr>
      </w:pPr>
    </w:p>
    <w:p>
      <w:pPr>
        <w:jc w:val="both"/>
        <w:ind w:right="240" w:firstLine="510"/>
        <w:spacing w:after="0" w:line="312" w:lineRule="auto"/>
        <w:rPr>
          <w:sz w:val="20"/>
          <w:szCs w:val="20"/>
          <w:color w:val="auto"/>
        </w:rPr>
      </w:pPr>
      <w:r>
        <w:rPr>
          <w:rFonts w:ascii="Arial" w:cs="Arial" w:eastAsia="Arial" w:hAnsi="Arial"/>
          <w:sz w:val="16"/>
          <w:szCs w:val="16"/>
          <w:color w:val="auto"/>
        </w:rPr>
        <w:t>As a result of our contractual arrangements with these companies, we bear the risks of, and enjoy the rewards associated with, and therefore are the primary beneficiary of our investments in them. They are therefore considered our variable interest entities, and we consolidate the results of operations of these VIEs and their subsidiaries in our historical consolidated financial statements. See also Item 5 “Operating and Financial Review and Prospects.”</w:t>
      </w:r>
    </w:p>
    <w:p>
      <w:pPr>
        <w:spacing w:after="0" w:line="147" w:lineRule="exact"/>
        <w:rPr>
          <w:sz w:val="20"/>
          <w:szCs w:val="20"/>
          <w:color w:val="auto"/>
        </w:rPr>
      </w:pPr>
    </w:p>
    <w:p>
      <w:pPr>
        <w:ind w:right="180" w:firstLine="510"/>
        <w:spacing w:after="0" w:line="264" w:lineRule="auto"/>
        <w:rPr>
          <w:sz w:val="20"/>
          <w:szCs w:val="20"/>
          <w:color w:val="auto"/>
        </w:rPr>
      </w:pPr>
      <w:r>
        <w:rPr>
          <w:rFonts w:ascii="Arial" w:cs="Arial" w:eastAsia="Arial" w:hAnsi="Arial"/>
          <w:sz w:val="18"/>
          <w:szCs w:val="18"/>
          <w:color w:val="auto"/>
        </w:rPr>
        <w:t>Any violations by Guangzhou NetEase, NetEase Advertising, Hangzhou Leihuo or any other VIEs of our agreements with them could disrupt our operations, degrade our services or shut down our services. See Item 3.D. “Risk Factors” for a detailed discussion of the risks to NetEase, Inc. regarding its dependency on these companies.</w:t>
      </w:r>
    </w:p>
    <w:p>
      <w:pPr>
        <w:spacing w:after="0" w:line="181" w:lineRule="exact"/>
        <w:rPr>
          <w:sz w:val="20"/>
          <w:szCs w:val="20"/>
          <w:color w:val="auto"/>
        </w:rPr>
      </w:pPr>
    </w:p>
    <w:p>
      <w:pPr>
        <w:jc w:val="both"/>
        <w:ind w:right="200" w:firstLine="510"/>
        <w:spacing w:after="0" w:line="264" w:lineRule="auto"/>
        <w:rPr>
          <w:sz w:val="20"/>
          <w:szCs w:val="20"/>
          <w:color w:val="auto"/>
        </w:rPr>
      </w:pPr>
      <w:r>
        <w:rPr>
          <w:rFonts w:ascii="Arial" w:cs="Arial" w:eastAsia="Arial" w:hAnsi="Arial"/>
          <w:sz w:val="18"/>
          <w:szCs w:val="18"/>
          <w:color w:val="auto"/>
        </w:rPr>
        <w:t>Lede Inc. (previously named Ujia.com, Inc.), Lede (Hong Kong) Limited (previously named Ujia (Hong Kong) Limited), or Lede Hong Kong, and Lede Technology, were established by us in the second half of 2011. Lede Technology now operates our e-commerce business related to third-party lottery, insurance and other products.</w:t>
      </w:r>
    </w:p>
    <w:p>
      <w:pPr>
        <w:spacing w:after="0" w:line="18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HQG Inc., HQG, Limited and Hangzhou Youmai Technology Co., Ltd., or Hanghzou Youmai, were established by us in 2014. HQG, Limited and Hangzhou Youmai now operate our cross-border e-commerce business.</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following diagram shows the group structure of our principal subsidiaries and affiliated companies, other than our joint venture arrangements with Blizzard, which are described separately in this section.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125" w:right="27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1315085</wp:posOffset>
            </wp:positionH>
            <wp:positionV relativeFrom="page">
              <wp:posOffset>88900</wp:posOffset>
            </wp:positionV>
            <wp:extent cx="4939665" cy="44335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939665" cy="4433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Games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PC-client Massively Multi-player Online Role-Playing Games</w:t>
      </w:r>
    </w:p>
    <w:p>
      <w:pPr>
        <w:spacing w:after="0" w:line="225" w:lineRule="exact"/>
        <w:rPr>
          <w:sz w:val="20"/>
          <w:szCs w:val="20"/>
          <w:color w:val="auto"/>
        </w:rPr>
      </w:pPr>
    </w:p>
    <w:p>
      <w:pPr>
        <w:jc w:val="both"/>
        <w:ind w:right="300" w:firstLine="510"/>
        <w:spacing w:after="0" w:line="302" w:lineRule="auto"/>
        <w:rPr>
          <w:sz w:val="20"/>
          <w:szCs w:val="20"/>
          <w:color w:val="auto"/>
        </w:rPr>
      </w:pPr>
      <w:r>
        <w:rPr>
          <w:rFonts w:ascii="Arial" w:cs="Arial" w:eastAsia="Arial" w:hAnsi="Arial"/>
          <w:sz w:val="16"/>
          <w:szCs w:val="16"/>
          <w:color w:val="auto"/>
        </w:rPr>
        <w:t>We launched our first PC-client MMORPG, Westward Journey Online, in December 2001 and began charging users for playing time beginning in January 2002. Subsequently, we launched Westward Journey Online II in August 2002 and our second internally developed PC-client MMORPG, Fantasy Westward Journey, in January 2004. Westward Journey Online II and Fantasy Westward Journey were upgraded to New Westward Journey Online II and Fantasy Westward Journey II in 2013. We subsequently have launched a number of additional online games, as set forth in the table below.</w:t>
      </w:r>
    </w:p>
    <w:p>
      <w:pPr>
        <w:spacing w:after="0" w:line="15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2015, we launched new expansion packs for several of our existing games, as set forth in the table below. We also launched Revelation, Demon Seals, Hegemon-King of Western Chu and a new version of Ghost II, named New Ghost. Our principal internally developed games, in terms of the number of users and revenue generated, are Fantasy Westward Journey II, New Westward Journey Online II, New Ghost, Revelation, Tianxia III and Heroes of Tang Dynasty Zero. These games are PC-client MMORPGs set in classical Chinese-themed fantasy worlds. The following table sets forth these and certain of our other major PC-client MMORPG games.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Revenue</w:t>
            </w:r>
          </w:p>
        </w:tc>
        <w:tc>
          <w:tcPr>
            <w:tcW w:w="2000" w:type="dxa"/>
            <w:vAlign w:val="bottom"/>
            <w:gridSpan w:val="2"/>
          </w:tcPr>
          <w:p>
            <w:pPr>
              <w:ind w:left="300"/>
              <w:spacing w:after="0"/>
              <w:rPr>
                <w:sz w:val="20"/>
                <w:szCs w:val="20"/>
                <w:color w:val="auto"/>
              </w:rPr>
            </w:pPr>
            <w:r>
              <w:rPr>
                <w:rFonts w:ascii="Arial" w:cs="Arial" w:eastAsia="Arial" w:hAnsi="Arial"/>
                <w:sz w:val="14"/>
                <w:szCs w:val="14"/>
                <w:b w:val="1"/>
                <w:bCs w:val="1"/>
                <w:color w:val="auto"/>
              </w:rPr>
              <w:t>Date of Initial</w:t>
            </w:r>
          </w:p>
        </w:tc>
        <w:tc>
          <w:tcPr>
            <w:tcW w:w="1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 of Issue of</w:t>
            </w:r>
          </w:p>
        </w:tc>
        <w:tc>
          <w:tcPr>
            <w:tcW w:w="0" w:type="dxa"/>
            <w:vAlign w:val="bottom"/>
          </w:tcPr>
          <w:p>
            <w:pPr>
              <w:spacing w:after="0"/>
              <w:rPr>
                <w:sz w:val="1"/>
                <w:szCs w:val="1"/>
                <w:color w:val="auto"/>
              </w:rPr>
            </w:pPr>
          </w:p>
        </w:tc>
      </w:tr>
      <w:tr>
        <w:trPr>
          <w:trHeight w:val="149"/>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Game</w:t>
            </w:r>
          </w:p>
        </w:tc>
        <w:tc>
          <w:tcPr>
            <w:tcW w:w="26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Genre</w:t>
            </w:r>
          </w:p>
        </w:tc>
        <w:tc>
          <w:tcPr>
            <w:tcW w:w="1700" w:type="dxa"/>
            <w:vAlign w:val="bottom"/>
            <w:vMerge w:val="continue"/>
          </w:tcPr>
          <w:p>
            <w:pPr>
              <w:spacing w:after="0"/>
              <w:rPr>
                <w:sz w:val="12"/>
                <w:szCs w:val="12"/>
                <w:color w:val="auto"/>
              </w:rPr>
            </w:pPr>
          </w:p>
        </w:tc>
        <w:tc>
          <w:tcPr>
            <w:tcW w:w="20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Commercial</w:t>
            </w:r>
          </w:p>
        </w:tc>
        <w:tc>
          <w:tcPr>
            <w:tcW w:w="19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Latest Expansion</w:t>
            </w: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b w:val="1"/>
                <w:bCs w:val="1"/>
                <w:color w:val="auto"/>
              </w:rPr>
              <w:t>Model</w:t>
            </w:r>
          </w:p>
        </w:tc>
        <w:tc>
          <w:tcPr>
            <w:tcW w:w="2000" w:type="dxa"/>
            <w:vAlign w:val="bottom"/>
            <w:gridSpan w:val="2"/>
          </w:tcPr>
          <w:p>
            <w:pPr>
              <w:ind w:left="300"/>
              <w:spacing w:after="0"/>
              <w:rPr>
                <w:sz w:val="20"/>
                <w:szCs w:val="20"/>
                <w:color w:val="auto"/>
              </w:rPr>
            </w:pPr>
            <w:r>
              <w:rPr>
                <w:rFonts w:ascii="Arial" w:cs="Arial" w:eastAsia="Arial" w:hAnsi="Arial"/>
                <w:sz w:val="14"/>
                <w:szCs w:val="14"/>
                <w:b w:val="1"/>
                <w:bCs w:val="1"/>
                <w:color w:val="auto"/>
              </w:rPr>
              <w:t>Launch</w:t>
            </w:r>
          </w:p>
        </w:tc>
        <w:tc>
          <w:tcPr>
            <w:tcW w:w="1980" w:type="dxa"/>
            <w:vAlign w:val="bottom"/>
            <w:gridSpan w:val="2"/>
          </w:tcPr>
          <w:p>
            <w:pPr>
              <w:ind w:left="280"/>
              <w:spacing w:after="0"/>
              <w:rPr>
                <w:sz w:val="20"/>
                <w:szCs w:val="20"/>
                <w:color w:val="auto"/>
              </w:rPr>
            </w:pPr>
            <w:r>
              <w:rPr>
                <w:rFonts w:ascii="Arial" w:cs="Arial" w:eastAsia="Arial" w:hAnsi="Arial"/>
                <w:sz w:val="14"/>
                <w:szCs w:val="14"/>
                <w:b w:val="1"/>
                <w:bCs w:val="1"/>
                <w:color w:val="auto"/>
              </w:rPr>
              <w:t>Pack</w:t>
            </w:r>
          </w:p>
        </w:tc>
        <w:tc>
          <w:tcPr>
            <w:tcW w:w="0" w:type="dxa"/>
            <w:vAlign w:val="bottom"/>
          </w:tcPr>
          <w:p>
            <w:pPr>
              <w:spacing w:after="0"/>
              <w:rPr>
                <w:sz w:val="1"/>
                <w:szCs w:val="1"/>
                <w:color w:val="auto"/>
              </w:rPr>
            </w:pPr>
          </w:p>
        </w:tc>
      </w:tr>
      <w:tr>
        <w:trPr>
          <w:trHeight w:val="195"/>
        </w:trPr>
        <w:tc>
          <w:tcPr>
            <w:tcW w:w="31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Tianxia III</w:t>
            </w:r>
          </w:p>
        </w:tc>
        <w:tc>
          <w:tcPr>
            <w:tcW w:w="3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3D MMORPG,</w:t>
            </w: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Item-Based</w:t>
            </w:r>
          </w:p>
        </w:tc>
        <w:tc>
          <w:tcPr>
            <w:tcW w:w="3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October 2011</w:t>
            </w:r>
          </w:p>
        </w:tc>
        <w:tc>
          <w:tcPr>
            <w:tcW w:w="28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December 2015</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classical Chinese setting</w:t>
            </w:r>
          </w:p>
        </w:tc>
        <w:tc>
          <w:tcPr>
            <w:tcW w:w="1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New Westward Journey Online III (a</w:t>
            </w:r>
          </w:p>
        </w:tc>
        <w:tc>
          <w:tcPr>
            <w:tcW w:w="264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2D MMORPG,</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Time-Based</w:t>
            </w:r>
          </w:p>
        </w:tc>
        <w:tc>
          <w:tcPr>
            <w:tcW w:w="200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May 2013</w:t>
            </w:r>
          </w:p>
        </w:tc>
        <w:tc>
          <w:tcPr>
            <w:tcW w:w="19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September 2015</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w w:val="97"/>
              </w:rPr>
              <w:t>comprehensive upgrade of Westward</w:t>
            </w:r>
          </w:p>
        </w:tc>
        <w:tc>
          <w:tcPr>
            <w:tcW w:w="2640" w:type="dxa"/>
            <w:vAlign w:val="bottom"/>
            <w:gridSpan w:val="3"/>
          </w:tcPr>
          <w:p>
            <w:pPr>
              <w:ind w:left="300"/>
              <w:spacing w:after="0"/>
              <w:rPr>
                <w:sz w:val="20"/>
                <w:szCs w:val="20"/>
                <w:color w:val="auto"/>
              </w:rPr>
            </w:pPr>
            <w:r>
              <w:rPr>
                <w:rFonts w:ascii="Arial" w:cs="Arial" w:eastAsia="Arial" w:hAnsi="Arial"/>
                <w:sz w:val="18"/>
                <w:szCs w:val="18"/>
                <w:color w:val="auto"/>
              </w:rPr>
              <w:t>classical Chinese setting</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Journey Online III)</w:t>
            </w: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Fantasy Westward Journey II (a</w:t>
            </w:r>
          </w:p>
        </w:tc>
        <w:tc>
          <w:tcPr>
            <w:tcW w:w="264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2D MMORPG,</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Time-Based</w:t>
            </w:r>
          </w:p>
        </w:tc>
        <w:tc>
          <w:tcPr>
            <w:tcW w:w="200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July 2013</w:t>
            </w:r>
          </w:p>
        </w:tc>
        <w:tc>
          <w:tcPr>
            <w:tcW w:w="19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September 2015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upgrade of Fantasy</w:t>
            </w:r>
          </w:p>
        </w:tc>
        <w:tc>
          <w:tcPr>
            <w:tcW w:w="2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classical Chinese setting</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Westward Journey)</w:t>
            </w:r>
          </w:p>
        </w:tc>
        <w:tc>
          <w:tcPr>
            <w:tcW w:w="3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New Westward Journey Online II (a</w:t>
            </w:r>
          </w:p>
        </w:tc>
        <w:tc>
          <w:tcPr>
            <w:tcW w:w="264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2D MMORPG,</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Time-Based</w:t>
            </w:r>
          </w:p>
        </w:tc>
        <w:tc>
          <w:tcPr>
            <w:tcW w:w="200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September 2013</w:t>
            </w:r>
          </w:p>
        </w:tc>
        <w:tc>
          <w:tcPr>
            <w:tcW w:w="19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April 2015</w:t>
            </w:r>
          </w:p>
        </w:tc>
        <w:tc>
          <w:tcPr>
            <w:tcW w:w="0" w:type="dxa"/>
            <w:vAlign w:val="bottom"/>
          </w:tcPr>
          <w:p>
            <w:pPr>
              <w:spacing w:after="0"/>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w w:val="97"/>
              </w:rPr>
              <w:t>comprehensive upgrade of Westward</w:t>
            </w:r>
          </w:p>
        </w:tc>
        <w:tc>
          <w:tcPr>
            <w:tcW w:w="2640" w:type="dxa"/>
            <w:vAlign w:val="bottom"/>
            <w:gridSpan w:val="3"/>
          </w:tcPr>
          <w:p>
            <w:pPr>
              <w:ind w:left="300"/>
              <w:spacing w:after="0"/>
              <w:rPr>
                <w:sz w:val="20"/>
                <w:szCs w:val="20"/>
                <w:color w:val="auto"/>
              </w:rPr>
            </w:pPr>
            <w:r>
              <w:rPr>
                <w:rFonts w:ascii="Arial" w:cs="Arial" w:eastAsia="Arial" w:hAnsi="Arial"/>
                <w:sz w:val="18"/>
                <w:szCs w:val="18"/>
                <w:color w:val="auto"/>
              </w:rPr>
              <w:t>classical Chinese setting</w:t>
            </w:r>
          </w:p>
        </w:tc>
        <w:tc>
          <w:tcPr>
            <w:tcW w:w="1700" w:type="dxa"/>
            <w:vAlign w:val="bottom"/>
          </w:tcPr>
          <w:p>
            <w:pPr>
              <w:spacing w:after="0"/>
              <w:rPr>
                <w:sz w:val="20"/>
                <w:szCs w:val="20"/>
                <w:color w:val="auto"/>
              </w:rPr>
            </w:pPr>
            <w:r>
              <w:rPr>
                <w:rFonts w:ascii="Arial" w:cs="Arial" w:eastAsia="Arial" w:hAnsi="Arial"/>
                <w:sz w:val="18"/>
                <w:szCs w:val="18"/>
                <w:color w:val="auto"/>
              </w:rPr>
              <w:t>Item-Based</w:t>
            </w:r>
          </w:p>
        </w:tc>
        <w:tc>
          <w:tcPr>
            <w:tcW w:w="2000" w:type="dxa"/>
            <w:vAlign w:val="bottom"/>
            <w:gridSpan w:val="2"/>
          </w:tcPr>
          <w:p>
            <w:pPr>
              <w:ind w:left="300"/>
              <w:spacing w:after="0"/>
              <w:rPr>
                <w:sz w:val="20"/>
                <w:szCs w:val="20"/>
                <w:color w:val="auto"/>
              </w:rPr>
            </w:pPr>
            <w:r>
              <w:rPr>
                <w:rFonts w:ascii="Arial" w:cs="Arial" w:eastAsia="Arial" w:hAnsi="Arial"/>
                <w:sz w:val="18"/>
                <w:szCs w:val="18"/>
                <w:color w:val="auto"/>
              </w:rPr>
              <w:t>August 2014</w:t>
            </w:r>
          </w:p>
        </w:tc>
        <w:tc>
          <w:tcPr>
            <w:tcW w:w="1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Journey Online II)</w:t>
            </w: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Heroes of Tang Dynasty Zero (a</w:t>
            </w:r>
          </w:p>
        </w:tc>
        <w:tc>
          <w:tcPr>
            <w:tcW w:w="264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2.5D MMORPG,</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Item-Based</w:t>
            </w:r>
          </w:p>
        </w:tc>
        <w:tc>
          <w:tcPr>
            <w:tcW w:w="200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August 2014</w:t>
            </w:r>
          </w:p>
        </w:tc>
        <w:tc>
          <w:tcPr>
            <w:tcW w:w="19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December 2015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comprehensive upgrade of Heroes of</w:t>
            </w:r>
          </w:p>
        </w:tc>
        <w:tc>
          <w:tcPr>
            <w:tcW w:w="2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classical Chinese setting</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Tang Dynasty II)</w:t>
            </w:r>
          </w:p>
        </w:tc>
        <w:tc>
          <w:tcPr>
            <w:tcW w:w="3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Kung Fu Master II (a comprehensive</w:t>
            </w:r>
          </w:p>
        </w:tc>
        <w:tc>
          <w:tcPr>
            <w:tcW w:w="264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2.5D MMORPG,</w:t>
            </w:r>
          </w:p>
        </w:tc>
        <w:tc>
          <w:tcPr>
            <w:tcW w:w="1700" w:type="dxa"/>
            <w:vAlign w:val="bottom"/>
          </w:tcPr>
          <w:p>
            <w:pPr>
              <w:spacing w:after="0" w:line="201" w:lineRule="exact"/>
              <w:rPr>
                <w:sz w:val="20"/>
                <w:szCs w:val="20"/>
                <w:color w:val="auto"/>
              </w:rPr>
            </w:pPr>
            <w:r>
              <w:rPr>
                <w:rFonts w:ascii="Arial" w:cs="Arial" w:eastAsia="Arial" w:hAnsi="Arial"/>
                <w:sz w:val="18"/>
                <w:szCs w:val="18"/>
                <w:color w:val="auto"/>
              </w:rPr>
              <w:t>Item-Based</w:t>
            </w:r>
          </w:p>
        </w:tc>
        <w:tc>
          <w:tcPr>
            <w:tcW w:w="200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October 2014</w:t>
            </w:r>
          </w:p>
        </w:tc>
        <w:tc>
          <w:tcPr>
            <w:tcW w:w="198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October 2015</w:t>
            </w: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upgrade of Kung Fu Master)</w:t>
            </w:r>
          </w:p>
        </w:tc>
        <w:tc>
          <w:tcPr>
            <w:tcW w:w="2640" w:type="dxa"/>
            <w:vAlign w:val="bottom"/>
            <w:gridSpan w:val="3"/>
          </w:tcPr>
          <w:p>
            <w:pPr>
              <w:ind w:left="300"/>
              <w:spacing w:after="0"/>
              <w:rPr>
                <w:sz w:val="20"/>
                <w:szCs w:val="20"/>
                <w:color w:val="auto"/>
              </w:rPr>
            </w:pPr>
            <w:r>
              <w:rPr>
                <w:rFonts w:ascii="Arial" w:cs="Arial" w:eastAsia="Arial" w:hAnsi="Arial"/>
                <w:sz w:val="18"/>
                <w:szCs w:val="18"/>
                <w:color w:val="auto"/>
              </w:rPr>
              <w:t>classical Chinese setting</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Revelation</w:t>
            </w:r>
          </w:p>
        </w:tc>
        <w:tc>
          <w:tcPr>
            <w:tcW w:w="264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rPr>
              <w:t>3D MMORPG,</w:t>
            </w: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Item-Based</w:t>
            </w:r>
          </w:p>
        </w:tc>
        <w:tc>
          <w:tcPr>
            <w:tcW w:w="200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January 2015</w:t>
            </w:r>
          </w:p>
        </w:tc>
        <w:tc>
          <w:tcPr>
            <w:tcW w:w="198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classical Chinese setting</w:t>
            </w:r>
          </w:p>
        </w:tc>
        <w:tc>
          <w:tcPr>
            <w:tcW w:w="1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0" w:gutter="0" w:footer="0" w:header="0"/>
        </w:sectPr>
      </w:pPr>
    </w:p>
    <w:bookmarkStart w:id="28" w:name="page29"/>
    <w:bookmarkEnd w:id="28"/>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Demon Seals</w:t>
            </w:r>
          </w:p>
        </w:tc>
        <w:tc>
          <w:tcPr>
            <w:tcW w:w="2340" w:type="dxa"/>
            <w:vAlign w:val="bottom"/>
          </w:tcPr>
          <w:p>
            <w:pPr>
              <w:ind w:left="280"/>
              <w:spacing w:after="0"/>
              <w:rPr>
                <w:sz w:val="20"/>
                <w:szCs w:val="20"/>
                <w:color w:val="auto"/>
              </w:rPr>
            </w:pPr>
            <w:r>
              <w:rPr>
                <w:rFonts w:ascii="Arial" w:cs="Arial" w:eastAsia="Arial" w:hAnsi="Arial"/>
                <w:sz w:val="18"/>
                <w:szCs w:val="18"/>
                <w:color w:val="auto"/>
              </w:rPr>
              <w:t>2.5D MMORPG,</w:t>
            </w:r>
          </w:p>
        </w:tc>
        <w:tc>
          <w:tcPr>
            <w:tcW w:w="1700" w:type="dxa"/>
            <w:vAlign w:val="bottom"/>
          </w:tcPr>
          <w:p>
            <w:pPr>
              <w:ind w:left="280"/>
              <w:spacing w:after="0"/>
              <w:rPr>
                <w:sz w:val="20"/>
                <w:szCs w:val="20"/>
                <w:color w:val="auto"/>
              </w:rPr>
            </w:pPr>
            <w:r>
              <w:rPr>
                <w:rFonts w:ascii="Arial" w:cs="Arial" w:eastAsia="Arial" w:hAnsi="Arial"/>
                <w:sz w:val="18"/>
                <w:szCs w:val="18"/>
                <w:color w:val="auto"/>
              </w:rPr>
              <w:t>Item-Based</w:t>
            </w:r>
          </w:p>
        </w:tc>
        <w:tc>
          <w:tcPr>
            <w:tcW w:w="2160" w:type="dxa"/>
            <w:vAlign w:val="bottom"/>
          </w:tcPr>
          <w:p>
            <w:pPr>
              <w:ind w:left="580"/>
              <w:spacing w:after="0"/>
              <w:rPr>
                <w:sz w:val="20"/>
                <w:szCs w:val="20"/>
                <w:color w:val="auto"/>
              </w:rPr>
            </w:pPr>
            <w:r>
              <w:rPr>
                <w:rFonts w:ascii="Arial" w:cs="Arial" w:eastAsia="Arial" w:hAnsi="Arial"/>
                <w:sz w:val="18"/>
                <w:szCs w:val="18"/>
                <w:color w:val="auto"/>
              </w:rPr>
              <w:t>April 2015</w:t>
            </w:r>
          </w:p>
        </w:tc>
        <w:tc>
          <w:tcPr>
            <w:tcW w:w="2100" w:type="dxa"/>
            <w:vAlign w:val="bottom"/>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340" w:type="dxa"/>
            <w:vAlign w:val="bottom"/>
          </w:tcPr>
          <w:p>
            <w:pPr>
              <w:ind w:left="280"/>
              <w:spacing w:after="0"/>
              <w:rPr>
                <w:sz w:val="20"/>
                <w:szCs w:val="20"/>
                <w:color w:val="auto"/>
              </w:rPr>
            </w:pPr>
            <w:r>
              <w:rPr>
                <w:rFonts w:ascii="Arial" w:cs="Arial" w:eastAsia="Arial" w:hAnsi="Arial"/>
                <w:sz w:val="18"/>
                <w:szCs w:val="18"/>
                <w:color w:val="auto"/>
              </w:rPr>
              <w:t>classical Chinese setting</w:t>
            </w:r>
          </w:p>
        </w:tc>
        <w:tc>
          <w:tcPr>
            <w:tcW w:w="1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New Ghost (a new version of Ghost II)</w:t>
            </w:r>
          </w:p>
        </w:tc>
        <w:tc>
          <w:tcPr>
            <w:tcW w:w="23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2.5D MMORPG,</w:t>
            </w:r>
          </w:p>
        </w:tc>
        <w:tc>
          <w:tcPr>
            <w:tcW w:w="17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Item-Based</w:t>
            </w:r>
          </w:p>
        </w:tc>
        <w:tc>
          <w:tcPr>
            <w:tcW w:w="216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September 2015</w:t>
            </w:r>
          </w:p>
        </w:tc>
        <w:tc>
          <w:tcPr>
            <w:tcW w:w="2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classical Chinese setting</w:t>
            </w:r>
          </w:p>
        </w:tc>
        <w:tc>
          <w:tcPr>
            <w:tcW w:w="17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Hegemon-King of Western Chu</w:t>
            </w:r>
          </w:p>
        </w:tc>
        <w:tc>
          <w:tcPr>
            <w:tcW w:w="23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3D MMORPG,</w:t>
            </w:r>
          </w:p>
        </w:tc>
        <w:tc>
          <w:tcPr>
            <w:tcW w:w="170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Item-Based</w:t>
            </w:r>
          </w:p>
        </w:tc>
        <w:tc>
          <w:tcPr>
            <w:tcW w:w="2160" w:type="dxa"/>
            <w:vAlign w:val="bottom"/>
            <w:shd w:val="clear" w:color="auto" w:fill="CCEEFF"/>
          </w:tcPr>
          <w:p>
            <w:pPr>
              <w:ind w:left="580"/>
              <w:spacing w:after="0" w:line="201" w:lineRule="exact"/>
              <w:rPr>
                <w:sz w:val="20"/>
                <w:szCs w:val="20"/>
                <w:color w:val="auto"/>
              </w:rPr>
            </w:pPr>
            <w:r>
              <w:rPr>
                <w:rFonts w:ascii="Arial" w:cs="Arial" w:eastAsia="Arial" w:hAnsi="Arial"/>
                <w:sz w:val="18"/>
                <w:szCs w:val="18"/>
                <w:color w:val="auto"/>
              </w:rPr>
              <w:t>November 2015</w:t>
            </w:r>
          </w:p>
        </w:tc>
        <w:tc>
          <w:tcPr>
            <w:tcW w:w="2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classical Chinese setting</w:t>
            </w:r>
          </w:p>
        </w:tc>
        <w:tc>
          <w:tcPr>
            <w:tcW w:w="170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PC-client MMORPG titles can be accessed from any location with an Internet connection by registered users of the NetEase websites. Users may enter our network with a password and a user ID after downloading our installation software. Players of these games select a specific character to begin play. Over the course of play, these characters build up experience and enhanced game capabilities, wealth, weapons and other possessions, all of which may be carried over into subsequent gaming sessions. In our item-based games, players can also purchase virtual items that enhance their playing experience such as special powers, costumes, weapons and other accessories. We regularly introduce new virtual items or change the features of virtual items based on player feedback, market trends and other factors.</w:t>
      </w:r>
    </w:p>
    <w:p>
      <w:pPr>
        <w:spacing w:after="0" w:line="193" w:lineRule="exact"/>
        <w:rPr>
          <w:sz w:val="20"/>
          <w:szCs w:val="20"/>
          <w:color w:val="auto"/>
        </w:rPr>
      </w:pPr>
    </w:p>
    <w:p>
      <w:pPr>
        <w:ind w:right="20" w:firstLine="510"/>
        <w:spacing w:after="0" w:line="312" w:lineRule="auto"/>
        <w:rPr>
          <w:sz w:val="20"/>
          <w:szCs w:val="20"/>
          <w:color w:val="auto"/>
        </w:rPr>
      </w:pPr>
      <w:r>
        <w:rPr>
          <w:rFonts w:ascii="Arial" w:cs="Arial" w:eastAsia="Arial" w:hAnsi="Arial"/>
          <w:sz w:val="16"/>
          <w:szCs w:val="16"/>
          <w:color w:val="auto"/>
        </w:rPr>
        <w:t>Players develop their characters according to choices they make within the construct of the game. Players also interact with computer operated characters as well as with other players that are playing on the same network server. Players are able to communicate with each other during the game through instant messaging or chatting features, allowing them to coordinate their activities with other players to form groups and achieve collective objectives.</w:t>
      </w:r>
    </w:p>
    <w:p>
      <w:pPr>
        <w:spacing w:after="0" w:line="14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Gameplay is monitored by game masters, who appear as game characters within the game world and provide assistance and guidance to players, as well as policing behavior of players in the game world to maintain an atmosphere of fun and fair play.</w:t>
      </w:r>
    </w:p>
    <w:p>
      <w:pPr>
        <w:spacing w:after="0" w:line="170" w:lineRule="exact"/>
        <w:rPr>
          <w:sz w:val="20"/>
          <w:szCs w:val="20"/>
          <w:color w:val="auto"/>
        </w:rPr>
      </w:pPr>
    </w:p>
    <w:p>
      <w:pPr>
        <w:ind w:right="20" w:firstLine="504"/>
        <w:spacing w:after="0" w:line="286" w:lineRule="auto"/>
        <w:rPr>
          <w:sz w:val="20"/>
          <w:szCs w:val="20"/>
          <w:color w:val="auto"/>
        </w:rPr>
      </w:pPr>
      <w:r>
        <w:rPr>
          <w:rFonts w:ascii="Arial" w:cs="Arial" w:eastAsia="Arial" w:hAnsi="Arial"/>
          <w:sz w:val="17"/>
          <w:szCs w:val="17"/>
          <w:color w:val="auto"/>
        </w:rPr>
        <w:t>Other than those aforementioned comprehensive upgrades, we periodically develop and release expansion packs, which expand game content and gameplay features for previously launched games. These periodic expansion packs are designed to retain the interest of existing users and to attract new users. The timing and success of periodic expansion packs have a strong influence on the popularity and profitability of online games.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Service</w:t>
      </w:r>
    </w:p>
    <w:p>
      <w:pPr>
        <w:spacing w:after="0" w:line="22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believe that providing strong, dependable customer support is a key component to success in the online games business. Our customer service center provides 24 hour-a-day, 7 day-a-week customer service and technical support and can be contacted via telephone or e-mail. As of December 31, 2015, our company employed approximately 1,800 personnel in our call center as customer service specialists for our online games as well as for our other services, of which 568 personnel provided customer service support for World of Warcraft.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User Fees</w:t>
      </w:r>
    </w:p>
    <w:p>
      <w:pPr>
        <w:spacing w:after="0" w:line="225"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Users of our time-based games, such as New Westward Journey Online II, Fantasy Westward Journey II and New Westward Journey Online III, pay fees according to the amount of time they play the games, which was RMB0.40 (US$0.06) per hour for each game in 2012 and increased to RMB0.60 (US$0.10) per hour in February 2013. For our item-based games, such as Tianxia III, Heroes of Tang Dynasty Zero, New Ghost, Revelation and Demon Seals, we charge users a separate fee for each virtual item purchased within the games.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connection with the introduction of our online games, we developed a prepaid point card to facilitate payment of fees for our online game services and, to a lesser extent, our other fee-based value-added services. Users can buy prepaid point cards at a variety of locations in China, including Internet cafés, convenience stores, software stores, bookstores and newspaper stands. Electronic point cards can also be purchased through credit cards or our Wangyibao online payment platform through which players can directly credit their accounts at Internet cafés or computer stores. Each prepaid card contains an account number and a password. The points represented by these cards can then be transferred into users’ individual accounts on the NetEase websites and used to pay for our online services, primarily playing time for online games. We also utilize our point cards for the payment of virtual items as we launch item-based games for which playing time is free and players may purchase various virtual items to enhance their game playing experience.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right="80" w:firstLine="510"/>
        <w:spacing w:after="0" w:line="302" w:lineRule="auto"/>
        <w:rPr>
          <w:sz w:val="20"/>
          <w:szCs w:val="20"/>
          <w:color w:val="auto"/>
        </w:rPr>
      </w:pPr>
      <w:r>
        <w:rPr>
          <w:rFonts w:ascii="Arial" w:cs="Arial" w:eastAsia="Arial" w:hAnsi="Arial"/>
          <w:sz w:val="16"/>
          <w:szCs w:val="16"/>
          <w:color w:val="auto"/>
        </w:rPr>
        <w:t>Mobile games have gained increasing popularity and user base as Internet users in China rely more and more on mobile devices, such as smart phones and tablets, to access the Internet. In response to this trend, we are developing games that can be operated on mobile devices. As of December 31, 2015, we have commercially launched over 80 mobile games of various genres, including self-developed mobile games such as the Fantasy Westward Journey and Westward Journey Online mobile games, Battle to the West, The World HD, and licensed mobiles games such as Fairy Tales and Kari-ri-sei Million Arthur.</w:t>
      </w:r>
    </w:p>
    <w:p>
      <w:pPr>
        <w:spacing w:after="0" w:line="154"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We distribute our mobile games through partnerships with major Android- and iOS-based app stores in China as well as proprietary distribution channels, such as our website and the NetEase News App. Mobile game revenues are primarily derived from sales of in-game virtual items, including avatars, skills, privileges or other in-game consumables, features or functionality within our games. Users have a variety of payment options for in-game virtual items, including our prepaid cards, online payments through app stores and other online payment channels.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Game Licensing and Joint Venture with Blizzard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August 2008, Blizzard agreed to license to Shanghai EaseNet on an exclusive basis in China three personal computer strategy games: StarCraft II: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Wings of Liberty, a sequel to Blizzard’s space-themed strategy game, which was commercially launched in April 2011, and its first expansion pack, StarCraft</w:t>
      </w:r>
    </w:p>
    <w:p>
      <w:pPr>
        <w:spacing w:after="0" w:line="32" w:lineRule="exact"/>
        <w:rPr>
          <w:sz w:val="20"/>
          <w:szCs w:val="20"/>
          <w:color w:val="auto"/>
        </w:rPr>
      </w:pPr>
    </w:p>
    <w:p>
      <w:pPr>
        <w:ind w:right="20" w:firstLine="8"/>
        <w:spacing w:after="0" w:line="266" w:lineRule="auto"/>
        <w:tabs>
          <w:tab w:leader="none" w:pos="2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Heart of Swarm, in July 2013; Warcraft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III: Reign of Chaos</w:t>
      </w:r>
      <w:r>
        <w:rPr>
          <w:rFonts w:ascii="Arial" w:cs="Arial" w:eastAsia="Arial" w:hAnsi="Arial"/>
          <w:sz w:val="20"/>
          <w:szCs w:val="20"/>
          <w:color w:val="auto"/>
          <w:vertAlign w:val="superscript"/>
        </w:rPr>
        <w:t>®</w:t>
      </w:r>
      <w:r>
        <w:rPr>
          <w:rFonts w:ascii="Arial" w:cs="Arial" w:eastAsia="Arial" w:hAnsi="Arial"/>
          <w:sz w:val="16"/>
          <w:szCs w:val="16"/>
          <w:color w:val="auto"/>
        </w:rPr>
        <w:t>, a fantasy-themed strategy game; and Warcraft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III: The Frozen Throne</w:t>
      </w:r>
      <w:r>
        <w:rPr>
          <w:rFonts w:ascii="Arial" w:cs="Arial" w:eastAsia="Arial" w:hAnsi="Arial"/>
          <w:sz w:val="20"/>
          <w:szCs w:val="20"/>
          <w:color w:val="auto"/>
          <w:vertAlign w:val="superscript"/>
        </w:rPr>
        <w:t>®</w:t>
      </w:r>
      <w:r>
        <w:rPr>
          <w:rFonts w:ascii="Arial" w:cs="Arial" w:eastAsia="Arial" w:hAnsi="Arial"/>
          <w:sz w:val="16"/>
          <w:szCs w:val="16"/>
          <w:color w:val="auto"/>
        </w:rPr>
        <w:t>, an expansion pack to Warcraft III: Reign of Chaos. Blizzard also licensed to Shanghai EaseNet on an exclusive basis in China its Battle.net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platform, which enables multiplayer interaction within these games and other online services. The term of the license is three years, with an additional one year extension upon agreement of the parties, commencing from the commercial release of StarCraft II: Wings of Liberty in China. In April 2014, Blizzard and Shanghai EaseNet agreed to extend the term of the StarCraft II series license agreement for an additional three years commencing from April 2014. In addition, in January 2015, Shanghai EaseNet obtained the right to operate StarCraft II: Legacy of the Void, the second expansion pack of StarCraft II: Wings of Liberty, in China from Blizzard. Shanghai EaseNet, as licensee of the games, has paid to Blizzard an aggregate amount of RMB66.8 million (US$10.0 million) in license fees.</w:t>
      </w:r>
    </w:p>
    <w:p>
      <w:pPr>
        <w:sectPr>
          <w:pgSz w:w="11900" w:h="16847" w:orient="portrait"/>
          <w:cols w:equalWidth="0" w:num="1">
            <w:col w:w="11420"/>
          </w:cols>
          <w:pgMar w:left="240" w:top="125" w:right="239" w:bottom="0" w:gutter="0" w:footer="0" w:header="0"/>
        </w:sectPr>
      </w:pPr>
    </w:p>
    <w:bookmarkStart w:id="29" w:name="page30"/>
    <w:bookmarkEnd w:id="29"/>
    <w:p>
      <w:pPr>
        <w:ind w:right="20" w:firstLine="506"/>
        <w:spacing w:after="0" w:line="245" w:lineRule="auto"/>
        <w:rPr>
          <w:sz w:val="20"/>
          <w:szCs w:val="20"/>
          <w:color w:val="auto"/>
        </w:rPr>
      </w:pPr>
      <w:r>
        <w:rPr>
          <w:rFonts w:ascii="Arial" w:cs="Arial" w:eastAsia="Arial" w:hAnsi="Arial"/>
          <w:sz w:val="17"/>
          <w:szCs w:val="17"/>
          <w:color w:val="auto"/>
        </w:rPr>
        <w:t>In April 2009, Shanghai EaseNet paid Blizzard a three-year license fee of RMB204.8 million (US$30.0 million) for the right to operate World of Warcraft. Shanghai EaseNet commercially launched World of Warcraft (with its first expansion pack, The Burning Crusade</w:t>
      </w:r>
      <w:r>
        <w:rPr>
          <w:rFonts w:ascii="Arial" w:cs="Arial" w:eastAsia="Arial" w:hAnsi="Arial"/>
          <w:sz w:val="22"/>
          <w:szCs w:val="22"/>
          <w:color w:val="auto"/>
          <w:vertAlign w:val="superscript"/>
        </w:rPr>
        <w:t>®</w:t>
      </w:r>
      <w:r>
        <w:rPr>
          <w:rFonts w:ascii="Arial" w:cs="Arial" w:eastAsia="Arial" w:hAnsi="Arial"/>
          <w:sz w:val="17"/>
          <w:szCs w:val="17"/>
          <w:color w:val="auto"/>
        </w:rPr>
        <w:t>), and its subsequent expansion packs, Wrath of the Lich King</w:t>
      </w:r>
      <w:r>
        <w:rPr>
          <w:rFonts w:ascii="Arial" w:cs="Arial" w:eastAsia="Arial" w:hAnsi="Arial"/>
          <w:sz w:val="22"/>
          <w:szCs w:val="22"/>
          <w:color w:val="auto"/>
          <w:vertAlign w:val="superscript"/>
        </w:rPr>
        <w:t>®</w:t>
      </w:r>
      <w:r>
        <w:rPr>
          <w:rFonts w:ascii="Arial" w:cs="Arial" w:eastAsia="Arial" w:hAnsi="Arial"/>
          <w:sz w:val="17"/>
          <w:szCs w:val="17"/>
          <w:color w:val="auto"/>
        </w:rPr>
        <w:t>, Cataclysm</w:t>
      </w:r>
      <w:r>
        <w:rPr>
          <w:rFonts w:ascii="Arial" w:cs="Arial" w:eastAsia="Arial" w:hAnsi="Arial"/>
          <w:sz w:val="22"/>
          <w:szCs w:val="22"/>
          <w:color w:val="auto"/>
          <w:vertAlign w:val="superscript"/>
        </w:rPr>
        <w:t>®</w:t>
      </w:r>
      <w:r>
        <w:rPr>
          <w:rFonts w:ascii="Arial" w:cs="Arial" w:eastAsia="Arial" w:hAnsi="Arial"/>
          <w:sz w:val="17"/>
          <w:szCs w:val="17"/>
          <w:color w:val="auto"/>
        </w:rPr>
        <w:t>, Mists of Pandaria</w:t>
      </w:r>
      <w:r>
        <w:rPr>
          <w:rFonts w:ascii="Arial" w:cs="Arial" w:eastAsia="Arial" w:hAnsi="Arial"/>
          <w:sz w:val="22"/>
          <w:szCs w:val="22"/>
          <w:color w:val="auto"/>
          <w:vertAlign w:val="superscript"/>
        </w:rPr>
        <w:t>®</w:t>
      </w:r>
      <w:r>
        <w:rPr>
          <w:rFonts w:ascii="Arial" w:cs="Arial" w:eastAsia="Arial" w:hAnsi="Arial"/>
          <w:sz w:val="17"/>
          <w:szCs w:val="17"/>
          <w:color w:val="auto"/>
        </w:rPr>
        <w:t>, and Warlords of Draenor™, in September 2009, August 2010, July 2011, October 2012 and November 2014, respectively. Shanghai EaseNet’s license to operate World of Warcraft in the PRC originally had a three-year term from September 2009. In March 2012, Blizzard and Shanghai EaseNet agreed to extend the license term for an additional three years commencing from September 2012. In May 2015, Blizzard and Shanghai EaseNet agreed to extend the license period of World of Warcraft to January 2017.</w:t>
      </w:r>
    </w:p>
    <w:p>
      <w:pPr>
        <w:spacing w:after="0" w:line="198" w:lineRule="exact"/>
        <w:rPr>
          <w:sz w:val="20"/>
          <w:szCs w:val="20"/>
          <w:color w:val="auto"/>
        </w:rPr>
      </w:pPr>
    </w:p>
    <w:p>
      <w:pPr>
        <w:jc w:val="both"/>
        <w:ind w:firstLine="506"/>
        <w:spacing w:after="0" w:line="264" w:lineRule="auto"/>
        <w:rPr>
          <w:sz w:val="20"/>
          <w:szCs w:val="20"/>
          <w:color w:val="auto"/>
        </w:rPr>
      </w:pPr>
      <w:r>
        <w:rPr>
          <w:rFonts w:ascii="Arial" w:cs="Arial" w:eastAsia="Arial" w:hAnsi="Arial"/>
          <w:sz w:val="18"/>
          <w:szCs w:val="18"/>
          <w:color w:val="auto"/>
        </w:rPr>
        <w:t>In November 2012, Shanghai EaseNet obtained the right to operate Heroes of the Storm (previously named Blizzard All-Stars) in China from Blizzard. The term of the license is three years, with an additional one year extension upon agreement of the parties, commencing from the commercial release of such game in China. We commercially launched Heroes of the Storm in China in June 2015.</w:t>
      </w:r>
    </w:p>
    <w:p>
      <w:pPr>
        <w:spacing w:after="0" w:line="181" w:lineRule="exact"/>
        <w:rPr>
          <w:sz w:val="20"/>
          <w:szCs w:val="20"/>
          <w:color w:val="auto"/>
        </w:rPr>
      </w:pPr>
    </w:p>
    <w:p>
      <w:pPr>
        <w:jc w:val="both"/>
        <w:ind w:right="40" w:firstLine="506"/>
        <w:spacing w:after="0" w:line="264" w:lineRule="auto"/>
        <w:rPr>
          <w:sz w:val="20"/>
          <w:szCs w:val="20"/>
          <w:color w:val="auto"/>
        </w:rPr>
      </w:pPr>
      <w:r>
        <w:rPr>
          <w:rFonts w:ascii="Arial" w:cs="Arial" w:eastAsia="Arial" w:hAnsi="Arial"/>
          <w:sz w:val="18"/>
          <w:szCs w:val="18"/>
          <w:color w:val="auto"/>
        </w:rPr>
        <w:t>In July 2013, Shanghai EaseNet obtained the right to operate Hearthstone: Heroes of Warcraft in China from Blizzard. The term of the license is three years, with an additional one year extension upon agreement of the parties, commencing from January 2014. We commercially launched Hearthstone: Heroes of Warcraft in China in January 2014.</w:t>
      </w:r>
    </w:p>
    <w:p>
      <w:pPr>
        <w:spacing w:after="0" w:line="181" w:lineRule="exact"/>
        <w:rPr>
          <w:sz w:val="20"/>
          <w:szCs w:val="20"/>
          <w:color w:val="auto"/>
        </w:rPr>
      </w:pPr>
    </w:p>
    <w:p>
      <w:pPr>
        <w:ind w:right="260" w:firstLine="506"/>
        <w:spacing w:after="0" w:line="264" w:lineRule="auto"/>
        <w:rPr>
          <w:sz w:val="20"/>
          <w:szCs w:val="20"/>
          <w:color w:val="auto"/>
        </w:rPr>
      </w:pPr>
      <w:r>
        <w:rPr>
          <w:rFonts w:ascii="Arial" w:cs="Arial" w:eastAsia="Arial" w:hAnsi="Arial"/>
          <w:sz w:val="18"/>
          <w:szCs w:val="18"/>
          <w:color w:val="auto"/>
        </w:rPr>
        <w:t>In June 2014, Shanghai EaseNet obtained the right to operate Diablo III in China from Blizzard. The term of the license is two years, with an additional one year extension upon agreement of the parties, commencing from the commercial release of such game in China. We commercially launched Diablo III in China in May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506"/>
        <w:spacing w:after="0" w:line="342" w:lineRule="auto"/>
        <w:rPr>
          <w:sz w:val="20"/>
          <w:szCs w:val="20"/>
          <w:color w:val="auto"/>
        </w:rPr>
      </w:pPr>
      <w:r>
        <w:rPr>
          <w:rFonts w:ascii="Arial" w:cs="Arial" w:eastAsia="Arial" w:hAnsi="Arial"/>
          <w:sz w:val="16"/>
          <w:szCs w:val="16"/>
          <w:color w:val="auto"/>
        </w:rPr>
        <w:t>In May 2015, Shanghai EaseNet obtained the right to operate OverWatch in China from Blizzard. The term of the license is three years commencing from the commercial release of such game in China. As of December 31, 2015, OverWatch has not been commercially launched in China.</w:t>
      </w:r>
    </w:p>
    <w:p>
      <w:pPr>
        <w:spacing w:after="0" w:line="124"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With respect to certain of these license agreements with Blizzard, Shanghai EaseNet is required to pay license fees, royalties and consultancy fees to Blizzard for the games. No license fees or consultancy fees are required to be paid for Heroes of the Storm, Hearthstone: Heroes of Warcraft and Diablo III. The license agreements also include minimum marketing expenditure commitments. In sum, the total commitments (including an additional commitment in connection with the extension of the World of Warcraft license) amount to approximately RMB6.3 billion (US$1.0 billion) over the terms of the agreements. As of December 31, 2015, our outstanding commitments under the license agreements with respect to the StarCraft II series, World of Warcraft, Hearthstone: Heroes of Warcraft, Heroes of the Storm and Diablo III totaled RMB903.0 million (US$139.4 million). In addition, we expect to incur a commitment under the license agreements with respect to OverWatch of approximately RMB666.8 million (US$102.9 million) after its commercial launch. We have guaranteed the payment of the foregoing amounts if and to the extent Shanghai EaseNet has insufficient funds to make such payments. We will be entitled to reimbursement of any amounts paid for the marketing of the games and hardware support to operate the games under the guarantee from any net profits subsequently generated by Shanghai EaseNet, after the deduction of, among others, various fees and expenses payable to Blizzard, us and our joint venture with Blizzard which will provide technical services to Shanghai EaseNet.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Blizzard has the right to terminate the license of the foregoing games under certain circumstances.</w:t>
      </w:r>
    </w:p>
    <w:p>
      <w:pPr>
        <w:spacing w:after="0" w:line="225" w:lineRule="exact"/>
        <w:rPr>
          <w:sz w:val="20"/>
          <w:szCs w:val="20"/>
          <w:color w:val="auto"/>
        </w:rPr>
      </w:pPr>
    </w:p>
    <w:p>
      <w:pPr>
        <w:jc w:val="both"/>
        <w:ind w:right="160" w:firstLine="510"/>
        <w:spacing w:after="0" w:line="264" w:lineRule="auto"/>
        <w:rPr>
          <w:sz w:val="20"/>
          <w:szCs w:val="20"/>
          <w:color w:val="auto"/>
        </w:rPr>
      </w:pPr>
      <w:r>
        <w:rPr>
          <w:rFonts w:ascii="Arial" w:cs="Arial" w:eastAsia="Arial" w:hAnsi="Arial"/>
          <w:sz w:val="18"/>
          <w:szCs w:val="18"/>
          <w:color w:val="auto"/>
        </w:rPr>
        <w:t>Concurrently with the licensing of games from Blizzard in August 2008, we entered into arrangements to establish a joint venture with Blizzard. The joint venture provides technical services to Shanghai EaseNet in return for a fee. Net profits of the joint venture are shared equally between Blizzard and us, after the deduction of, among others, various fees and expenses payable to Blizzard and us.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Revenues from our online games accounted for 85.5%, 79.1% and 76.0% of our total net revenues in 2013, 2014 and 2015,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Media Business</w:t>
      </w:r>
    </w:p>
    <w:p>
      <w:pPr>
        <w:spacing w:after="0" w:line="229" w:lineRule="exact"/>
        <w:rPr>
          <w:sz w:val="20"/>
          <w:szCs w:val="20"/>
          <w:color w:val="auto"/>
        </w:rPr>
      </w:pPr>
    </w:p>
    <w:p>
      <w:pPr>
        <w:ind w:right="20" w:firstLine="510"/>
        <w:spacing w:after="0" w:line="276" w:lineRule="auto"/>
        <w:rPr>
          <w:sz w:val="20"/>
          <w:szCs w:val="20"/>
          <w:color w:val="auto"/>
        </w:rPr>
      </w:pPr>
      <w:r>
        <w:rPr>
          <w:rFonts w:ascii="Arial" w:cs="Arial" w:eastAsia="Arial" w:hAnsi="Arial"/>
          <w:sz w:val="17"/>
          <w:szCs w:val="17"/>
          <w:color w:val="auto"/>
        </w:rPr>
        <w:t>Our Internet media business, which is conducted through the NetEase websites, offers Chinese Internet users a network of Chinese language-based online content channels, community and communication services, including news content, community forums, mobile-based applications, open courses (which offer users access to recorded content from classes and lectures) and interactive online video (which is a platform that provides online entertainment services). We also offer other Web-based applications and services, including a full text Chinese language search engine and a Web directory, to enhance their Internet experience. Our Internet services are all designed with user friendly interfaces and easy to understand instructions.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163.com</w:t>
      </w:r>
    </w:p>
    <w:p>
      <w:pPr>
        <w:spacing w:after="0" w:line="225"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main homepage of the NetEase websites, www.163.com, provides a destination for Chinese Internet users to identify and access resources, services, content and information on the Internet. The NetEase websites aggregate, organize and deliver information to meet the needs of Internet users in China. Our Internet media channels provide users with an efficient and easy way to explore and utilize a wealth of information and content organized around a variety of topics.</w:t>
      </w:r>
    </w:p>
    <w:p>
      <w:pPr>
        <w:spacing w:after="0" w:line="187"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The NetEase websites currently include various channels focusing on news, automobile, sports, finance, real estate, entertainment, science and information technology. In addition, we operate a leading mobile news application, NetEase News App.</w:t>
      </w:r>
    </w:p>
    <w:p>
      <w:pPr>
        <w:spacing w:after="0" w:line="170" w:lineRule="exact"/>
        <w:rPr>
          <w:sz w:val="20"/>
          <w:szCs w:val="20"/>
          <w:color w:val="auto"/>
        </w:rPr>
      </w:pPr>
    </w:p>
    <w:p>
      <w:pPr>
        <w:ind w:firstLine="504"/>
        <w:spacing w:after="0" w:line="273" w:lineRule="auto"/>
        <w:rPr>
          <w:sz w:val="20"/>
          <w:szCs w:val="20"/>
          <w:color w:val="auto"/>
        </w:rPr>
      </w:pPr>
      <w:r>
        <w:rPr>
          <w:rFonts w:ascii="Arial" w:cs="Arial" w:eastAsia="Arial" w:hAnsi="Arial"/>
          <w:sz w:val="17"/>
          <w:szCs w:val="17"/>
          <w:color w:val="auto"/>
        </w:rPr>
        <w:t>Our content distribution platform enables the NetEase websites to offer in-depth local content as well as a variety of locally relevant regional and international content. We do not produce our own news content for the NetEase websites, but rather obtain such content from our content partners. Our content partners display their content on one or more of the NetEase websites and other Internet media channels free of charge or in exchange for a licensing fee, online advertising, access to original content produced by the NetEase user community or a combination of these arrangements. We distribute this content through our content distribution system, which determines the appropriate content to publish on the NetEase websites and to distribute to users of our e-commerce services. Our content alliances are generally non-exclusive.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30" w:name="page31"/>
    <w:bookmarkEnd w:id="30"/>
    <w:p>
      <w:pPr>
        <w:spacing w:after="0" w:line="6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510"/>
        <w:spacing w:after="0" w:line="312" w:lineRule="auto"/>
        <w:rPr>
          <w:sz w:val="20"/>
          <w:szCs w:val="20"/>
          <w:color w:val="auto"/>
        </w:rPr>
      </w:pPr>
      <w:r>
        <w:rPr>
          <w:rFonts w:ascii="Arial" w:cs="Arial" w:eastAsia="Arial" w:hAnsi="Arial"/>
          <w:sz w:val="16"/>
          <w:szCs w:val="16"/>
          <w:color w:val="auto"/>
        </w:rPr>
        <w:t>We believe that the breadth and relevance of our content offerings increases the number of visits our users make to the NetEase websites and the amount of time they spend on these sites. We adopt a significant amount of user-generated content from the community forums on the NetEase websites. We believe that this user-generated content is highly effective in maintaining user interest and ensuring repeat visits to the NetEase websites.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and Communication</w:t>
      </w:r>
    </w:p>
    <w:p>
      <w:pPr>
        <w:spacing w:after="0" w:line="225" w:lineRule="exact"/>
        <w:rPr>
          <w:sz w:val="20"/>
          <w:szCs w:val="20"/>
          <w:color w:val="auto"/>
        </w:rPr>
      </w:pPr>
    </w:p>
    <w:p>
      <w:pPr>
        <w:ind w:right="120" w:firstLine="510"/>
        <w:spacing w:after="0" w:line="312" w:lineRule="auto"/>
        <w:rPr>
          <w:sz w:val="20"/>
          <w:szCs w:val="20"/>
          <w:color w:val="auto"/>
        </w:rPr>
      </w:pPr>
      <w:r>
        <w:rPr>
          <w:rFonts w:ascii="Arial" w:cs="Arial" w:eastAsia="Arial" w:hAnsi="Arial"/>
          <w:sz w:val="16"/>
          <w:szCs w:val="16"/>
          <w:color w:val="auto"/>
        </w:rPr>
        <w:t>The NetEase websites have established a large online community member base as a result of our leading online community technology. We launched what we believe to be one of the first online communities in China in December 1998. Users can register with us online to interact with other registered community members. We believe that as users become more involved with our online community, they will return to the NetEase websites frequently.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NetEase users can interact through a variety of community services, including:</w:t>
      </w:r>
    </w:p>
    <w:p>
      <w:pPr>
        <w:spacing w:after="0" w:line="225" w:lineRule="exact"/>
        <w:rPr>
          <w:sz w:val="20"/>
          <w:szCs w:val="20"/>
          <w:color w:val="auto"/>
        </w:rPr>
      </w:pPr>
    </w:p>
    <w:p>
      <w:pPr>
        <w:ind w:left="1020" w:right="20" w:hanging="502"/>
        <w:spacing w:after="0" w:line="302" w:lineRule="auto"/>
        <w:tabs>
          <w:tab w:leader="none" w:pos="987"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Online Community Forums. </w:t>
      </w:r>
      <w:r>
        <w:rPr>
          <w:rFonts w:ascii="Arial" w:cs="Arial" w:eastAsia="Arial" w:hAnsi="Arial"/>
          <w:sz w:val="16"/>
          <w:szCs w:val="16"/>
          <w:color w:val="auto"/>
        </w:rPr>
        <w:t>We offer NetEase registered community members a variety of community forums where they can post messages</w:t>
      </w:r>
      <w:r>
        <w:rPr>
          <w:rFonts w:ascii="Arial" w:cs="Arial" w:eastAsia="Arial" w:hAnsi="Arial"/>
          <w:sz w:val="16"/>
          <w:szCs w:val="16"/>
          <w:i w:val="1"/>
          <w:iCs w:val="1"/>
          <w:color w:val="auto"/>
        </w:rPr>
        <w:t xml:space="preserve"> </w:t>
      </w:r>
      <w:r>
        <w:rPr>
          <w:rFonts w:ascii="Arial" w:cs="Arial" w:eastAsia="Arial" w:hAnsi="Arial"/>
          <w:sz w:val="16"/>
          <w:szCs w:val="16"/>
          <w:color w:val="auto"/>
        </w:rPr>
        <w:t>and articles for viewing by other registered community members and other users. The NetEase online communities are hosted by volunteers, who are chosen by us based on their contributions to the communities. The NetEase community volunteers monitor our community forums and select appropriate articles for posting. In addition, these forums are also monitored by NetEase customer service personnel.</w:t>
      </w:r>
    </w:p>
    <w:p>
      <w:pPr>
        <w:spacing w:after="0" w:line="154" w:lineRule="exact"/>
        <w:rPr>
          <w:rFonts w:ascii="Arial" w:cs="Arial" w:eastAsia="Arial" w:hAnsi="Arial"/>
          <w:sz w:val="16"/>
          <w:szCs w:val="16"/>
          <w:color w:val="auto"/>
        </w:rPr>
      </w:pPr>
    </w:p>
    <w:p>
      <w:pPr>
        <w:ind w:left="1000" w:hanging="482"/>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Others</w:t>
      </w:r>
      <w:r>
        <w:rPr>
          <w:rFonts w:ascii="Arial" w:cs="Arial" w:eastAsia="Arial" w:hAnsi="Arial"/>
          <w:sz w:val="18"/>
          <w:szCs w:val="18"/>
          <w:color w:val="auto"/>
        </w:rPr>
        <w:t>. We offer a large number of other community services including photo album sharing and 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Youdao</w:t>
      </w:r>
    </w:p>
    <w:p>
      <w:pPr>
        <w:spacing w:after="0" w:line="225" w:lineRule="exact"/>
        <w:rPr>
          <w:sz w:val="20"/>
          <w:szCs w:val="20"/>
          <w:color w:val="auto"/>
        </w:rPr>
      </w:pPr>
    </w:p>
    <w:p>
      <w:pPr>
        <w:ind w:firstLine="503"/>
        <w:spacing w:after="0" w:line="273" w:lineRule="auto"/>
        <w:rPr>
          <w:sz w:val="20"/>
          <w:szCs w:val="20"/>
          <w:color w:val="auto"/>
        </w:rPr>
      </w:pPr>
      <w:r>
        <w:rPr>
          <w:rFonts w:ascii="Arial" w:cs="Arial" w:eastAsia="Arial" w:hAnsi="Arial"/>
          <w:sz w:val="17"/>
          <w:szCs w:val="17"/>
          <w:color w:val="auto"/>
        </w:rPr>
        <w:t>In addition to the services described above, the NetEase websites provide other services to our users including web search, video search, image search, news search, online shopping search (Huihui.cn), online dictionary (Youdao Dictionary), toolbar and cloud note-taking application (Youdao Cloudnote), which automatically retrieves syndicated online content and customized sets of search results. Those products are powered by our own proprietary Internet search engine, Youdao, which was officially launched in December 2007 and is free of charge to users. Among these, Youdao Dictionary has become one of the most popular online translation tools among Chinese Internet users, achieving over 596 million installations as of December 31, 2015, and Huihui.cn is an online shopping search engine developed by us and launched in September 2012.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Internet Applications</w:t>
      </w:r>
    </w:p>
    <w:p>
      <w:pPr>
        <w:spacing w:after="0" w:line="225"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Many of our services, such as news content (NetEase News App), open courses (NetEase Open Courses), online dictionary (Youdao Dictionary) and cloud note-taking application (Youdao Cloudnote) may be accessed through mobile Internet and mobile applications, such as those operating on iPhone, iPad and Android devices. Designed as multi-device products, our products and services enable Chinese communities to participate in discussions on PCs and mobile devices, allowing easier and more frequent interactions and elevating the social media and networking experience to a different level.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Services on the Websites and Fees and Revenues</w:t>
      </w:r>
    </w:p>
    <w:p>
      <w:pPr>
        <w:spacing w:after="0" w:line="225" w:lineRule="exact"/>
        <w:rPr>
          <w:sz w:val="20"/>
          <w:szCs w:val="20"/>
          <w:color w:val="auto"/>
        </w:rPr>
      </w:pPr>
    </w:p>
    <w:p>
      <w:pPr>
        <w:jc w:val="both"/>
        <w:ind w:right="80" w:firstLine="510"/>
        <w:spacing w:after="0" w:line="264" w:lineRule="auto"/>
        <w:rPr>
          <w:sz w:val="20"/>
          <w:szCs w:val="20"/>
          <w:color w:val="auto"/>
        </w:rPr>
      </w:pPr>
      <w:r>
        <w:rPr>
          <w:rFonts w:ascii="Arial" w:cs="Arial" w:eastAsia="Arial" w:hAnsi="Arial"/>
          <w:sz w:val="18"/>
          <w:szCs w:val="18"/>
          <w:color w:val="auto"/>
        </w:rPr>
        <w:t>Revenue generated by our Internet media business consists mainly of fees we receive from the sale of advertising space on the NetEase websites. Our free website content and services attract a large number of visitors who generate page views, which form the audience for us to provide advertising services for advertisers on our websites.</w:t>
      </w:r>
    </w:p>
    <w:p>
      <w:pPr>
        <w:spacing w:after="0" w:line="181" w:lineRule="exact"/>
        <w:rPr>
          <w:sz w:val="20"/>
          <w:szCs w:val="20"/>
          <w:color w:val="auto"/>
        </w:rPr>
      </w:pPr>
    </w:p>
    <w:p>
      <w:pPr>
        <w:ind w:right="380" w:firstLine="510"/>
        <w:spacing w:after="0" w:line="286" w:lineRule="auto"/>
        <w:rPr>
          <w:sz w:val="20"/>
          <w:szCs w:val="20"/>
          <w:color w:val="auto"/>
        </w:rPr>
      </w:pPr>
      <w:r>
        <w:rPr>
          <w:rFonts w:ascii="Arial" w:cs="Arial" w:eastAsia="Arial" w:hAnsi="Arial"/>
          <w:sz w:val="17"/>
          <w:szCs w:val="17"/>
          <w:color w:val="auto"/>
        </w:rPr>
        <w:t>Our advertising services utilize many advertising formats and techniques. These include sponsorships of our channels, advertisements such as animated and interactive banners, floating buttons, text-links, in-stream video and other formats throughout our websites, advertising through interactive media-rich sites and sponsored special events that integrate live events with online promotion and other media.</w:t>
      </w:r>
    </w:p>
    <w:p>
      <w:pPr>
        <w:spacing w:after="0" w:line="166" w:lineRule="exact"/>
        <w:rPr>
          <w:sz w:val="20"/>
          <w:szCs w:val="20"/>
          <w:color w:val="auto"/>
        </w:rPr>
      </w:pPr>
    </w:p>
    <w:p>
      <w:pPr>
        <w:jc w:val="both"/>
        <w:ind w:right="460" w:firstLine="486"/>
        <w:spacing w:after="0" w:line="264" w:lineRule="auto"/>
        <w:rPr>
          <w:sz w:val="20"/>
          <w:szCs w:val="20"/>
          <w:color w:val="auto"/>
        </w:rPr>
      </w:pPr>
      <w:r>
        <w:rPr>
          <w:rFonts w:ascii="Arial" w:cs="Arial" w:eastAsia="Arial" w:hAnsi="Arial"/>
          <w:sz w:val="18"/>
          <w:szCs w:val="18"/>
          <w:color w:val="auto"/>
        </w:rPr>
        <w:t>Furthermore, in compliance with applicable laws and ensuring the confidentiality of the information of our users, we transmit and store over our systems information, such as age, geographic location and interest, of our users and integrate such information to generate comprehensive demographic profiles for individual users, which enable us to better tailor our advertising services.</w:t>
      </w:r>
    </w:p>
    <w:p>
      <w:pPr>
        <w:spacing w:after="0" w:line="181"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To strengthen our overall brand and increase traffic on the NetEase websites and enhance the websites’ appeal to advertisers, we periodically sponsor high profile events, such as the NetEase Annual Economist Conference.</w:t>
      </w:r>
    </w:p>
    <w:p>
      <w:pPr>
        <w:spacing w:after="0" w:line="170"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color w:val="auto"/>
        </w:rPr>
        <w:t>Pricing for our Internet media advertising services has varied based on a number of factors including the duration for which advertisements appear on the NetEase websites and/or the NetEase News App, how often such advertisements are viewed by users and the number of users that perform a specific action, such as registering onto an advertiser’s website.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510"/>
        <w:spacing w:after="0" w:line="302" w:lineRule="auto"/>
        <w:rPr>
          <w:sz w:val="20"/>
          <w:szCs w:val="20"/>
          <w:color w:val="auto"/>
        </w:rPr>
      </w:pPr>
      <w:r>
        <w:rPr>
          <w:rFonts w:ascii="Arial" w:cs="Arial" w:eastAsia="Arial" w:hAnsi="Arial"/>
          <w:sz w:val="16"/>
          <w:szCs w:val="16"/>
          <w:color w:val="auto"/>
        </w:rPr>
        <w:t>For our search engine technology-based business, Youdao Computer enters into “cost per action,” or CPA, advertising contracts with advertisers and receives fees when an online user performs a specific action such as purchasing a product from or registering with an advertiser appearing on a search page. Revenue for CPA contracts is recognized when the specific action is completed. Youdao Computer also enters into advertising business contracts which provide priority placements in a search directory and other online marketing services on the Youdao Dictionary service.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Revenues from our Internet media accounted for 10.8%, 11.5%, and 7.8% of our total net revenues in 2013, 2014, and 2015, respectively.</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E-mail, E-commerce and Others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E-mail</w:t>
      </w:r>
    </w:p>
    <w:p>
      <w:pPr>
        <w:spacing w:after="0" w:line="225"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We provide registered users with free and fee-based premium e-mail services which support both the Chinese and English languages. Registered users can access and send e-mail through their Web browsers, smart phone application or through the POP3 and SMTP standards, which allow users to handle e-</w:t>
      </w:r>
    </w:p>
    <w:p>
      <w:pPr>
        <w:sectPr>
          <w:pgSz w:w="11900" w:h="16908" w:orient="portrait"/>
          <w:cols w:equalWidth="0" w:num="1">
            <w:col w:w="11380"/>
          </w:cols>
          <w:pgMar w:left="240" w:top="125" w:right="279" w:bottom="0" w:gutter="0" w:footer="0" w:header="0"/>
        </w:sectPr>
      </w:pPr>
    </w:p>
    <w:bookmarkStart w:id="31" w:name="page32"/>
    <w:bookmarkEnd w:id="31"/>
    <w:p>
      <w:pPr>
        <w:spacing w:after="0" w:line="291" w:lineRule="auto"/>
        <w:rPr>
          <w:sz w:val="20"/>
          <w:szCs w:val="20"/>
          <w:color w:val="auto"/>
        </w:rPr>
      </w:pPr>
      <w:r>
        <w:rPr>
          <w:rFonts w:ascii="Arial" w:cs="Arial" w:eastAsia="Arial" w:hAnsi="Arial"/>
          <w:sz w:val="16"/>
          <w:szCs w:val="16"/>
          <w:color w:val="auto"/>
        </w:rPr>
        <w:t>mails on their own e-mail applications without opening their browsers. The free e-mail service includes free SPAM filters and anti-virus protection as well as the convenience of an address book to maintain user contact lists online. As of December 31, 2015, we had approximately 840 million registered free e-mail users. We also offer value-added e-mail services for individuals, known as VIP, which provide fee-paying subscribers with the latest anti-virus and anti-SPAM filtering capabilities. The VIP e-mail service also includes enhanced security features as well as several convenient online and offline payment methods and 24-hour customer support. As of December 31, 2015, we had approximately 433,000 active VIP e-mail subscribers. In addition, we also offer fee-based premium e-mail services to corporate users, who could use their corporate name as e-mail address and enjoy our custom-made functions, such as group instant message, push mail service and Internet disk services. As of December 31, 2015, we had approximately 450,000 corporate e-mail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provide our e-commerce services related to third-party products through our online platforms, including Caipiao, an online service that facilitates the processing of end users’ purchase orders for a wide selection of sports and welfare lottery products offered by third-party lottery vendors, and Baoxian, an online service that facilitates the sale of insurance products from third-party insurers. We act as an agent and do not buy, sell, manufacture, or design such products. We help third-party vendors and insurers to collect payments from consumers through online payments via our Caipiao and Baoxian platforms. We generate revenues from service fees paid by third-party vendors and insurers based on a pre-determined service fee rate and the amount of processed orders from end users. Caipiao has been affected by a government suspension of online purchase orders for lottery products since February 2015. For additional information, see Item 3.D. “Risk Factors—Risks Related to the Telecommunications and Internet Industries in China—An ongoing government suspension has adversely affected our e-commerce services related to third-party lottery products and we may be required to obtain governmental authorizations and approvals for providing such e-commerce services, which, if unattainable, may adversely affect our e-commerce business.”</w:t>
      </w:r>
    </w:p>
    <w:p>
      <w:pPr>
        <w:spacing w:after="0" w:line="167"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color w:val="auto"/>
        </w:rPr>
        <w:t>We established our self-operated, cross-border e-commerce platform, Kaola, in January 2015. Kaola primarily sells imported maternity and baby products, skincare and cosmetics and other general merchandise through an online platform. We generate revenue from this platform through merchandise sales and recognize revenue on a gross basis as we carry our own inventory and have discretion in setting prices.</w:t>
      </w:r>
    </w:p>
    <w:p>
      <w:pPr>
        <w:spacing w:after="0" w:line="166" w:lineRule="exact"/>
        <w:rPr>
          <w:sz w:val="20"/>
          <w:szCs w:val="20"/>
          <w:color w:val="auto"/>
        </w:rPr>
      </w:pPr>
    </w:p>
    <w:p>
      <w:pPr>
        <w:ind w:right="180" w:firstLine="510"/>
        <w:spacing w:after="0" w:line="264" w:lineRule="auto"/>
        <w:rPr>
          <w:sz w:val="20"/>
          <w:szCs w:val="20"/>
          <w:color w:val="auto"/>
        </w:rPr>
      </w:pPr>
      <w:r>
        <w:rPr>
          <w:rFonts w:ascii="Arial" w:cs="Arial" w:eastAsia="Arial" w:hAnsi="Arial"/>
          <w:sz w:val="18"/>
          <w:szCs w:val="18"/>
          <w:color w:val="auto"/>
        </w:rPr>
        <w:t>We operate another e-commerce platform, Duobao, which provides services that allow users to purchase a virtual currency that can be exchanged for products. We generate revenues from this platform both through sales of our own inventory, for which we recognize revenue on a gross basis, as well as through sales of third-party products where we act as an agent, for which we recognize revenue on a net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Services</w:t>
      </w:r>
    </w:p>
    <w:p>
      <w:pPr>
        <w:spacing w:after="0" w:line="225"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In addition to the services described above, the NetEase websites provide products such as Wangyibao, our online payment platform, game-related accessories, and other services to our users, such as e-reading (EaseRead), online music SNS (Cloud Music) services and online education services (NetEase Cloud Classroom). We have also started to provide various Internet microcredit and other finance services.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Revenues from e-mail, e-commerce and others accounted for 3.7%, 9.4% and 16.2% of total net revenues in 2013, 2014 and 2015, respectively.</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Games</w:t>
      </w:r>
    </w:p>
    <w:p>
      <w:pPr>
        <w:spacing w:after="0" w:line="225" w:lineRule="exact"/>
        <w:rPr>
          <w:sz w:val="20"/>
          <w:szCs w:val="20"/>
          <w:color w:val="auto"/>
        </w:rPr>
      </w:pPr>
    </w:p>
    <w:p>
      <w:pPr>
        <w:ind w:right="100" w:firstLine="503"/>
        <w:spacing w:after="0" w:line="291" w:lineRule="auto"/>
        <w:rPr>
          <w:sz w:val="20"/>
          <w:szCs w:val="20"/>
          <w:color w:val="auto"/>
        </w:rPr>
      </w:pPr>
      <w:r>
        <w:rPr>
          <w:rFonts w:ascii="Arial" w:cs="Arial" w:eastAsia="Arial" w:hAnsi="Arial"/>
          <w:sz w:val="16"/>
          <w:szCs w:val="16"/>
          <w:color w:val="auto"/>
        </w:rPr>
        <w:t>We sell game playing time to users of the PC-client MMORPGs that we operate largely in the form of prepaid point cards. We sell prepaid point cards to end users through over 2,000 distributors as of December 31, 2015. These distributors arrange for our cards to be offered at various retail points in China including, notably, Internet cafés where many of the users of our online games access our system, and to a much lesser extent, directly over the Internet. Historically, we sold prepaid point cards to distributors at a 6.0% - 12.0% discount off of their face value. We reduced the discount to 6.0% - 10.0% in June 2012, 4.0% - 6.0% in January 2014 and 2.0% - 4.0% in February 2015. For the distributors selling prepaid point cards for use with the games licensed from Blizzard, the discount was 9.0% -12.0%, which was reduced to 7.0% - 10.0% in December 2011, 4.0% - 6.0% in January 2014 and 2.0% - 4.0% in February 2015. The discount for each distributor varies based on that distributor’s volume of point cards purchased.</w:t>
      </w:r>
    </w:p>
    <w:p>
      <w:pPr>
        <w:spacing w:after="0" w:line="16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Users can also purchase virtual prepaid cards online by debit card, credit card or bank transfer, and receive the prepaid point information over the Internet.</w:t>
      </w:r>
    </w:p>
    <w:p>
      <w:pPr>
        <w:spacing w:after="0" w:line="170"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For our mobile games, the Apple app store for iOS and third-party Android app stores such as Qihoo 360 Mobile and Baidu are the dominant distribution channels in China. In addition, to leverage our existing user bases, we also publish our mobile games through our website and our NetEase News App and other mobile Internet applications. Mobile users in China have a variety of payment options for our mobile games, including prepaid cards, online payments through app stores and other online payment channels. App stores collect a portion of our revenues for mobile games downloaded through the app store, which is generally 30% for the iOS app store and ranges from 30% to 50% for Android app stores.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jc w:val="both"/>
        <w:ind w:right="100" w:firstLine="510"/>
        <w:spacing w:after="0" w:line="264" w:lineRule="auto"/>
        <w:rPr>
          <w:sz w:val="20"/>
          <w:szCs w:val="20"/>
          <w:color w:val="auto"/>
        </w:rPr>
      </w:pPr>
      <w:r>
        <w:rPr>
          <w:rFonts w:ascii="Arial" w:cs="Arial" w:eastAsia="Arial" w:hAnsi="Arial"/>
          <w:sz w:val="18"/>
          <w:szCs w:val="18"/>
          <w:color w:val="auto"/>
        </w:rPr>
        <w:t>We believe the growing number of Internet users in China represents an attractive demographic target for advertisers because it represents an affluent, educated and technically sophisticated market. To capitalize on this advertising opportunity, we maintain a dedicated advertising services sales force, which had 414 sales professionals located in Beijing, Shanghai and Guangzhou as of December 31, 2015.</w:t>
      </w:r>
    </w:p>
    <w:p>
      <w:pPr>
        <w:spacing w:after="0" w:line="18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In addition, online advertising on the NetEase websites is also sold through online advertising sales networks and advertising agencies. We believe that our focus on providing widely-used services that are designed to appeal to a broad base of Internet users attracts a variety of blue chip advertisers, ranging from technology products to consumer brands (including, increasingly, Chinese companies). We intend to continue to attract online advertisers by promoting the NetEase brand name to potential advertisers. We also engage in providing cooperative promotional advertising solutions in which we act as the official sponsor or co-sponsor of special events or online content, such as websites that feature movies or television series, athletic events, conferences, music awards, charity concerts and industry exhibitions.</w:t>
      </w:r>
    </w:p>
    <w:p>
      <w:pPr>
        <w:sectPr>
          <w:pgSz w:w="11900" w:h="16839" w:orient="portrait"/>
          <w:cols w:equalWidth="0" w:num="1">
            <w:col w:w="11420"/>
          </w:cols>
          <w:pgMar w:left="240" w:top="125" w:right="239" w:bottom="0" w:gutter="0" w:footer="0" w:header="0"/>
        </w:sectPr>
      </w:pPr>
    </w:p>
    <w:bookmarkStart w:id="32" w:name="page33"/>
    <w:bookmarkEnd w:id="32"/>
    <w:p>
      <w:pPr>
        <w:ind w:left="520"/>
        <w:spacing w:after="0"/>
        <w:rPr>
          <w:sz w:val="20"/>
          <w:szCs w:val="20"/>
          <w:color w:val="auto"/>
        </w:rPr>
      </w:pPr>
      <w:r>
        <w:rPr>
          <w:rFonts w:ascii="Arial" w:cs="Arial" w:eastAsia="Arial" w:hAnsi="Arial"/>
          <w:sz w:val="16"/>
          <w:szCs w:val="16"/>
          <w:color w:val="auto"/>
        </w:rPr>
        <w:t>For a discussion of the seasonality of our revenue, see Item 5 “Operating and Financial Review and Prospects—Revenue—Seasonality of Revenues.”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right="120" w:firstLine="510"/>
        <w:spacing w:after="0" w:line="284" w:lineRule="auto"/>
        <w:rPr>
          <w:sz w:val="20"/>
          <w:szCs w:val="20"/>
          <w:color w:val="auto"/>
        </w:rPr>
      </w:pPr>
      <w:r>
        <w:rPr>
          <w:rFonts w:ascii="Arial" w:cs="Arial" w:eastAsia="Arial" w:hAnsi="Arial"/>
          <w:sz w:val="16"/>
          <w:szCs w:val="16"/>
          <w:color w:val="auto"/>
        </w:rPr>
        <w:t>We employ a variety of traditional and online marketing programs and promotional activities to build our brand as part of our overall marketing strategy. We focus on building brand awareness through proactive public relations and traditional and online advertising. We invest in a series of marketing activities to further strengthen our brand image and continue to grow our user base. Our marketing campaigns consist of corporate branding and announcements about our services through outdoor, print and online advertisements. We also conduct in-game marketing campaigns, visible to users playing our online games, in connection with holiday seasons or the commercial launches of new games or expansion packs throughout the year. In 2015, we continued with efforts to maintain or raise the popularity of our time-based games, such as Fantasy Westward Journey II and New Westward Journey Online</w:t>
      </w:r>
    </w:p>
    <w:p>
      <w:pPr>
        <w:spacing w:after="0" w:line="5" w:lineRule="exact"/>
        <w:rPr>
          <w:sz w:val="20"/>
          <w:szCs w:val="20"/>
          <w:color w:val="auto"/>
        </w:rPr>
      </w:pPr>
    </w:p>
    <w:p>
      <w:pPr>
        <w:ind w:right="20" w:firstLine="8"/>
        <w:spacing w:after="0" w:line="254" w:lineRule="auto"/>
        <w:tabs>
          <w:tab w:leader="none" w:pos="1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and III, our item-based games, such as Tianxia III, New Ghost, Heroes of Tang Dynasty Zero, Revelation, Demon Seals, Hegemon-King of Western Chu and Kung Fu Master II, our mobile games, such as the Fantasy Westward Journey and Westward Journey Online mobile games, Battle to the West, The World HD, Fairy Tales and Kari-ri-sei Million Arthur, and our licensed games from Blizzard through certain sales and promotional activities. We believe that players’ feedback has been positive in response to our recent promotional activities.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We have entered into a number of agreements with third-party promoters of our online game titles. Pursuant to these agreements, promoters market our game titles to potential customers in specific locations, principally Internet cafés and university campuses, in return for a commission for new users they recruit.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plan to continue investing in various forms of marketing to further build awareness of our brand and game titles.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20" w:firstLine="510"/>
        <w:spacing w:after="0" w:line="264" w:lineRule="auto"/>
        <w:rPr>
          <w:sz w:val="20"/>
          <w:szCs w:val="20"/>
          <w:color w:val="auto"/>
        </w:rPr>
      </w:pPr>
      <w:r>
        <w:rPr>
          <w:rFonts w:ascii="Arial" w:cs="Arial" w:eastAsia="Arial" w:hAnsi="Arial"/>
          <w:sz w:val="18"/>
          <w:szCs w:val="18"/>
          <w:color w:val="auto"/>
        </w:rPr>
        <w:t>We believe that the ability to develop and enhance our services is an integral part of our future success. Our product development efforts and strategies consist of incorporating new technologies from third parties as well as continuing to develop our own proprietary technology in order to produce user-friendly Internet and e-commerce applications, services and technologies for the Chinese market.</w:t>
      </w:r>
    </w:p>
    <w:p>
      <w:pPr>
        <w:spacing w:after="0" w:line="18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We have utilized and will continue to utilize the products and services of third parties to enhance our platform of technologies and services to provide competitive and diverse Internet and e-commerce services to our users. We also have utilized and will continue to utilize third-party advertisement serving technologies in conjunction with our own proprietary software. In addition, we plan to continue to expand our technologies, services and registered user base through diverse online services developed internally. We will seek to continually improve and enhance our existing services to respond to rapidly evolving competitive and technological conditions.</w:t>
      </w:r>
    </w:p>
    <w:p>
      <w:pPr>
        <w:spacing w:after="0" w:line="188" w:lineRule="exact"/>
        <w:rPr>
          <w:sz w:val="20"/>
          <w:szCs w:val="20"/>
          <w:color w:val="auto"/>
        </w:rPr>
      </w:pPr>
    </w:p>
    <w:p>
      <w:pPr>
        <w:ind w:right="20" w:firstLine="510"/>
        <w:spacing w:after="0" w:line="264" w:lineRule="auto"/>
        <w:rPr>
          <w:sz w:val="20"/>
          <w:szCs w:val="20"/>
          <w:color w:val="auto"/>
        </w:rPr>
      </w:pPr>
      <w:r>
        <w:rPr>
          <w:rFonts w:ascii="Arial" w:cs="Arial" w:eastAsia="Arial" w:hAnsi="Arial"/>
          <w:sz w:val="18"/>
          <w:szCs w:val="18"/>
          <w:color w:val="auto"/>
        </w:rPr>
        <w:t>Our major area of focus is the development of our proprietary online games (including introducing new types of games) and localizing licensed games, and we plan to continue this focus in the future. As of December 31, 2015, we had approximately 4,600 programmers, network engineers and graphic designers dedicated to online game research and development.</w:t>
      </w:r>
    </w:p>
    <w:p>
      <w:pPr>
        <w:spacing w:after="0" w:line="18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have multiple studios of game developers established to research and develop new games and expansion packs. In developing a new game or expansion pack, game developers create proposals for the game theme and design, and then construct prototypes for management to review and approve. Subsequently, our quality control staff, as well as volunteer players, conduct limited beta testing for the new game designs and expansion packs. Based on analysis of the feedback provided by the quality control staff and volunteer players, our game developers refine the game designs and expansion packs and then initiate unlimited beta testing, by which time the game becomes available to the public. For games using the time-based revenue model, no revenue is collected from users during unlimited beta testing until commercial launch of the game. However, for games using the item-based revenue model, users in the unlimited beta testing can purchase in-game items, which allow those games to start generating revenue from the unlimited beta testing phase onwards. Accordingly, for item-based games, the beginning of unlimited beta testing is sometimes considered to be the commercial launch of the game. Our game developers further improve the new game designs and expansion packs as necessary based on user statistics and feedback gathered from unlimited beta testing. User statistics gathered from limited beta and unlimited beta testing results are compared with existing games, which enables us to assess the potential for success of the new games and expansion packs and to plan the network infrastructure and marketing efforts required to support each new game or expansion pack.</w:t>
      </w:r>
    </w:p>
    <w:p>
      <w:pPr>
        <w:spacing w:after="0" w:line="180"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In connection with our game development activities, we occasionally license specific game technologies which we incorporate into our internally developed games.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TECHNOLOGY</w:t>
      </w:r>
    </w:p>
    <w:p>
      <w:pPr>
        <w:spacing w:after="0" w:line="2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infrastructure and technology have been designed for reliability, scalability and flexibility and are administered by our technical staff. The NetEase websites are made available primarily through network servers co-located in the facilities of China Unicom’s Beijing affiliate and China Telecom’s Beijing affiliates. As of December 31, 2015, there were approximately 39,000 of such co-located servers, including servers supporting the operation of the games licensed to Shanghai EaseNet by Blizzard, operating with Web server software from Apache and Netscape and using leased dedicated lines from CERNET and various affiliates of China Unicom and China Telecom.</w:t>
      </w:r>
    </w:p>
    <w:p>
      <w:pPr>
        <w:spacing w:after="0" w:line="188"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In addition, we also develop our own systems to facilitate sales planning, targeting, trafficking, inventory management and reporting tools, as well as advertisement and search tracking systems for our advertising and search services.</w:t>
      </w:r>
    </w:p>
    <w:p>
      <w:pPr>
        <w:spacing w:after="0" w:line="17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use Oracle’s database systems to manage our registered user database. NetEase has established a comprehensive user profile system, and we analyze user information on a weekly basis. We also deploy a single sign-on system that allows users to easily access our services within the NetEase websites. We intend to continue to use a combination of internally developed software products as well as third-party products to enhance our Internet media services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0" w:gutter="0" w:footer="0" w:header="0"/>
        </w:sectPr>
      </w:pPr>
    </w:p>
    <w:bookmarkStart w:id="33" w:name="page34"/>
    <w:bookmarkEnd w:id="33"/>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A number of companies offer competitive products or services in China, our main operating market. Specifically, we are encountering competition from companies offering PC-client MMORPGs and mobile games that target the China market, such as Tencent, Changyou.com Limited, Giant Interactive Group Inc., Shanda Games Limited, and Perfect World Company Limited. We also face competition from other websites that offer online content and online community services, including Tencent, Baidu, Alibaba, Sina, Sohu, Qihoo, iFeng.com, Youku, and other vertical Internet media. In addition, we face competition for our e-commerce businesses from other companies such as Alibaba, JD.com, Inc., Jumei International Holding Limited and Vipshop Holdings Limited. Some of our existing and potential competitors in these areas have significantly greater financial and marketing resources than we do. In addition, we believe that many of our competitors have become more active in both licensing foreign-developed games and developing games in-house.</w:t>
      </w:r>
    </w:p>
    <w:p>
      <w:pPr>
        <w:spacing w:after="0" w:line="16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also believe that competition in the online advertising industry in China is intense with numerous competitors such as Baidu, Sina, Sohu, Tencent, Alibaba, Qihoo, iFeng.com, TouTiao.com and Youku, as well as other vertical Internet media. In addition, we face competition from Internet media operated by multinational Internet companies such as Yahoo! Inc., Microsoft Corporation and Google Inc. which provide Chinese language service offerings. Many of these Internet companies have longer operating histories in the Internet market, greater name and brand recognition, larger customer bases and databases and significantly greater financial, technical and marketing resources than we have. The entry of additional, highly competitive Internet companies into the Chinese market would further heighten competition. Finally, we face competition from websites that operate outside our market and offer content in the English language, which may be attractive to a portion of Chinese Internet users. We also compete with traditional forms of media for advertising-related revenue.</w:t>
      </w:r>
    </w:p>
    <w:p>
      <w:pPr>
        <w:spacing w:after="0" w:line="19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There can be no assurance that we will be able to compete successfully against our current or future competitors or that competition will not have a material adverse effect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The Chinese government has enacted an extensive regulatory scheme governing the operation of Internet-related businesses, such as telecommunications, Internet information services, international connection to computer information networks, information security and censorship. In addition to MII, the various services of the PRC Internet industry are regulated by various governmental authorities, such as the SAIC, the State Council Information Office, or SCIO, the Ministry of Education, or MOE, the Ministry of Health, or MOH, the State Food and Drug Administration, or SFDA, the MOC, SAPPRFT, the Ministry of Commerce and the Ministry of Public Security.</w:t>
      </w:r>
    </w:p>
    <w:p>
      <w:pPr>
        <w:spacing w:after="0" w:line="188" w:lineRule="exact"/>
        <w:rPr>
          <w:sz w:val="20"/>
          <w:szCs w:val="20"/>
          <w:color w:val="auto"/>
        </w:rPr>
      </w:pPr>
    </w:p>
    <w:p>
      <w:pPr>
        <w:ind w:right="500" w:firstLine="504"/>
        <w:spacing w:after="0" w:line="297" w:lineRule="auto"/>
        <w:rPr>
          <w:sz w:val="20"/>
          <w:szCs w:val="20"/>
          <w:color w:val="auto"/>
        </w:rPr>
      </w:pPr>
      <w:r>
        <w:rPr>
          <w:rFonts w:ascii="Arial" w:cs="Arial" w:eastAsia="Arial" w:hAnsi="Arial"/>
          <w:sz w:val="16"/>
          <w:szCs w:val="16"/>
          <w:color w:val="auto"/>
        </w:rPr>
        <w:t>In September 2000, China’s State Council promulgated the Telecommunications Regulations of the People’s Republic of China, or the Telecom Regulations, which was revised in July 2014. The Telecom Regulations categorized all telecommunications businesses in China as either basic telecommunications businesses or value-added telecommunications businesses, with ICP services and e-mail services classified as value-added telecommunications businesses. According to the Telecom Regulations, the commercial operator of such services must obtain an operating license. The Telecom Regulations also set forth extensive guidelines with respect to different aspects of telecommunications operations in China.</w:t>
      </w:r>
    </w:p>
    <w:p>
      <w:pPr>
        <w:spacing w:after="0" w:line="158" w:lineRule="exact"/>
        <w:rPr>
          <w:sz w:val="20"/>
          <w:szCs w:val="20"/>
          <w:color w:val="auto"/>
        </w:rPr>
      </w:pPr>
    </w:p>
    <w:p>
      <w:pPr>
        <w:ind w:right="20" w:firstLine="506"/>
        <w:spacing w:after="0" w:line="287" w:lineRule="auto"/>
        <w:rPr>
          <w:sz w:val="20"/>
          <w:szCs w:val="20"/>
          <w:color w:val="auto"/>
        </w:rPr>
      </w:pPr>
      <w:r>
        <w:rPr>
          <w:rFonts w:ascii="Arial" w:cs="Arial" w:eastAsia="Arial" w:hAnsi="Arial"/>
          <w:sz w:val="16"/>
          <w:szCs w:val="16"/>
          <w:color w:val="auto"/>
        </w:rPr>
        <w:t>In December 2001, in order to comply with China’s commitments with respect to its entry into the WTO, the State Council promulgated the Regulation for the Administration of Foreign-invested Telecommunications Enterprises, or the FITE Regulations, which was revised in September 2008. The FITE Regulations set forth detailed requirements with respect to capitalization, investor qualifications and application procedures in connection with the establishment of a foreign invested telecom enterprise. Pursuant to the FITE Regulations, foreign investors may hold an aggregate of no more than 50% of the total equity in any value-added telecommunications business in China, with the one exception set forth in the Notice of the Ministry of Industry and Information Technology on Removing the Restrictions on Foreign Equity Ratios in Online Data Processing and Transaction Processing (Operating E-commerce) Business issued by MII in June 2015, pursuant to which, foreign investors may hold up to 100% of the total equity in online data processing and transaction processing businesses. However, the FITE Regulations do not define the “online data processing and transaction processing business”, and its interpretation and enforcement involve significant uncertainties. Therefore, we cannot assure you whether our online retail business and distribution of online information falls into the “online data processing and transaction processing business” category and whether we are permitted to conduct such value-added telecommunication services in the PRC through our subsidiaries in which foreign investors own more than 50% of the equity interests.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Circular of the MII on Intensifying the Administration of Foreign Investment in Value-Added Telecommunication Services, or the 2006 MII Circular, was promulgated by MII on July 13, 2006. The 2006 MII Circular provides that (i) any domain name used by a valued—added telecom service provider must be legally owned by the service provider or its shareholder(s); (ii) any trademark used by a value-added telecom service provider must be legally owned by the service provider or its shareholder(s); (iii) the operation site and facilities of a value-added telecom service provider must be installed within the scope as prescribed by the operating licenses obtained by the service provider and must correspond to the value-added telecom services that the service provider has been approved to provide; and (iv) a value-added telecom service provider must establish or improve the measures of ensuring information security. Companies which have obtained operating licenses for value-added telecom services are required to conduct a self-examination and self-correction according to the foregoing requirements and report the results of such self-examination and self-correction to MII. To comply with these requirements, Guangzhou NetEase submitted its self-correction report to MII in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Information Services</w:t>
      </w:r>
    </w:p>
    <w:p>
      <w:pPr>
        <w:spacing w:after="0" w:line="225" w:lineRule="exact"/>
        <w:rPr>
          <w:sz w:val="20"/>
          <w:szCs w:val="20"/>
          <w:color w:val="auto"/>
        </w:rPr>
      </w:pPr>
    </w:p>
    <w:p>
      <w:pPr>
        <w:ind w:right="40" w:firstLine="510"/>
        <w:spacing w:after="0" w:line="312" w:lineRule="auto"/>
        <w:rPr>
          <w:sz w:val="20"/>
          <w:szCs w:val="20"/>
          <w:color w:val="auto"/>
        </w:rPr>
      </w:pPr>
      <w:r>
        <w:rPr>
          <w:rFonts w:ascii="Arial" w:cs="Arial" w:eastAsia="Arial" w:hAnsi="Arial"/>
          <w:sz w:val="16"/>
          <w:szCs w:val="16"/>
          <w:color w:val="auto"/>
        </w:rPr>
        <w:t>The Measures for the Administration of Internet Information Services, or the ICP Measures, issued by the State Council went into effect on September 25, 2000. Under the ICP Measures, any entity that provides information to Internet users must obtain an operating license from MII or its local branch at the provincial level in accordance with the Telecom Regulations described above. To provide these services in compliance with all the relevant ICP-</w:t>
      </w:r>
    </w:p>
    <w:p>
      <w:pPr>
        <w:sectPr>
          <w:pgSz w:w="11900" w:h="16844" w:orient="portrait"/>
          <w:cols w:equalWidth="0" w:num="1">
            <w:col w:w="11420"/>
          </w:cols>
          <w:pgMar w:left="240" w:top="517" w:right="239" w:bottom="0" w:gutter="0" w:footer="0" w:header="0"/>
        </w:sectPr>
      </w:pPr>
    </w:p>
    <w:bookmarkStart w:id="34" w:name="page35"/>
    <w:bookmarkEnd w:id="34"/>
    <w:p>
      <w:pPr>
        <w:spacing w:after="0" w:line="2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related Chinese regulations, Guangzhou NetEase successfully obtained an ICP license issued by the Guangdong Provincial Telecommunications Bureau. Subsequently, Guangzhou NetEase obtained a Value-Added Telecom Business Operating License from the Guangdong Provincial Telecommunications Bureau, which replaced its ICP license and authorizes Guangzhou NetEase to provide Internet information services. Guangzhou NetEase obtained an Inter-Provincial Value-Added Telecommunications Business Operating License from MII, which specifically authorizes it to provide value-added telecommunications services (excluding fixed line phone call information services and Internet information services). Also, Shanghai EaseNet, Youdao Computer, Hangzhou Leihuo, Zhejiang Yixin Science &amp; Technology Co., Ltd, Wangyibao, Ujia E-commerce Co., Ltd., or Ujia, Zhoushan Bole Technology Co., Ltd., or Zhoushan Bole, NetEase Advertising, Hangzhou Bobo Technology Co., Ltd., or Hangzhou Bobo, and Hangzhou Ledu Technology Co., Ltd., or Ledu, have each obtained a Value-Added Telecommunications Business Operating License issued by a relevant Provincial Telecommunications Bureau.</w:t>
      </w:r>
    </w:p>
    <w:p>
      <w:pPr>
        <w:spacing w:after="0" w:line="166" w:lineRule="exact"/>
        <w:rPr>
          <w:sz w:val="20"/>
          <w:szCs w:val="20"/>
          <w:color w:val="auto"/>
        </w:rPr>
      </w:pPr>
    </w:p>
    <w:p>
      <w:pPr>
        <w:ind w:right="200" w:firstLine="504"/>
        <w:spacing w:after="0" w:line="255" w:lineRule="auto"/>
        <w:rPr>
          <w:sz w:val="20"/>
          <w:szCs w:val="20"/>
          <w:color w:val="auto"/>
        </w:rPr>
      </w:pPr>
      <w:r>
        <w:rPr>
          <w:rFonts w:ascii="Arial" w:cs="Arial" w:eastAsia="Arial" w:hAnsi="Arial"/>
          <w:sz w:val="18"/>
          <w:szCs w:val="18"/>
          <w:color w:val="auto"/>
        </w:rPr>
        <w:t>The Provisional Regulations for the Administration of Website Operation of News Publications, which were jointly issued by SCIO and MII on November 6, 2000, stipulate that websites of non-news organizations shall not publish news items produced by themselves and require the websites of non-news organizations to be approved by SCIO after securing permission from SCIO at the provincial level. On September 25, 2005, the Regulations for the Administration of Internet News Information Services were promulgated jointly by SCIO and MII. The regulations require that any ICP operator that is a non-news organization but engaged in Internet news information services must obtain approval for those services from SCIO. Guangzhou NetEase has obtained an Internet News Information Service License from SCIO.</w:t>
      </w:r>
    </w:p>
    <w:p>
      <w:pPr>
        <w:spacing w:after="0" w:line="193"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On June 27, 2002, MII and GAPP (later superseded by SAPPRFT) jointly promulgated the Provisional Measures for the Administration of Internet Publishing, which was replaced by the Rules for the Administration of Online Publishing Service jointly issued by SAPPRFT and MII that became effective on March 10, 2016, which requires Internet publishers to secure approval from SAPPRFT. The term “Internet publishing” is defined as an act of online dissemination whereby Internet information service providers select, edit and process works created by themselves or others (including content from books, newspapers, periodicals, audio and video products, electronic publications, etc. that have already been formally published or works that have been made public in other media) and subsequently post the same on the Internet or transmit the same to users via the Internet for browsing, use or downloading by the public. Guangzhou NetEase has obtained a license from SAPPRFT to engage in Internet publishing.</w:t>
      </w:r>
    </w:p>
    <w:p>
      <w:pPr>
        <w:spacing w:after="0" w:line="178" w:lineRule="exact"/>
        <w:rPr>
          <w:sz w:val="20"/>
          <w:szCs w:val="20"/>
          <w:color w:val="auto"/>
        </w:rPr>
      </w:pPr>
    </w:p>
    <w:p>
      <w:pPr>
        <w:jc w:val="both"/>
        <w:ind w:right="320" w:firstLine="506"/>
        <w:spacing w:after="0" w:line="264" w:lineRule="auto"/>
        <w:rPr>
          <w:sz w:val="20"/>
          <w:szCs w:val="20"/>
          <w:color w:val="auto"/>
        </w:rPr>
      </w:pPr>
      <w:r>
        <w:rPr>
          <w:rFonts w:ascii="Arial" w:cs="Arial" w:eastAsia="Arial" w:hAnsi="Arial"/>
          <w:sz w:val="18"/>
          <w:szCs w:val="18"/>
          <w:color w:val="auto"/>
        </w:rPr>
        <w:t>On July 8, 2004, SFDA issued the Measures for the Administration of Internet Drug Information Services, which stipulate that websites publishing drug-related information must obtain a license from local food and drug administrations. Guangzhou NetEase has obtained a license for publishing drug-related information from the Guangdong Food and Drug Administration.</w:t>
      </w:r>
    </w:p>
    <w:p>
      <w:pPr>
        <w:spacing w:after="0" w:line="181" w:lineRule="exact"/>
        <w:rPr>
          <w:sz w:val="20"/>
          <w:szCs w:val="20"/>
          <w:color w:val="auto"/>
        </w:rPr>
      </w:pPr>
    </w:p>
    <w:p>
      <w:pPr>
        <w:ind w:right="120" w:firstLine="506"/>
        <w:spacing w:after="0" w:line="271" w:lineRule="auto"/>
        <w:rPr>
          <w:sz w:val="20"/>
          <w:szCs w:val="20"/>
          <w:color w:val="auto"/>
        </w:rPr>
      </w:pPr>
      <w:r>
        <w:rPr>
          <w:rFonts w:ascii="Arial" w:cs="Arial" w:eastAsia="Arial" w:hAnsi="Arial"/>
          <w:sz w:val="17"/>
          <w:szCs w:val="17"/>
          <w:color w:val="auto"/>
        </w:rPr>
        <w:t>Pursuant to the Measures for the Administration of Internet E-mail Services, or the Internet E-mail Measures, which were issued by MII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 or administrative regulation. Guangzhou NetEase has obtained an Inter-Provincial Value-Added Telecommunications Business Operating License.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506"/>
        <w:spacing w:after="0" w:line="259" w:lineRule="auto"/>
        <w:rPr>
          <w:sz w:val="20"/>
          <w:szCs w:val="20"/>
          <w:color w:val="auto"/>
        </w:rPr>
      </w:pPr>
      <w:r>
        <w:rPr>
          <w:rFonts w:ascii="Arial" w:cs="Arial" w:eastAsia="Arial" w:hAnsi="Arial"/>
          <w:sz w:val="18"/>
          <w:szCs w:val="18"/>
          <w:color w:val="auto"/>
        </w:rPr>
        <w:t>SARFT (later superseded by SAPPRFT) and MII jointly issued the Regulations for the Administration of Internet Audiovisual Program Services, or the Audiovisual Regulations, on December 20, 2007, which require that online audio and video service providers must obtain a permit from SAPPRFT in accordance with the Audiovisual Regulations. Guangzhou NetEase has obtained the Permit for the Network Transmission of Audiovisual Programs issued by SAPPRFT.</w:t>
      </w:r>
    </w:p>
    <w:p>
      <w:pPr>
        <w:spacing w:after="0" w:line="187" w:lineRule="exact"/>
        <w:rPr>
          <w:sz w:val="20"/>
          <w:szCs w:val="20"/>
          <w:color w:val="auto"/>
        </w:rPr>
      </w:pPr>
    </w:p>
    <w:p>
      <w:pPr>
        <w:ind w:right="80" w:firstLine="506"/>
        <w:spacing w:after="0" w:line="271" w:lineRule="auto"/>
        <w:rPr>
          <w:sz w:val="20"/>
          <w:szCs w:val="20"/>
          <w:color w:val="auto"/>
        </w:rPr>
      </w:pPr>
      <w:r>
        <w:rPr>
          <w:rFonts w:ascii="Arial" w:cs="Arial" w:eastAsia="Arial" w:hAnsi="Arial"/>
          <w:sz w:val="17"/>
          <w:szCs w:val="17"/>
          <w:color w:val="auto"/>
        </w:rPr>
        <w:t>On September 3, 2009, the MOC issued its Notice on Strengthening and Improving the Content Censorship of Online Music Content. According to this notice, only entities approved by the Ministry of Culture for an Internet Culture Operating License may engage in the production, release, dissemination (including providing direct links to music products) and importation of online music products. In addition, the notice also requires all domestic music products to be filed with the MOC within 30 days after being publicly available online. Imported music products must be approved by the MOC before being made available online. On October 23, 2015, the MOC issued its Notice on Further Strengthening and Improving the Management of Online Music Content. According to this notice, the entities should examine and verify the content of online music by themselves, while the culture management administration should supervise in the act and afterwards. Guangzhou NetEase, Shanghai EaseNet, Hangzhou Leihuo, Zhoushan Bole, Ujia, Ledu and Hangzhou Bobo have each obtained an Internet Culture Operating License.</w:t>
      </w:r>
    </w:p>
    <w:p>
      <w:pPr>
        <w:spacing w:after="0" w:line="179"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On May 4, 2008, the China Banking Regulatory Commission, or CBRC, and PBOC jointly issued the Guiding Opinions of China Banking Regulatory Commission and the People’s Bank of China on the Pilot Operation of Small Loan Companies, or the Guiding Opinions. According to the Guiding Opinions, to apply for setting up a small loan company, the applicant is required to file a formal official application with the competent department of the provincial government, and, upon approval, it shall apply to the local administrative department for industry and commerce for handling the registration formalities and to receive the business license. It is also required to file the relevant materials with the local public security organ, the dispatch office of the CBRC and the branch institution of the PBOC within five working days after approval. The major sources of funds of a small loan company shall be the capital paid by shareholders, donated capital and the capital borrowed from a maximum of two banking financial institutions. The balance of the capital borrowed from banking financial institutions shall not exceed 50% of the net capital within the scope as prescribed by laws and regulations. In addition, the balance of loans granted by a small loan company to a single borrower shall not exceed 5% of the net capital of the company.</w:t>
      </w:r>
    </w:p>
    <w:p>
      <w:pPr>
        <w:spacing w:after="0" w:line="167" w:lineRule="exact"/>
        <w:rPr>
          <w:sz w:val="20"/>
          <w:szCs w:val="20"/>
          <w:color w:val="auto"/>
        </w:rPr>
      </w:pPr>
    </w:p>
    <w:p>
      <w:pPr>
        <w:ind w:firstLine="506"/>
        <w:spacing w:after="0" w:line="288" w:lineRule="auto"/>
        <w:rPr>
          <w:sz w:val="20"/>
          <w:szCs w:val="20"/>
          <w:color w:val="auto"/>
        </w:rPr>
      </w:pPr>
      <w:r>
        <w:rPr>
          <w:rFonts w:ascii="Arial" w:cs="Arial" w:eastAsia="Arial" w:hAnsi="Arial"/>
          <w:sz w:val="16"/>
          <w:szCs w:val="16"/>
          <w:color w:val="auto"/>
        </w:rPr>
        <w:t>On April 16, 2009, the PBOC issued a notice, or the PBOC Notice, regarding the regulation of non-financial institutions engaged in the business of effecting payments and settlements. The PBOC Notice requires non-financial institutions established before April 16, 2009 which are engaged in the payment and settlement business to register with the PBOC before July 31, 2009. According to the PBOC Notice, such registration is interpreted as a basis for future policy making rather than a permit. Guangzhou NetEase has finished the required registration with the PBOC. In addition, on June 14, 2010, the PBOC issued the Measures for the Administration of Non-financial Institutions Engaging in Payment and Settlement Services, or the PBOC Measures, which became effective as of September 1, 2010 and require that non-financial institutions engaging in the business of effecting payments and settlements before June 14, 2010 obtain a permit, Payment Service Permit, from the PBOC by August 31, 2011 to continue such business. On December 1, 2010, the PBOC issued the Implementation Rules for the Measures for the Administration of Non-financial Institutions Engaging in Payment and Settlement Services, or the Implementation Rules for the PBOC Measures, which contains further elaboration with respect to the application qualification, material and procedure for the Payment Service Permit and further measures aiming at protecting the rights and interests of clients, including prominent disclosure of service rates, prior</w:t>
      </w:r>
    </w:p>
    <w:p>
      <w:pPr>
        <w:sectPr>
          <w:pgSz w:w="11900" w:h="16863" w:orient="portrait"/>
          <w:cols w:equalWidth="0" w:num="1">
            <w:col w:w="11420"/>
          </w:cols>
          <w:pgMar w:left="240" w:top="125" w:right="239" w:bottom="0" w:gutter="0" w:footer="0" w:header="0"/>
        </w:sectPr>
      </w:pPr>
    </w:p>
    <w:bookmarkStart w:id="35" w:name="page36"/>
    <w:bookmarkEnd w:id="35"/>
    <w:p>
      <w:pPr>
        <w:ind w:right="40"/>
        <w:spacing w:after="0" w:line="291" w:lineRule="auto"/>
        <w:rPr>
          <w:sz w:val="20"/>
          <w:szCs w:val="20"/>
          <w:color w:val="auto"/>
        </w:rPr>
      </w:pPr>
      <w:r>
        <w:rPr>
          <w:rFonts w:ascii="Arial" w:cs="Arial" w:eastAsia="Arial" w:hAnsi="Arial"/>
          <w:sz w:val="16"/>
          <w:szCs w:val="16"/>
          <w:color w:val="auto"/>
        </w:rPr>
        <w:t>notice to clients before any modification can be made to the service rates or payment service agreement between a payment service provider and its clients. We have obtained the Payment Service Permit from the PBOC. On December 28, 2015, the PBOC issued the Administrative Measures for Internet Payment Services of Non-banking Payment Institutions, which will take effect on July 1, 2016, which require that non-banking payment institutions shall implement the real-name verification system for payment accounts and take effective measures to verify the personal information of clients, The measures also require that if non-banking payment institutions engage in transferring money between payment accounts and bank accounts, all such accounts shall be owned by the same client. For other details, see Item 3.D. “Risk Factors—Risks Related to the Telecommunications and Internet Industries in China—Regulatory restrictions on financial transactions may adversely affect the operation and profitability of our business.”</w:t>
      </w:r>
    </w:p>
    <w:p>
      <w:pPr>
        <w:spacing w:after="0" w:line="16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On December 29, 2011, MII issued Several Provisions on Regulating the Market Order for Internet Information Services, or the Market Order Provisions. According to such provisions, Internet information service providers, or IISPs, are prohibited from a wide range of activities that would infringe upon rights and interests of users or other IISPs, including but not limited to maliciously forcing incompatibility on services and products provided by other IISPs, deceiving, misleading or forcing users to use or not to use services and products provided by other IISPs, changing user’s browser configurations or other configurations without notifying and obtaining permission from the users, and bundling their terminal software with other software without providing clear notice to the users. Also, IISPs are prohibited from collecting information that is related to the users and can serve to identify the users’ identities solely or in conjunction with other information without the users’ consent or providing other people with such information, unless otherwise permitted or required under laws or administrative regulations. We believe our current operation is in compliance with the Market Order Provisions.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June 7, 2013, the PBOC issued the Measures for the Custody of Clients’ Reserves of Payment Institutions, or the Clients’ Reserves Measures, which defines Clients’ Reserves as funds actually received by payment institutions when processing payments for clients and payable upon clients order, and requires payment institutions to fully deposit the Clients’ Reserves into a dedicated deposit account held in the custody of banking institutions. We have taken necessary measures to comply with the Clients’ Reserves Measures.</w:t>
      </w:r>
    </w:p>
    <w:p>
      <w:pPr>
        <w:spacing w:after="0" w:line="187"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On July 18, 2015, PBOC, MII, Ministry of Public Security, MOF, SAIC, Legislative Affairs Office of the State Council, CBRC, CSRC, China Insurance Regulatory Commission and China Internet Information Technology Office jointly issued the Guiding Opinions on Promoting the Healthy Development of Internet Finance, which was imperative to encourage innovation, and support the steady development of Internet finance. According to the above-mentioned Guiding Opinions, Internet enterprises would be supported to set up Internet payment institutions, online lending platforms, equity crowd-funding platforms and online financial product sales platforms in compliance with the law, and a multi-level financial services system that serves the real economy would be established to better meet the investment and financing needs of medium, small and micro-sized enterprises and individuals, and further expand the breadth, and increase the depth, of inclusive finance. According to the above-mentioned Guiding Opinions, e-commerce enterprises would be encouraged to build and improve their own online financial services systems under the premise of compliance with financial laws and regulations, and effectively expand the supply chain operations of e-commerce enterprises.</w:t>
      </w:r>
    </w:p>
    <w:p>
      <w:pPr>
        <w:spacing w:after="0" w:line="18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On August 7, 2014, SCIO issued the Interim Provisions on Managing the Development of Public Information Services on Instant Messaging Tools, or the Instant Messaging Interim Provisions, which stipulate that instant messaging tool service providers must enter into an agreement with their users during account registration to require them to abide by “Seven Principals”, including, without limitation, laws and regulations, socialist system principals and social ethics. We believe we have taken the necessary measures to comply with the Instant Messaging Interim Provisions.</w:t>
      </w:r>
    </w:p>
    <w:p>
      <w:pPr>
        <w:spacing w:after="0" w:line="17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On December 28, 2015, MII issued the Telecommunication Services Classification Catalogue (2015), replacing the old Telecommunication Services Classification Catalogue (2003), which will take effect from March 1, 2016. The 2015 catalogue divides the information services business into five more detailed sub-categories and reclassifies the online data processing and transaction processing services business as a value-added telecom business from basic telecom business category in the 2003 Catalogue.</w:t>
      </w:r>
    </w:p>
    <w:p>
      <w:pPr>
        <w:spacing w:after="0" w:line="187" w:lineRule="exact"/>
        <w:rPr>
          <w:sz w:val="20"/>
          <w:szCs w:val="20"/>
          <w:color w:val="auto"/>
        </w:rPr>
      </w:pPr>
    </w:p>
    <w:p>
      <w:pPr>
        <w:ind w:right="240" w:firstLine="510"/>
        <w:spacing w:after="0" w:line="297" w:lineRule="auto"/>
        <w:rPr>
          <w:sz w:val="20"/>
          <w:szCs w:val="20"/>
          <w:color w:val="auto"/>
        </w:rPr>
      </w:pPr>
      <w:r>
        <w:rPr>
          <w:rFonts w:ascii="Arial" w:cs="Arial" w:eastAsia="Arial" w:hAnsi="Arial"/>
          <w:sz w:val="16"/>
          <w:szCs w:val="16"/>
          <w:color w:val="auto"/>
        </w:rPr>
        <w:t>On April 17, 2015, the National Copyright Administration issued the Circular on Regulating the Order of Internet Reproduction of Copyrighted Works. Under this circular, in order to reproduce the work of others, Internet media must comply with relevant provisions of the copyright laws and regulations and, unless otherwise provided by law or regulation, must obtain permission from and pay remuneration to the owner of the copyrighted work, and must indicate the name of the author as well as the title and the source of the work, and may not infringe any other rights or interests of the copyright owner. Moreover, when reproducing the works of others, Internet media must not make material alterations to the content of the works.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Security and Censorship</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Regulations governing information security and censorship include:</w:t>
      </w:r>
    </w:p>
    <w:p>
      <w:pPr>
        <w:spacing w:after="0" w:line="225" w:lineRule="exact"/>
        <w:rPr>
          <w:sz w:val="20"/>
          <w:szCs w:val="20"/>
          <w:color w:val="auto"/>
        </w:rPr>
      </w:pPr>
    </w:p>
    <w:p>
      <w:pPr>
        <w:ind w:left="980" w:hanging="46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Law of the People’s Republic of China on the Preservation of State Secrets (2010) and its Implementation Rules (2014).</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Counter-espionage Law of the People’s Republic of China (2014).</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Rules of the People’s Republic of China for Protecting the Security of Computer Information Systems (1994).</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Administrative Regulations for the Protection of Secrecy on Computer Information System Connected to International Networks (1997).</w:t>
      </w:r>
    </w:p>
    <w:p>
      <w:pPr>
        <w:spacing w:after="0" w:line="248" w:lineRule="exact"/>
        <w:rPr>
          <w:rFonts w:ascii="Arial" w:cs="Arial" w:eastAsia="Arial" w:hAnsi="Arial"/>
          <w:sz w:val="16"/>
          <w:szCs w:val="16"/>
          <w:color w:val="auto"/>
        </w:rPr>
      </w:pPr>
    </w:p>
    <w:p>
      <w:pPr>
        <w:ind w:left="980" w:hanging="46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Regulations for the Protection of State Secrets for Computer Information Systems on the Internet (2000).</w:t>
      </w:r>
    </w:p>
    <w:p>
      <w:pPr>
        <w:spacing w:after="0" w:line="225" w:lineRule="exact"/>
        <w:rPr>
          <w:rFonts w:ascii="Arial" w:cs="Arial" w:eastAsia="Arial" w:hAnsi="Arial"/>
          <w:sz w:val="18"/>
          <w:szCs w:val="18"/>
          <w:color w:val="auto"/>
        </w:rPr>
      </w:pPr>
    </w:p>
    <w:p>
      <w:pPr>
        <w:ind w:left="1020" w:right="100" w:hanging="506"/>
        <w:spacing w:after="0" w:line="308" w:lineRule="auto"/>
        <w:tabs>
          <w:tab w:leader="none" w:pos="97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Notice issued by the Ministry of Public Security of the People’s Republic of China Regarding Issues Relating to the Implementation of the Administrative Measure for the Security Protection of International Connections to Computer Information Networks (2000).</w:t>
      </w:r>
    </w:p>
    <w:p>
      <w:pPr>
        <w:spacing w:after="0" w:line="146" w:lineRule="exact"/>
        <w:rPr>
          <w:rFonts w:ascii="Arial" w:cs="Arial" w:eastAsia="Arial" w:hAnsi="Arial"/>
          <w:sz w:val="17"/>
          <w:szCs w:val="17"/>
          <w:color w:val="auto"/>
        </w:rPr>
      </w:pPr>
    </w:p>
    <w:p>
      <w:pPr>
        <w:ind w:left="980" w:hanging="46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Detailed Implementation Rules for the Administration of Commercial Website Filings for the Record (2000).</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Decision of the Standing Committee of the National People’s Congress Regarding the Safeguarding of Internet Security (2002).</w:t>
      </w:r>
    </w:p>
    <w:p>
      <w:pPr>
        <w:sectPr>
          <w:pgSz w:w="11900" w:h="16838" w:orient="portrait"/>
          <w:cols w:equalWidth="0" w:num="1">
            <w:col w:w="11380"/>
          </w:cols>
          <w:pgMar w:left="240" w:top="125" w:right="279" w:bottom="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hanging="46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Provisions on the Technical Measures for the Protection of the Security of the Internet (2006).</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Administrative Regulations for the Classified Protection of Information Security (2007).</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Decision of the Standing Committee of the National People’s Congress on Strengthening Network Information Protection (2012).</w:t>
      </w:r>
    </w:p>
    <w:p>
      <w:pPr>
        <w:spacing w:after="0" w:line="236" w:lineRule="exact"/>
        <w:rPr>
          <w:rFonts w:ascii="Arial" w:cs="Arial" w:eastAsia="Arial" w:hAnsi="Arial"/>
          <w:sz w:val="17"/>
          <w:szCs w:val="17"/>
          <w:color w:val="auto"/>
        </w:rPr>
      </w:pPr>
    </w:p>
    <w:p>
      <w:pPr>
        <w:ind w:left="980" w:hanging="46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on Protection of Personal Information of Telecommunication and Internet Users (2013).</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Internet User Account Name Management Regulations (2015).</w:t>
      </w:r>
    </w:p>
    <w:p>
      <w:pPr>
        <w:spacing w:after="0" w:line="225" w:lineRule="exact"/>
        <w:rPr>
          <w:sz w:val="20"/>
          <w:szCs w:val="20"/>
          <w:color w:val="auto"/>
        </w:rPr>
      </w:pPr>
    </w:p>
    <w:p>
      <w:pPr>
        <w:ind w:right="560" w:firstLine="510"/>
        <w:spacing w:after="0" w:line="308" w:lineRule="auto"/>
        <w:rPr>
          <w:sz w:val="20"/>
          <w:szCs w:val="20"/>
          <w:color w:val="auto"/>
        </w:rPr>
      </w:pPr>
      <w:r>
        <w:rPr>
          <w:rFonts w:ascii="Arial" w:cs="Arial" w:eastAsia="Arial" w:hAnsi="Arial"/>
          <w:sz w:val="17"/>
          <w:szCs w:val="17"/>
          <w:color w:val="auto"/>
        </w:rPr>
        <w:t>Under the Administrative Regulations for the Protection of Secrecy on Computer Information System Connected to International Networks and various other laws and regulations, ICP operators and Internet publishers are prohibited from posting or displaying any content that:</w:t>
      </w:r>
    </w:p>
    <w:p>
      <w:pPr>
        <w:spacing w:after="0" w:line="147" w:lineRule="exact"/>
        <w:rPr>
          <w:sz w:val="20"/>
          <w:szCs w:val="20"/>
          <w:color w:val="auto"/>
        </w:rPr>
      </w:pPr>
    </w:p>
    <w:p>
      <w:pPr>
        <w:ind w:left="980" w:hanging="46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opposes the fundamental principles set forth in China’s Constitution;</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compromises state security, divulges state secrets, subverts state power or damages national unity;</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harms the dignity or interests of the state;</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incites ethnic hatred or racial discrimination or damages inter-ethnic unity;</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sabotages China’s religious policy or propagates heretical teachings or feudal superstitions;</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disseminates rumors, disturbs social order or disrupts social stability;</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propagates obscenity, pornography, gambling, violence, murder or fear or incites the commission of crimes;</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insults or slanders a third-party or infringes upon the lawful rights and interests of a third-party; or</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other content prohibited by laws or administrative regulations.</w:t>
      </w:r>
    </w:p>
    <w:p>
      <w:pPr>
        <w:spacing w:after="0" w:line="225" w:lineRule="exact"/>
        <w:rPr>
          <w:sz w:val="20"/>
          <w:szCs w:val="20"/>
          <w:color w:val="auto"/>
        </w:rPr>
      </w:pPr>
    </w:p>
    <w:p>
      <w:pPr>
        <w:ind w:firstLine="510"/>
        <w:spacing w:after="0" w:line="297" w:lineRule="auto"/>
        <w:rPr>
          <w:sz w:val="20"/>
          <w:szCs w:val="20"/>
          <w:color w:val="auto"/>
        </w:rPr>
      </w:pPr>
      <w:r>
        <w:rPr>
          <w:rFonts w:ascii="Arial" w:cs="Arial" w:eastAsia="Arial" w:hAnsi="Arial"/>
          <w:sz w:val="16"/>
          <w:szCs w:val="16"/>
          <w:color w:val="auto"/>
        </w:rPr>
        <w:t>Failure to comply with these content censorship requirements may result in the revocation of licenses and the closing down of the concerned websites. To ensure compliance with these regulatory requirements, Guangzhou NetEase has taken all reasonable steps to avoid displaying any of the prohibited content on the NetEase websites. In addition, it is mandatory for Internet companies in the PRC to complete security-filing procedures and regularly update information security and censorship systems for their websites with the local public security bureau. Guangzhou NetEase has obtained a Filing and Registration Certificate for Computer Information System Connected to International Networks issued by Guangzhou Public Security Bureau.</w:t>
      </w:r>
    </w:p>
    <w:p>
      <w:pPr>
        <w:spacing w:after="0" w:line="158"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On June 22, 2007, the Ministry of Public Security, the State Secrecy Bureau, the State Cryptography Administration Bureau and the State Council Information Office jointly issued the Administrative Regulations for the Classified Protection of Information Security, according to which websites should determine the protection classification of their information systems pursuant to a classification guideline and file such classification with the Ministry of Public Security and its bureaus at provincial level. Guangzhou NetEase has followed the requirements and filed its classification with the Guangzhou Public Security Bureau.</w:t>
      </w:r>
    </w:p>
    <w:p>
      <w:pPr>
        <w:spacing w:after="0" w:line="188"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On December 28, 2012, the Standing Committee of the National People’s Congress issued the Decision on Strengthening Network Information Protection, or the Information Protection Decision, which provides that electronic information through which a citizen’s identity can be identified or in which a citizen’s privacy is involved, or Personal Information, is protected and no person shall steal, illegally obtain, sell or illegally provide to others any Personal Information. Also, according to the Information Protection Decision, where the network service providers provide website access service, or handle network access formalities for fixed-line telephones or mobile phones, or provide information publication service for their users, they shall require the users to provide authentic identity information when concluding agreement or confirming provision of such service with the users.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On July 16, 2013, MII issued the Provisions on Protection of Personal Information of Telecommunication and Internet Users, which defines “Personal Information” as information that can identify the user either on its own or in combination with other information that is collected in the course of provision of services by the telecommunication business operators and Internet information service providers, and sets out detailed provisions concerning the collection and utilization of such Personal Information.</w:t>
      </w:r>
    </w:p>
    <w:p>
      <w:pPr>
        <w:spacing w:after="0" w:line="187"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On February 4, 2015, the SCIO issued the Internet User Account Name Management Regulations, which defines “Internet User Account Name” as an account name registered or used in Internet information services, including, without limitation, blogs, micro-blogs, instant communication tools, forums and thread comments. Also, according to the Internet User Account Name Management Regulations, Internet information service providers must prohibit their users from using any illegal or harmful information in their account name, avatar, profile or other registration information. We believe we have taken the necessary measures to comply with the Internet User Account Name Management Regulations.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Games</w:t>
      </w:r>
    </w:p>
    <w:p>
      <w:pPr>
        <w:spacing w:after="0" w:line="225" w:lineRule="exact"/>
        <w:rPr>
          <w:sz w:val="20"/>
          <w:szCs w:val="20"/>
          <w:color w:val="auto"/>
        </w:rPr>
      </w:pPr>
    </w:p>
    <w:p>
      <w:pPr>
        <w:ind w:firstLine="506"/>
        <w:spacing w:after="0" w:line="302" w:lineRule="auto"/>
        <w:rPr>
          <w:sz w:val="20"/>
          <w:szCs w:val="20"/>
          <w:color w:val="auto"/>
        </w:rPr>
      </w:pPr>
      <w:r>
        <w:rPr>
          <w:rFonts w:ascii="Arial" w:cs="Arial" w:eastAsia="Arial" w:hAnsi="Arial"/>
          <w:sz w:val="16"/>
          <w:szCs w:val="16"/>
          <w:color w:val="auto"/>
        </w:rPr>
        <w:t>Effective as of April 10, 2009, the Measures for the Administration of Software Products, originally issued by MII on October 27, 2000, were amended and replaced by a new version issued by the MII in April 2009. According to these regulations, software products developed in the PRC could be registered with the local provincial government authorities in charge of the information industry and filed with the MII. Upon registration, the software products are granted registration certificates. In accordance with this regulation, all of our online games, including New Westward Journey Online II, Fantasy Westward</w:t>
      </w:r>
    </w:p>
    <w:p>
      <w:pPr>
        <w:sectPr>
          <w:pgSz w:w="11900" w:h="16838" w:orient="portrait"/>
          <w:cols w:equalWidth="0" w:num="1">
            <w:col w:w="11420"/>
          </w:cols>
          <w:pgMar w:left="240" w:top="368" w:right="239" w:bottom="0" w:gutter="0" w:footer="0" w:header="0"/>
        </w:sectPr>
      </w:pPr>
    </w:p>
    <w:bookmarkStart w:id="37" w:name="page38"/>
    <w:bookmarkEnd w:id="37"/>
    <w:p>
      <w:pPr>
        <w:ind w:right="220"/>
        <w:spacing w:after="0" w:line="308" w:lineRule="auto"/>
        <w:rPr>
          <w:sz w:val="20"/>
          <w:szCs w:val="20"/>
          <w:color w:val="auto"/>
        </w:rPr>
      </w:pPr>
      <w:r>
        <w:rPr>
          <w:rFonts w:ascii="Arial" w:cs="Arial" w:eastAsia="Arial" w:hAnsi="Arial"/>
          <w:sz w:val="17"/>
          <w:szCs w:val="17"/>
          <w:color w:val="auto"/>
        </w:rPr>
        <w:t>Journey II, Tianxia III, New Westward Journey Online III, New Legend of Westward Journey, Ghost II, Legend of Fairy, New Fly For Fun, Heroes of Tang Dynasty II, Dragon Sword, Kung Fu Master, and other casual games have been registered with MII and its offices at the provincial level.</w:t>
      </w:r>
    </w:p>
    <w:p>
      <w:pPr>
        <w:spacing w:after="0" w:line="147" w:lineRule="exact"/>
        <w:rPr>
          <w:sz w:val="20"/>
          <w:szCs w:val="20"/>
          <w:color w:val="auto"/>
        </w:rPr>
      </w:pPr>
    </w:p>
    <w:p>
      <w:pPr>
        <w:ind w:right="60" w:firstLine="506"/>
        <w:spacing w:after="0" w:line="289" w:lineRule="auto"/>
        <w:rPr>
          <w:sz w:val="20"/>
          <w:szCs w:val="20"/>
          <w:color w:val="auto"/>
        </w:rPr>
      </w:pPr>
      <w:r>
        <w:rPr>
          <w:rFonts w:ascii="Arial" w:cs="Arial" w:eastAsia="Arial" w:hAnsi="Arial"/>
          <w:sz w:val="16"/>
          <w:szCs w:val="16"/>
          <w:color w:val="auto"/>
        </w:rPr>
        <w:t>Pursuant to the Provisional Regulations for the Administration of Online Culture promulgated by MOC in May 2003, which were revised in July 2004 and February 2011, online game operators are required to obtain an Internet Culture Operating License from MOC, which Guangzhou NetEase, Shanghai EaseNet and Hangzhou Leihuo have received. In 2004, MOC promulgated the Notice Regarding the Strengthening of Online Games Censorship, which provides that imported online games must be reviewed and approved by MOC before they can be put into public testing or operation. Shanghai EaseNet has obtained MOC approval for World of Warcraft, including its expansion packs, The Burning Crusade, Wrath of the Lich King, Cataclysm, Mists of Pandaria and Warlords of Draenor, and StarCraft II: Wings of Liberty, including its expansion packs, Heart of the Swarm and Legacy of the Void, as well as Hearthstone: Heroes of Warcraft, Heroes of the Storm (previously named Blizzard All-Stars), and Diablo III. In accordance with such regulation, we are also required to register domestic online games with the MOC after their release. We have accordingly made such registrations with the MOC for our domestic online games, including, for example, Fairy Tales, the New Westward Journey Online II mobile game and the Fantasy Westward Journey mobile game.</w:t>
      </w:r>
    </w:p>
    <w:p>
      <w:pPr>
        <w:spacing w:after="0" w:line="167" w:lineRule="exact"/>
        <w:rPr>
          <w:sz w:val="20"/>
          <w:szCs w:val="20"/>
          <w:color w:val="auto"/>
        </w:rPr>
      </w:pPr>
    </w:p>
    <w:p>
      <w:pPr>
        <w:ind w:right="140" w:firstLine="510"/>
        <w:spacing w:after="0" w:line="264" w:lineRule="auto"/>
        <w:rPr>
          <w:sz w:val="20"/>
          <w:szCs w:val="20"/>
          <w:color w:val="auto"/>
        </w:rPr>
      </w:pPr>
      <w:r>
        <w:rPr>
          <w:rFonts w:ascii="Arial" w:cs="Arial" w:eastAsia="Arial" w:hAnsi="Arial"/>
          <w:sz w:val="18"/>
          <w:szCs w:val="18"/>
          <w:color w:val="auto"/>
        </w:rPr>
        <w:t>On April 24, 2009, MOC issued a Circular Concerning the Examination and Declaration of Imported Online Game Products. According to this circular, in the event of a change of the operator of an imported online game, the game’s existing import approval will be automatically revoked and the new operator must apply to the MOC for a new approval for the same game.</w:t>
      </w:r>
    </w:p>
    <w:p>
      <w:pPr>
        <w:spacing w:after="0" w:line="181" w:lineRule="exact"/>
        <w:rPr>
          <w:sz w:val="20"/>
          <w:szCs w:val="20"/>
          <w:color w:val="auto"/>
        </w:rPr>
      </w:pPr>
    </w:p>
    <w:p>
      <w:pPr>
        <w:ind w:right="20" w:firstLine="504"/>
        <w:spacing w:after="0" w:line="293" w:lineRule="auto"/>
        <w:rPr>
          <w:sz w:val="20"/>
          <w:szCs w:val="20"/>
          <w:color w:val="auto"/>
        </w:rPr>
      </w:pPr>
      <w:r>
        <w:rPr>
          <w:rFonts w:ascii="Arial" w:cs="Arial" w:eastAsia="Arial" w:hAnsi="Arial"/>
          <w:sz w:val="16"/>
          <w:szCs w:val="16"/>
          <w:color w:val="auto"/>
        </w:rPr>
        <w:t>On June 4, 2009, MOC and the Ministry of Commerce jointly issued the Notice on Strengthening Administration on Online Game Virtual Currency, or the Online Game Virtual Currency Notice. According to the Online Game Virtual Currency Notice, online game virtual currency should only be used to exchange virtual services provided by the issuing enterprise for a designated extent and time, and is strictly prohibited from being used to pay for or purchase tangible products or any service or product of another enterprise. Also, the Online Game Virtual Currency Notice obligates the issuing enterprise to give users 60 days prior notice and refund in the form of legal tender or other forms acceptable to users in case it plans to terminate the provision of its products or services. We have implemented measures which we believe are necessary to ensure our compliance of the Online Game Virtual Currency Notice.</w:t>
      </w:r>
    </w:p>
    <w:p>
      <w:pPr>
        <w:spacing w:after="0" w:line="16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addition, for imported online games, the relevant license agreements for such games are regarded as technology import contracts and, accordingly, must be registered with the Ministry of Commerce. Shanghai EaseNet has registered the license agreements for StarCraft II: Wings of Liberty and World of Warcraft with the local office of the Ministry of Commerce. Such license agreements also need to be registered with the State Copyright Bureau, otherwise the licensee cannot remit licensing fees out of China to the foreign game licensor. Shanghai EaseNet has registered the license agreement for World of Warcraft, StarCraft II: Wings of Liberty, Hearthstone: Heroes of Warcraft, Heroes of the Storm (previously named Blizzard All-Stars), and Diablo III with the State Copyright Bureau.</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publication of online games also requires approval from SAPPRFT in accordance with the Rules for the Administration of Online Publishing Service jointly issued by SAPPRFT and MII, effective on March 10, 2016, replacing Provisional Rules for the Administration of Internet Publishing jointly promulgated by GAPP (later superseded by SAPPRFT) and MII on June 27, 2002. Guangzhou NetEase has received such approval. The Online Publishing Service Rules also forbids foreign investments in the online publishing sector. In addition, in April 2007, GAPP (later superseded by SAPPRFT) and several other government authorities jointly promulgated the Notice Concerning the Protection of Minors’ Physical and Mental Well-being and Implementation of Anti-addiction System on Online Games (the “Anti-Addiction Notice”), which confirms the real-name verification scheme and anti-addiction system standard made by GAPP (later superseded by SAPPRFT) in previous years and requires online game operators to develop and test their anti-addiction systems from April 2007 to July 2007, after which no online games can be registered or operated without an anti-addiction system in accordance with the Anti-Addiction Notice. On July 1, 2011, GAPP (later superseded by SAPPRFT) and several other government authorities jointly issued the Notice Regarding the Initiation of Work on the Online Games Real-Name Verification System to Prevent Online Gaming Addiction, which requires that online game operators be responsible for the data registration and identification of online game users, and that online game operators shall duly file unverified user identification information with the Ministry of Public Security’s National Citizen Identity Information Center, or NCIIC, which will be in charge of real-name verification for the national anti-addiction system. In addition, online game operators shall ensure that via the NCIIC real-name verification, users with fraudulent identification data shall be enrolled in the operators’ anti-addiction systems. On July 25, 2014, SARFT (later superseded by SAPPRFT) issued the Notice Regarding the Implementation of the Anti-Addiction and Real-Name Verification System in Online Games, which requires online game operators to submit their real-name verification procedure for online games when applying for publication of online games. We have implemented our anti-addiction system and taken necessary measures to comply with these measures. Since their implementation, we have not experienced a significant negative impact from these measures on our business.</w:t>
      </w:r>
    </w:p>
    <w:p>
      <w:pPr>
        <w:spacing w:after="0" w:line="19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On September 7, 2009, the Office of the Central Institutional Organization Commission issued the Notice on Interpretation of the Office of the Central Institutional Organization Commission on Several Provisions relating to Animation, Online Games and Comprehensive Law Enforcement in the Culture Market in the ‘Three Provisions’ jointly promulgated by MOC, SARFT and GAPP (SARFT and GAPP were later superseded by SAPPRFT). According to this notice, SAPPRFT shall be responsible for the examination and approval of those online games made available on the Internet, and once an online game is available on the Internet, it shall be solely and completely administrated by MOC. The notice further clarifies that SAPPRFT shall be responsible for the examination and approval of the game publications which are authorized by overseas copyright owners to be made available on the Internet, and all other imported online games shall be examined and approved by MOC.</w:t>
      </w:r>
    </w:p>
    <w:p>
      <w:pPr>
        <w:spacing w:after="0" w:line="17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On September 28, 2009, GAPP (later superseded by SAPPRFT), the National Copyright Administration and the National Office of Combating Pornography and Illegal Publications jointly published the Notice on Further Strengthening Pre-examination and Pre-approval of Online Games and Administration of Imported Online Games Approval, or Circular 13. According to Circular 13, no entity should engage in the operation of online games without receiving an Internet Publishing License and the pre-approval from SAPPRFT. Circular 13 expressly prohibits foreign investors from participating in online game operating business via wholly owned, equity joint venture or cooperative joint venture investments in China, and from controlling and participating in such businesses directly or indirectly through contractual or technical support arrangements. Moreover, for online games which have been approved by SAPPRFT, when the operational entity changes, or when new versions, expansion packs or new content is implemented, the operation entity shall once again undertake the same procedures for the examination and approval by SAPPRFT of such changed operation entity, new versions, expansion packs or new content. Shanghai EaseNet has obtained SAPPRFT approval for World of Warcraft, including its expansion packs, The Burning Crusade, Wrath of the Lich King, Cataclysm, Mists of Pandaria and Warlords of Draenor, and StarCraft II: Wings of Liberty, including its expansion packs named Heart of the Swarm and Legacy of the Void, as well as Hearthstone: Heroes of Warcraft, Heroes of the Storm (previously named Blizzard All-Stars) and Diablo III.</w:t>
      </w:r>
    </w:p>
    <w:p>
      <w:pPr>
        <w:sectPr>
          <w:pgSz w:w="11900" w:h="16838" w:orient="portrait"/>
          <w:cols w:equalWidth="0" w:num="1">
            <w:col w:w="11420"/>
          </w:cols>
          <w:pgMar w:left="240" w:top="125" w:right="239" w:bottom="47" w:gutter="0" w:footer="0" w:header="0"/>
        </w:sectPr>
      </w:pPr>
    </w:p>
    <w:bookmarkStart w:id="38" w:name="page39"/>
    <w:bookmarkEnd w:id="38"/>
    <w:p>
      <w:pPr>
        <w:ind w:right="20" w:firstLine="506"/>
        <w:spacing w:after="0" w:line="287" w:lineRule="auto"/>
        <w:rPr>
          <w:sz w:val="20"/>
          <w:szCs w:val="20"/>
          <w:color w:val="auto"/>
        </w:rPr>
      </w:pPr>
      <w:r>
        <w:rPr>
          <w:rFonts w:ascii="Arial" w:cs="Arial" w:eastAsia="Arial" w:hAnsi="Arial"/>
          <w:sz w:val="16"/>
          <w:szCs w:val="16"/>
          <w:color w:val="auto"/>
        </w:rPr>
        <w:t>On June 3, 2010, the MOC issued a decree on Interim Measures for the Administration of Online Games, or the Online Games Measures, which became effective as of August 1, 2010. The Online Games Measures set forth certain requirements regarding online games,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Although many of these requirements reflect previously issued government regulations with which we already comply, certain new requirements may cause us to change the way we launch and operate our online games. For other details, see Item 3.D. “Risk Factors—Risks Related to the Telecommunications and Internet Industries in China—The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 On July 30, 2010, the MOC promulgated the Notice on the Implementation of the Interim Measures for the Administration of Online Games, which provides details concerning the scope of online games, the review of online games content by the MOC, the administration of material changes in the content of online games and the implementation of real-name registration of online game users. In addition, the notice brings in the definition of joint operation of domestic online games and lays out the specific regulations for such joint operation.</w:t>
      </w:r>
    </w:p>
    <w:p>
      <w:pPr>
        <w:spacing w:after="0" w:line="169" w:lineRule="exact"/>
        <w:rPr>
          <w:sz w:val="20"/>
          <w:szCs w:val="20"/>
          <w:color w:val="auto"/>
        </w:rPr>
      </w:pPr>
    </w:p>
    <w:p>
      <w:pPr>
        <w:ind w:right="40" w:firstLine="504"/>
        <w:spacing w:after="0" w:line="257" w:lineRule="auto"/>
        <w:rPr>
          <w:sz w:val="20"/>
          <w:szCs w:val="20"/>
          <w:color w:val="auto"/>
        </w:rPr>
      </w:pPr>
      <w:r>
        <w:rPr>
          <w:rFonts w:ascii="Arial" w:cs="Arial" w:eastAsia="Arial" w:hAnsi="Arial"/>
          <w:sz w:val="18"/>
          <w:szCs w:val="18"/>
          <w:color w:val="auto"/>
        </w:rPr>
        <w:t>On January 15, 2011, the MOC and several other government authorities jointly issued the Notice on Implementation Program of Online Game Monitoring System of the Guardians of Minors, or the Monitoring System Notice, which requires online game operators to adopt various measures to maintain an interactive system for the protection of minors, through communication with the online game operators, to monitor and restrict online game activities by minors, including restriction of playtime or total suspension of the relevant gaming account. We have taken necessary measures in compliance of the Monitoring System Notice.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04"/>
        <w:spacing w:after="0" w:line="259" w:lineRule="auto"/>
        <w:rPr>
          <w:sz w:val="20"/>
          <w:szCs w:val="20"/>
          <w:color w:val="auto"/>
        </w:rPr>
      </w:pPr>
      <w:r>
        <w:rPr>
          <w:rFonts w:ascii="Arial" w:cs="Arial" w:eastAsia="Arial" w:hAnsi="Arial"/>
          <w:sz w:val="18"/>
          <w:szCs w:val="18"/>
          <w:color w:val="auto"/>
        </w:rPr>
        <w:t>On August 12, 2013, the MOC issued the Administrative Measures for Content Self-review of Internet Culture Operators, which requires Internet culture operators to carry out prior self-review upon the products and services to be provided. In particular, such self-review should be conducted by staff who has obtained the Certificate for Content Review Personnel issued by MOC’s local branch at the provincial level. Our content review personnel have already obtained such certification.</w:t>
      </w:r>
    </w:p>
    <w:p>
      <w:pPr>
        <w:spacing w:after="0" w:line="18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February 18, 1994, the State Council promulgated the Rules of the People’s Republic of China for Protecting the Security of Computer Information Systems, which define Security Products for Computer Information Systems as software and hardware products designed for the protection of computer information security and stipulate that a license must be obtained before selling Security Products for Computer Information Systems. The Ministry of Public Security issued the Measures for the Administration of Security Products for Computer Information Systems Examination and Sales License on June 28, 1997 confirming that a license for the sale of security products for computer information systems must be obtained as a precondition for sales of such products. Guangzhou NetEase has developed a technology which is designed to protect the passwords of online game players and falls into the scope of security products for computer information systems which is subject to this license requirement. Guangzhou NetEase has obtained the above-mentioned license from the Ministry of Public Security.</w:t>
      </w:r>
    </w:p>
    <w:p>
      <w:pPr>
        <w:spacing w:after="0" w:line="19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According to the Guidelines for the Filing for Recordation of Domestic Online Games issued by MOC in 2005, domestic online games operating in China must be filed for recordation with MOC within 30 days after they are put into operation. Our internally developed online games, including New Westward Journey Online II, Fantasy Westward Journey II, New Legend of Westward Journey, New Westward Journey Online III, Tianxia III, Heroes of Tang Dynasty II, New Fly For Fun, Legend of Fairy, Ghost II, DREAM, Soul of the Fighter, Kung Fu Master, Heroes of the Three Kingdoms, Dragon Sword and other causal games, have successfully finished the recordation process.</w:t>
      </w:r>
    </w:p>
    <w:p>
      <w:pPr>
        <w:spacing w:after="0" w:line="188" w:lineRule="exact"/>
        <w:rPr>
          <w:sz w:val="20"/>
          <w:szCs w:val="20"/>
          <w:color w:val="auto"/>
        </w:rPr>
      </w:pPr>
    </w:p>
    <w:p>
      <w:pPr>
        <w:ind w:right="220" w:firstLine="504"/>
        <w:spacing w:after="0" w:line="259" w:lineRule="auto"/>
        <w:rPr>
          <w:sz w:val="20"/>
          <w:szCs w:val="20"/>
          <w:color w:val="auto"/>
        </w:rPr>
      </w:pPr>
      <w:r>
        <w:rPr>
          <w:rFonts w:ascii="Arial" w:cs="Arial" w:eastAsia="Arial" w:hAnsi="Arial"/>
          <w:sz w:val="18"/>
          <w:szCs w:val="18"/>
          <w:color w:val="auto"/>
        </w:rPr>
        <w:t>The Regulations for the Administration of Audio and Video Products, which was released by the State Council on December 25, 2001 and further amended in March 2011, require that the publication, production, duplication, importation, wholesale, retail and renting of the audio and video products are subject to a license issued by competent authorities. Guangzhou NetEase has obtained such license from Guangzhou Municipal Administration of Culture, Radio, Film, TV, Press and Publication.</w:t>
      </w:r>
    </w:p>
    <w:p>
      <w:pPr>
        <w:spacing w:after="0" w:line="187" w:lineRule="exact"/>
        <w:rPr>
          <w:sz w:val="20"/>
          <w:szCs w:val="20"/>
          <w:color w:val="auto"/>
        </w:rPr>
      </w:pPr>
    </w:p>
    <w:p>
      <w:pPr>
        <w:ind w:right="20" w:firstLine="504"/>
        <w:spacing w:after="0" w:line="264" w:lineRule="auto"/>
        <w:rPr>
          <w:sz w:val="20"/>
          <w:szCs w:val="20"/>
          <w:color w:val="auto"/>
        </w:rPr>
      </w:pPr>
      <w:r>
        <w:rPr>
          <w:rFonts w:ascii="Arial" w:cs="Arial" w:eastAsia="Arial" w:hAnsi="Arial"/>
          <w:sz w:val="18"/>
          <w:szCs w:val="18"/>
          <w:color w:val="auto"/>
        </w:rPr>
        <w:t>On January 6, 2016, MOC issued the Tentative Rules for the Management of Cultural Market Blacklist, according to which those cultural products and entities in serious violation of relevant laws and regulations will be put on the blacklist and thus subject to more strict regulations. We have taken necessary measures to ensure that none of our products or entities will be placed on such blacklist.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Advertising</w:t>
      </w:r>
    </w:p>
    <w:p>
      <w:pPr>
        <w:spacing w:after="0" w:line="22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Regulations for the Administration of Advertising and its Detailed Implementation Rules were both promulgated by the State Council and SAIC, which took effect on December 1, 1987 and January 1, 2005, respectively. According to these regulations</w:t>
      </w:r>
      <w:r>
        <w:rPr>
          <w:rFonts w:ascii="Arial" w:cs="Arial" w:eastAsia="Arial" w:hAnsi="Arial"/>
          <w:sz w:val="18"/>
          <w:szCs w:val="18"/>
          <w:b w:val="1"/>
          <w:bCs w:val="1"/>
          <w:color w:val="auto"/>
        </w:rPr>
        <w:t>,</w:t>
      </w:r>
      <w:r>
        <w:rPr>
          <w:rFonts w:ascii="Arial" w:cs="Arial" w:eastAsia="Arial" w:hAnsi="Arial"/>
          <w:sz w:val="18"/>
          <w:szCs w:val="18"/>
          <w:color w:val="auto"/>
        </w:rPr>
        <w:t xml:space="preserve"> websites engaged in advertising must apply for a business license to conduct such business. In compliance with such regulations, NetEase Advertising, which operates our online advertising business through a series of agreements with Guangzhou NetEase, and Guangzhou NetEase have obtained a business license to carry out the design, production, agency and release of advertisements.</w:t>
      </w:r>
    </w:p>
    <w:p>
      <w:pPr>
        <w:spacing w:after="0" w:line="188" w:lineRule="exact"/>
        <w:rPr>
          <w:sz w:val="20"/>
          <w:szCs w:val="20"/>
          <w:color w:val="auto"/>
        </w:rPr>
      </w:pPr>
    </w:p>
    <w:p>
      <w:pPr>
        <w:ind w:right="180" w:firstLine="510"/>
        <w:spacing w:after="0" w:line="297" w:lineRule="auto"/>
        <w:rPr>
          <w:sz w:val="20"/>
          <w:szCs w:val="20"/>
          <w:color w:val="auto"/>
        </w:rPr>
      </w:pPr>
      <w:r>
        <w:rPr>
          <w:rFonts w:ascii="Arial" w:cs="Arial" w:eastAsia="Arial" w:hAnsi="Arial"/>
          <w:sz w:val="16"/>
          <w:szCs w:val="16"/>
          <w:color w:val="auto"/>
        </w:rPr>
        <w:t>On February 9, 2012, SAIC and several other government authorities jointly issued the Rules on Review of Advertisement Release by Public Media, or the Advertisement Review Rule, which, among other things, states that public media (including Internet information service providers) shall have advertisement reviewers, who shall participate in trainings in relation to advertisement laws, regulations and business, and after passing the training should perform works including reviewing of advertisements to be released and management of advertisement review archives. In compliance with the Advertisement Review Rule, several employees of Guangzhou NetEase have obtained the Certificate for Advertisement Reviewer.</w:t>
      </w:r>
    </w:p>
    <w:p>
      <w:pPr>
        <w:spacing w:after="0" w:line="15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On April 24, 2015, the Standing Committee of the National People’s Congress enacted the Advertising Law of the People’s Republic of China, or theNew Advertising Law. The New Advertising Law, which was a major overhaul of an advertising law enacted in 1994, increases the potential legal liability of providers of advertising services, and includes provisions intended to strengthen identification of false advertising and the power of regulatory authorities. The New Advertising Law forbids the usage of certain words or phrases in advertisement, such as “national”, “supreme” or “best” and provides a more detailed definition of “false advertisement”. The New Advertising Law also forbids sending advertisements to residences, vehicles, fixed or mobile telephones or personal email addresses if such advertisement is not invited or the receiver of the advertisement has rejected such advertising. We have taken necessary measures, including more stringent examination and monitoring of our advertisers and the content of their advertisements, in compliance with the New Advertising Law.</w:t>
      </w:r>
    </w:p>
    <w:p>
      <w:pPr>
        <w:sectPr>
          <w:pgSz w:w="11900" w:h="16838" w:orient="portrait"/>
          <w:cols w:equalWidth="0" w:num="1">
            <w:col w:w="11420"/>
          </w:cols>
          <w:pgMar w:left="240" w:top="125" w:right="239" w:bottom="0" w:gutter="0" w:footer="0" w:header="0"/>
        </w:sectPr>
      </w:pPr>
    </w:p>
    <w:bookmarkStart w:id="39" w:name="page40"/>
    <w:bookmarkEnd w:id="39"/>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Lottery Services</w:t>
      </w:r>
    </w:p>
    <w:p>
      <w:pPr>
        <w:spacing w:after="0" w:line="225"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The principal rules and regulations currently in effect and applicable to online lottery services include the Regulation on Administration of Lottery, promulgated by the State Council on May 4, 2009 and effective as of July 1, 2009, and the Tentative Administration Measures on Internet Lottery Sale, promulgated by the MOF on September 26, 2010, and effective upon its promulgation. On January 18, 2012, the MOF, the PRC Ministry of Civil Affairs and the State General Administration of Sports jointly promulgated the Lottery Implementation Rules, which became effective on March 1, 2012. In December 2012, the MOF issued the Lottery Distribution and Sale Administration Measures, which became effective on January 1, 2013, and the Tentative Administrative Measures on Telephone Lottery Sale, which became effective on April 1, 2014. On January 15, 2015, the Lottery Self-Inspection Notice was jointly issued by the MOF, the PRC Ministry of Civil Affairs and the State General Administration of Sport. In addition, on April 3, 2015, the MOF, the PRC Ministry of Public Security, the SAIC, the MII, the PRC Ministry of Civil Affairs, the People’s Bank of China, the State General Administration of Sport and the China Banking Regulatory Commission jointly issued Announcement No. 18, which affirmed that any entities or individuals engaged in online sales of lottery tickets which have not been approved by the MOF should immediately cease such activities and that lottery vendors shall be required to obtain written approval from the MOF before engaging in sales of lottery products online in the future. However, it currently remains unclear if we need to obtain approval from the MOF with respect to our provision of e-commerce services related to third-party lottery products. For more details, see Item 3.D. “Risk Factors— Risks Related to the Telecommunications and Internet Industries in China—An ongoing government suspension has adversely affected our e-commerce services related to third-party lottery products and we may be required to obtain governmental authorizations and approvals for providing such e-commerce services, which, if unattainable, may adversely affect our e-commerce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Cross-border E-commerce</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Consumer Protection Law of the People’s Republic of China, as amended on October 25, 2013, sets out the obligations of business operators and the rights and interests of the consumers. Pursuant to this law, business operators must guarantee that the commodities they sell satisfy the requirements for personal or property safety, provide consumers with authentic information about the commodities, and guarantee the quality, function, usage and term of validity of the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 or 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the Consumer Protection Law may subject business operators to civil liabilities such as refunding purchase prices, replacement of commodities, repairing or ceasing damages, compensation, and restoring reputation, and could subject the business operators or the responsible individuals to criminal penalties when personal damages are involved or if the circumstances are severe.</w:t>
      </w:r>
    </w:p>
    <w:p>
      <w:pPr>
        <w:spacing w:after="0" w:line="180" w:lineRule="exact"/>
        <w:rPr>
          <w:sz w:val="20"/>
          <w:szCs w:val="20"/>
          <w:color w:val="auto"/>
        </w:rPr>
      </w:pPr>
    </w:p>
    <w:p>
      <w:pPr>
        <w:ind w:right="40" w:firstLine="594"/>
        <w:spacing w:after="0" w:line="269" w:lineRule="auto"/>
        <w:rPr>
          <w:sz w:val="20"/>
          <w:szCs w:val="20"/>
          <w:color w:val="auto"/>
        </w:rPr>
      </w:pPr>
      <w:r>
        <w:rPr>
          <w:rFonts w:ascii="Arial" w:cs="Arial" w:eastAsia="Arial" w:hAnsi="Arial"/>
          <w:sz w:val="17"/>
          <w:szCs w:val="17"/>
          <w:color w:val="auto"/>
        </w:rPr>
        <w:t>On January 26, 2014, SAIC issued the Administrative Measures for Online Trading, or the Online Trading Measures, which replaced its previous Interim Measures for the Administration of Online Commodities Transaction and Relevant Services. The Online Trading Measures aim to regulate online commodity trading and relevant services, setting standards for online commodity trading operators and relevant services providers, including third-party trading platform operators, concerning qualifications, after-sale services, terms of use, user privacy protection, data preservation, compliance with applicable laws in respect of intellectual property rights protection and unfair competition. On January 5, 2015, SAIC issued the Measures for the Punishment of Conduct Infringing the Rights and Interests of Consumers, or the Consumer Conduct Measures, which became effective on March 15, 2015. According to these measures, business operators are prohibited from a wide range of activities that would infringe upon the rights and interests of consumers, including but not limited to collecting and using information related to consumers without their consent, illegally providing third parties with such information in any form, or sending promotional message to consumers despite their express refusal. We believe we have taken the necessary measures to comply with the Consumer Conduct Measures. On September 2, 2015, SAIC issued the Interim Provisions on the Administration of Centralized Online Promotional Activities for Goods and Services, which require the organizer of centralized online promotion activities to publish the methods, terms and rules of the activities in advance in an obvious position on its website.</w:t>
      </w:r>
    </w:p>
    <w:p>
      <w:pPr>
        <w:spacing w:after="0" w:line="180"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The General Administration of Customs has promulgated the Announcement on the Regulatory Issues concerning the Inbound and Outbound Retail Commodities under Cross-border E-commerce, or Customs Circular No. 26, which took effect on April 8, 2016. Under the Customs Circular No. 26, e-commerce enterprises, e-commerce trade platform enterprises, payment enterprises and logistics enterprises shall, before the declaration of import retail commodities through cross border e-commerce, respectively submit to the customs bureau the information on trade, payment and logistics, among others. E-commerce enterprises shall verify the identity information of purchaser (subscriber) of cross-border e-commerce retail imports and provide the customs bureau with the effective identity information authenticated by respective competent authorities.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554"/>
        <w:spacing w:after="0" w:line="257" w:lineRule="auto"/>
        <w:rPr>
          <w:sz w:val="20"/>
          <w:szCs w:val="20"/>
          <w:color w:val="auto"/>
        </w:rPr>
      </w:pPr>
      <w:r>
        <w:rPr>
          <w:rFonts w:ascii="Arial" w:cs="Arial" w:eastAsia="Arial" w:hAnsi="Arial"/>
          <w:sz w:val="18"/>
          <w:szCs w:val="18"/>
          <w:color w:val="auto"/>
        </w:rPr>
        <w:t>The Food Safety Law of the People’s Republic of China, promulgated on February 28, 2009 and effective on June 1, 2009, as amended on April 24, 2015 with effect from October 1, 2015. This amendment set out a new and stricter regulation framework for the production and circulation of food. However, it currently remains unclear if food distributed through the recently established cross-border e-commerce industry is required to comply with all the requirements set forth in the new Food Safety Law. For more details, see Item 3.D. “Risk Factors—Risks Related to Our Company—Our e-commerce business may expose us to new challenges and risks and may lower our profit margin.”</w:t>
      </w:r>
    </w:p>
    <w:p>
      <w:pPr>
        <w:spacing w:after="0" w:line="188"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On March 24, 2016, the MOF, General Administration of Customs and the State Administration of Taxation issued the Notice on Import Tax Policies for Cross-border E-commerce Retailers (Cai Guan Shui (2016) No. 18), with effect on April 8, 2016. According to the notice, which is applicable to the imported goods listed in the Cross-border E-commerce Retail Import Commodities List that was issued by the MOF and ten other relevant PRC regulatory authorities on April 6, 2016, customs duties, import VAT and consumption tax will be charged on cross-border e-commerce retail imports calculated based on the goods imported, with individual purchasers of cross-border e-commerce retail imports defined as the taxpayers, the actual transaction price (including retail price, freight and insurance premium) regarded as the dutiable value, and e-commerce companies and trading platforms or logistics companies bearing the obligations of tax collection and withholding. The value of single transactions of retail products imported through cross-border e-commerce is capped at</w:t>
      </w:r>
    </w:p>
    <w:p>
      <w:pPr>
        <w:sectPr>
          <w:pgSz w:w="11900" w:h="16932" w:orient="portrait"/>
          <w:cols w:equalWidth="0" w:num="1">
            <w:col w:w="11420"/>
          </w:cols>
          <w:pgMar w:left="240" w:top="125" w:right="239" w:bottom="0" w:gutter="0" w:footer="0" w:header="0"/>
        </w:sectPr>
      </w:pPr>
    </w:p>
    <w:bookmarkStart w:id="40" w:name="page41"/>
    <w:bookmarkEnd w:id="40"/>
    <w:p>
      <w:pPr>
        <w:ind w:right="40"/>
        <w:spacing w:after="0" w:line="257" w:lineRule="auto"/>
        <w:rPr>
          <w:sz w:val="20"/>
          <w:szCs w:val="20"/>
          <w:color w:val="auto"/>
        </w:rPr>
      </w:pPr>
      <w:r>
        <w:rPr>
          <w:rFonts w:ascii="Arial" w:cs="Arial" w:eastAsia="Arial" w:hAnsi="Arial"/>
          <w:sz w:val="18"/>
          <w:szCs w:val="18"/>
          <w:color w:val="auto"/>
        </w:rPr>
        <w:t>RMB 2,000, and the total value of transactions carried out by an individual is capped at RMB 20,000 per year. For cross-border e-commerce retail imports with a value within the above-mentioned limits, a zero tariff rate is applicable but, at the same time, import VAT and consumption tax exemptions will be abolished and import VAT and consumption tax will be charged temporarily at 70% of the statutory taxable amount. The relevant taxes will be charged in full on any transactions exceeding the single-transaction limit or the cumulative annual limit, and single indivisible goods whose dutiable value exceeds RMB 2,000.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229"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rely on a combination of copyright, trademark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registered a number of domain names, including:</w:t>
      </w:r>
    </w:p>
    <w:p>
      <w:pPr>
        <w:spacing w:after="0" w:line="225" w:lineRule="exact"/>
        <w:rPr>
          <w:sz w:val="20"/>
          <w:szCs w:val="20"/>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www.netease.com;</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www.163.com;</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www.yeah.net;</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www.126.com;</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www.lofter.com;</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www.youdao.com;</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www.nease.net;</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www.188.com;</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www.lede.com;</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www.kaola.com;</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www.bobo.com;</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www.neteasemedia.com; and</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www.miaode.com.</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Guangzhou NetEase and NetEase Beijing have successfully registered numerous trademarks with China’s Trademark Office, including marks incorporating the words “NetEase” and “Yeah” in English and for marks for “NetEase” as written in Chinese in traditional and simplified Chinese characters. In addition, they have registered trademarks involving Chinese characters and phrases that have meanings relating to our Web pages, products and services, including our dating and friends matching services, chat services, online gaming, search engine, interactive online video, e-commerce and our Internet finance services. We have also registered a number of trademarks in Hong Kong incorporating the words “NetEase” in English and the marks for “NetEase” as written in Chinese in traditional and simplified Chinese characters. In addition, we have also filed and registered the marks for “NetEase” in English in the United States.</w:t>
      </w:r>
    </w:p>
    <w:p>
      <w:pPr>
        <w:spacing w:after="0" w:line="189"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In addition, we have registered our various self-developed games, including New Westward Journey Online II (together with its mobile version), Fantasy Westward Journey II, Heroes of Tang Dynasty II, New Westward Journey Online III, New Legend of Westward Journey, Tianxia III, Ghost II, Legend of Fairy, Legend of Datang, Soul of the Fighter, Kung Fu Master, Dragon Sword, Heroes of Three Kingdoms, iTown, Demon Seals, X-Heroes, Revelation, Hegemon-King of Western Chu, Tianxia HD, the Fantasy Westward Journey mobile game and other online products, including Wangyibao (our online payment platform), Yinxiangpai, e-mail, photo album, Cloud Music, EaseRead, Netease News App, Yichat, Caipiao, Bobo, MailMaster, Youdao Cloudnote, Youdao Dictionary, Kaola, Duobao, NetEase Precious Metal, NetEase Wealth Management, NetEase Open Courses, NetEase Money and online shopping mall, with the State Copyright Bureau of China. Moreover, we have filed certain patent applications with the State Intellectual Property Office of China and have obtained Certificate of Design Patent for the Password Protection Device and Certificates of Invention Patent for the Password Protection Device and certain other technologies related to our search engine and e-mail from the State Intellectual Property Office.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510"/>
        <w:spacing w:after="0" w:line="302" w:lineRule="auto"/>
        <w:rPr>
          <w:sz w:val="20"/>
          <w:szCs w:val="20"/>
          <w:color w:val="auto"/>
        </w:rPr>
      </w:pPr>
      <w:r>
        <w:rPr>
          <w:rFonts w:ascii="Arial" w:cs="Arial" w:eastAsia="Arial" w:hAnsi="Arial"/>
          <w:sz w:val="16"/>
          <w:szCs w:val="16"/>
          <w:color w:val="auto"/>
        </w:rPr>
        <w:t>While we actively take steps to protect our proprietary rights, such steps may not be adequate to prevent the infringement or misappropriation of our intellectual property. Infringement or misappropriation of our intellectual property could materially harm our business. We own the intellectual property (other than the content) relating to the NetEase websites and the technology that enables on-line community, personalization, online game, Cloud Music, instant message and e-commerce services on those sites. We license content from various freelance providers and other content providers.</w:t>
      </w:r>
    </w:p>
    <w:p>
      <w:pPr>
        <w:sectPr>
          <w:pgSz w:w="11900" w:h="16838" w:orient="portrait"/>
          <w:cols w:equalWidth="0" w:num="1">
            <w:col w:w="11400"/>
          </w:cols>
          <w:pgMar w:left="240" w:top="125" w:right="259" w:bottom="0" w:gutter="0" w:footer="0" w:header="0"/>
        </w:sectPr>
      </w:pPr>
    </w:p>
    <w:bookmarkStart w:id="41" w:name="page42"/>
    <w:bookmarkEnd w:id="41"/>
    <w:p>
      <w:pPr>
        <w:ind w:right="40" w:firstLine="504"/>
        <w:spacing w:after="0" w:line="255" w:lineRule="auto"/>
        <w:rPr>
          <w:sz w:val="20"/>
          <w:szCs w:val="20"/>
          <w:color w:val="auto"/>
        </w:rPr>
      </w:pPr>
      <w:r>
        <w:rPr>
          <w:rFonts w:ascii="Arial" w:cs="Arial" w:eastAsia="Arial" w:hAnsi="Arial"/>
          <w:sz w:val="18"/>
          <w:szCs w:val="18"/>
          <w:color w:val="auto"/>
        </w:rPr>
        <w:t>Many parties are actively developing community, online game, e-commerce, search and related Web technologies. We expect these parties to continue to take steps to protect these technologies, including seeking patent protection. There may be patents issued or pending that are held by others and that cover significant parts of our technology, business methods or services. For example, we are aware that a number of patents have been issued in areas of e-commerce, Web-based information indexing and retrieval, online direct marketing, online game, instant message and intelligent hardware. Disputes over rights to these technologies are likely to arise in the future. We cannot be certain that our products do not or will not infringe valid patents, copyrights or other intellectual property rights held by third parties. We may be subject to legal proceedings and claims from time to time relating to the intellectual property of others.</w:t>
      </w:r>
    </w:p>
    <w:p>
      <w:pPr>
        <w:spacing w:after="0" w:line="18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Our organizational structure is set forth above under “— Our Organizational Structure.”</w:t>
      </w:r>
    </w:p>
    <w:p>
      <w:pPr>
        <w:spacing w:after="0" w:line="221" w:lineRule="exact"/>
        <w:rPr>
          <w:rFonts w:ascii="Arial" w:cs="Arial" w:eastAsia="Arial" w:hAnsi="Arial"/>
          <w:sz w:val="18"/>
          <w:szCs w:val="18"/>
          <w:b w:val="1"/>
          <w:bCs w:val="1"/>
          <w:color w:val="auto"/>
        </w:rPr>
      </w:pPr>
    </w:p>
    <w:p>
      <w:pPr>
        <w:ind w:left="520" w:hanging="512"/>
        <w:spacing w:after="0"/>
        <w:tabs>
          <w:tab w:leader="none" w:pos="5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principal executive offices are currently located at Building No. 7, West Zone, Zhongguancun Software Park (Phase II), No. 10 Xibeiwang East Road, Haidian District, Beijing, People’s Republic of China 100193. As of December 31, 2015, we leased office and warehouse facilities with a total effective annual rent of RMB137.7 million (US$21.3 million), including management fees, and an aggregate of approximately 155,368 square meters of space at properties mainly in Beijing, Shanghai, Guangzhou, Hangzhou and Zhengzhou.</w:t>
      </w:r>
    </w:p>
    <w:p>
      <w:pPr>
        <w:spacing w:after="0" w:line="1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own and occupy a building in Guangzhou with a total floor area of 20,000 square meters, in which our online game developers, sales and marketing, technology and certain management as well as administrative support functions are currently located, and a research and development center in Hangzhou, China with a total floor area of 110,500 square meters. In addition, we also acquired a warehouse with a total floor area of 26,000 square meters in Ningbo for the operation of our e-commerce business.</w:t>
      </w:r>
    </w:p>
    <w:p>
      <w:pPr>
        <w:spacing w:after="0" w:line="187"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are in the process of constructing four new office buildings in Beijing, Hangzhou, Guangzhou and Zhoushan on land with an area of approximately 25,400, 76,000, 37,000 and 18,900 square meters, respectively. As of December 31, 2015, we had incurred construction in progress costs of RMB1,075.0 million (US$166.0 million) for these new office buildings, which primarily comprise costs for obtaining land use rights and building construction costs.</w:t>
      </w:r>
    </w:p>
    <w:p>
      <w:pPr>
        <w:spacing w:after="0" w:line="147" w:lineRule="exact"/>
        <w:rPr>
          <w:sz w:val="20"/>
          <w:szCs w:val="20"/>
          <w:color w:val="auto"/>
        </w:rPr>
      </w:pPr>
    </w:p>
    <w:p>
      <w:pPr>
        <w:ind w:right="440" w:firstLine="504"/>
        <w:spacing w:after="0" w:line="277" w:lineRule="auto"/>
        <w:rPr>
          <w:sz w:val="20"/>
          <w:szCs w:val="20"/>
          <w:color w:val="auto"/>
        </w:rPr>
      </w:pPr>
      <w:r>
        <w:rPr>
          <w:rFonts w:ascii="Arial" w:cs="Arial" w:eastAsia="Arial" w:hAnsi="Arial"/>
          <w:sz w:val="18"/>
          <w:szCs w:val="18"/>
          <w:color w:val="auto"/>
        </w:rPr>
        <w:t>We continue to assess our needs with respect to office space and may, in the future, vacate or add additional facilities. We believe that our current facilities are adequate for our needs in the immediate and foreseeable future.</w:t>
      </w:r>
    </w:p>
    <w:p>
      <w:pPr>
        <w:spacing w:after="0" w:line="17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 of December 31, 2015, we leased dedicated lines from various affiliates of China Unicom, China Telecom and CERNET. We lease such capacity pursuant to short term contracts. Our server custody fees were approximately RMB356.8 million (US$55.1 million) for the year ended December 31, 2015, of which approximately 24% was related to the operations of World of Warcraft, the StarCraft II series, Hearthstone: Heroes of Warcraft, Heroes of the Storm and Diablo III.</w:t>
      </w:r>
    </w:p>
    <w:p>
      <w:pPr>
        <w:spacing w:after="0" w:line="18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229"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We caution you that our businesses and financial performance are subject to substantial risks and uncertainties.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0" w:right="8820" w:hanging="512"/>
        <w:spacing w:after="0" w:line="503" w:lineRule="auto"/>
        <w:tabs>
          <w:tab w:leader="none" w:pos="671"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spacing w:after="0" w:line="1" w:lineRule="exact"/>
        <w:rPr>
          <w:sz w:val="20"/>
          <w:szCs w:val="20"/>
          <w:color w:val="auto"/>
        </w:rPr>
      </w:pPr>
    </w:p>
    <w:p>
      <w:pPr>
        <w:ind w:right="200" w:firstLine="510"/>
        <w:spacing w:after="0" w:line="302" w:lineRule="auto"/>
        <w:rPr>
          <w:sz w:val="20"/>
          <w:szCs w:val="20"/>
          <w:color w:val="auto"/>
        </w:rPr>
      </w:pPr>
      <w:r>
        <w:rPr>
          <w:rFonts w:ascii="Arial" w:cs="Arial" w:eastAsia="Arial" w:hAnsi="Arial"/>
          <w:sz w:val="16"/>
          <w:szCs w:val="16"/>
          <w:color w:val="auto"/>
        </w:rPr>
        <w:t>NetEase is a leading Internet technology company in China. Our innovative online games, communities and personalized premium services, which allow registered users to interact with other community members, have established a large and stable user base for the NetEase websites which are operated by our affiliate. As of December 31, 2015, we had approximately 788 million accumulated registered accounts for our in-house PC-client MMORPGs and over 80 mobile games, as well as a total of approximately 3.7 billion accumulated registered accounts for our other online services.</w:t>
      </w:r>
    </w:p>
    <w:p>
      <w:pPr>
        <w:spacing w:after="0" w:line="154" w:lineRule="exact"/>
        <w:rPr>
          <w:sz w:val="20"/>
          <w:szCs w:val="20"/>
          <w:color w:val="auto"/>
        </w:rPr>
      </w:pPr>
    </w:p>
    <w:p>
      <w:pPr>
        <w:ind w:right="40" w:firstLine="504"/>
        <w:spacing w:after="0" w:line="308" w:lineRule="auto"/>
        <w:rPr>
          <w:sz w:val="20"/>
          <w:szCs w:val="20"/>
          <w:color w:val="auto"/>
        </w:rPr>
      </w:pPr>
      <w:r>
        <w:rPr>
          <w:rFonts w:ascii="Arial" w:cs="Arial" w:eastAsia="Arial" w:hAnsi="Arial"/>
          <w:sz w:val="17"/>
          <w:szCs w:val="17"/>
          <w:color w:val="auto"/>
        </w:rPr>
        <w:t>For the year ended December 31, 2015, we continued to develop our online games, advertising business and e-mail, e-commerce and other services. In addition, starting in August 2008, Blizzard agreed to license certain online games to Shanghai EaseNet for operation in the PRC.</w:t>
      </w:r>
    </w:p>
    <w:p>
      <w:pPr>
        <w:spacing w:after="0" w:line="147"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color w:val="auto"/>
        </w:rPr>
        <w:t>We achieved a net income attributable to our shareholders of RMB6,735.1 million (US$1,039.7 million) for 2015 and generated positive operating cash flows of RMB8,076.9 million (US$1,246.9 million) during the year. We recorded retained earnings of RMB18,509.2 million, RMB21,224.0 million and RMB26,419.7 (US$4,078.5 million) as of December 31, 2013, 2014 and 2015, respectively.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Corporate Structure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company was incorporated in the Cayman Islands on July 6, 1999 as an Internet technology company in China.</w:t>
      </w:r>
    </w:p>
    <w:p>
      <w:pPr>
        <w:sectPr>
          <w:pgSz w:w="11900" w:h="16838" w:orient="portrait"/>
          <w:cols w:equalWidth="0" w:num="1">
            <w:col w:w="11420"/>
          </w:cols>
          <w:pgMar w:left="240" w:top="125" w:right="239" w:bottom="0" w:gutter="0" w:footer="0" w:header="0"/>
        </w:sectPr>
      </w:pPr>
    </w:p>
    <w:bookmarkStart w:id="42" w:name="page43"/>
    <w:bookmarkEnd w:id="42"/>
    <w:p>
      <w:pPr>
        <w:ind w:right="440" w:firstLine="510"/>
        <w:spacing w:after="0" w:line="273" w:lineRule="auto"/>
        <w:rPr>
          <w:sz w:val="20"/>
          <w:szCs w:val="20"/>
          <w:color w:val="auto"/>
        </w:rPr>
      </w:pPr>
      <w:r>
        <w:rPr>
          <w:rFonts w:ascii="Arial" w:cs="Arial" w:eastAsia="Arial" w:hAnsi="Arial"/>
          <w:sz w:val="17"/>
          <w:szCs w:val="17"/>
          <w:color w:val="auto"/>
        </w:rPr>
        <w:t>In 2007, we established two intermediate holding companies, namely NetEase (Hong Kong) Limited, or NetEase Hong Kong, and Hong Kong NetEase Interactive Entertainment Limited, or Hong Kong NetEase Interactive. Guangzhou Interactive and NetEase Hangzhou, which we established in October 2002 and June 2006, respectively, became wholly owned subsidiaries of Hong Kong NetEase Interactive in December 2007 and January 2008, respectively. We also established Hangzhou Langhe Technology Co., Ltd., or Hangzhou Langhe, as a wholly owned subsidiary of Hong Kong NetEase Interactive in July 2009. NetEase Beijing, Boguan and Youdao Information, which we established in August 1999, December 2003, and March 2006, respectively, became subsidiaries of NetEase Hong Kong in December 2007.</w:t>
      </w:r>
    </w:p>
    <w:p>
      <w:pPr>
        <w:spacing w:after="0" w:line="17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established Lede Inc. (previously named Ujia.com, Inc.), Lede Hong Kong (previously named Ujia (Hong Kong) Limited) and Lede Technology in the second half of 2011. Lede Technology now operates our e-commerce business related to third-party lottery and insurance products. We established NetEase Media, Inc., or Media Cayman, NetEase Media (Hong Kong) Limited, or Media Hong Kong, and its PRC subsidiary, Media Beijing, in 2012. Media Beijing provides technical support and consulting services to NetEase Advertising to operate our Internet media business. In February 2013, we completed the merger of Guangzhou Interactive and Guangzhou Information, which we had established in June 2008, into Boguan, with Boguan as the surviving entity. We established HQG Inc., HQG, Limited and Hangzhou Youmai in 2014, which operate our cross-border e-commerce business.</w:t>
      </w:r>
    </w:p>
    <w:p>
      <w:pPr>
        <w:spacing w:after="0" w:line="165"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NetEase, Inc. conducts its business in China through its subsidiaries and VIEs. Under current Chinese regulations, there are restrictions on the percentage interest foreign or foreign-invested companies may have in Chinese companies providing value-added telecommunications services in China, which include the provision of Internet content, online games and e-commerce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NetEase Advertising, Hangzhou Leihuo, Shanghai EaseNet and certain other affiliated companies. These affiliated companies are considered “variable interest entities” for accounting purposes, and are referred to collectively in this section as “VIEs.” The revenue earned by the VIEs largely flows through to NetEase, Inc. and its subsidiaries pursuant to such contractual arrangements. Based on these agreements, NetEase Beijing, Media Beijing, NetEase Hangzhou, Boguan, Hangzhou Langhe and Lede Technology provide technical consulting and related services to the VIEs. In addition, Guangzhou NetEase has a majority-owned subsidiary, Youdao Computer (a search-related business operator), and a wholly-owned subsidiary, Wangyibao (the operator of our Wangyibao online payment platform). Please also see Item 4.B. “Business Overview—Our Organizational Structure.”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As of December 31, 2015, the total assets of all the consolidated VIEs of our company were RMB6.4 billion (US$1.0 billion), mainly comprising cash and cash equivalents, time deposits, accounts receivable, prepayments and other current assets and fixed assets. As of December 31, 2015, the total liabilities of the consolidated VIEs were RMB6.2 billion (US$1.0 billion), mainly comprising accounts payable, deferred revenue, accrued liabilities and other payables. As of December 31, 2015, the total assets of our company and all of our consolidated subsidiaries were RMB34.8 billion (US$5.3 billion), mainly comprising cash and cash equivalents, time deposits, restricted cash, accounts receivable, short-term investments, prepayments and other current assets, fixed assets and other long-term assets. As of December 31, 2015, the total liabilities of our company and all of our consolidated subsidiaries were RMB5.7 billion (US$0.9 billion), mainly comprising accounts payable, salary and welfare payables, tax payable, short-term loan, deferred revenue, accrued liabilities and other payables.</w:t>
      </w:r>
    </w:p>
    <w:p>
      <w:pPr>
        <w:spacing w:after="0" w:line="192" w:lineRule="exact"/>
        <w:rPr>
          <w:sz w:val="20"/>
          <w:szCs w:val="20"/>
          <w:color w:val="auto"/>
        </w:rPr>
      </w:pPr>
    </w:p>
    <w:p>
      <w:pPr>
        <w:ind w:right="160" w:firstLine="510"/>
        <w:spacing w:after="0" w:line="264" w:lineRule="auto"/>
        <w:rPr>
          <w:sz w:val="20"/>
          <w:szCs w:val="20"/>
          <w:color w:val="auto"/>
        </w:rPr>
      </w:pPr>
      <w:r>
        <w:rPr>
          <w:rFonts w:ascii="Arial" w:cs="Arial" w:eastAsia="Arial" w:hAnsi="Arial"/>
          <w:sz w:val="18"/>
          <w:szCs w:val="18"/>
          <w:color w:val="auto"/>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w:t>
      </w:r>
    </w:p>
    <w:p>
      <w:pPr>
        <w:spacing w:after="0" w:line="181" w:lineRule="exact"/>
        <w:rPr>
          <w:sz w:val="20"/>
          <w:szCs w:val="20"/>
          <w:color w:val="auto"/>
        </w:rPr>
      </w:pPr>
    </w:p>
    <w:p>
      <w:pPr>
        <w:ind w:right="180" w:firstLine="510"/>
        <w:spacing w:after="0" w:line="264" w:lineRule="auto"/>
        <w:rPr>
          <w:sz w:val="20"/>
          <w:szCs w:val="20"/>
          <w:color w:val="auto"/>
        </w:rPr>
      </w:pPr>
      <w:r>
        <w:rPr>
          <w:rFonts w:ascii="Arial" w:cs="Arial" w:eastAsia="Arial" w:hAnsi="Arial"/>
          <w:sz w:val="18"/>
          <w:szCs w:val="18"/>
          <w:color w:val="auto"/>
        </w:rPr>
        <w:t>Future changes in Chinese government policies affecting the provision of information services, including the provision of online services, Internet access, e-commerce services, online advertising and online payment services, may impose additional regulatory requirements on us or our service providers or otherwise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We generate our revenues from the provision of online games services, advertising services and e-mail, e-commerce and other services. No customer individually accounted for greater than 10% of our total revenues for the years ended December 31, 2013, 2014 and 2015.</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160" w:firstLine="506"/>
        <w:spacing w:after="0" w:line="276" w:lineRule="auto"/>
        <w:rPr>
          <w:sz w:val="20"/>
          <w:szCs w:val="20"/>
          <w:color w:val="auto"/>
        </w:rPr>
      </w:pPr>
      <w:r>
        <w:rPr>
          <w:rFonts w:ascii="Arial" w:cs="Arial" w:eastAsia="Arial" w:hAnsi="Arial"/>
          <w:sz w:val="17"/>
          <w:szCs w:val="17"/>
          <w:color w:val="auto"/>
        </w:rPr>
        <w:t>We derive our online game services revenues mainly from customers through their use of prepaid point cards and, for our mobile games, through online payments. Customers can purchase physical prepaid point cards in different locations in China, including Internet cafés, software stores, convenience stores and bookstores, or from vendors who register the points in our system. Customers can also purchase virtual prepaid cards online by debit card, credit card or bank transfer, and receive the prepaid point information over the Internet. Customers can use the points to play our online games, either to pay for playing time or to purchase virtual items within the games, and use our other fee-based services.</w:t>
      </w:r>
    </w:p>
    <w:p>
      <w:pPr>
        <w:spacing w:after="0" w:line="173" w:lineRule="exact"/>
        <w:rPr>
          <w:sz w:val="20"/>
          <w:szCs w:val="20"/>
          <w:color w:val="auto"/>
        </w:rPr>
      </w:pPr>
    </w:p>
    <w:p>
      <w:pPr>
        <w:ind w:right="180" w:firstLine="506"/>
        <w:spacing w:after="0" w:line="279" w:lineRule="auto"/>
        <w:rPr>
          <w:sz w:val="20"/>
          <w:szCs w:val="20"/>
          <w:color w:val="auto"/>
        </w:rPr>
      </w:pPr>
      <w:r>
        <w:rPr>
          <w:rFonts w:ascii="Arial" w:cs="Arial" w:eastAsia="Arial" w:hAnsi="Arial"/>
          <w:sz w:val="17"/>
          <w:szCs w:val="17"/>
          <w:color w:val="auto"/>
        </w:rPr>
        <w:t>We generate our mobile game revenues primarily from the sale of in-game virtual items, including avatars, skills, privileges or other in-game consumables, features or functionality, within the games. We distribute our mobile games through partnerships with major Android- and iOS-based app stores in China as well as proprietary distribution channels, such as our website and the NetEase News App. Users have a variety of payment options for in-game virtual items, including our prepaid cards, online payments through app stores and other online payment channels.</w:t>
      </w:r>
    </w:p>
    <w:p>
      <w:pPr>
        <w:spacing w:after="0" w:line="171"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Starting in August 2008, Blizzard agreed to license certain online games to Shanghai EaseNet for operation in the PRC as discussed in “Business Overview — Our Services — Game Licensing and Joint Venture with Blizzard.” These games include World of Warcraft, StarCraft II: Wings of Liberty, Hearthstone: Heroes of Warcraft, Heroes of the Storm and Diablo III, which were commercially launched in 2009, 2011, 2014, 2015 and 2015, respectively, as well as OverWatch, which has not been commercially launched as of December 31, 2015.</w:t>
      </w:r>
    </w:p>
    <w:p>
      <w:pPr>
        <w:spacing w:after="0" w:line="17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expect that we will face increasing competition as online game providers in China and abroad expand their presence in the Chinese market or enter it for the first time.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ectPr>
          <w:pgSz w:w="11900" w:h="16838" w:orient="portrait"/>
          <w:cols w:equalWidth="0" w:num="1">
            <w:col w:w="11420"/>
          </w:cols>
          <w:pgMar w:left="240" w:top="125" w:right="239" w:bottom="0" w:gutter="0" w:footer="0" w:header="0"/>
        </w:sectPr>
      </w:pPr>
    </w:p>
    <w:bookmarkStart w:id="43" w:name="page44"/>
    <w:bookmarkEnd w:id="43"/>
    <w:p>
      <w:pPr>
        <w:ind w:right="200" w:firstLine="504"/>
        <w:spacing w:after="0" w:line="264" w:lineRule="auto"/>
        <w:rPr>
          <w:sz w:val="20"/>
          <w:szCs w:val="20"/>
          <w:color w:val="auto"/>
        </w:rPr>
      </w:pPr>
      <w:r>
        <w:rPr>
          <w:rFonts w:ascii="Arial" w:cs="Arial" w:eastAsia="Arial" w:hAnsi="Arial"/>
          <w:sz w:val="18"/>
          <w:szCs w:val="18"/>
          <w:color w:val="auto"/>
        </w:rPr>
        <w:t>We derive most of our advertising services revenue from fees we earn from our Internet media business. Approximately 90.6%, 91.5% and 90.2% of our total advertising revenue was derived from brand advertising for the years ended December 31, 2013, 2014 and 2015, respectively, with the remainder generated from advertisers in our search engine business.</w:t>
      </w:r>
    </w:p>
    <w:p>
      <w:pPr>
        <w:spacing w:after="0" w:line="181" w:lineRule="exact"/>
        <w:rPr>
          <w:sz w:val="20"/>
          <w:szCs w:val="20"/>
          <w:color w:val="auto"/>
        </w:rPr>
      </w:pPr>
    </w:p>
    <w:p>
      <w:pPr>
        <w:ind w:right="80" w:firstLine="510"/>
        <w:spacing w:after="0" w:line="297" w:lineRule="auto"/>
        <w:rPr>
          <w:sz w:val="20"/>
          <w:szCs w:val="20"/>
          <w:color w:val="auto"/>
        </w:rPr>
      </w:pPr>
      <w:r>
        <w:rPr>
          <w:rFonts w:ascii="Arial" w:cs="Arial" w:eastAsia="Arial" w:hAnsi="Arial"/>
          <w:sz w:val="16"/>
          <w:szCs w:val="16"/>
          <w:color w:val="auto"/>
        </w:rPr>
        <w:t>We expect that the online advertising market in China will continue to grow as Internet usage in China increases and as more companies, in particular China-based companies in a variety of industries, accept the Internet as an effective advertising medium. Moreover, we expect that as the e-commerce industry further develops in China, there will be more small- to medium-size online businesses using our online advertising services to advertise or market their businesses and products. We also believe that the growth rate of mobile Internet advertising in China may increase at a faster rate than that of traditional PC-client advertising. We expect that such advertising will become an important advertising sector in China and competition in this area will be intense.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right="180" w:firstLine="510"/>
        <w:spacing w:after="0" w:line="312" w:lineRule="auto"/>
        <w:rPr>
          <w:sz w:val="20"/>
          <w:szCs w:val="20"/>
          <w:color w:val="auto"/>
        </w:rPr>
      </w:pPr>
      <w:r>
        <w:rPr>
          <w:rFonts w:ascii="Arial" w:cs="Arial" w:eastAsia="Arial" w:hAnsi="Arial"/>
          <w:sz w:val="16"/>
          <w:szCs w:val="16"/>
          <w:color w:val="auto"/>
        </w:rPr>
        <w:t>We derive our e-mail, e-commerce and others revenues primarily from providing to our customers fee-based premium services, online payment platform services (Wangyibao), and e-commerce services related to third-party lottery products (Caipiao) and third-party insurance products (Baoxian). Our online fee-based premium services, supplied to registered users of the NetEase websites, include premium e-mail and other value-added services.</w:t>
      </w:r>
    </w:p>
    <w:p>
      <w:pPr>
        <w:spacing w:after="0" w:line="147" w:lineRule="exact"/>
        <w:rPr>
          <w:sz w:val="20"/>
          <w:szCs w:val="20"/>
          <w:color w:val="auto"/>
        </w:rPr>
      </w:pPr>
    </w:p>
    <w:p>
      <w:pPr>
        <w:ind w:right="120" w:firstLine="510"/>
        <w:spacing w:after="0" w:line="302" w:lineRule="auto"/>
        <w:rPr>
          <w:sz w:val="20"/>
          <w:szCs w:val="20"/>
          <w:color w:val="auto"/>
        </w:rPr>
      </w:pPr>
      <w:r>
        <w:rPr>
          <w:rFonts w:ascii="Arial" w:cs="Arial" w:eastAsia="Arial" w:hAnsi="Arial"/>
          <w:sz w:val="16"/>
          <w:szCs w:val="16"/>
          <w:color w:val="auto"/>
        </w:rPr>
        <w:t>Our Wangyibao online payment platform enables registered users to deposit money in their accounts and use the accounts to pay for game point cards and other fee-based services and products offered by us. Account holders are charged a service fee when they withdraw cash from their Wangyibao accounts or make a payment to a third-party (for example, to purchase goods online from a third-party) in accordance with their service agreements with us. We recognize revenue upon services rendered. No fees are imposed when account holders use money in their accounts to pay us for goods or services.</w:t>
      </w:r>
    </w:p>
    <w:p>
      <w:pPr>
        <w:spacing w:after="0" w:line="15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We provide our e-commerce services related to third-party products through our online platforms, including Caipiao, an online service that facilitates the processing of end users’ purchase orders for a wide selection of sports and welfare lottery products offered by third-party lottery vendors, and Baoxian, an online service that facilitates the sale of insurance products from third-party insurers. We act as an agent and do not buy, sell, manufacture, or design the lottery or insurance related products. We help third-party vendors and insurers to collect payments from consumers through online payments via our Caipiao and Baoxian platforms. We generate revenues from service fees paid by third-party vendors and insurers based on a pre-determined service fee rate and the amount of processed orders from end users.</w:t>
      </w:r>
    </w:p>
    <w:p>
      <w:pPr>
        <w:spacing w:after="0" w:line="193" w:lineRule="exact"/>
        <w:rPr>
          <w:sz w:val="20"/>
          <w:szCs w:val="20"/>
          <w:color w:val="auto"/>
        </w:rPr>
      </w:pPr>
    </w:p>
    <w:p>
      <w:pPr>
        <w:ind w:right="120" w:firstLine="510"/>
        <w:spacing w:after="0" w:line="276" w:lineRule="auto"/>
        <w:rPr>
          <w:sz w:val="20"/>
          <w:szCs w:val="20"/>
          <w:color w:val="auto"/>
        </w:rPr>
      </w:pPr>
      <w:r>
        <w:rPr>
          <w:rFonts w:ascii="Arial" w:cs="Arial" w:eastAsia="Arial" w:hAnsi="Arial"/>
          <w:sz w:val="17"/>
          <w:szCs w:val="17"/>
          <w:color w:val="auto"/>
        </w:rPr>
        <w:t>We established our cross-border e-commerce platform, Kaola, in January 2015 and primarily sell imported maternity and baby products, skincare and cosmetics and other general merchandise through this online platform. We recognize the revenues from the online platforms on a gross basis as we carry inventory and are primarily obligated in these transactions. We also provide discount coupons to our customers for use in purchases on Kaola, which are treated as a reduction of revenue when the related transaction is recognized. We also act as the marketplace service provider for third-party vendors to sell their products and recognize revenue when services are rendered based on the pre-determined service fee rate.</w:t>
      </w:r>
    </w:p>
    <w:p>
      <w:pPr>
        <w:spacing w:after="0" w:line="173" w:lineRule="exact"/>
        <w:rPr>
          <w:sz w:val="20"/>
          <w:szCs w:val="20"/>
          <w:color w:val="auto"/>
        </w:rPr>
      </w:pPr>
    </w:p>
    <w:p>
      <w:pPr>
        <w:jc w:val="both"/>
        <w:ind w:right="100" w:firstLine="510"/>
        <w:spacing w:after="0" w:line="286" w:lineRule="auto"/>
        <w:rPr>
          <w:sz w:val="20"/>
          <w:szCs w:val="20"/>
          <w:color w:val="auto"/>
        </w:rPr>
      </w:pPr>
      <w:r>
        <w:rPr>
          <w:rFonts w:ascii="Arial" w:cs="Arial" w:eastAsia="Arial" w:hAnsi="Arial"/>
          <w:sz w:val="17"/>
          <w:szCs w:val="17"/>
          <w:color w:val="auto"/>
        </w:rPr>
        <w:t>We operate another e-commerce platform, Duobao, which provides services that allow users to purchase a virtual currency, “Duobao Bi,” that can be exchanged for products. We generate revenues from this platform both through sales of our own inventory, for which we recognize revenue on a gross basis, as well as through sales of third-party products where we act as an agent, for which we recognize revenue on a net basis.</w:t>
      </w:r>
    </w:p>
    <w:p>
      <w:pPr>
        <w:spacing w:after="0" w:line="166"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We also generate revenue from other services such as game-related accessories and revenue is recognized when the titles of such products are transferred to the customers or the services are rendered and collections are reasonably assured.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Seasonality of Revenues</w:t>
      </w:r>
    </w:p>
    <w:p>
      <w:pPr>
        <w:spacing w:after="0" w:line="225" w:lineRule="exact"/>
        <w:rPr>
          <w:sz w:val="20"/>
          <w:szCs w:val="20"/>
          <w:color w:val="auto"/>
        </w:rPr>
      </w:pPr>
    </w:p>
    <w:p>
      <w:pPr>
        <w:ind w:right="140" w:firstLine="510"/>
        <w:spacing w:after="0" w:line="312" w:lineRule="auto"/>
        <w:rPr>
          <w:sz w:val="20"/>
          <w:szCs w:val="20"/>
          <w:color w:val="auto"/>
        </w:rPr>
      </w:pPr>
      <w:r>
        <w:rPr>
          <w:rFonts w:ascii="Arial" w:cs="Arial" w:eastAsia="Arial" w:hAnsi="Arial"/>
          <w:sz w:val="16"/>
          <w:szCs w:val="16"/>
          <w:color w:val="auto"/>
        </w:rPr>
        <w:t>Historically, revenues from advertising and e-mail services have followed the same general seasonal trend throughout each year, with the first quarter of the year being the weakest quarter due to the Chinese New Year holiday and the traditional close of customers’ annual budgets, and the fourth quarter as the strongest. Usage of our online games has generally increased around the Chinese holidays, particularly the winter and summer school holidays.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Cost of revenues for our online games services consist primarily of staff costs (in particular remuneration to employees who maintain game software and employees known as the “Game Masters” who are responsible for the daily co-ordination and regulation of the activities inside our games’ virtual worlds), service fee paid to Internet data centers, or IDC, for the rental of servers, and printing costs for our prepaid point cards. For our mobile games, cost of revenues also includes fees paid to game developers, distribution channels (app stores) and payment channels.</w:t>
      </w:r>
    </w:p>
    <w:p>
      <w:pPr>
        <w:spacing w:after="0" w:line="17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addition, cost of revenues for our online games services include that portion of bandwidth and server custody fees (fees paid to telecommunications companies to host and maintain our servers) and depreciation and amortization of computers and software which are attributable to our online games business. Our subsidiaries and VIEs have network servers co-located in facilities owned by China Telecom’s and China Unicom’s affiliates, for which we pay server custody fees to China Telecom and China Unicom.</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cost of revenues for certain games licensed from Blizzard also includes royalties and license and consulting fees paid to Blizzard.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ectPr>
          <w:pgSz w:w="11900" w:h="16838" w:orient="portrait"/>
          <w:cols w:equalWidth="0" w:num="1">
            <w:col w:w="11420"/>
          </w:cols>
          <w:pgMar w:left="240" w:top="125" w:right="239" w:bottom="32" w:gutter="0" w:footer="0" w:header="0"/>
        </w:sectPr>
      </w:pPr>
    </w:p>
    <w:bookmarkStart w:id="44" w:name="page45"/>
    <w:bookmarkEnd w:id="44"/>
    <w:p>
      <w:pPr>
        <w:ind w:firstLine="510"/>
        <w:spacing w:after="0" w:line="264" w:lineRule="auto"/>
        <w:rPr>
          <w:sz w:val="20"/>
          <w:szCs w:val="20"/>
          <w:color w:val="auto"/>
        </w:rPr>
      </w:pPr>
      <w:r>
        <w:rPr>
          <w:rFonts w:ascii="Arial" w:cs="Arial" w:eastAsia="Arial" w:hAnsi="Arial"/>
          <w:sz w:val="18"/>
          <w:szCs w:val="18"/>
          <w:color w:val="auto"/>
        </w:rPr>
        <w:t>Cost of revenues related to our advertising services consists primarily of staff costs for editors of the various content channels for the NetEase websites and content fees paid to content providers for the NetEase websites as well as that portion of bandwidth and server custody fees, depreciation and amortization of computers and software which are attributable to the provision of advertising services.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right="180" w:firstLine="510"/>
        <w:spacing w:after="0" w:line="276" w:lineRule="auto"/>
        <w:rPr>
          <w:sz w:val="20"/>
          <w:szCs w:val="20"/>
          <w:color w:val="auto"/>
        </w:rPr>
      </w:pPr>
      <w:r>
        <w:rPr>
          <w:rFonts w:ascii="Arial" w:cs="Arial" w:eastAsia="Arial" w:hAnsi="Arial"/>
          <w:sz w:val="17"/>
          <w:szCs w:val="17"/>
          <w:color w:val="auto"/>
        </w:rPr>
        <w:t>Cost of revenues related to our e-mail, e-commerce and others consists primarily of staff costs, cost of merchandise sold related to our e-commerce business, game-related accessories, service fees related to online payments, as well as that portion of bandwidth and server custody fees, depreciation and amortization of computers and software which are attributable to the provision of e-mail, e-commerce and other services. We pay content fees to third-party partners for the right to use proprietary content developed by them, such as copyrights of books and music. We also pay content fees to newspaper and magazine publishers for the right to use their proprietary content, such as headline news and articles.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Operating expenses include selling and marketing expenses, general and administrative expenses and research and development expenses.</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Selling and marketing expenses consist primarily of salary and welfare expenses, compensation costs for our sales and marketing staff, and marketing and advertising expenses payable to third-party vendors, Internet companies and agents.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color w:val="auto"/>
        </w:rPr>
        <w:t>General and administrative expenses consist primarily of salary and welfare expenses, compensation costs for our general administrative and management staff, office rental, legal, professional and consultancy fees, bad debt expenses, recruiting expenses, travel expenses and depreciation charges.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Research and development expenses consist principally of salary and welfare expenses and compensation costs for our research and development professionals.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Cost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NetEase 2009 Restricted Share Unit Plan</w:t>
      </w:r>
    </w:p>
    <w:p>
      <w:pPr>
        <w:spacing w:after="0" w:line="225" w:lineRule="exact"/>
        <w:rPr>
          <w:sz w:val="20"/>
          <w:szCs w:val="20"/>
          <w:color w:val="auto"/>
        </w:rPr>
      </w:pPr>
    </w:p>
    <w:p>
      <w:pPr>
        <w:ind w:right="20" w:firstLine="510"/>
        <w:spacing w:after="0" w:line="264" w:lineRule="auto"/>
        <w:rPr>
          <w:sz w:val="20"/>
          <w:szCs w:val="20"/>
          <w:color w:val="auto"/>
        </w:rPr>
      </w:pPr>
      <w:r>
        <w:rPr>
          <w:rFonts w:ascii="Arial" w:cs="Arial" w:eastAsia="Arial" w:hAnsi="Arial"/>
          <w:sz w:val="18"/>
          <w:szCs w:val="18"/>
          <w:color w:val="auto"/>
        </w:rPr>
        <w:t>In November 2009, we adopted the NetEase.com, Inc. 2009 Restricted Share Unit Plan, or the RSU Plan, for our employees, directors and consultants. We have reserved 323,694,050 ordinary shares for issuance under this plan. The RSU Plan was adopted by a resolution of the board of directors on November 17, 2009 and became effective for a term of ten years unless sooner terminated.</w:t>
      </w:r>
    </w:p>
    <w:p>
      <w:pPr>
        <w:spacing w:after="0" w:line="181"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For the years ended December 31, 2013, 2014 and 2015, we recorded share-based compensation cost of approximately RMB306.3 million, RMB349.3 million and RMB684.5 million (US$105.7 million), respectively, for awards granted under the RSU Plan. This cost has been allocated to (i) cost of revenues,</w:t>
      </w:r>
    </w:p>
    <w:p>
      <w:pPr>
        <w:ind w:right="180" w:firstLine="8"/>
        <w:spacing w:after="0" w:line="261" w:lineRule="auto"/>
        <w:tabs>
          <w:tab w:leader="none" w:pos="2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selling and marketing expenses, (iii) general and administrative expenses and (iv) research and development expenses, depending on the responsibilities of the relevant employees.</w:t>
      </w:r>
    </w:p>
    <w:p>
      <w:pPr>
        <w:spacing w:after="0" w:line="184" w:lineRule="exact"/>
        <w:rPr>
          <w:sz w:val="20"/>
          <w:szCs w:val="20"/>
          <w:color w:val="auto"/>
        </w:rPr>
      </w:pPr>
    </w:p>
    <w:p>
      <w:pPr>
        <w:jc w:val="both"/>
        <w:ind w:right="460" w:firstLine="510"/>
        <w:spacing w:after="0" w:line="264" w:lineRule="auto"/>
        <w:rPr>
          <w:sz w:val="20"/>
          <w:szCs w:val="20"/>
          <w:color w:val="auto"/>
        </w:rPr>
      </w:pPr>
      <w:r>
        <w:rPr>
          <w:rFonts w:ascii="Arial" w:cs="Arial" w:eastAsia="Arial" w:hAnsi="Arial"/>
          <w:sz w:val="18"/>
          <w:szCs w:val="18"/>
          <w:color w:val="auto"/>
        </w:rPr>
        <w:t>As of December 31, 2015, total unrecognized compensation cost related to unvested awards granted under the RSU Plan, adjusted for estimated forfeitures, was RMB1,777.5 million (US$274.4 million), which is expected to be recognized through the remaining vesting period of each grant. As of December 31, 2015, the weighted average remaining vesting period was 3.52 years.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Option Plans</w:t>
      </w:r>
    </w:p>
    <w:p>
      <w:pPr>
        <w:spacing w:after="0" w:line="225" w:lineRule="exact"/>
        <w:rPr>
          <w:sz w:val="20"/>
          <w:szCs w:val="20"/>
          <w:color w:val="auto"/>
        </w:rPr>
      </w:pPr>
    </w:p>
    <w:p>
      <w:pPr>
        <w:ind w:right="300" w:firstLine="510"/>
        <w:spacing w:after="0" w:line="272" w:lineRule="auto"/>
        <w:rPr>
          <w:sz w:val="20"/>
          <w:szCs w:val="20"/>
          <w:color w:val="auto"/>
        </w:rPr>
      </w:pPr>
      <w:r>
        <w:rPr>
          <w:rFonts w:ascii="Arial" w:cs="Arial" w:eastAsia="Arial" w:hAnsi="Arial"/>
          <w:sz w:val="17"/>
          <w:szCs w:val="17"/>
          <w:color w:val="auto"/>
        </w:rPr>
        <w:t>Beginning in 2014, Lede Inc. and certain other subsidiaries of our company granted options exercisable for ordinary shares to certain of our employees. The options expire five or six years from the date of grant and either vest or have a vesting commencement date upon certain conditions being met. The awards can become 100% vested on the vesting commencement date, or vest in two, four or five substantially equal annual installments with the first installment vesting on the vesting commencement date. We adopt the binomial option pricing model to determine the fair value of stock options and accounts for share-based compensation cost using an estimated forfeiture rate. For the years ended December 31, 2014 and 2015, we recorded no compensation expenses for the share options granted under these plans as the vesting conditions of such options are not deemed probable to occur for accounting purposes until the vesting commencement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ind w:right="100" w:firstLine="510"/>
        <w:spacing w:after="0" w:line="264" w:lineRule="auto"/>
        <w:rPr>
          <w:sz w:val="20"/>
          <w:szCs w:val="20"/>
          <w:color w:val="auto"/>
        </w:rPr>
      </w:pPr>
      <w:r>
        <w:rPr>
          <w:rFonts w:ascii="Arial" w:cs="Arial" w:eastAsia="Arial" w:hAnsi="Arial"/>
          <w:sz w:val="18"/>
          <w:szCs w:val="18"/>
          <w:color w:val="auto"/>
        </w:rPr>
        <w:t>Under the current laws of the Cayman Islands, we, Lede Inc., Media Cayman and HQG, Inc. are not subject to tax on income or capital gain. Additionally, upon payments of dividends by us to our shareholders or by Lede Inc., Media Cayman, or HQG, Inc. to us, no Cayman Islands withholding tax will be imposed.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British Virgin Islands (“BVI”)</w:t>
      </w:r>
    </w:p>
    <w:p>
      <w:pPr>
        <w:spacing w:after="0" w:line="22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NetEase Interactive Entertainment Limited is exempted from income tax on its foreign-derived income in the BVI. There are no withholding taxes in the BVI.</w:t>
      </w:r>
    </w:p>
    <w:p>
      <w:pPr>
        <w:sectPr>
          <w:pgSz w:w="11900" w:h="16838" w:orient="portrait"/>
          <w:cols w:equalWidth="0" w:num="1">
            <w:col w:w="11400"/>
          </w:cols>
          <w:pgMar w:left="240" w:top="125" w:right="259" w:bottom="0" w:gutter="0" w:footer="0" w:header="0"/>
        </w:sectPr>
      </w:pPr>
    </w:p>
    <w:bookmarkStart w:id="45" w:name="page46"/>
    <w:bookmarkEnd w:id="45"/>
    <w:p>
      <w:pPr>
        <w:ind w:left="520"/>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Hong Kong NetEase Interactive, NetEase Hong Kong, Lede Hong Kong, Media Hong Kong, HQG, Limited and StormNet IT HK are subject to 16.5% income tax on their taxable income generated from operations in Hong Kong. No significant taxable income was generated by these companies in 2013, 2014 and 2015. The payments of dividends by Hong Kong NetEase Interactive, NetEase Hong Kong, Lede Hong Kong, Media Hong Kong, HQG, Limited, and StormNet IT HK to us are not subject to any Hong Kong withholding tax.</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ind w:right="120" w:firstLine="510"/>
        <w:spacing w:after="0" w:line="302" w:lineRule="auto"/>
        <w:rPr>
          <w:sz w:val="20"/>
          <w:szCs w:val="20"/>
          <w:color w:val="auto"/>
        </w:rPr>
      </w:pPr>
      <w:r>
        <w:rPr>
          <w:rFonts w:ascii="Arial" w:cs="Arial" w:eastAsia="Arial" w:hAnsi="Arial"/>
          <w:sz w:val="16"/>
          <w:szCs w:val="16"/>
          <w:color w:val="auto"/>
        </w:rPr>
        <w:t>On March 16, 2007, the National People’s Congress of PRC enacted the Enterprise Income Tax Law, under which Foreign Invested Enterprises (“FIEs”) and domestic companies would be subject to enterprise income tax (“EIT”) at a uniform rate of 25%. Preferential tax treatments will continue to be granted to FIEs or domestic companies which conduct businesses in certain encouraged sectors and to entities otherwise classified as “Software Enterprises” and/or “High and New Technology Enterprises” (“HNTE”). The Enterprise Income Tax Law became effective on January 1, 2008.</w:t>
      </w:r>
    </w:p>
    <w:p>
      <w:pPr>
        <w:spacing w:after="0" w:line="15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2013, NetEase Beijing, Boguan and NetEase Hangzhou were approved as a Key Software Enterprise and enjoyed a preferential tax rate of 10% from 2011 to 2014. The related tax benefit from 2011 to 2013 was recorded in 2013. These three entities were qualified as HNTEs in 2014 and enjoyed a preferential tax rate of 15% from 2015 to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2014, Media Beijing was qualified as a HNTE and enjoyed a preferential tax rate of 15% from 2014 to 2016.</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Hangzhou Langhe was recognized as a Software Enterprise in 2010. It was exempt from EIT for 2010 and 2011 and subject to a 50% reduction in its EIT rate from 2012 to 2014. Hangzhou Langhe was also qualified as a HNTE in 2014 and enjoyed a preferential tax rate of 15% from 2015 to 2016.</w:t>
      </w:r>
    </w:p>
    <w:p>
      <w:pPr>
        <w:spacing w:after="0" w:line="12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Wangyibao was recognized as a Software Enterprise in 2011. Accordingly it was exempt from EIT for 2011 and 2012 and subject to a 50% reduction in its EIT rate from 2013 to 2015.</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foregoing preferential income tax rates, however, are subject to periodic review and renewal by PRC authorities.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w:t>
      </w:r>
    </w:p>
    <w:p>
      <w:pPr>
        <w:spacing w:after="0" w:line="229"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Sales tax includes business tax and value-added tax. In China, business taxes are imposed by the government on the revenues reported by the selling entities for the provision of taxable services in China, transfer of intangible assets and the sale of immovable properties in China. The business tax rate varies depending on the nature of the revenues. The applicable business tax rate for our revenues generally ranges from 3% to 5%.</w:t>
      </w:r>
    </w:p>
    <w:p>
      <w:pPr>
        <w:spacing w:after="0" w:line="166"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In November 2011, the PRC Ministry of Finance and the State Administration of Taxation jointly issued two circulars setting out the details of a pilot value-added tax reform program, which change the charge of sales tax from business tax to value-added tax for certain pilot industries, including research, development and technological industries, information technology industries and cultural innovation industries. The pilot value-added tax reform program initially applied only to the pilot industries in Shanghai commencing from January 1, 2012, and has been expanded to eight additional regions, including, among others, Beijing, Zhejiang province and Guangdong province, during 2012. The pilot program was subsequently expanded nationwide in 2013. As a result, our subsidiaries and VIEs are subject to 6% value-added tax which replaced the original 5% business 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In order to assess uncertain tax positions, we apply a more likely than not threshold and a two-step approach for tax position measurement and financial statement recognition. For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to be realized upon settlement.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several acceptable alternatives. Further, significant estimates and judgments may be required in selecting and applying those methods and policies in the recognition of the assets and liabilities in our consolidated balance sheet, the revenues and expenses in our consolidated statement of operations and the information that is contained in our significant accounting policies and notes to the consolidated financial statements. We make our estimates and judgments on historical experience and various other assumptions that are believed to be reasonable under the circumstances. Actual results may differ from these estimates and judgments under different assumptions or conditions.</w:t>
      </w:r>
    </w:p>
    <w:p>
      <w:pPr>
        <w:spacing w:after="0" w:line="193"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We believe that the following are some of the more critical judgment areas in the application of our accounting policies that affect our financial condition and results of operation. We do not have significant change in accounting estimates during the year.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Critical Accounting Policies and Estimates Regarding Revenue Recognition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760" w:firstLine="506"/>
        <w:spacing w:after="0" w:line="277" w:lineRule="auto"/>
        <w:rPr>
          <w:sz w:val="20"/>
          <w:szCs w:val="20"/>
          <w:color w:val="auto"/>
        </w:rPr>
      </w:pPr>
      <w:r>
        <w:rPr>
          <w:rFonts w:ascii="Arial" w:cs="Arial" w:eastAsia="Arial" w:hAnsi="Arial"/>
          <w:sz w:val="18"/>
          <w:szCs w:val="18"/>
          <w:color w:val="auto"/>
        </w:rPr>
        <w:t>We recognize revenue when persuasive evidence of an arrangement exists, delivery has occurred, the sales price is fixed or determinable and collectability is reasonably assured.</w:t>
      </w:r>
    </w:p>
    <w:p>
      <w:pPr>
        <w:spacing w:after="0" w:line="170" w:lineRule="exact"/>
        <w:rPr>
          <w:sz w:val="20"/>
          <w:szCs w:val="20"/>
          <w:color w:val="auto"/>
        </w:rPr>
      </w:pPr>
    </w:p>
    <w:p>
      <w:pPr>
        <w:ind w:right="620" w:firstLine="506"/>
        <w:spacing w:after="0" w:line="308" w:lineRule="auto"/>
        <w:rPr>
          <w:sz w:val="20"/>
          <w:szCs w:val="20"/>
          <w:color w:val="auto"/>
        </w:rPr>
      </w:pPr>
      <w:r>
        <w:rPr>
          <w:rFonts w:ascii="Arial" w:cs="Arial" w:eastAsia="Arial" w:hAnsi="Arial"/>
          <w:sz w:val="17"/>
          <w:szCs w:val="17"/>
          <w:color w:val="auto"/>
        </w:rPr>
        <w:t>Net revenues presented in the consolidated statements of operations and comprehensive income represent revenues from online game services, advertising services, e-mail, e-commerce and others recognized net of sales discount, sales tax and related surcharges.</w:t>
      </w:r>
    </w:p>
    <w:p>
      <w:pPr>
        <w:sectPr>
          <w:pgSz w:w="11900" w:h="16838" w:orient="portrait"/>
          <w:cols w:equalWidth="0" w:num="1">
            <w:col w:w="11420"/>
          </w:cols>
          <w:pgMar w:left="240" w:top="125" w:right="239" w:bottom="0" w:gutter="0" w:footer="0" w:header="0"/>
        </w:sectPr>
      </w:pPr>
    </w:p>
    <w:p>
      <w:pPr>
        <w:spacing w:after="0" w:line="147" w:lineRule="exact"/>
        <w:rPr>
          <w:sz w:val="20"/>
          <w:szCs w:val="20"/>
          <w:color w:val="auto"/>
        </w:rPr>
      </w:pPr>
    </w:p>
    <w:p>
      <w:pPr>
        <w:ind w:left="520"/>
        <w:spacing w:after="0"/>
        <w:rPr>
          <w:sz w:val="20"/>
          <w:szCs w:val="20"/>
          <w:color w:val="auto"/>
        </w:rPr>
      </w:pPr>
      <w:r>
        <w:rPr>
          <w:rFonts w:ascii="Arial" w:cs="Arial" w:eastAsia="Arial" w:hAnsi="Arial"/>
          <w:sz w:val="15"/>
          <w:szCs w:val="15"/>
          <w:i w:val="1"/>
          <w:iCs w:val="1"/>
          <w:color w:val="auto"/>
        </w:rPr>
        <w:t>Online Games Services</w:t>
      </w:r>
    </w:p>
    <w:p>
      <w:pPr>
        <w:sectPr>
          <w:pgSz w:w="11900" w:h="16838" w:orient="portrait"/>
          <w:cols w:equalWidth="0" w:num="1">
            <w:col w:w="11420"/>
          </w:cols>
          <w:pgMar w:left="240" w:top="125" w:right="239" w:bottom="0" w:gutter="0" w:footer="0" w:header="0"/>
          <w:type w:val="continuous"/>
        </w:sectPr>
      </w:pPr>
    </w:p>
    <w:bookmarkStart w:id="46" w:name="page47"/>
    <w:bookmarkEnd w:id="46"/>
    <w:p>
      <w:pPr>
        <w:ind w:left="520"/>
        <w:spacing w:after="0"/>
        <w:rPr>
          <w:sz w:val="20"/>
          <w:szCs w:val="20"/>
          <w:color w:val="auto"/>
        </w:rPr>
      </w:pPr>
      <w:r>
        <w:rPr>
          <w:rFonts w:ascii="Arial" w:cs="Arial" w:eastAsia="Arial" w:hAnsi="Arial"/>
          <w:sz w:val="18"/>
          <w:szCs w:val="18"/>
          <w:i w:val="1"/>
          <w:iCs w:val="1"/>
          <w:color w:val="auto"/>
        </w:rPr>
        <w:t>PC-client MMORPG and other online games</w:t>
      </w:r>
    </w:p>
    <w:p>
      <w:pPr>
        <w:spacing w:after="0" w:line="225" w:lineRule="exact"/>
        <w:rPr>
          <w:sz w:val="20"/>
          <w:szCs w:val="20"/>
          <w:color w:val="auto"/>
        </w:rPr>
      </w:pPr>
    </w:p>
    <w:p>
      <w:pPr>
        <w:ind w:firstLine="506"/>
        <w:spacing w:after="0" w:line="312" w:lineRule="auto"/>
        <w:rPr>
          <w:sz w:val="20"/>
          <w:szCs w:val="20"/>
          <w:color w:val="auto"/>
        </w:rPr>
      </w:pPr>
      <w:r>
        <w:rPr>
          <w:rFonts w:ascii="Arial" w:cs="Arial" w:eastAsia="Arial" w:hAnsi="Arial"/>
          <w:sz w:val="16"/>
          <w:szCs w:val="16"/>
          <w:color w:val="auto"/>
        </w:rPr>
        <w:t>We provide PC-client MMORPG and certain other online games services through Guangzhou NetEase and Shanghai EaseNet. Regarding the revenue recognition for our online games, we sell prepaid point cards and online points to the end users who may use the points on such cards for online game services provided by us. Proceeds received from the sales of prepaid point cards and online points are initially recorded as deferred revenue.</w:t>
      </w:r>
    </w:p>
    <w:p>
      <w:pPr>
        <w:spacing w:after="0" w:line="147" w:lineRule="exact"/>
        <w:rPr>
          <w:sz w:val="20"/>
          <w:szCs w:val="20"/>
          <w:color w:val="auto"/>
        </w:rPr>
      </w:pPr>
    </w:p>
    <w:p>
      <w:pPr>
        <w:ind w:firstLine="506"/>
        <w:spacing w:after="0" w:line="286" w:lineRule="auto"/>
        <w:rPr>
          <w:sz w:val="20"/>
          <w:szCs w:val="20"/>
          <w:color w:val="auto"/>
        </w:rPr>
      </w:pPr>
      <w:r>
        <w:rPr>
          <w:rFonts w:ascii="Arial" w:cs="Arial" w:eastAsia="Arial" w:hAnsi="Arial"/>
          <w:sz w:val="16"/>
          <w:szCs w:val="16"/>
          <w:color w:val="auto"/>
        </w:rPr>
        <w:t>We earn revenue through providing online game services to players under two types of revenue models: a time-based revenue model and an item-based revenue model. For the time-based model, revenue is recognized based upon the actual usage of game playing time by players. For the item-based model, the basic gameplay functions are free of charge, and players are charged for purchases of in-game items. Revenues from the sales of in-game items are recognized when the items are consumed by the customers or over the estimated lives of the in-game items. In-game items have different life patterns: 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based on the estimated lives of the in-game items. We consider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lives of the permanent life in-game items. However, given the relatively short operating history of our item-based games, our estimate of the period that game players typically play our games may not accurately reflect the estimated lives of the permanent life in-game items. We have adopted a policy of assessing the estimated lives of the permanent life in-game items on a quarterly basis. All paying users’ data collected since the launch of the games are used to perform the relevant assessments. Historical behavior patterns of these paying users during the period between their first log-on date and last log-on date are used to estimate the lives of the permanent life in-game items.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While we believe our estimates to be reasonable based on available game player information, we may revise such estimates in the future as we continue to gain more operating history and data of our item-based games. Any adjustments arising from changes in estimates of the lives of the permanent in-game items will be applied prospectively as such changes are resulted from new information indicating a change in the game player behavior patterns. Any changes in our estimate of lives of the permanent in-game items may result in our revenues being recognized on a basis different from prior periods and may cause our operating results to fluctuate.</w:t>
      </w:r>
    </w:p>
    <w:p>
      <w:pPr>
        <w:spacing w:after="0" w:line="188"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Unused online points in an inactive personal game account are recognized as revenue when the likelihood that we would provide further online games services with respect to such online points is remote. Based on our current policies, we periodically review activity in users’ accounts each year and will cancel online points and recognize revenue with respect to such points for accounts which have been inactive for 540 days or more.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right="320" w:firstLine="506"/>
        <w:spacing w:after="0" w:line="264" w:lineRule="auto"/>
        <w:rPr>
          <w:sz w:val="20"/>
          <w:szCs w:val="20"/>
          <w:color w:val="auto"/>
        </w:rPr>
      </w:pPr>
      <w:r>
        <w:rPr>
          <w:rFonts w:ascii="Arial" w:cs="Arial" w:eastAsia="Arial" w:hAnsi="Arial"/>
          <w:sz w:val="18"/>
          <w:szCs w:val="18"/>
          <w:color w:val="auto"/>
        </w:rPr>
        <w:t>We primarily operate our mobile games, including both self-developed and licensed mobile games, through Hangzhou Leihuo and generate mobile game revenues from the sale of in-game virtual items, including items, avatars, skills, privileges or other in-game consumables, features or functionality, within our games.</w:t>
      </w:r>
    </w:p>
    <w:p>
      <w:pPr>
        <w:spacing w:after="0" w:line="181" w:lineRule="exact"/>
        <w:rPr>
          <w:sz w:val="20"/>
          <w:szCs w:val="20"/>
          <w:color w:val="auto"/>
        </w:rPr>
      </w:pPr>
    </w:p>
    <w:p>
      <w:pPr>
        <w:ind w:right="180" w:firstLine="506"/>
        <w:spacing w:after="0" w:line="342" w:lineRule="auto"/>
        <w:rPr>
          <w:sz w:val="20"/>
          <w:szCs w:val="20"/>
          <w:color w:val="auto"/>
        </w:rPr>
      </w:pPr>
      <w:r>
        <w:rPr>
          <w:rFonts w:ascii="Arial" w:cs="Arial" w:eastAsia="Arial" w:hAnsi="Arial"/>
          <w:sz w:val="16"/>
          <w:szCs w:val="16"/>
          <w:color w:val="auto"/>
        </w:rPr>
        <w:t>We record revenue generated from mobile games on a gross basis as we are acting as the principal in fulfilling all obligations related to the operation of our mobile game. Fees paid to game developers, distribution channels such as app stores and payment channels are recorded as cost of revenues.</w:t>
      </w:r>
    </w:p>
    <w:p>
      <w:pPr>
        <w:spacing w:after="0" w:line="124" w:lineRule="exact"/>
        <w:rPr>
          <w:sz w:val="20"/>
          <w:szCs w:val="20"/>
          <w:color w:val="auto"/>
        </w:rPr>
      </w:pPr>
    </w:p>
    <w:p>
      <w:pPr>
        <w:ind w:right="80" w:firstLine="506"/>
        <w:spacing w:after="0" w:line="279" w:lineRule="auto"/>
        <w:rPr>
          <w:sz w:val="20"/>
          <w:szCs w:val="20"/>
          <w:color w:val="auto"/>
        </w:rPr>
      </w:pPr>
      <w:r>
        <w:rPr>
          <w:rFonts w:ascii="Arial" w:cs="Arial" w:eastAsia="Arial" w:hAnsi="Arial"/>
          <w:sz w:val="17"/>
          <w:szCs w:val="17"/>
          <w:color w:val="auto"/>
        </w:rPr>
        <w:t>For the purposes of determining when the service has been provided to the end-users, we have determined that an implied obligation exists to provide on-going services to the end-users who have purchased virtual items to gain an enhanced game-playing experience over the average playing period of these paying players. Accordingly, we recognize revenues ratably over the estimated average playing period of these paying players, starting from the point in time when virtual items are delivered to the players’ accounts and all other revenue recognition criteria are met.</w:t>
      </w:r>
    </w:p>
    <w:p>
      <w:pPr>
        <w:spacing w:after="0" w:line="17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We consider the average period of time that players typically play the games and other game playing behavior patterns, as well as various other factors, to arrive at a best estimate for the estimated playing period of the paying players. If a new game is launched and only a limited period of paying player data is available, then we consider other qualitative factors, such as the playing patterns for paying users for other games with similar characteristics and the playing patterns of certain targeted players and purchasing frequency. While we believe our estimates to be reasonable based on available game player information, we may revise such estimates and any adjustments are applied prospectively as such changes result from new information indicating a change in game player behavior patterns.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We derive advertising fees principally from short-term advertising contracts. Advertising service contracts may consist of multiple elements and typically have a term of three months to one year. We adopted ASU No.2009-13, Revenue Recognition - Multiple-Deliverable Revenue Arrangements, or ASU No.2009-13, and treat advertising contracts with multiple deliverable elements as separate units of accounting for revenue recognition purposes and recognize revenue on a periodic basis during the contract when each deliverable service is provided. Since the contract price is for all deliverables, we allocate the arrangement consideration to all deliverables at the inception of the arrangement on the basis of their relative selling price according to the selling price hierarchy established by ASU No.2009-13. We use vendor-specific objective evidence of selling price, if it exists, otherwise, third-party evidence of selling price. If neither of those types of evidence exists, we will use our management’s best estimate of the selling price for that deliverable. Such adoption did not have a material impact on our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32" w:gutter="0" w:footer="0" w:header="0"/>
        </w:sectPr>
      </w:pPr>
    </w:p>
    <w:bookmarkStart w:id="47" w:name="page48"/>
    <w:bookmarkEnd w:id="47"/>
    <w:p>
      <w:pPr>
        <w:spacing w:after="0" w:line="69" w:lineRule="exact"/>
        <w:rPr>
          <w:sz w:val="20"/>
          <w:szCs w:val="20"/>
          <w:color w:val="auto"/>
        </w:rPr>
      </w:pPr>
    </w:p>
    <w:p>
      <w:pPr>
        <w:ind w:right="20" w:firstLine="504"/>
        <w:spacing w:after="0" w:line="257" w:lineRule="auto"/>
        <w:rPr>
          <w:sz w:val="20"/>
          <w:szCs w:val="20"/>
          <w:color w:val="auto"/>
        </w:rPr>
      </w:pPr>
      <w:r>
        <w:rPr>
          <w:rFonts w:ascii="Arial" w:cs="Arial" w:eastAsia="Arial" w:hAnsi="Arial"/>
          <w:sz w:val="18"/>
          <w:szCs w:val="18"/>
          <w:color w:val="auto"/>
        </w:rPr>
        <w:t>Our obligations may include guarantees of a minimum number of impressions or times that an advertisement appears in pages viewed by users. To the extent that minimum guaranteed impressions are not met within the contractual time period, we defer recognition of the corresponding revenues until the remaining guaranteed impression levels are achieved. In addition, we occasionally enter into “cost per action,” or CPA, advertising contracts whereby revenue is received by us when an online user performs a specific action such as purchasing a product from or registering with the advertiser. Revenue for CPA contracts is recognized when the specific action is completed.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right="100" w:firstLine="510"/>
        <w:spacing w:after="0" w:line="264" w:lineRule="auto"/>
        <w:rPr>
          <w:sz w:val="20"/>
          <w:szCs w:val="20"/>
          <w:color w:val="auto"/>
        </w:rPr>
      </w:pPr>
      <w:r>
        <w:rPr>
          <w:rFonts w:ascii="Arial" w:cs="Arial" w:eastAsia="Arial" w:hAnsi="Arial"/>
          <w:sz w:val="18"/>
          <w:szCs w:val="18"/>
          <w:color w:val="auto"/>
        </w:rPr>
        <w:t>E-mail, e-commerce and others revenue includes revenue generated from activities related to e-mail and other fee-based premium services, e-commerce services, and Wangyibao online payment platform services. We recognize revenue when such services are rendered or the products are transferred to the customers and collections are reasonably assured.</w:t>
      </w:r>
    </w:p>
    <w:p>
      <w:pPr>
        <w:spacing w:after="0" w:line="181" w:lineRule="exact"/>
        <w:rPr>
          <w:sz w:val="20"/>
          <w:szCs w:val="20"/>
          <w:color w:val="auto"/>
        </w:rPr>
      </w:pPr>
    </w:p>
    <w:p>
      <w:pPr>
        <w:ind w:firstLine="510"/>
        <w:spacing w:after="0" w:line="302" w:lineRule="auto"/>
        <w:rPr>
          <w:sz w:val="20"/>
          <w:szCs w:val="20"/>
          <w:color w:val="auto"/>
        </w:rPr>
      </w:pPr>
      <w:r>
        <w:rPr>
          <w:rFonts w:ascii="Arial" w:cs="Arial" w:eastAsia="Arial" w:hAnsi="Arial"/>
          <w:sz w:val="16"/>
          <w:szCs w:val="16"/>
          <w:color w:val="auto"/>
        </w:rPr>
        <w:t>E-commerce revenue is derived primarily from marketplace services and merchandise sales. We evaluate whether it is appropriate to record the net amount earned as commissions or the gross amount of product sales. When we are not the primary obligor, don’t bear the inventory risk and doesn’t have the ability to establish the price, revenues are recorded on a net basis. When we are primarily obligated in a transaction, are subject to inventory risk, have latitude in establishing prices and selecting suppliers, or have several but not all of these indicators, we record revenues on a gross basis.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Critical Accounting Policies and Estimates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Costs</w:t>
      </w:r>
    </w:p>
    <w:p>
      <w:pPr>
        <w:spacing w:after="0" w:line="225" w:lineRule="exact"/>
        <w:rPr>
          <w:sz w:val="20"/>
          <w:szCs w:val="20"/>
          <w:color w:val="auto"/>
        </w:rPr>
      </w:pPr>
    </w:p>
    <w:p>
      <w:pPr>
        <w:ind w:right="60" w:firstLine="510"/>
        <w:spacing w:after="0" w:line="302"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prior to the establishment of technological feasibility and costs associated with new product development. We did not capitalize costs incurred for the development of online game products for the years ended December 31, 2013, 2014 and 2015 because the period after the date technical feasibility is reached and the time when the game is marketed have been short historically and the development costs incurred in the period are insignificant.</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ind w:right="200" w:firstLine="510"/>
        <w:spacing w:after="0" w:line="264" w:lineRule="auto"/>
        <w:rPr>
          <w:sz w:val="20"/>
          <w:szCs w:val="20"/>
          <w:color w:val="auto"/>
        </w:rPr>
      </w:pPr>
      <w:r>
        <w:rPr>
          <w:rFonts w:ascii="Arial" w:cs="Arial" w:eastAsia="Arial" w:hAnsi="Arial"/>
          <w:sz w:val="18"/>
          <w:szCs w:val="18"/>
          <w:color w:val="auto"/>
        </w:rPr>
        <w:t>We depreciate our building, computer equipment, software and other assets (other than leasehold improvements) on a straight-line basis over their estimated useful lives, which range from three years to twenty years. We depreciate leasehold improvements, which are included in our operating expenses, on a straight-line basis over the lesser of the relevant lease term or their estimated useful lives.</w:t>
      </w:r>
    </w:p>
    <w:p>
      <w:pPr>
        <w:spacing w:after="0" w:line="18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Management’s judgment is required in the assessment of the useful lives of long-lived assets, and is required in the measurement of impairment. Long-lived assets are reviewed for impairment whenever events or changes in circumstances indicate that the carrying amount of such assets may not be recoverable. Determination of recoverability is based on an estimate of undiscounted future cash flows resulting from the use of the asset and its eventual disposition. The estimation of future cash flows requires significant management judgment based on our historical results and anticipated results and is subject to many factors. Measurement of any impairment loss for long-lived assets is based on the amount by which the carrying value exceeds the fair value of the asset.</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Allowances for Doubtful Accounts</w:t>
      </w:r>
    </w:p>
    <w:p>
      <w:pPr>
        <w:spacing w:after="0" w:line="225" w:lineRule="exact"/>
        <w:rPr>
          <w:sz w:val="20"/>
          <w:szCs w:val="20"/>
          <w:color w:val="auto"/>
        </w:rPr>
      </w:pPr>
    </w:p>
    <w:p>
      <w:pPr>
        <w:ind w:right="160" w:firstLine="504"/>
        <w:spacing w:after="0" w:line="255" w:lineRule="auto"/>
        <w:rPr>
          <w:sz w:val="20"/>
          <w:szCs w:val="20"/>
          <w:color w:val="auto"/>
        </w:rPr>
      </w:pPr>
      <w:r>
        <w:rPr>
          <w:rFonts w:ascii="Arial" w:cs="Arial" w:eastAsia="Arial" w:hAnsi="Arial"/>
          <w:sz w:val="18"/>
          <w:szCs w:val="18"/>
          <w:color w:val="auto"/>
        </w:rPr>
        <w:t>We maintain allowances for doubtful accounts receivable based on various information, including aging analysis of accounts receivable balances, historical bad debt rates, repayment patterns and credit worthiness of customers, industry trend analysis and general and industry-specific economic and market conditions. We make provision for bad debts if there is evidence showing that the debts are likely to be irrecoverable based on historical collections assessment and aging. We provide for 50.0% in the case of direct customers, and 30.0% in the case of advertising agents, of the outstanding trade receivable balances overdue for more than 180 days and provide for 80.0% in the case of direct customers, and 50.0% in the case of advertising agents, of the outstanding trade receivable balances overdue for more than 270 days. We provide for 100.0% in the case of all parties for outstanding trade receivable balances overdue for more than one year.</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Inventories, net</w:t>
      </w:r>
    </w:p>
    <w:p>
      <w:pPr>
        <w:spacing w:after="0" w:line="225" w:lineRule="exact"/>
        <w:rPr>
          <w:sz w:val="20"/>
          <w:szCs w:val="20"/>
          <w:color w:val="auto"/>
        </w:rPr>
      </w:pPr>
    </w:p>
    <w:p>
      <w:pPr>
        <w:ind w:right="740" w:firstLine="504"/>
        <w:spacing w:after="0" w:line="277" w:lineRule="auto"/>
        <w:rPr>
          <w:sz w:val="20"/>
          <w:szCs w:val="20"/>
          <w:color w:val="auto"/>
        </w:rPr>
      </w:pPr>
      <w:r>
        <w:rPr>
          <w:rFonts w:ascii="Arial" w:cs="Arial" w:eastAsia="Arial" w:hAnsi="Arial"/>
          <w:sz w:val="18"/>
          <w:szCs w:val="18"/>
          <w:color w:val="auto"/>
        </w:rPr>
        <w:t>Inventories, which mainly represent products for our cross-border e-commerce business, are stated at the lower of cost or market value in our consolidated balance sheets. Cost of inventory is determined using the weighted average cost method.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Adjustments are recorded to write down the cost of inventory to the estimated market value due to slow-moving merchandise and damaged goods, which is dependent upon factors such as historical and forecasted consumer demand and promotional environment. We take ownership, risks and rewards of the products purchased. Write downs are recorded in cost of revenues in our consolidated statements of operations and comprehensive income. Certain costs attributable to buying and receiving products, such as purchase freights, are also included in inventories.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Investments</w:t>
      </w:r>
    </w:p>
    <w:p>
      <w:pPr>
        <w:spacing w:after="0" w:line="22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Short-term investments include investments in financial instruments with a variable interest rate indexed to performance of underlying assets and investments that we have positive intent and ability to hold to maturity.</w:t>
      </w:r>
    </w:p>
    <w:p>
      <w:pPr>
        <w:spacing w:after="0" w:line="170" w:lineRule="exact"/>
        <w:rPr>
          <w:sz w:val="20"/>
          <w:szCs w:val="20"/>
          <w:color w:val="auto"/>
        </w:rPr>
      </w:pPr>
    </w:p>
    <w:p>
      <w:pPr>
        <w:ind w:right="320" w:firstLine="510"/>
        <w:spacing w:after="0" w:line="302" w:lineRule="auto"/>
        <w:rPr>
          <w:sz w:val="20"/>
          <w:szCs w:val="20"/>
          <w:color w:val="auto"/>
        </w:rPr>
      </w:pPr>
      <w:r>
        <w:rPr>
          <w:rFonts w:ascii="Arial" w:cs="Arial" w:eastAsia="Arial" w:hAnsi="Arial"/>
          <w:sz w:val="16"/>
          <w:szCs w:val="16"/>
          <w:color w:val="auto"/>
        </w:rPr>
        <w:t>In accordance with ASC 825, for investments in financial instruments with a variable interest rate indexed to performance of underlying assets, we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We classify the valuation techniques that use these inputs as Level 2 of fair value measurements.</w:t>
      </w:r>
    </w:p>
    <w:p>
      <w:pPr>
        <w:spacing w:after="0" w:line="154"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The investments that we have positive intent and ability to hold to maturity are classified as held-to-maturity investments and stated at amortized cost. For individual investments classified as held-to-maturity investments, we evaluate whether a decline in fair value below the amortized cost basis is other than</w:t>
      </w:r>
    </w:p>
    <w:p>
      <w:pPr>
        <w:sectPr>
          <w:pgSz w:w="11900" w:h="16908" w:orient="portrait"/>
          <w:cols w:equalWidth="0" w:num="1">
            <w:col w:w="11420"/>
          </w:cols>
          <w:pgMar w:left="240" w:top="125" w:right="239" w:bottom="0" w:gutter="0" w:footer="0" w:header="0"/>
        </w:sectPr>
      </w:pPr>
    </w:p>
    <w:bookmarkStart w:id="48" w:name="page49"/>
    <w:bookmarkEnd w:id="48"/>
    <w:p>
      <w:pPr>
        <w:ind w:right="220"/>
        <w:spacing w:after="0" w:line="264" w:lineRule="auto"/>
        <w:rPr>
          <w:sz w:val="20"/>
          <w:szCs w:val="20"/>
          <w:color w:val="auto"/>
        </w:rPr>
      </w:pPr>
      <w:r>
        <w:rPr>
          <w:rFonts w:ascii="Arial" w:cs="Arial" w:eastAsia="Arial" w:hAnsi="Arial"/>
          <w:sz w:val="18"/>
          <w:szCs w:val="18"/>
          <w:color w:val="auto"/>
        </w:rPr>
        <w:t>temporary in accordance to our policy and ASC 320-10. If we conclude that we do not intend or are not required to sell an impaired debt investment before the recovery of its amortized cost basis, the impairment is considered temporary and the held-to-maturity investment continues to be recognized at the amortized cost.</w:t>
      </w:r>
    </w:p>
    <w:p>
      <w:pPr>
        <w:spacing w:after="0" w:line="181"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Investments not classified as trading or as held-to-maturity are classified as available-for-sale securities. Available-for-sale investment is reported at fair value, with unrealized gains and losses recorded in accumulated other comprehensive income (loss). Realized gains or losses are charged to earnings during the period in which the gain or loss is realized. An impairment loss on the available-for-sale debt securities would be recognized in the consolidated statements of comprehensive income when the decline in value is determined to be other-than-temporary. Investments with maturities of greater than 12 months are recorded in other long-term assets.</w:t>
      </w:r>
    </w:p>
    <w:p>
      <w:pPr>
        <w:spacing w:after="0" w:line="18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For investments in an investee over which we do not have significant influence and which does not have a readily determinable fair value, we carry the investment at cost and only adjust for other-than-temporary declines in fair value and distributions of earnings that exceed our share of earnings since we made our investment. We regularly evaluate the impairment of the cost method investments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investment.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Investments in Associated Companies</w:t>
      </w:r>
    </w:p>
    <w:p>
      <w:pPr>
        <w:spacing w:after="0" w:line="225" w:lineRule="exact"/>
        <w:rPr>
          <w:sz w:val="20"/>
          <w:szCs w:val="20"/>
          <w:color w:val="auto"/>
        </w:rPr>
      </w:pPr>
    </w:p>
    <w:p>
      <w:pPr>
        <w:jc w:val="both"/>
        <w:ind w:right="200" w:firstLine="510"/>
        <w:spacing w:after="0" w:line="264" w:lineRule="auto"/>
        <w:rPr>
          <w:sz w:val="20"/>
          <w:szCs w:val="20"/>
          <w:color w:val="auto"/>
        </w:rPr>
      </w:pPr>
      <w:r>
        <w:rPr>
          <w:rFonts w:ascii="Arial" w:cs="Arial" w:eastAsia="Arial" w:hAnsi="Arial"/>
          <w:sz w:val="18"/>
          <w:szCs w:val="18"/>
          <w:color w:val="auto"/>
        </w:rPr>
        <w:t>Investments in associated companies in which we are in a position to exercise significant influence by participating in, but not controlling or jointly controlling, the financial and operating policies are accounted for using the equity method and are reported under other long-term assets in the consolidated balance sheets.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carrying values of long-lived assets are reviewed for impairment whenever events or changes in circumstances indicate that the carrying value of an asset may not be recoverable. Based on the existence of one or more indicators of impairment, we measure any impairment of long-lived assets using the projected discounted cash flow method. The estimation of future cash flows requires significant management judgment based on our historical results and anticipated results and is subject to many factors. The discount rate that is commensurate with the risk inherent in our business model is determined by our management.</w:t>
      </w:r>
    </w:p>
    <w:p>
      <w:pPr>
        <w:spacing w:after="0" w:line="188"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An impairment loss would be recorded if we determined that the carrying value of long-lived assets may not be recoverable. The impairment to be recognized is measured by the amount by which the carrying values of the assets exceed the fair value of the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Share-Based Compensation Expense</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For awards of stock options, we measure the cost of employee services received in exchange for the award, measured at the grant date fair value of the award. We recognize the share-based compensation costs, net of a forfeiture rate, on a straight-line basis over the requisite service period of the award, which is the vesting term (generally three to four years for stock options). We use the Black-Scholes option pricing model to determine the fair value of stock options and account for share-based compensation cost using an estimated forfeiture rate at the time of grant and revised, if necessary, in subsequent periods if actual forfeitures differ from those estimates.</w:t>
      </w:r>
    </w:p>
    <w:p>
      <w:pPr>
        <w:spacing w:after="0" w:line="18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Under our RSU Plan, we issue restricted share units, or RSUs, to our employees, directors and consultants with performance conditions and service vesting periods ranging from one year to five years. Some of the RSUs issued are to be settled, at our discretion, in shares or cash upon vesting based on the share price at grant date. At each reporting period, we evaluate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shares only is measured based on the fair value of shares when all conditions to establish the grant date have been met. The compensation cost of RSUs to be settled either in shares or cash at our discretion is remeasured until the date when settlement in shares or cash is determined by us.</w:t>
      </w:r>
    </w:p>
    <w:p>
      <w:pPr>
        <w:spacing w:after="0" w:line="189" w:lineRule="exact"/>
        <w:rPr>
          <w:sz w:val="20"/>
          <w:szCs w:val="20"/>
          <w:color w:val="auto"/>
        </w:rPr>
      </w:pPr>
    </w:p>
    <w:p>
      <w:pPr>
        <w:ind w:right="180" w:firstLine="510"/>
        <w:spacing w:after="0" w:line="276" w:lineRule="auto"/>
        <w:rPr>
          <w:sz w:val="20"/>
          <w:szCs w:val="20"/>
          <w:color w:val="auto"/>
        </w:rPr>
      </w:pPr>
      <w:r>
        <w:rPr>
          <w:rFonts w:ascii="Arial" w:cs="Arial" w:eastAsia="Arial" w:hAnsi="Arial"/>
          <w:sz w:val="17"/>
          <w:szCs w:val="17"/>
          <w:color w:val="auto"/>
        </w:rPr>
        <w:t>We record share-based compensation on our consolidated statements of operations and comprehensive income with the corresponding credit to the additional paid-in-capital for share options and RSUs to the extent that such awards are to be settled only in shares. On the other hand, for RSUs which will either be settled in shares or cash as discussed above, we continue to mark to market such awards and, in accordance with the vesting schedules of such awards, record the resulting potential liabilities under accrued liabilities and other long-term payables (which totaled RMB155.6 million (US$24.0 million) and RMB84.8 million (US$13.1 million), respectively, as of December 31, 2015).</w:t>
      </w:r>
    </w:p>
    <w:p>
      <w:pPr>
        <w:spacing w:after="0" w:line="173" w:lineRule="exact"/>
        <w:rPr>
          <w:sz w:val="20"/>
          <w:szCs w:val="20"/>
          <w:color w:val="auto"/>
        </w:rPr>
      </w:pPr>
    </w:p>
    <w:p>
      <w:pPr>
        <w:ind w:right="180" w:firstLine="510"/>
        <w:spacing w:after="0" w:line="312" w:lineRule="auto"/>
        <w:rPr>
          <w:sz w:val="20"/>
          <w:szCs w:val="20"/>
          <w:color w:val="auto"/>
        </w:rPr>
      </w:pPr>
      <w:r>
        <w:rPr>
          <w:rFonts w:ascii="Arial" w:cs="Arial" w:eastAsia="Arial" w:hAnsi="Arial"/>
          <w:sz w:val="16"/>
          <w:szCs w:val="16"/>
          <w:color w:val="auto"/>
        </w:rPr>
        <w:t>Lede Inc. and certain other of our subsidiaries granted options exercisable for ordinary shares to certain of our employees. The options expire five or six years from the date of grant and either vest or have a vesting commencement date upon certain conditions being met. We adopt the binomial option pricing model to determine the fair value of stock options and account for share-based compensation cost using an estimated forfeiture rate.</w:t>
      </w:r>
    </w:p>
    <w:p>
      <w:pPr>
        <w:spacing w:after="0" w:line="14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Forfeitures were estimated based on our weighted average historical forfeiture rate of the past five years. Differences between actual and estimated forfeitures are expensed in the period that the differences occur.</w:t>
      </w:r>
    </w:p>
    <w:p>
      <w:pPr>
        <w:spacing w:after="0" w:line="170" w:lineRule="exact"/>
        <w:rPr>
          <w:sz w:val="20"/>
          <w:szCs w:val="20"/>
          <w:color w:val="auto"/>
        </w:rPr>
      </w:pPr>
    </w:p>
    <w:p>
      <w:pPr>
        <w:ind w:right="40" w:firstLine="506"/>
        <w:spacing w:after="0" w:line="279" w:lineRule="auto"/>
        <w:rPr>
          <w:sz w:val="20"/>
          <w:szCs w:val="20"/>
          <w:color w:val="auto"/>
        </w:rPr>
      </w:pPr>
      <w:r>
        <w:rPr>
          <w:rFonts w:ascii="Arial" w:cs="Arial" w:eastAsia="Arial" w:hAnsi="Arial"/>
          <w:sz w:val="17"/>
          <w:szCs w:val="17"/>
          <w:color w:val="auto"/>
        </w:rPr>
        <w:t>Our assumptions are based on our historical experience and expectation of future development. The assumptions used in calculating the fair value of share-based awards and related share-based compensation expenses represent management’s best estimates, but these estimates involve inherent uncertainties and the application of management judgment. As a result, if factors change or different assumptions are used, particularly with respect to the volatility of our shares, our share-based compensation expense could be materially different for any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ectPr>
          <w:pgSz w:w="11900" w:h="16838" w:orient="portrait"/>
          <w:cols w:equalWidth="0" w:num="1">
            <w:col w:w="11400"/>
          </w:cols>
          <w:pgMar w:left="240" w:top="125" w:right="259" w:bottom="0" w:gutter="0" w:footer="0" w:header="0"/>
        </w:sectPr>
      </w:pPr>
    </w:p>
    <w:bookmarkStart w:id="49" w:name="page50"/>
    <w:bookmarkEnd w:id="49"/>
    <w:p>
      <w:pPr>
        <w:ind w:right="320" w:firstLine="510"/>
        <w:spacing w:after="0" w:line="277" w:lineRule="auto"/>
        <w:rPr>
          <w:sz w:val="20"/>
          <w:szCs w:val="20"/>
          <w:color w:val="auto"/>
        </w:rPr>
      </w:pPr>
      <w:r>
        <w:rPr>
          <w:rFonts w:ascii="Arial" w:cs="Arial" w:eastAsia="Arial" w:hAnsi="Arial"/>
          <w:sz w:val="18"/>
          <w:szCs w:val="18"/>
          <w:color w:val="auto"/>
        </w:rPr>
        <w:t>The following table sets forth a summary of our audited consolidated statements of operations for the periods indicated both in Renminbi and as a percentage of total revenues: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3"/>
              </w:rPr>
              <w:t>For the year ended December 31,</w:t>
            </w: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2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RMB’000</w:t>
            </w:r>
          </w:p>
        </w:tc>
        <w:tc>
          <w:tcPr>
            <w:tcW w:w="82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2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RMB’000</w:t>
            </w:r>
          </w:p>
        </w:tc>
        <w:tc>
          <w:tcPr>
            <w:tcW w:w="8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3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RMB’000</w:t>
            </w:r>
          </w:p>
        </w:tc>
        <w:tc>
          <w:tcPr>
            <w:tcW w:w="84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Statement of Operations and</w:t>
            </w:r>
          </w:p>
        </w:tc>
        <w:tc>
          <w:tcPr>
            <w:tcW w:w="9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Income Data:</w:t>
            </w: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Online game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7,864,464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85.5</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9,266,158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17,314,148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Advertising services</w:t>
            </w:r>
          </w:p>
        </w:tc>
        <w:tc>
          <w:tcPr>
            <w:tcW w:w="920" w:type="dxa"/>
            <w:vAlign w:val="bottom"/>
          </w:tcPr>
          <w:p>
            <w:pPr>
              <w:jc w:val="right"/>
              <w:spacing w:after="0"/>
              <w:rPr>
                <w:sz w:val="20"/>
                <w:szCs w:val="20"/>
                <w:color w:val="auto"/>
              </w:rPr>
            </w:pPr>
            <w:r>
              <w:rPr>
                <w:rFonts w:ascii="Arial" w:cs="Arial" w:eastAsia="Arial" w:hAnsi="Arial"/>
                <w:sz w:val="18"/>
                <w:szCs w:val="18"/>
                <w:color w:val="auto"/>
              </w:rPr>
              <w:t>987,467</w:t>
            </w:r>
          </w:p>
        </w:tc>
        <w:tc>
          <w:tcPr>
            <w:tcW w:w="2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1,344,829</w:t>
            </w: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1,789,377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E-mail, e-commerce and others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344,244</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1,101,847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3,699,370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net revenues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9,196,175</w:t>
            </w:r>
          </w:p>
        </w:tc>
        <w:tc>
          <w:tcPr>
            <w:tcW w:w="2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11,712,834</w:t>
            </w:r>
          </w:p>
        </w:tc>
        <w:tc>
          <w:tcPr>
            <w:tcW w:w="2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22,802,895</w:t>
            </w:r>
          </w:p>
        </w:tc>
        <w:tc>
          <w:tcPr>
            <w:tcW w:w="3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Cost of revenues: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Online game services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(1,649,803)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(2,111,701)</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(5,393,555)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Advertising services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(461,286)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(518,691)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(599,032)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E-mail, e-commerce and others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(367,427)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(631,152)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(3,406,673)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vMerge w:val="restart"/>
          </w:tcPr>
          <w:p>
            <w:pPr>
              <w:ind w:left="360"/>
              <w:spacing w:after="0"/>
              <w:rPr>
                <w:sz w:val="20"/>
                <w:szCs w:val="20"/>
                <w:color w:val="auto"/>
              </w:rPr>
            </w:pPr>
            <w:r>
              <w:rPr>
                <w:rFonts w:ascii="Arial" w:cs="Arial" w:eastAsia="Arial" w:hAnsi="Arial"/>
                <w:sz w:val="18"/>
                <w:szCs w:val="18"/>
                <w:color w:val="auto"/>
              </w:rPr>
              <w:t>Total cost of revenues</w:t>
            </w: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(2,478,516)</w:t>
            </w:r>
          </w:p>
        </w:tc>
        <w:tc>
          <w:tcPr>
            <w:tcW w:w="280" w:type="dxa"/>
            <w:vAlign w:val="bottom"/>
            <w:vMerge w:val="continue"/>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(3,261,544)</w:t>
            </w:r>
          </w:p>
        </w:tc>
        <w:tc>
          <w:tcPr>
            <w:tcW w:w="280" w:type="dxa"/>
            <w:vAlign w:val="bottom"/>
            <w:vMerge w:val="continue"/>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1040" w:type="dxa"/>
            <w:vAlign w:val="bottom"/>
          </w:tcPr>
          <w:p>
            <w:pPr>
              <w:jc w:val="right"/>
              <w:spacing w:after="0"/>
              <w:rPr>
                <w:sz w:val="20"/>
                <w:szCs w:val="20"/>
                <w:color w:val="auto"/>
              </w:rPr>
            </w:pPr>
            <w:r>
              <w:rPr>
                <w:rFonts w:ascii="Arial" w:cs="Arial" w:eastAsia="Arial" w:hAnsi="Arial"/>
                <w:sz w:val="18"/>
                <w:szCs w:val="18"/>
                <w:color w:val="auto"/>
              </w:rPr>
              <w:t>(9,399,260)</w:t>
            </w:r>
          </w:p>
        </w:tc>
        <w:tc>
          <w:tcPr>
            <w:tcW w:w="300" w:type="dxa"/>
            <w:vAlign w:val="bottom"/>
            <w:vMerge w:val="continue"/>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13,403,635</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 expenses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(1,093,612)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(1,894,998)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(2,958,229)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(349,832)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(467,669)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(1,014,395)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(921,618)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(1,323,498)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(2,158,888)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(2,365,062)</w:t>
            </w:r>
          </w:p>
        </w:tc>
        <w:tc>
          <w:tcPr>
            <w:tcW w:w="2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(3,686,165)</w:t>
            </w:r>
          </w:p>
        </w:tc>
        <w:tc>
          <w:tcPr>
            <w:tcW w:w="2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(6,131,512)</w:t>
            </w:r>
          </w:p>
        </w:tc>
        <w:tc>
          <w:tcPr>
            <w:tcW w:w="3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4,352,597</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4,765,125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7,272,123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Investment income</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37,255</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27,373</w:t>
            </w: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62,341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506,181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601,502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596,930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Arial" w:cs="Arial" w:eastAsia="Arial" w:hAnsi="Arial"/>
                <w:sz w:val="18"/>
                <w:szCs w:val="18"/>
                <w:color w:val="auto"/>
              </w:rPr>
              <w:t>Exchange (losses) / gains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(15,348)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(17,998)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133,776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95,136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82,438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45,138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Income before tax</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4,975,821</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5,458,440</w:t>
            </w:r>
          </w:p>
        </w:tc>
        <w:tc>
          <w:tcPr>
            <w:tcW w:w="2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8,110,308</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(530,603)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(662,735)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(1,273,408)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4,445,218</w:t>
            </w:r>
          </w:p>
        </w:tc>
        <w:tc>
          <w:tcPr>
            <w:tcW w:w="2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4,795,705</w:t>
            </w:r>
          </w:p>
        </w:tc>
        <w:tc>
          <w:tcPr>
            <w:tcW w:w="2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6,836,900</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(39,082)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(101,792)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tcPr>
          <w:p>
            <w:pPr>
              <w:spacing w:after="0" w:line="182" w:lineRule="exact"/>
              <w:rPr>
                <w:sz w:val="20"/>
                <w:szCs w:val="20"/>
                <w:color w:val="auto"/>
              </w:rPr>
            </w:pPr>
            <w:r>
              <w:rPr>
                <w:rFonts w:ascii="Arial" w:cs="Arial" w:eastAsia="Arial" w:hAnsi="Arial"/>
                <w:sz w:val="18"/>
                <w:szCs w:val="18"/>
                <w:color w:val="auto"/>
              </w:rPr>
              <w:t>Net income attributable to NetEase, Inc.’s</w:t>
            </w:r>
          </w:p>
        </w:tc>
        <w:tc>
          <w:tcPr>
            <w:tcW w:w="9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shareholders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4,443,910</w:t>
            </w:r>
          </w:p>
        </w:tc>
        <w:tc>
          <w:tcPr>
            <w:tcW w:w="2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48.3</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4,756,623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40.6</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6,735,108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4,445,218</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4,795,705</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6,836,900</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Other comprehensive income: Unrealized</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gains on available-for-sale securities,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net of tax</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27,452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4,445,218</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4,795,705</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6,864,352</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Add: Comprehensive income attributable</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to noncontrolling interests and</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mezzanine classified noncontrolling</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(39,082)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(101,792)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4,443,910</w:t>
            </w:r>
          </w:p>
        </w:tc>
        <w:tc>
          <w:tcPr>
            <w:tcW w:w="2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48.3</w:t>
            </w:r>
          </w:p>
        </w:tc>
        <w:tc>
          <w:tcPr>
            <w:tcW w:w="12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4,756,623</w:t>
            </w:r>
          </w:p>
        </w:tc>
        <w:tc>
          <w:tcPr>
            <w:tcW w:w="10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40.6</w:t>
            </w: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6,762,560</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NetEase, Inc.’s shareholders</w:t>
            </w:r>
          </w:p>
        </w:tc>
        <w:tc>
          <w:tcPr>
            <w:tcW w:w="9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 cost included</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w:t>
            </w: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Cost of revenues</w:t>
            </w:r>
          </w:p>
        </w:tc>
        <w:tc>
          <w:tcPr>
            <w:tcW w:w="920" w:type="dxa"/>
            <w:vAlign w:val="bottom"/>
          </w:tcPr>
          <w:p>
            <w:pPr>
              <w:jc w:val="right"/>
              <w:spacing w:after="0"/>
              <w:rPr>
                <w:sz w:val="20"/>
                <w:szCs w:val="20"/>
                <w:color w:val="auto"/>
              </w:rPr>
            </w:pPr>
            <w:r>
              <w:rPr>
                <w:rFonts w:ascii="Arial" w:cs="Arial" w:eastAsia="Arial" w:hAnsi="Arial"/>
                <w:sz w:val="18"/>
                <w:szCs w:val="18"/>
                <w:color w:val="auto"/>
              </w:rPr>
              <w:t>165,708</w:t>
            </w:r>
          </w:p>
        </w:tc>
        <w:tc>
          <w:tcPr>
            <w:tcW w:w="2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169,621</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328,480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17,967</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23,253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36,023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48,350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51,475</w:t>
            </w: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120,925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74,283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104,928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199,039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5420"/>
        <w:spacing w:after="0" w:line="393" w:lineRule="auto"/>
        <w:rPr>
          <w:sz w:val="20"/>
          <w:szCs w:val="20"/>
          <w:color w:val="auto"/>
        </w:rPr>
      </w:pPr>
      <w:r>
        <w:rPr>
          <w:rFonts w:ascii="Arial" w:cs="Arial" w:eastAsia="Arial" w:hAnsi="Arial"/>
          <w:sz w:val="18"/>
          <w:szCs w:val="18"/>
          <w:b w:val="1"/>
          <w:bCs w:val="1"/>
          <w:color w:val="auto"/>
        </w:rPr>
        <w:t>Year Ended December 31, 2015 Compared to Year Ended December 31, 2014 Net revenues</w:t>
      </w:r>
    </w:p>
    <w:p>
      <w:pPr>
        <w:spacing w:after="0" w:line="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Total net revenues increased by 94.7% to RMB22,802.9 million (US$3,520.2 million) in 2015 from RMB11,712.8 million in 2014. Net revenues from online games services, advertising services, and e-mail, e-commerce and others constituted 76.0%, 7.8% and 16.2%, respectively, of our total net revenues in 2015. This compares with 79.1%, 11.5% and 9.4%, respectively, in 2014. Net revenues generated from game licensing represented 12.1% and 12.9% of our total net revenues in 2015 and 2014, respectively.</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13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Net revenues from online games services increased by 86.9% to RMB17,314.1 million (US$2,672.8 million) in 2015 from RMB9,266.2 million in 2014. The increase was principally attributable to increased revenues from our mobile games such as the Fantasy Westward Journey and Westward Journey Online mobile games and Battle to the West, and licensed games such as Blizzard Entertainment’s Hearthstone: Heroes of Warcraft and Diablo III: Reaper of Souls, as well as NetEase’s self-developed PC-client games such as Revelation.</w:t>
      </w:r>
    </w:p>
    <w:p>
      <w:pPr>
        <w:sectPr>
          <w:pgSz w:w="11900" w:h="16838" w:orient="portrait"/>
          <w:cols w:equalWidth="0" w:num="1">
            <w:col w:w="11340"/>
          </w:cols>
          <w:pgMar w:left="240" w:top="125" w:right="319" w:bottom="21" w:gutter="0" w:footer="0" w:header="0"/>
        </w:sectPr>
      </w:pPr>
    </w:p>
    <w:bookmarkStart w:id="50" w:name="page51"/>
    <w:bookmarkEnd w:id="50"/>
    <w:p>
      <w:pPr>
        <w:ind w:firstLine="555"/>
        <w:spacing w:after="0" w:line="257" w:lineRule="auto"/>
        <w:rPr>
          <w:sz w:val="20"/>
          <w:szCs w:val="20"/>
          <w:color w:val="auto"/>
        </w:rPr>
      </w:pPr>
      <w:r>
        <w:rPr>
          <w:rFonts w:ascii="Arial" w:cs="Arial" w:eastAsia="Arial" w:hAnsi="Arial"/>
          <w:sz w:val="18"/>
          <w:szCs w:val="18"/>
          <w:color w:val="auto"/>
        </w:rPr>
        <w:t>Our mobile portfolio now consists of over 80 diverse games, including our Fantasy Westward Journey and Westward Journey Online mobile games, which were two of the highest grossing games in China’s iOS app store in 2015. Licensed mobile games such as Fairy Tales and Kai-ri-sei Million Arthur also demonstrated strong performances during the year. Our new PC-client game, Revelation, which was released in early 2015, delivered a solid performance in 2015. Also, Blizzard Entertainment’s Hearthstone: Heroes of Warcraft, World of Warcraft and Diablo III: Reaper of Souls made significant revenue contributions.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280" w:firstLine="510"/>
        <w:spacing w:after="0" w:line="264" w:lineRule="auto"/>
        <w:rPr>
          <w:sz w:val="20"/>
          <w:szCs w:val="20"/>
          <w:color w:val="auto"/>
        </w:rPr>
      </w:pPr>
      <w:r>
        <w:rPr>
          <w:rFonts w:ascii="Arial" w:cs="Arial" w:eastAsia="Arial" w:hAnsi="Arial"/>
          <w:sz w:val="18"/>
          <w:szCs w:val="18"/>
          <w:color w:val="auto"/>
        </w:rPr>
        <w:t>Net revenues from advertising services increased by 33.1% to RMB1,789.4 million (US$276.2 million) in 2015 from RMB1,344.8 million in 2014. The increase in advertising services revenue in 2015 was driven by increased market demand, mainly from the automobile, Internet services and telecommunication services sectors, and greater monetization of our mobile news application.</w:t>
      </w:r>
    </w:p>
    <w:p>
      <w:pPr>
        <w:spacing w:after="0" w:line="18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Average net revenue per traditional advertiser (i.e., customers which do not advertise through our search services), which provide the substantial portion of our advertising revenue, increased to approximately RMB1.8 million (US$0.3 million) in 2015 from RMB1.6 million in 2014. The number of traditional advertisers using the NetEase websites increased to 1,002 in 2015 from 784 in 2014, with revenues from our top ten advertisers comprising 28.2% of our total advertising services revenues in 2015 as compared to 28.7% in 2014.</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right="220" w:firstLine="510"/>
        <w:spacing w:after="0" w:line="264" w:lineRule="auto"/>
        <w:rPr>
          <w:sz w:val="20"/>
          <w:szCs w:val="20"/>
          <w:color w:val="auto"/>
        </w:rPr>
      </w:pPr>
      <w:r>
        <w:rPr>
          <w:rFonts w:ascii="Arial" w:cs="Arial" w:eastAsia="Arial" w:hAnsi="Arial"/>
          <w:sz w:val="18"/>
          <w:szCs w:val="18"/>
          <w:color w:val="auto"/>
        </w:rPr>
        <w:t>Net revenues from the e-mail, e-commerce and others segment increased by 235.7% to RMB3,699.4 million (US$571.1 million) in 2015 from RMB1,101.8 million in 2014. The increase mainly resulted from increased revenue from our e-commerce businesses, such as our cross-border e-commerce platform, Kaola, and our Duobao platform.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Our cost of revenues increased by 188.2% to RMB9,399.3 million (US$1,451.0 million) in 2015 from RMB3,261.5 million in 2014. The year-over-year increase was mainly due to an increase in cost of merchandise sold by our e-commerce business, costs of revenue sharing with distributors, developers and other third parties, staff-related costs and technology costs. In 2015, costs relating to online games services, advertising services and e-mail, e-commerce and others represented 57.4%, 6.4% and 36.2% of total cost of revenues, respectively, as compared with 64.7%, 15.9% and 19.4% of the cost of revenues, respectively, in 2014.</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140" w:firstLine="506"/>
        <w:spacing w:after="0" w:line="277" w:lineRule="auto"/>
        <w:rPr>
          <w:sz w:val="20"/>
          <w:szCs w:val="20"/>
          <w:color w:val="auto"/>
        </w:rPr>
      </w:pPr>
      <w:r>
        <w:rPr>
          <w:rFonts w:ascii="Arial" w:cs="Arial" w:eastAsia="Arial" w:hAnsi="Arial"/>
          <w:sz w:val="18"/>
          <w:szCs w:val="18"/>
          <w:color w:val="auto"/>
        </w:rPr>
        <w:t>Cost of revenues from our online games services increased by 155.4% to RMB5,393.6 million (US$832.6 million) in 2015 from RMB2,111.7 million in 2014. The increase in cost of revenues in 2015 was primarily due to a combination of the following factors:</w:t>
      </w:r>
    </w:p>
    <w:p>
      <w:pPr>
        <w:spacing w:after="0" w:line="170" w:lineRule="exact"/>
        <w:rPr>
          <w:sz w:val="20"/>
          <w:szCs w:val="20"/>
          <w:color w:val="auto"/>
        </w:rPr>
      </w:pPr>
    </w:p>
    <w:p>
      <w:pPr>
        <w:ind w:left="1000" w:hanging="482"/>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Revenue sharing costs with distributors, developers and other third parties related to mobile games increased by RMB2,239.8 million</w:t>
      </w:r>
    </w:p>
    <w:p>
      <w:pPr>
        <w:spacing w:after="0" w:line="35" w:lineRule="exact"/>
        <w:rPr>
          <w:sz w:val="20"/>
          <w:szCs w:val="20"/>
          <w:color w:val="auto"/>
        </w:rPr>
      </w:pPr>
    </w:p>
    <w:p>
      <w:pPr>
        <w:ind w:left="1020" w:right="320"/>
        <w:spacing w:after="0" w:line="261" w:lineRule="auto"/>
        <w:rPr>
          <w:sz w:val="20"/>
          <w:szCs w:val="20"/>
          <w:color w:val="auto"/>
        </w:rPr>
      </w:pPr>
      <w:r>
        <w:rPr>
          <w:rFonts w:ascii="Arial" w:cs="Arial" w:eastAsia="Arial" w:hAnsi="Arial"/>
          <w:sz w:val="18"/>
          <w:szCs w:val="18"/>
          <w:color w:val="auto"/>
        </w:rPr>
        <w:t>(US$345.8 million) to RMB2,428.6 million (US$374.9 million) in 2015 from RMB188.8 million in 2014 primarily due to the launch of our self-developed and licensed mobile games in 2015.</w:t>
      </w:r>
    </w:p>
    <w:p>
      <w:pPr>
        <w:spacing w:after="0" w:line="184" w:lineRule="exact"/>
        <w:rPr>
          <w:sz w:val="20"/>
          <w:szCs w:val="20"/>
          <w:color w:val="auto"/>
        </w:rPr>
      </w:pPr>
    </w:p>
    <w:p>
      <w:pPr>
        <w:jc w:val="both"/>
        <w:ind w:left="1020" w:right="380" w:hanging="506"/>
        <w:spacing w:after="0" w:line="302" w:lineRule="auto"/>
        <w:tabs>
          <w:tab w:leader="none" w:pos="9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Staff-related costs increased by RMB518.1 million (US$80.0 million) to RMB1,292.4 million (US$199.5 million) in 2015 from RMB774.3 million in 2014, mainly as a result of an increase in the level of salaries and other compensation payments and an increase in the number of employees. The number of full time employees in our online games business increased to 7,024 as of December 31, 2015 from 5,673 as of December 31, 2014, including 568 employees in the customer service function to support the operation of World of Warcraft.</w:t>
      </w:r>
    </w:p>
    <w:p>
      <w:pPr>
        <w:spacing w:after="0" w:line="154" w:lineRule="exact"/>
        <w:rPr>
          <w:rFonts w:ascii="Arial" w:cs="Arial" w:eastAsia="Arial" w:hAnsi="Arial"/>
          <w:sz w:val="16"/>
          <w:szCs w:val="16"/>
          <w:color w:val="auto"/>
        </w:rPr>
      </w:pPr>
    </w:p>
    <w:p>
      <w:pPr>
        <w:ind w:left="1020" w:right="420" w:hanging="502"/>
        <w:spacing w:after="0" w:line="264" w:lineRule="auto"/>
        <w:tabs>
          <w:tab w:leader="none" w:pos="9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Technology costs increased by RMB416.7 million (US$64.3 million) to RMB1,378.5 million (US$212.8 million) in 2015 from RMB961.8 million in 2014, mainly due to an increase in royalty fee payments of RMB384.2 million (US$59.3 million) in line with the revenue contribution from Blizzard’s Diablo III and Hearthstone: Heroes of Warcraft.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Cost of revenues from our advertising services increased by 15.5% to RMB599.0 million (US$92.5 million) in 2015 from RMB518.7 million in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revenues in 2015 was primarily due to a combination of the following factors:</w:t>
      </w:r>
    </w:p>
    <w:p>
      <w:pPr>
        <w:spacing w:after="0" w:line="211" w:lineRule="exact"/>
        <w:rPr>
          <w:sz w:val="20"/>
          <w:szCs w:val="20"/>
          <w:color w:val="auto"/>
        </w:rPr>
      </w:pPr>
    </w:p>
    <w:p>
      <w:pPr>
        <w:ind w:left="1020" w:right="40" w:hanging="502"/>
        <w:spacing w:after="0" w:line="264" w:lineRule="auto"/>
        <w:tabs>
          <w:tab w:leader="none" w:pos="9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Staff-related costs increased by RMB67.9 million (US$10.5 million) to RMB334.0 million (US$51.6 million) in 2015 from RMB266.1 million in 2014, mainly as a result of an increase in salaries and other compensation payments, such as bonuses and welfare benefits, and also due to an expansion of the business.</w:t>
      </w:r>
    </w:p>
    <w:p>
      <w:pPr>
        <w:spacing w:after="0" w:line="181" w:lineRule="exact"/>
        <w:rPr>
          <w:rFonts w:ascii="Arial" w:cs="Arial" w:eastAsia="Arial" w:hAnsi="Arial"/>
          <w:sz w:val="18"/>
          <w:szCs w:val="18"/>
          <w:color w:val="auto"/>
        </w:rPr>
      </w:pPr>
    </w:p>
    <w:p>
      <w:pPr>
        <w:ind w:left="1020" w:right="420" w:hanging="502"/>
        <w:spacing w:after="0" w:line="277" w:lineRule="auto"/>
        <w:tabs>
          <w:tab w:leader="none" w:pos="9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sharing costs related to our search engine business increased by RMB12.3 million (US$1.9 million) to RMB57.8 million (US$8.9 million) in 2015 from RMB45.5 million in 2014 primarily due to an expansion of the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Cost of revenues from our e-mail, e-commerce and other services increased by 439.8% to RMB3,406.7 million (US$525.9 million) in 2015 from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RMB631.2 million in 2014. The increase in cost of revenues in 2015 was primarily due to a combination of the following factors:</w:t>
      </w:r>
    </w:p>
    <w:p>
      <w:pPr>
        <w:sectPr>
          <w:pgSz w:w="11900" w:h="16838" w:orient="portrait"/>
          <w:cols w:equalWidth="0" w:num="1">
            <w:col w:w="11420"/>
          </w:cols>
          <w:pgMar w:left="240" w:top="125" w:right="239" w:bottom="0" w:gutter="0" w:footer="0" w:header="0"/>
        </w:sectPr>
      </w:pPr>
    </w:p>
    <w:bookmarkStart w:id="51" w:name="page52"/>
    <w:bookmarkEnd w:id="51"/>
    <w:p>
      <w:pPr>
        <w:ind w:left="1020" w:right="440" w:hanging="502"/>
        <w:spacing w:after="0" w:line="277" w:lineRule="auto"/>
        <w:tabs>
          <w:tab w:leader="none" w:pos="9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 of merchandise sold increased by RMB2,265.1 million (US$349.7 million) to RMB2,392.3 million (US$369.3 million) in 2015 from RMB127.2 million in 2014, which was in line with the revenue growth of our e-commerce business.</w:t>
      </w:r>
    </w:p>
    <w:p>
      <w:pPr>
        <w:spacing w:after="0" w:line="170" w:lineRule="exact"/>
        <w:rPr>
          <w:rFonts w:ascii="Arial" w:cs="Arial" w:eastAsia="Arial" w:hAnsi="Arial"/>
          <w:sz w:val="18"/>
          <w:szCs w:val="18"/>
          <w:color w:val="auto"/>
        </w:rPr>
      </w:pPr>
    </w:p>
    <w:p>
      <w:pPr>
        <w:ind w:left="1020" w:right="20" w:hanging="502"/>
        <w:spacing w:after="0" w:line="277" w:lineRule="auto"/>
        <w:tabs>
          <w:tab w:leader="none" w:pos="98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cost increased by RMB195.5 million (US$30.2 million) to RMB235.7 million (US$36.4 million) in 2015 from RMB40.2 million in 2014 primarily due to the amortization of license fees related to Cloud Music.</w:t>
      </w:r>
    </w:p>
    <w:p>
      <w:pPr>
        <w:spacing w:after="0" w:line="170" w:lineRule="exact"/>
        <w:rPr>
          <w:rFonts w:ascii="Arial" w:cs="Arial" w:eastAsia="Arial" w:hAnsi="Arial"/>
          <w:sz w:val="18"/>
          <w:szCs w:val="18"/>
          <w:color w:val="auto"/>
        </w:rPr>
      </w:pPr>
    </w:p>
    <w:p>
      <w:pPr>
        <w:ind w:left="1060" w:right="60" w:hanging="541"/>
        <w:spacing w:after="0" w:line="342" w:lineRule="auto"/>
        <w:tabs>
          <w:tab w:leader="none" w:pos="1021" w:val="left"/>
        </w:tabs>
        <w:numPr>
          <w:ilvl w:val="0"/>
          <w:numId w:val="30"/>
        </w:numPr>
        <w:rPr>
          <w:rFonts w:ascii="Arial" w:cs="Arial" w:eastAsia="Arial" w:hAnsi="Arial"/>
          <w:sz w:val="16"/>
          <w:szCs w:val="16"/>
          <w:color w:val="auto"/>
        </w:rPr>
      </w:pPr>
      <w:r>
        <w:rPr>
          <w:rFonts w:ascii="Arial" w:cs="Arial" w:eastAsia="Arial" w:hAnsi="Arial"/>
          <w:sz w:val="16"/>
          <w:szCs w:val="16"/>
          <w:color w:val="auto"/>
        </w:rPr>
        <w:t>Staff-related cost increased by RMB195.1 million (US$30.1 million) to RMB414.3 million (US$64.0 million) in 2015 from RMB219.2 million in 2014, mainly as a result of an increase in salaries and bonuses and an increase in the number of employees due to business expansion.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profit increased by 58.6% to RMB13,403.6 million (US$2,069.2 million) in 2015 from RMB8,451.3 million in 2014.</w:t>
      </w:r>
    </w:p>
    <w:p>
      <w:pPr>
        <w:spacing w:after="0" w:line="225"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The following table sets forth the consolidated gross profits and gross profit margins of our business activities for the periods indicated as derived from our audited financial statements. The gross profit margins in 2014 and 2015 were calculated by dividing our gross profits over our net revenues for the corresponding type of services.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540" w:type="dxa"/>
            <w:vAlign w:val="bottom"/>
            <w:tcBorders>
              <w:bottom w:val="single" w:sz="8" w:color="auto"/>
            </w:tcBorders>
            <w:gridSpan w:val="5"/>
          </w:tcPr>
          <w:p>
            <w:pPr>
              <w:ind w:left="1300"/>
              <w:spacing w:after="0"/>
              <w:rPr>
                <w:sz w:val="20"/>
                <w:szCs w:val="20"/>
                <w:color w:val="auto"/>
              </w:rPr>
            </w:pPr>
            <w:r>
              <w:rPr>
                <w:rFonts w:ascii="Arial" w:cs="Arial" w:eastAsia="Arial" w:hAnsi="Arial"/>
                <w:sz w:val="14"/>
                <w:szCs w:val="14"/>
                <w:b w:val="1"/>
                <w:bCs w:val="1"/>
                <w:color w:val="auto"/>
                <w:w w:val="99"/>
              </w:rPr>
              <w:t>For the Year Ended December 31,</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360" w:type="dxa"/>
            <w:vAlign w:val="bottom"/>
            <w:tcBorders>
              <w:bottom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US$’000</w:t>
            </w:r>
          </w:p>
        </w:tc>
        <w:tc>
          <w:tcPr>
            <w:tcW w:w="16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7,154,457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11,920,593</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1,840,223</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826,138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1,190,345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183,757</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470,695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292,697</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45,184</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13,403,635</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2,069,164</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margin: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77.2%</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68.8%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68.8%</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61.4%</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66.5%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42.7%</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7.9%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 margin</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decrease of gross profit margin for online game services was mainly due to the increased revenues contribution from mobile games, which have relatively lower gross profit margin, as a percentage of NetEase’s total online game revenues. The increase in gross profit margin for advertising services was mainly due to the enhanced economies of scale driven by revenue growth in our Internet media business. The decrease in gross profit margin for e-mail, e-commerce and others business was mainly due to the suspension of higher margin e-commerce services related to third-party lottery products since late February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Total operating expenses increased by 66.3% to RMB6,131.5 million (US$946.5 million) in 2015 from RMB3,686.2 million in 2014 as a result of an increase in selling and marketing expenses, research and development expenses and general and administrative expenses.</w:t>
      </w:r>
    </w:p>
    <w:p>
      <w:pPr>
        <w:spacing w:after="0" w:line="17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Selling and marketing expenses increased by 56.1% to RMB2,958.2 million (US$456.7 million) in 2015 from RMB1,895.0 million in 2014, primarily due to a combination of the following factors: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20" w:right="80" w:hanging="502"/>
        <w:spacing w:after="0" w:line="286" w:lineRule="auto"/>
        <w:tabs>
          <w:tab w:leader="none" w:pos="987"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increase in marketing costs of approximately RMB737.4 million (US$113.8 million) in 2015 resulting from increased marketing spending on our various online games, including our self-developed mobile games, PC-client games and games licensed from Blizzard, as well as media and outdoor branding promotion for our advertising services and email, e-commerce and other services.</w:t>
      </w:r>
    </w:p>
    <w:p>
      <w:pPr>
        <w:spacing w:after="0" w:line="165" w:lineRule="exact"/>
        <w:rPr>
          <w:rFonts w:ascii="Arial" w:cs="Arial" w:eastAsia="Arial" w:hAnsi="Arial"/>
          <w:sz w:val="17"/>
          <w:szCs w:val="17"/>
          <w:color w:val="auto"/>
        </w:rPr>
      </w:pPr>
    </w:p>
    <w:p>
      <w:pPr>
        <w:ind w:left="1020" w:right="480" w:hanging="502"/>
        <w:spacing w:after="0" w:line="264" w:lineRule="auto"/>
        <w:tabs>
          <w:tab w:leader="none" w:pos="9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increase in staff-related costs of our sales team of approximately RMB144.7 million (US$22.4 million) in 2015, primarily driven by increased headcount and higher compensation levels and performance-related bonus accruals, particularly for our online game promotion teams.</w:t>
      </w:r>
    </w:p>
    <w:p>
      <w:pPr>
        <w:spacing w:after="0" w:line="18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General and administrative expenses increased by 116.9% to RMB1,014.4 million (US$156.6 million) in 2015 from RMB467.7 million in 2014, primarily due to an increase in staff-related costs of approximately RMB470.4 million (US$72.6 million) in 2015 primarily driven by increased headcount, higher compensation levels and an increase in other miscellaneous costs of approximately RMB37.7 million (US$5.8 million) such as facility costs due to increased business expansion.</w:t>
      </w:r>
    </w:p>
    <w:p>
      <w:pPr>
        <w:spacing w:after="0" w:line="18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Research and development expenses increased by 63.1% to RMB2,158.9 million (US$333.3 million) in 2015 from RMB1,323.5 million in 2014, primarily due to a combination of the following factors:</w:t>
      </w:r>
    </w:p>
    <w:p>
      <w:pPr>
        <w:spacing w:after="0" w:line="170" w:lineRule="exact"/>
        <w:rPr>
          <w:sz w:val="20"/>
          <w:szCs w:val="20"/>
          <w:color w:val="auto"/>
        </w:rPr>
      </w:pPr>
    </w:p>
    <w:p>
      <w:pPr>
        <w:ind w:left="1060" w:right="60" w:hanging="541"/>
        <w:spacing w:after="0" w:line="264" w:lineRule="auto"/>
        <w:tabs>
          <w:tab w:leader="none" w:pos="1021"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 increase in staff-related costs of approximately RMB643.3 million (US$99.3 million) in 2015, mainly as a result of increased headcount for our online game services and email, e-commerce and other services and higher salaries, bonuses and other benefits paid to our research and development team during 2015, including share based compensation.</w:t>
      </w:r>
    </w:p>
    <w:p>
      <w:pPr>
        <w:spacing w:after="0" w:line="181" w:lineRule="exact"/>
        <w:rPr>
          <w:rFonts w:ascii="Arial" w:cs="Arial" w:eastAsia="Arial" w:hAnsi="Arial"/>
          <w:sz w:val="18"/>
          <w:szCs w:val="18"/>
          <w:color w:val="auto"/>
        </w:rPr>
      </w:pPr>
    </w:p>
    <w:p>
      <w:pPr>
        <w:ind w:left="1020" w:hanging="52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technology costs of approximately RMB115.0 million (US$17.8 million), mainly for game content design.</w:t>
      </w:r>
    </w:p>
    <w:p>
      <w:pPr>
        <w:spacing w:after="0" w:line="225" w:lineRule="exact"/>
        <w:rPr>
          <w:rFonts w:ascii="Arial" w:cs="Arial" w:eastAsia="Arial" w:hAnsi="Arial"/>
          <w:sz w:val="18"/>
          <w:szCs w:val="18"/>
          <w:color w:val="auto"/>
        </w:rPr>
      </w:pPr>
    </w:p>
    <w:p>
      <w:pPr>
        <w:ind w:left="1060" w:right="880" w:hanging="566"/>
        <w:spacing w:after="0" w:line="277" w:lineRule="auto"/>
        <w:tabs>
          <w:tab w:leader="none" w:pos="10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other miscellaneous cost of approximately RMB55.2 million (US$8.5 million) such as rental and utilities, mainly for development of our online game services as well as our email, e-commerce and other services.</w:t>
      </w:r>
    </w:p>
    <w:p>
      <w:pPr>
        <w:sectPr>
          <w:pgSz w:w="11900" w:h="16838" w:orient="portrait"/>
          <w:cols w:equalWidth="0" w:num="1">
            <w:col w:w="11400"/>
          </w:cols>
          <w:pgMar w:left="240" w:top="125" w:right="259" w:bottom="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Allowances for Doubtful Accounts</w:t>
      </w:r>
    </w:p>
    <w:p>
      <w:pPr>
        <w:spacing w:after="0" w:line="229"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As of December 31, 2015, the gross accounts receivable balance before any allowance for bad and doubtful accounts was RMB2,628.3 million (US$405.8 million). After providing for doubtful accounts in the amount of RMB14.2 million (US$2.2 million), the net balance of accounts receivable was RMB2,614.1 million (US$403.6 million) as of December 31, 2015. The allowances for doubtful accounts represented the provisions of RMB14.2 million (US$2.2 million) as of December 31 2015, as compared to the provision of RMB11.2 million as of December 31, 2014.</w:t>
      </w:r>
    </w:p>
    <w:p>
      <w:pPr>
        <w:spacing w:after="0" w:line="171"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We periodically review our provisioning policy for doubtful accounts. In assessing the adequacy and reasonableness of the policy, we consider the aging analysis of accounts receivable balances, historical bad debt rates, repayment patterns and credit worthiness of customers and industry trend analysis.</w:t>
      </w:r>
    </w:p>
    <w:p>
      <w:pPr>
        <w:spacing w:after="0" w:line="124"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No significant allowance for bad and doubtful accounts was provided in 2015. As of December 31, 2015, we had one distribution channel with a receivable balance exceeding 10% of our total accounts receivable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right="720" w:firstLine="510"/>
        <w:spacing w:after="0" w:line="264" w:lineRule="auto"/>
        <w:rPr>
          <w:sz w:val="20"/>
          <w:szCs w:val="20"/>
          <w:color w:val="auto"/>
        </w:rPr>
      </w:pPr>
      <w:r>
        <w:rPr>
          <w:rFonts w:ascii="Arial" w:cs="Arial" w:eastAsia="Arial" w:hAnsi="Arial"/>
          <w:sz w:val="18"/>
          <w:szCs w:val="18"/>
          <w:color w:val="auto"/>
        </w:rPr>
        <w:t>Other income in 2015 mainly consisted of interest income, investment income related to short-term investments, foreign exchange gain and government incentives, offset in part by the net investment loss in associated companies and the investment impairment loss related to certain equity investments.</w:t>
      </w:r>
    </w:p>
    <w:p>
      <w:pPr>
        <w:spacing w:after="0" w:line="181"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Interest income decreased to RMB596.9 million (US$92.2 million) in 2015 from RMB601.5 million in 2014, primarily due to a decrease in interest rates, offset in part by an increase in our total cash and cash equivalents and time deposit balance, which increased by 2.8% to RMB21.8 billion (US$3.4 billion) as of December 31, 2015 from RMB21.2 billion as of December 31, 2014. We incurred interest expense of RMB19.0 million (US$2.9 million) in 2015 related to our short-term borrowings.</w:t>
      </w:r>
    </w:p>
    <w:p>
      <w:pPr>
        <w:spacing w:after="0" w:line="187"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Investment income related to short-term investments, which consisted of held-to-maturity investments of fixed-rate corporate bonds and other short-term investments of financial products issued by commercial banks with a maturity date within one year when purchased, was RMB143.1 million (US$22.1 million) in 2015, compared to RMB64.2 million in 2014. As of December 31, 2015, our short-term investments totaled approximately RMB5,013.5 million (US$774.0 million), compared to RMB2,058.6 million as of December 31, 2014.</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10"/>
        <w:spacing w:after="0" w:line="264" w:lineRule="auto"/>
        <w:rPr>
          <w:sz w:val="20"/>
          <w:szCs w:val="20"/>
          <w:color w:val="auto"/>
        </w:rPr>
      </w:pPr>
      <w:r>
        <w:rPr>
          <w:rFonts w:ascii="Arial" w:cs="Arial" w:eastAsia="Arial" w:hAnsi="Arial"/>
          <w:sz w:val="18"/>
          <w:szCs w:val="18"/>
          <w:color w:val="auto"/>
        </w:rPr>
        <w:t>We also reported a net foreign exchange gain of RMB133.8 million (US$20.7 million) in 2015, compared to a net foreign exchange loss of RMB18.0 million in 2014, both of which are primarily due to the translation gains and losses arising from our U.S. dollar-denominated bank deposit and short-term loan balances as the exchange rate of the U.S. dollar against the RMB fluctuated over these periods.</w:t>
      </w:r>
    </w:p>
    <w:p>
      <w:pPr>
        <w:spacing w:after="0" w:line="181"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In 2015, we received and recognized unconditional government incentives of approximately RMB45.1 million (US$7.0 million), compared to RMB82.5 million in 2014.</w:t>
      </w:r>
    </w:p>
    <w:p>
      <w:pPr>
        <w:spacing w:after="0" w:line="170" w:lineRule="exact"/>
        <w:rPr>
          <w:sz w:val="20"/>
          <w:szCs w:val="20"/>
          <w:color w:val="auto"/>
        </w:rPr>
      </w:pPr>
    </w:p>
    <w:p>
      <w:pPr>
        <w:ind w:right="120" w:firstLine="510"/>
        <w:spacing w:after="0" w:line="264" w:lineRule="auto"/>
        <w:rPr>
          <w:sz w:val="20"/>
          <w:szCs w:val="20"/>
          <w:color w:val="auto"/>
        </w:rPr>
      </w:pPr>
      <w:r>
        <w:rPr>
          <w:rFonts w:ascii="Arial" w:cs="Arial" w:eastAsia="Arial" w:hAnsi="Arial"/>
          <w:sz w:val="18"/>
          <w:szCs w:val="18"/>
          <w:color w:val="auto"/>
        </w:rPr>
        <w:t>In 2015, we recognized a net investment loss in associated companies of RMB76.1 million (US$11.8 million), compared to the equity share of loss of RMB33.6 million in 2014. We also recognized an investment impairment provision of RMB12.0 million (US$1.9 million) related to certain equity investments in 2015, compared to RMB24.0 million related to equity investments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right="100" w:firstLine="486"/>
        <w:spacing w:after="0" w:line="312" w:lineRule="auto"/>
        <w:rPr>
          <w:sz w:val="20"/>
          <w:szCs w:val="20"/>
          <w:color w:val="auto"/>
        </w:rPr>
      </w:pPr>
      <w:r>
        <w:rPr>
          <w:rFonts w:ascii="Arial" w:cs="Arial" w:eastAsia="Arial" w:hAnsi="Arial"/>
          <w:sz w:val="16"/>
          <w:szCs w:val="16"/>
          <w:color w:val="auto"/>
        </w:rPr>
        <w:t>Income tax increased to RMB1,273.4 million (US$196.6 million) in 2015 from RMB662.7 million in 2014. Our effective tax rate in 2015 was 15.7% compared with 12.1% in 2014. The change in the effective tax rate was mainly due to the fact that certain subsidiaries of our company were approved as Key Software Enterprises and subject to a preferential tax rate of 10% for 2014. Those subsidiaries were subject to a tax rate of 15% in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a result of the foregoing, net income attributable to our shareholders increased by 41.6% to RMB6,735.1 million (US$1,039.7 million) in 2015 from RMB4,756.6 million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Total net revenues increased by 27.4% to RMB11,712.8 million in 2014 from RMB9,196.2 million in 2013. Net revenues from online games services, advertising services, and e-mail, e-commerce and others constituted 79.1%, 11.5% and 9.4%, respectively, of our total net revenues in 2014. This compares with 85.5%, 10.8% and 3.7%, respectively, in 2013. Revenue generated from game licensing represented 12.9% and 9.8% of our total net revenues in 2014 and 2013,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Net revenues from online games services increased by 17.8% to RMB9,266.2 million in 2014 from RMB7,864.5 million in 2013. The increase was principally attributable to increased revenues from our self-developed games such as Fantasy Westward Journey II, New Westward Journey Online II and various mobile games, as well as Hearthstone: Heroes of Warcraft, a game licensed from Blizzard, which was commercially launched in China in January 2014.</w:t>
      </w:r>
    </w:p>
    <w:p>
      <w:pPr>
        <w:spacing w:after="0" w:line="187" w:lineRule="exact"/>
        <w:rPr>
          <w:sz w:val="20"/>
          <w:szCs w:val="20"/>
          <w:color w:val="auto"/>
        </w:rPr>
      </w:pPr>
    </w:p>
    <w:p>
      <w:pPr>
        <w:ind w:right="140" w:firstLine="510"/>
        <w:spacing w:after="0" w:line="312" w:lineRule="auto"/>
        <w:rPr>
          <w:sz w:val="20"/>
          <w:szCs w:val="20"/>
          <w:color w:val="auto"/>
        </w:rPr>
      </w:pPr>
      <w:r>
        <w:rPr>
          <w:rFonts w:ascii="Arial" w:cs="Arial" w:eastAsia="Arial" w:hAnsi="Arial"/>
          <w:sz w:val="16"/>
          <w:szCs w:val="16"/>
          <w:color w:val="auto"/>
        </w:rPr>
        <w:t>Fantasy Westward Journey II, including its mobile version, and New Westward Journey Online II performed well during 2014. The continued growth in revenue of these games was mainly attributable to the launch of new expansion packs, successful promotional activities and increased attraction of other value-added services for these games in 2014, as well as the launch of an item-based version of New Westward Journey Online II in August 2014. We also</w:t>
      </w:r>
    </w:p>
    <w:p>
      <w:pPr>
        <w:sectPr>
          <w:pgSz w:w="11900" w:h="16838" w:orient="portrait"/>
          <w:cols w:equalWidth="0" w:num="1">
            <w:col w:w="11420"/>
          </w:cols>
          <w:pgMar w:left="240" w:top="121" w:right="239" w:bottom="0" w:gutter="0" w:footer="0" w:header="0"/>
        </w:sectPr>
      </w:pPr>
    </w:p>
    <w:bookmarkStart w:id="53" w:name="page54"/>
    <w:bookmarkEnd w:id="53"/>
    <w:p>
      <w:pPr>
        <w:spacing w:after="0" w:line="1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launched various self-developed and licensed mobile games including Mini Westward Journey, Stay Calm! My Lord!, Battle to the West, The World HD, Dark Blade, World Soccer Collections and Ninja Must Die 2 in 2014. These mobile games served to expand and diversify our online game business portfolio.</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Net revenues from advertising services increased by 36.2% to RMB1,344.8 million in 2014 from RMB987.5 million in 2013. The increase in advertising services revenue in 2014 was driven by increased market demand, mainly from the automobile, communication services and foods and beverages sectors, and greater monetization of our mobile news application, as well as the impact of our partnership with the national football teams of Brazil and Spain to broadcast the 2014 FIFA World Cup.</w:t>
      </w:r>
    </w:p>
    <w:p>
      <w:pPr>
        <w:spacing w:after="0" w:line="18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Average net revenue per traditional advertiser (i.e., customers which do not advertise through our search services), which provide the substantial portion of our advertising revenue, increased to approximately RMB1.6 million in 2014 from RMB1.3 million in 2013. The number of traditional advertisers using the NetEase websites increased to 784 in 2014 from 662 in 2013, with revenues from our top ten advertisers comprising 28.7% of our total advertising services revenues in 2014 as compared to 27.2% in 2013.</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revenues from the e-mail, e-commerce and others segment increased by 220.1% to RMB1,101.8 million in 2014 from RMB344.2 million in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mainly resulted from increased revenue from our e-commerce services related to third-party lottery and insurance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Our cost of revenues increased by 31.6% to RMB3,261.5 million in 2014 from RMB2,478.5 million in 2013. The year-over-year increase was mainly due to an increase in technology costs, staff-related costs and costs of revenue sharing with distributors, developers and other third parties. In 2014, costs relating to online games services, advertising services and e-mail, e-commerce and others represented 64.7%, 15.9% and 19.4% of total cost of revenues, respectively, as compared with 66.6%, 18.6% and 14.8% of the cost of revenues, respectively, in 2013.</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Online Games Services</w:t>
      </w:r>
    </w:p>
    <w:p>
      <w:pPr>
        <w:spacing w:after="0" w:line="225" w:lineRule="exact"/>
        <w:rPr>
          <w:sz w:val="20"/>
          <w:szCs w:val="20"/>
          <w:color w:val="auto"/>
        </w:rPr>
      </w:pPr>
    </w:p>
    <w:p>
      <w:pPr>
        <w:ind w:right="40" w:firstLine="506"/>
        <w:spacing w:after="0" w:line="277" w:lineRule="auto"/>
        <w:rPr>
          <w:sz w:val="20"/>
          <w:szCs w:val="20"/>
          <w:color w:val="auto"/>
        </w:rPr>
      </w:pPr>
      <w:r>
        <w:rPr>
          <w:rFonts w:ascii="Arial" w:cs="Arial" w:eastAsia="Arial" w:hAnsi="Arial"/>
          <w:sz w:val="18"/>
          <w:szCs w:val="18"/>
          <w:color w:val="auto"/>
        </w:rPr>
        <w:t>Cost of revenues from our online games services increased by 28.0% to RMB2,111.7 million in 2014 from RMB1,649.8 million in 2013. The increase in cost of revenues in 2014 was primarily due to a combination of the following factors:</w:t>
      </w:r>
    </w:p>
    <w:p>
      <w:pPr>
        <w:spacing w:after="0" w:line="170" w:lineRule="exact"/>
        <w:rPr>
          <w:sz w:val="20"/>
          <w:szCs w:val="20"/>
          <w:color w:val="auto"/>
        </w:rPr>
      </w:pPr>
    </w:p>
    <w:p>
      <w:pPr>
        <w:ind w:left="1020" w:right="60" w:hanging="502"/>
        <w:spacing w:after="0" w:line="264" w:lineRule="auto"/>
        <w:tabs>
          <w:tab w:leader="none" w:pos="9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Technology costs increased by RMB227.7 million to RMB961.8 million in 2014 from RMB734.1 million in 2013, mainly due to an increase in royalty fee payments of RMB172.8 million in line with the increase of revenue from Blizzard’s Hearthstone: Heroes of Warcraft, and an RMB52.6 million increase in outsourcing content design costs for self-developed games.</w:t>
      </w:r>
    </w:p>
    <w:p>
      <w:pPr>
        <w:spacing w:after="0" w:line="181" w:lineRule="exact"/>
        <w:rPr>
          <w:rFonts w:ascii="Arial" w:cs="Arial" w:eastAsia="Arial" w:hAnsi="Arial"/>
          <w:sz w:val="18"/>
          <w:szCs w:val="18"/>
          <w:color w:val="auto"/>
        </w:rPr>
      </w:pPr>
    </w:p>
    <w:p>
      <w:pPr>
        <w:ind w:left="1020" w:right="340" w:hanging="506"/>
        <w:spacing w:after="0" w:line="264" w:lineRule="auto"/>
        <w:tabs>
          <w:tab w:leader="none" w:pos="9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Revenue sharing costs with distributors, developers and other third parties related to mobile games increased by RMB174.9 million to RMB188.8 million in 2014 from RMB13.9 million in 2013 primarily due to the launch of our self-developed and licensed mobile games in 2014.</w:t>
      </w:r>
    </w:p>
    <w:p>
      <w:pPr>
        <w:spacing w:after="0" w:line="181" w:lineRule="exact"/>
        <w:rPr>
          <w:rFonts w:ascii="Arial" w:cs="Arial" w:eastAsia="Arial" w:hAnsi="Arial"/>
          <w:sz w:val="18"/>
          <w:szCs w:val="18"/>
          <w:color w:val="auto"/>
        </w:rPr>
      </w:pPr>
    </w:p>
    <w:p>
      <w:pPr>
        <w:ind w:left="1020" w:right="280" w:hanging="502"/>
        <w:spacing w:after="0" w:line="259" w:lineRule="auto"/>
        <w:tabs>
          <w:tab w:leader="none" w:pos="9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Staff-related costs increased by RMB79.7 million to RMB774.3 million in 2014 from RMB694.6 million in 2013, mainly as a result of an increase in the level of salaries and bonuses and an increase in the number of employees. The number of full time employees in our online games business increased to 5,673 as of December 31, 2014 from 4,132 as of December 31, 2013, including 645 employees in the customer service function to support the operation of World of Warcraft.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Cost of revenues from our advertising services increased by 12.4% to RMB518.7 million in 2014 from RMB461.3 million in 2013. The increase in cost of revenues in 2014 was primarily due to a combination of the following factors:</w:t>
      </w:r>
    </w:p>
    <w:p>
      <w:pPr>
        <w:spacing w:after="0" w:line="170" w:lineRule="exact"/>
        <w:rPr>
          <w:sz w:val="20"/>
          <w:szCs w:val="20"/>
          <w:color w:val="auto"/>
        </w:rPr>
      </w:pPr>
    </w:p>
    <w:p>
      <w:pPr>
        <w:ind w:left="1020" w:right="100" w:hanging="502"/>
        <w:spacing w:after="0" w:line="277" w:lineRule="auto"/>
        <w:tabs>
          <w:tab w:leader="none" w:pos="9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costs increased by RMB29.1 million to RMB93.0 million in 2014 from RMB63.9 million in 2013, mainly due to the content costs incurred for our partnership in relation to the 2014 FIFA World Cup.</w:t>
      </w:r>
    </w:p>
    <w:p>
      <w:pPr>
        <w:spacing w:after="0" w:line="170" w:lineRule="exact"/>
        <w:rPr>
          <w:rFonts w:ascii="Arial" w:cs="Arial" w:eastAsia="Arial" w:hAnsi="Arial"/>
          <w:sz w:val="18"/>
          <w:szCs w:val="18"/>
          <w:color w:val="auto"/>
        </w:rPr>
      </w:pPr>
    </w:p>
    <w:p>
      <w:pPr>
        <w:jc w:val="both"/>
        <w:ind w:left="1020" w:right="420" w:hanging="502"/>
        <w:spacing w:after="0" w:line="381" w:lineRule="auto"/>
        <w:tabs>
          <w:tab w:leader="none" w:pos="987" w:val="left"/>
        </w:tabs>
        <w:numPr>
          <w:ilvl w:val="0"/>
          <w:numId w:val="34"/>
        </w:numPr>
        <w:rPr>
          <w:rFonts w:ascii="Arial" w:cs="Arial" w:eastAsia="Arial" w:hAnsi="Arial"/>
          <w:sz w:val="15"/>
          <w:szCs w:val="15"/>
          <w:color w:val="auto"/>
        </w:rPr>
      </w:pPr>
      <w:r>
        <w:rPr>
          <w:rFonts w:ascii="Arial" w:cs="Arial" w:eastAsia="Arial" w:hAnsi="Arial"/>
          <w:sz w:val="15"/>
          <w:szCs w:val="15"/>
          <w:color w:val="auto"/>
        </w:rPr>
        <w:t>Staff-related costs increased by RMB16.7 million to RMB266.1 million in 2014 from RMB249.4 million in 2013, mainly as a result of an increase in salaries and other compensation payments, such as bonuses and welfare benefits, and also due to an expansion of the business.</w:t>
      </w:r>
    </w:p>
    <w:p>
      <w:pPr>
        <w:spacing w:after="0" w:line="100" w:lineRule="exact"/>
        <w:rPr>
          <w:rFonts w:ascii="Arial" w:cs="Arial" w:eastAsia="Arial" w:hAnsi="Arial"/>
          <w:sz w:val="15"/>
          <w:szCs w:val="15"/>
          <w:color w:val="auto"/>
        </w:rPr>
      </w:pPr>
    </w:p>
    <w:p>
      <w:pPr>
        <w:ind w:left="1020" w:right="100" w:hanging="502"/>
        <w:spacing w:after="0" w:line="277" w:lineRule="auto"/>
        <w:tabs>
          <w:tab w:leader="none" w:pos="9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Technology service cost such as bandwidth and server custody fees increased by RMB6.6 million to RMB41.7 million in 2014 from RMB35.1 million in 2013, mainly as a result of an increase in bandwidth usage by our advertising business in 2014.</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E-mail, E-commerce and Others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Cost of revenues from our e-mail, e-commerce and other services increased by 71.8% to RMB631.2 million in 2014 from RMB367.4 million in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revenues in 2014 was primarily due to a combination of the following factors:</w:t>
      </w:r>
    </w:p>
    <w:p>
      <w:pPr>
        <w:spacing w:after="0" w:line="211" w:lineRule="exact"/>
        <w:rPr>
          <w:sz w:val="20"/>
          <w:szCs w:val="20"/>
          <w:color w:val="auto"/>
        </w:rPr>
      </w:pPr>
    </w:p>
    <w:p>
      <w:pPr>
        <w:ind w:left="1060" w:right="320" w:hanging="546"/>
        <w:spacing w:after="0" w:line="277" w:lineRule="auto"/>
        <w:tabs>
          <w:tab w:leader="none" w:pos="1019"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costs paid to third-party service providers increased by RMB111.9 million to RMB169.9 million in 2014 from RMB58.0 million in 2013, which was in line with the growth of our e-commerce and e-mail services.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380"/>
          </w:cols>
          <w:pgMar w:left="240" w:top="125" w:right="279" w:bottom="0" w:gutter="0" w:footer="0" w:header="0"/>
          <w:type w:val="continuous"/>
        </w:sectPr>
      </w:pPr>
    </w:p>
    <w:bookmarkStart w:id="54" w:name="page55"/>
    <w:bookmarkEnd w:id="54"/>
    <w:p>
      <w:pPr>
        <w:ind w:left="1060" w:right="520" w:hanging="546"/>
        <w:spacing w:after="0" w:line="277" w:lineRule="auto"/>
        <w:tabs>
          <w:tab w:leader="none" w:pos="10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Staff-related cost increased by RMB94.3 million to RMB219.2 million in 2014 from RMB124.9 million in 2013, mainly as a result of an increase in salaries and bonuses and an increase in the number of employees.</w:t>
      </w:r>
    </w:p>
    <w:p>
      <w:pPr>
        <w:spacing w:after="0" w:line="170" w:lineRule="exact"/>
        <w:rPr>
          <w:rFonts w:ascii="Arial" w:cs="Arial" w:eastAsia="Arial" w:hAnsi="Arial"/>
          <w:sz w:val="18"/>
          <w:szCs w:val="18"/>
          <w:color w:val="auto"/>
        </w:rPr>
      </w:pPr>
    </w:p>
    <w:p>
      <w:pPr>
        <w:ind w:left="1060" w:right="200" w:hanging="546"/>
        <w:spacing w:after="0" w:line="264" w:lineRule="auto"/>
        <w:tabs>
          <w:tab w:leader="none" w:pos="10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Technology service cost such as bandwidth and server custody fees increased by RMB30.0 million to RMB121.5 million in 2014 from RMB91.5 million in 2013, mainly as a result of an increase in bandwidth usage by our e-mail, e-commerce and other value added services in 2014.</w:t>
      </w:r>
    </w:p>
    <w:p>
      <w:pPr>
        <w:spacing w:after="0" w:line="181" w:lineRule="exact"/>
        <w:rPr>
          <w:rFonts w:ascii="Arial" w:cs="Arial" w:eastAsia="Arial" w:hAnsi="Arial"/>
          <w:sz w:val="18"/>
          <w:szCs w:val="18"/>
          <w:color w:val="auto"/>
        </w:rPr>
      </w:pPr>
    </w:p>
    <w:p>
      <w:pPr>
        <w:ind w:left="1060" w:right="80" w:hanging="546"/>
        <w:spacing w:after="0" w:line="277" w:lineRule="auto"/>
        <w:tabs>
          <w:tab w:leader="none" w:pos="10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Information cost increased by RMB20.2 million to RMB40.2 million in 2014 from RMB20.0 million in 2013 primarily due to the amortization of license fees related to Cloud Music.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gross profit increased by 25.8% to RMB8,451.3 million in 2014 from RMB6,717.7 million in 2013.</w:t>
      </w:r>
    </w:p>
    <w:p>
      <w:pPr>
        <w:spacing w:after="0" w:line="225" w:lineRule="exact"/>
        <w:rPr>
          <w:sz w:val="20"/>
          <w:szCs w:val="20"/>
          <w:color w:val="auto"/>
        </w:rPr>
      </w:pPr>
    </w:p>
    <w:p>
      <w:pPr>
        <w:ind w:firstLine="510"/>
        <w:spacing w:after="0" w:line="264" w:lineRule="auto"/>
        <w:rPr>
          <w:sz w:val="20"/>
          <w:szCs w:val="20"/>
          <w:color w:val="auto"/>
        </w:rPr>
      </w:pPr>
      <w:r>
        <w:rPr>
          <w:rFonts w:ascii="Arial" w:cs="Arial" w:eastAsia="Arial" w:hAnsi="Arial"/>
          <w:sz w:val="18"/>
          <w:szCs w:val="18"/>
          <w:color w:val="auto"/>
        </w:rPr>
        <w:t>The following table sets forth the consolidated gross profits and gross profit margins of our business activities for the periods indicated as derived from our audited financial statements. The gross profit margins in 2013 and 2014 were calculated by dividing our gross profits over our net revenues for the corresponding type of services.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540" w:type="dxa"/>
            <w:vAlign w:val="bottom"/>
            <w:tcBorders>
              <w:bottom w:val="single" w:sz="8" w:color="auto"/>
            </w:tcBorders>
            <w:gridSpan w:val="5"/>
          </w:tcPr>
          <w:p>
            <w:pPr>
              <w:ind w:left="1300"/>
              <w:spacing w:after="0"/>
              <w:rPr>
                <w:sz w:val="20"/>
                <w:szCs w:val="20"/>
                <w:color w:val="auto"/>
              </w:rPr>
            </w:pPr>
            <w:r>
              <w:rPr>
                <w:rFonts w:ascii="Arial" w:cs="Arial" w:eastAsia="Arial" w:hAnsi="Arial"/>
                <w:sz w:val="14"/>
                <w:szCs w:val="14"/>
                <w:b w:val="1"/>
                <w:bCs w:val="1"/>
                <w:color w:val="auto"/>
                <w:w w:val="99"/>
              </w:rPr>
              <w:t>For the Year Ended December 31,</w:t>
            </w: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360" w:type="dxa"/>
            <w:vAlign w:val="bottom"/>
            <w:tcBorders>
              <w:bottom w:val="single" w:sz="8" w:color="auto"/>
            </w:tcBorders>
          </w:tcPr>
          <w:p>
            <w:pPr>
              <w:jc w:val="right"/>
              <w:ind w:right="43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RMB’000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rPr>
              <w:t>US$’000</w:t>
            </w:r>
          </w:p>
        </w:tc>
        <w:tc>
          <w:tcPr>
            <w:tcW w:w="16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6,214,661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7,154,457</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1,153,090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526,181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826,138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133,149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(23,183)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470,695</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75,862</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1,362,101</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(loss) margin: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Online game services</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79.0%</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77.2%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77.2%</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53.3%</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42.7%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42.7%</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 margin</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00" w:firstLine="510"/>
        <w:spacing w:after="0" w:line="297" w:lineRule="auto"/>
        <w:rPr>
          <w:sz w:val="20"/>
          <w:szCs w:val="20"/>
          <w:color w:val="auto"/>
        </w:rPr>
      </w:pPr>
      <w:r>
        <w:rPr>
          <w:rFonts w:ascii="Arial" w:cs="Arial" w:eastAsia="Arial" w:hAnsi="Arial"/>
          <w:sz w:val="16"/>
          <w:szCs w:val="16"/>
          <w:color w:val="auto"/>
        </w:rPr>
        <w:t>The slight decrease of gross profit margin for online game services was mainly due to the increased revenues contribution from mobile games and licensed games, which have relatively lower gross profit margins, as a percentage of NetEase’s total online game revenues. The increase in gross profit margin for advertising services was mainly due to the enhanced economies of scale driven by revenue growth in our Internet media business. The increase in gross profit margin for e-mail, e-commerce and others business was mainly due to increased revenue from NetEase’s e-commerce business, which has a relatively higher gross profit margin as the revenue from such services is recognized on a net basis after deducting the related costs of such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Total operating expenses increased by 55.9% to RMB3,686.2 million in 2014 from RMB2,365.1 million in 2013 as a result of an increase in selling and marketing expenses, general and administrative expenses and research and development expenses.</w:t>
      </w:r>
    </w:p>
    <w:p>
      <w:pPr>
        <w:spacing w:after="0" w:line="170"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Selling and marketing expenses increased by 73.3% to RMB1,895.0 million in 2014 from RMB1,093.6 million in 2013, primarily due to a combination of the following factors:</w:t>
      </w:r>
    </w:p>
    <w:p>
      <w:pPr>
        <w:spacing w:after="0" w:line="170" w:lineRule="exact"/>
        <w:rPr>
          <w:sz w:val="20"/>
          <w:szCs w:val="20"/>
          <w:color w:val="auto"/>
        </w:rPr>
      </w:pPr>
    </w:p>
    <w:p>
      <w:pPr>
        <w:ind w:left="1020" w:right="20" w:hanging="502"/>
        <w:spacing w:after="0" w:line="302" w:lineRule="auto"/>
        <w:tabs>
          <w:tab w:leader="none" w:pos="987"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increase in marketing costs of approximately RMB657.6 million in 2014 resulting from increased marketing spending on media and outdoor branding promotion for our e-commerce and advertising services business, mainly in relation to the 2014 FIFA World Cup, and increased advertising and marketing promotional activities related to various online games, including Fantasy Westward Journey II, New Westward Journey Online II, Blizzard’s World of Warcraft and Hearthstone: Heroes of Warcraft, and our mobile games, such as Battle to the West.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20" w:hanging="502"/>
        <w:spacing w:after="0" w:line="277" w:lineRule="auto"/>
        <w:tabs>
          <w:tab w:leader="none" w:pos="9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staff-related costs of our sales team of approximately RMB111.0 million in 2014, primarily driven by higher compensation levels and performance-related bonus accruals for our online game and advertising promotion teams.</w:t>
      </w:r>
    </w:p>
    <w:p>
      <w:pPr>
        <w:spacing w:after="0" w:line="170" w:lineRule="exact"/>
        <w:rPr>
          <w:rFonts w:ascii="Arial" w:cs="Arial" w:eastAsia="Arial" w:hAnsi="Arial"/>
          <w:sz w:val="18"/>
          <w:szCs w:val="18"/>
          <w:color w:val="auto"/>
        </w:rPr>
      </w:pPr>
    </w:p>
    <w:p>
      <w:pPr>
        <w:ind w:left="1020" w:right="280" w:hanging="502"/>
        <w:spacing w:after="0" w:line="277" w:lineRule="auto"/>
        <w:tabs>
          <w:tab w:leader="none" w:pos="9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other miscellaneous costs of approximately RMB23.4 million in 2014 primarily driven by increased business expansion costs related to our advertising and online game business.</w:t>
      </w:r>
    </w:p>
    <w:p>
      <w:pPr>
        <w:spacing w:after="0" w:line="170"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General and administrative expenses increased by 33.7% to RMB467.7 million in 2014 from RMB349.8 million in 2013, primarily due to an increase in staff-related costs of approximately RMB74.5 million in 2014 primarily driven by increased headcount, higher compensation levels and an increase in other miscellaneous costs of approximately RMB29.1 million such as facility costs due to increased business expansion.</w:t>
      </w:r>
    </w:p>
    <w:p>
      <w:pPr>
        <w:spacing w:after="0" w:line="166"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Research and development expenses increased by 43.6% to RMB1,323.5 million in 2014 from RMB921.6 million in 2013, primarily due to a combination of the following factors:</w:t>
      </w:r>
    </w:p>
    <w:p>
      <w:pPr>
        <w:spacing w:after="0" w:line="170" w:lineRule="exact"/>
        <w:rPr>
          <w:sz w:val="20"/>
          <w:szCs w:val="20"/>
          <w:color w:val="auto"/>
        </w:rPr>
      </w:pPr>
    </w:p>
    <w:p>
      <w:pPr>
        <w:ind w:left="1060" w:hanging="541"/>
        <w:spacing w:after="0" w:line="264" w:lineRule="auto"/>
        <w:tabs>
          <w:tab w:leader="none" w:pos="10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increase in staff-related costs of approximately RMB321.1 million in 2014, mainly as a result of increased headcount of program developers in our game studio and research and development center in Hangzhou and higher salaries and other benefits paid to our research and development team during 2014, including share based compensation.</w:t>
      </w:r>
    </w:p>
    <w:p>
      <w:pPr>
        <w:spacing w:after="0" w:line="181" w:lineRule="exact"/>
        <w:rPr>
          <w:rFonts w:ascii="Arial" w:cs="Arial" w:eastAsia="Arial" w:hAnsi="Arial"/>
          <w:sz w:val="18"/>
          <w:szCs w:val="18"/>
          <w:color w:val="auto"/>
        </w:rPr>
      </w:pPr>
    </w:p>
    <w:p>
      <w:pPr>
        <w:ind w:left="1020" w:hanging="52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technology costs mainly for game content design of approximately RMB48.6 million.</w:t>
      </w:r>
    </w:p>
    <w:p>
      <w:pPr>
        <w:sectPr>
          <w:pgSz w:w="11900" w:h="16838" w:orient="portrait"/>
          <w:cols w:equalWidth="0" w:num="1">
            <w:col w:w="11400"/>
          </w:cols>
          <w:pgMar w:left="240" w:top="341" w:right="259" w:bottom="0" w:gutter="0" w:footer="0" w:header="0"/>
        </w:sectPr>
      </w:pPr>
    </w:p>
    <w:bookmarkStart w:id="55" w:name="page56"/>
    <w:bookmarkEnd w:id="55"/>
    <w:p>
      <w:pPr>
        <w:ind w:left="1060" w:right="220" w:hanging="566"/>
        <w:spacing w:after="0" w:line="277" w:lineRule="auto"/>
        <w:tabs>
          <w:tab w:leader="none" w:pos="10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increase in other miscellaneous cost of approximately RMB23.4 million such as rental and utilities, mainly for development of our online game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w:t>
      </w:r>
    </w:p>
    <w:p>
      <w:pPr>
        <w:spacing w:after="0" w:line="229"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As of December 31, 2014, the gross accounts receivable balance before any allowance for bad and doubtful accounts was RMB884.3 million. After providing for doubtful accounts in the amount of RMB11.2 million, the net balance of accounts receivable was RMB873.1 million as of December 31, 2014. The allowances for doubtful accounts represented the provisions of RMB11.2 million as of December 31 2014, as compared to the provision of RMB8.3 million as of December 31, 2013.</w:t>
      </w:r>
    </w:p>
    <w:p>
      <w:pPr>
        <w:spacing w:after="0" w:line="187"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We periodically review our provisioning policy for doubtful accounts. In assessing the adequacy and reasonableness of the policy, we consider the aging analysis of accounts receivable balances, historical bad debt rates, repayment patterns and credit worthiness of customers and industry trend analysis.</w:t>
      </w:r>
    </w:p>
    <w:p>
      <w:pPr>
        <w:spacing w:after="0" w:line="12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No significant allowance for bad and doubtful accounts was provided in 2014. As of December 31, 2014, we had no single customer with a receivable balance exceeding 10% of our total accounts receivable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Other income in 2014 mainly consisted of interest income, investment income related to short-term investments and government incentives, offset in part by investment impairment loss related to one of our equity investments and foreign exchange loss. Interest income increased to RMB601.5 million in 2014 from RMB506.2 million in 2013, primarily due to an increase in our total cash and cash equivalents and time deposit balance which increased by 14.0% to RMB21.2 billion as of December 31, 2014 from RMB18.6 billion as of December 31, 2013. We incurred interest expense of RMB19.6 million in 2014 related to our short-term borrowings. Investment income related to short-term investments, which consisted of held-to-maturity investments of fixed-rate corporate bonds and other short-term investments of financial products issued by commercial banks with a maturity date within one year when purchased, was RMB64.2 million in 2014, compared to RMB37.3 million in 2013. As of December 31, 2014, our short-term investments totaled approximately RMB2,058.6 million, compared to RMB901.2 million as of December 31, 2013. In 2014, we recognized an impairment provision of RMB24.0 million related to one of our equity investments, compared to nil in 2013. In 2014, we received and recognized unconditional government incentives of RMB82.5million, compared to RMB103.3 million in 2013. We also reported a net foreign exchange loss of RMB18.0 million in 2014, compared to a net foreign exchange loss of RMB15.3 million in 2013, which is primarily due to the translation loss arising from our U.S. dollar-denominated bank deposit and short-term loan balances as the exchange rate of the U.S. dollar against the RMB fluctuated over these periods.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Income tax increased to RMB662.7 million in 2014 from RMB530.6 million in 2013. Our effective tax rate in 2014 was 12.1% compared with 10.7% in 2013. The change in the effective tax rate was mainly due to a one-off tax benefit of RMB304.6 million that we recorded in 2013 due to the fact that certain of our subsidiaries were approved in 2013 as Key Software Enterprises with respect to fiscal years 2011 and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a result of the foregoing, net income attributable to our shareholders increased by 7.0% to RMB4,756.6 million in 2014 from RMB4,443.9 million in 2013.</w:t>
      </w:r>
    </w:p>
    <w:p>
      <w:pPr>
        <w:spacing w:after="0" w:line="16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To date, we have financed our operations primarily through operating cash flows and existing capital resources. As of December 31, 2015, we had RMB6,071.5 million (US$937.3 million) in cash and cash equivalents, RMB15,703.3 million (US$2,424.2 million) in time deposits and RMB5,013.5 million (US$774.0 million) in short-term investments. We had short-term borrowings of RMB2,272.8 million (US$350.9 million) as of December 31, 2015.</w:t>
      </w:r>
    </w:p>
    <w:p>
      <w:pPr>
        <w:spacing w:after="0" w:line="147"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360" w:firstLine="506"/>
        <w:spacing w:after="0" w:line="277" w:lineRule="auto"/>
        <w:rPr>
          <w:sz w:val="20"/>
          <w:szCs w:val="20"/>
          <w:color w:val="auto"/>
        </w:rPr>
      </w:pPr>
      <w:r>
        <w:rPr>
          <w:rFonts w:ascii="Arial" w:cs="Arial" w:eastAsia="Arial" w:hAnsi="Arial"/>
          <w:sz w:val="18"/>
          <w:szCs w:val="18"/>
          <w:color w:val="auto"/>
        </w:rPr>
        <w:t>Cash provided by operating activities was RMB8,076.9 million (US$1,246.9 million), RMB5,873.0 million and RMB5,235.9 million for the years ended December 31, 2015, 2014 and 2013,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For the year ended December 31, 2015, cash provided by operating activities consisted primarily of (i) our net income of RMB6,836.9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(US$1,055.4 million), (ii) an increase in deferred revenue of RMB2,684.0 million (US$414.3 million) (iii) an increase in accounts payable and other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RMB1,376.4 million (US$212.5 million), such as content fees, bandwidth cost, bonuses, marketing expenses and sales of game cards, (iv) share-based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cost of RMB684.5 million (US$105.7 million), (v) an increase in tax payable of RMB401.9 million (US$62.0 million) and (vi) depreciation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amortization charges of RMB182.5 million (US$28.2 million), partially offset by (A) an increase in accounts receivable, prepayments and other current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assets of RMB2,993.6 million (US$462.1 million), (B) an increase in inventories of RMB789.5 million (US$121.9 million), (C) deferred income taxes of</w:t>
      </w:r>
    </w:p>
    <w:p>
      <w:pPr>
        <w:sectPr>
          <w:pgSz w:w="11900" w:h="16838" w:orient="portrait"/>
          <w:cols w:equalWidth="0" w:num="1">
            <w:col w:w="11420"/>
          </w:cols>
          <w:pgMar w:left="240" w:top="341" w:right="239" w:bottom="0" w:gutter="0" w:footer="0" w:header="0"/>
        </w:sectPr>
      </w:pPr>
    </w:p>
    <w:bookmarkStart w:id="56" w:name="page57"/>
    <w:bookmarkEnd w:id="56"/>
    <w:p>
      <w:pPr>
        <w:ind w:right="20"/>
        <w:spacing w:after="0" w:line="277" w:lineRule="auto"/>
        <w:rPr>
          <w:sz w:val="20"/>
          <w:szCs w:val="20"/>
          <w:color w:val="auto"/>
        </w:rPr>
      </w:pPr>
      <w:r>
        <w:rPr>
          <w:rFonts w:ascii="Arial" w:cs="Arial" w:eastAsia="Arial" w:hAnsi="Arial"/>
          <w:sz w:val="18"/>
          <w:szCs w:val="18"/>
          <w:color w:val="auto"/>
        </w:rPr>
        <w:t>RMB147.3 million (US$22.7 million), (D) fair value changes in short-term investments of RMB140.1 million (US$21.6 million) and (E) unrealized exchange gains of RMB116.8 million (US$18.0 million).</w:t>
      </w:r>
    </w:p>
    <w:p>
      <w:pPr>
        <w:spacing w:after="0" w:line="170"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For the year ended December 31, 2014, cash provided by operating activities consisted primarily of (i) our net income of RMB4,795.7 million, (ii) an increase in accounts payable and other liabilities of RMB658.4 million, such as content fees, bandwidth cost, bonuses, marketing expenses and sales of game cards, (iii) an increase in deferred revenue of RMB486.7 million, (iv) share-based compensation cost of RMB349.3 million, (v) an increase in tax payable of RMB259.8 million and (vi) depreciation and amortization charges of RMB174.5 million, partially offset by (A) an increase in accounts receivable, prepayments and other current assets of RMB766.8 million, (B) deferred income taxes of RMB117.3 million and (C) fair value changes in short-term investments of RMB64.2 million.</w:t>
      </w:r>
    </w:p>
    <w:p>
      <w:pPr>
        <w:spacing w:after="0" w:line="193" w:lineRule="exact"/>
        <w:rPr>
          <w:sz w:val="20"/>
          <w:szCs w:val="20"/>
          <w:color w:val="auto"/>
        </w:rPr>
      </w:pPr>
    </w:p>
    <w:p>
      <w:pPr>
        <w:ind w:right="120" w:firstLine="510"/>
        <w:spacing w:after="0" w:line="276" w:lineRule="auto"/>
        <w:rPr>
          <w:sz w:val="20"/>
          <w:szCs w:val="20"/>
          <w:color w:val="auto"/>
        </w:rPr>
      </w:pPr>
      <w:r>
        <w:rPr>
          <w:rFonts w:ascii="Arial" w:cs="Arial" w:eastAsia="Arial" w:hAnsi="Arial"/>
          <w:sz w:val="17"/>
          <w:szCs w:val="17"/>
          <w:color w:val="auto"/>
        </w:rPr>
        <w:t>For the year ended December 31, 2013, cash provided by operating activities consisted primarily of (i) our net income of RMB4,445.2 million, (ii) an increase in deferred revenue of RMB321.0 million, (iii) share-based compensation cost of RMB306.3 million, (iv) an increase in accounts payable and other liabilities of RMB303.2 million, such as content fees, bandwidth cost, bonus, marketing expenses and sales of game cards, (v) depreciation and amortization charges of RMB158.4 million and (vi) deferred income taxes of RMB142.3 million, partially offset by (A) taxes payable of RMB315.0 million and (B) an increase in accounts receivable, prepayments and other current assets of RMB153.0 million.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040" w:firstLine="510"/>
        <w:spacing w:after="0" w:line="277" w:lineRule="auto"/>
        <w:rPr>
          <w:sz w:val="20"/>
          <w:szCs w:val="20"/>
          <w:color w:val="auto"/>
        </w:rPr>
      </w:pPr>
      <w:r>
        <w:rPr>
          <w:rFonts w:ascii="Arial" w:cs="Arial" w:eastAsia="Arial" w:hAnsi="Arial"/>
          <w:sz w:val="18"/>
          <w:szCs w:val="18"/>
          <w:color w:val="auto"/>
        </w:rPr>
        <w:t>Cash used in investing activities was RMB2,536.5 million (US$391.6 million), 4,520.2 million, RMB5,453.3 million for the years ended December 31, 2015, 2014 and 2013, respectively.</w:t>
      </w:r>
    </w:p>
    <w:p>
      <w:pPr>
        <w:spacing w:after="0" w:line="170"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For the year ended December 31, 2015, cash used in investing activities mainly consisted of (i) placement/rollover of matured time deposits of RMB19,017.8 million (US$2,935.8 million), (ii) purchase of short-term investments of RMB5,687.0 million (US$877.9 million), (iii) acquisitions of other long-term investments of RMB1,178.9 million (US$182.0 million), (iv) purchase of property, equipment, software and land use rights of RMB1,030.7 million (US$159.1 million), (v) transfer of cash deposited by customers with our Wangyibao online payment platform to restricted cash pursuant to relevant PBOC regulations and cash deposited for our short-term loan of RMB763.5 million (US$117.9 million), (vi) net change in short-term investments with terms of three months or less of RMB231.3 million (US$35.7 million), (vii) investment in associated companies of RMB187.5 million (US$29.0 million) and</w:t>
      </w:r>
    </w:p>
    <w:p>
      <w:pPr>
        <w:spacing w:after="0" w:line="5" w:lineRule="exact"/>
        <w:rPr>
          <w:sz w:val="20"/>
          <w:szCs w:val="20"/>
          <w:color w:val="auto"/>
        </w:rPr>
      </w:pPr>
    </w:p>
    <w:p>
      <w:pPr>
        <w:ind w:right="40" w:firstLine="8"/>
        <w:spacing w:after="0" w:line="261" w:lineRule="auto"/>
        <w:tabs>
          <w:tab w:leader="none" w:pos="4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in other assets of RMB127.0 million (US$19.6 million), partially offset by (A) proceeds from maturity of time deposits of RMB22,582.5 million (US$3,486.1 million) and (B) proceeds from maturity of short-term investments of RMB3,103.5 million (US$479.1 million).</w:t>
      </w:r>
    </w:p>
    <w:p>
      <w:pPr>
        <w:spacing w:after="0" w:line="18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For the year ended December 31, 2014, cash used in investing activities mainly consisted of (i) placement/rollover of matured time deposits of RMB21,955.0 million, (ii) purchase of short-term investments of RMB2,358.1 million, (iii) purchase of property, equipment and software of RMB537.4 million and (iv) transfer of cash deposited by customers with our Wangyibao online payment platform to restricted cash pursuant to relevant PBOC regulations and cash deposited for our short-term loan of RMB492.1 million, partially offset by (A) proceeds from maturity of time deposits of RMB19,905.0 million, (B) proceeds from maturity of short-term investments of RMB1,017.6 million and (C) net change in short-term investments with terms of three months or less of RMB247.4 million.</w:t>
      </w:r>
    </w:p>
    <w:p>
      <w:pPr>
        <w:spacing w:after="0" w:line="193" w:lineRule="exact"/>
        <w:rPr>
          <w:sz w:val="20"/>
          <w:szCs w:val="20"/>
          <w:color w:val="auto"/>
        </w:rPr>
      </w:pPr>
    </w:p>
    <w:p>
      <w:pPr>
        <w:ind w:right="20" w:firstLine="510"/>
        <w:spacing w:after="0" w:line="276" w:lineRule="auto"/>
        <w:rPr>
          <w:sz w:val="20"/>
          <w:szCs w:val="20"/>
          <w:color w:val="auto"/>
        </w:rPr>
      </w:pPr>
      <w:r>
        <w:rPr>
          <w:rFonts w:ascii="Arial" w:cs="Arial" w:eastAsia="Arial" w:hAnsi="Arial"/>
          <w:sz w:val="17"/>
          <w:szCs w:val="17"/>
          <w:color w:val="auto"/>
        </w:rPr>
        <w:t>For the year ended December 31, 2013, cash used in investing activities mainly consisted of (i) placement/rollover of matured time deposits of RMB21,807.6 million, (ii) transfer of cash deposited by customers with our Wangyibao online payment platform to restricted cash pursuant to relevant PBOC regulations and cash deposited for our short-term loan of RMB1,566.2 million, (iii) purchase of short-term investments of RMB880.0 million and (iv) equity investment related to our joint venture with China Telecom for the operation of YiChat of RMB200.0 million, partially offset by (A) proceeds from maturity of time deposits of RMB18,231.8 million and (B) proceeds from maturity of short-term investments of RMB1,040.0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Cash used in financing activities was RMB1,632.7 million (US$252.1 million) for the year ended December 31, 2015 and cash used in and provided by financing activities was RMB778.4 million and RMB86.8 million for the years ended December 31, 2014 and 2013, respectively.</w:t>
      </w:r>
    </w:p>
    <w:p>
      <w:pPr>
        <w:spacing w:after="0" w:line="14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For the year ended December 31, 2015, cash used in financing activities resulted from payment of short-term bank loan of RMB5,741.6 million</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(US$886.4 million), dividends paid in the amount of RMB1,468.0 million (US$226.6 million), repurchase of mezzanine classified noncontrolling interests of RMB134.7 million (US$20.8 million) and repurchase of shares of RMB132.2 million (US$20.4 million), partially offset by proceeds from bank loan of RMB5,828.8 million (US$899.8 million).</w:t>
      </w:r>
    </w:p>
    <w:p>
      <w:pPr>
        <w:spacing w:after="0" w:line="190" w:lineRule="exact"/>
        <w:rPr>
          <w:sz w:val="20"/>
          <w:szCs w:val="20"/>
          <w:color w:val="auto"/>
        </w:rPr>
      </w:pPr>
    </w:p>
    <w:p>
      <w:pPr>
        <w:ind w:right="360" w:firstLine="510"/>
        <w:spacing w:after="0" w:line="264" w:lineRule="auto"/>
        <w:rPr>
          <w:sz w:val="20"/>
          <w:szCs w:val="20"/>
          <w:color w:val="auto"/>
        </w:rPr>
      </w:pPr>
      <w:r>
        <w:rPr>
          <w:rFonts w:ascii="Arial" w:cs="Arial" w:eastAsia="Arial" w:hAnsi="Arial"/>
          <w:sz w:val="18"/>
          <w:szCs w:val="18"/>
          <w:color w:val="auto"/>
        </w:rPr>
        <w:t>For the year ended December 31, 2014, cash used in financing activities resulted from dividends paid in the amount of RMB1,983.0 million and payment of short-term bank loan of RMB975.5 million, partially offset by proceeds from bank loan of RMB2,046.7 million and capital contribution from mezzanine classified noncontrolling interests of RMB130.4 million.</w:t>
      </w:r>
    </w:p>
    <w:p>
      <w:pPr>
        <w:spacing w:after="0" w:line="181"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For the year ended December 31, 2013, cash provided by financing activities resulted from proceeds from the short-term loan of RMB1,005.7 million, partially offset by a dividend paid in the amount of RMB815.4 million and open market purchases of our ADSs in the amount of RMB106.8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Resources</w:t>
      </w:r>
    </w:p>
    <w:p>
      <w:pPr>
        <w:spacing w:after="0" w:line="229"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on hand, demand deposits and time deposits mainly placed with banks in Hong Kong and China and short-term investments. Although we consolidate the results of our subsidiaries and variable interest entities in our consolidated financial statements, we do not have direct access to the cash and cash equivalents or future earnings of our subsidiaries and variable interest entities. As of December 31, 2015, these subsidiaries and variable interest entities had RMB21.0 billion (US$3.2 billion) in cash and cash equivalents, demand deposits and short-term and long-term time deposits. Our cash and cash equivalents, demand deposits, time deposits and short-term investments held outside of China are mainly denominated in U.S. dollars, Renminbi and Euro.</w:t>
      </w:r>
    </w:p>
    <w:p>
      <w:pPr>
        <w:sectPr>
          <w:pgSz w:w="11900" w:h="16838" w:orient="portrait"/>
          <w:cols w:equalWidth="0" w:num="1">
            <w:col w:w="11420"/>
          </w:cols>
          <w:pgMar w:left="240" w:top="125"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To fund any cash requirements we may have, we may need to rely on dividends and other distributions on equity paid by our subsidiaries. Since substantially all of our operations are conducted through our PRC subsidiaries and variable interest entities, our subsidiaries may need to rely on dividends, loans or advances made by another PRC subsidiary or variable interest entity. Certain of these payments are subject to PRC taxes, including sales taxes, which effectively reduce the received amount. In addition, the PRC government could impose restrictions on such payments or change the tax rates applicable to such payments. As of December 31, 2015, we had accrued an aggregate of RMB180.7 million (US$27.9 million) for withholding tax liabilities associated with the cash expected to be distributed from our PRC subsidiaries offshore to our company for the payment of quarterly dividends and for general corporate purposes. For the foreseeable future, we intend to reinvest all remaining undistributed earnings as at December 31, 2015 in our PRC subsidiaries, and accordingly no other withholding tax is expected to be incurred.</w:t>
      </w:r>
    </w:p>
    <w:p>
      <w:pPr>
        <w:spacing w:after="0" w:line="179"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PRC subsidiaries and VIEs are restricted in their ability to transfer a portion of their net assets to us either in the form of dividends, loans or advances, which restricted portion amounted to approximately RMB4.5 billion, or 15% of our total consolidated net assets, as of December 31, 2015. In addition, if any of our PRC subsidiaries incurs debt on its own behalf in the future, the instruments governing the debt may restrict its ability to pay dividends or make other distributions to us.</w:t>
      </w:r>
    </w:p>
    <w:p>
      <w:pPr>
        <w:spacing w:after="0" w:line="166"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Furthermore, any transfer of funds from us to any of our PRC subsidiaries or variable interest entities,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PRC subsidiaries and variable interest entities are not permitted under PRC law to directly lend money to one another. Therefore, it is difficult to change our capital expenditure plans once the relevant funds have been remitted from our company to our PRC subsidiaries or variable interest entities. These limitations on the free flow of funds between us and our PRC subsidiaries and variable interest entities could restrict our ability to act in response to changing market conditions and reallocate funds internally in a timely manner.</w:t>
      </w:r>
    </w:p>
    <w:p>
      <w:pPr>
        <w:spacing w:after="0" w:line="189"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For additional information, see Item 3.D. “Risk Factors—Risks Related to Our Company—Our corporate structure may restrict our ability to receive dividends from, and transfer funds to, our PRC subsidiaries and variable interest entities,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 and Item 10D. “Exchange Controls.”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capital requirements relate primarily to financing:</w:t>
      </w:r>
    </w:p>
    <w:p>
      <w:pPr>
        <w:spacing w:after="0" w:line="225" w:lineRule="exact"/>
        <w:rPr>
          <w:sz w:val="20"/>
          <w:szCs w:val="20"/>
          <w:color w:val="auto"/>
        </w:rPr>
      </w:pPr>
    </w:p>
    <w:p>
      <w:pPr>
        <w:ind w:left="1020" w:right="680" w:hanging="502"/>
        <w:spacing w:after="0" w:line="277" w:lineRule="auto"/>
        <w:tabs>
          <w:tab w:leader="none" w:pos="9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our working capital requirements, such as bandwidth and server custody fees, inventory purchase costs, staff costs, sales and marketing expenses and research and development costs, and</w:t>
      </w:r>
    </w:p>
    <w:p>
      <w:pPr>
        <w:spacing w:after="0" w:line="170" w:lineRule="exact"/>
        <w:rPr>
          <w:rFonts w:ascii="Arial" w:cs="Arial" w:eastAsia="Arial" w:hAnsi="Arial"/>
          <w:sz w:val="18"/>
          <w:szCs w:val="18"/>
          <w:color w:val="auto"/>
        </w:rPr>
      </w:pPr>
    </w:p>
    <w:p>
      <w:pPr>
        <w:ind w:left="1020" w:right="100" w:hanging="506"/>
        <w:spacing w:after="0" w:line="277" w:lineRule="auto"/>
        <w:tabs>
          <w:tab w:leader="none" w:pos="978"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costs associated with the expansion of our business, such as the purchase of servers, office renovations and construction of new office buildings and warehouses in Beijing, Guangzhou, Hangzhou, Zhoushan and Ningbo.</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29"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have utilized and will continue to utilize the products and services of third parties to enhance our platform of technologies and services to provide competitive and diverse Internet and e-commerce services to our users. In addition, we plan to continue to expand our technologies, products and services and registered user base through diverse online community products and services developed internally, particularly with respect to our online game services. We will seek to continually improve and enhance our existing services to respond to rapidly evolving competitive and technological conditions. For the years 2015, 2014 and 2013, we spent RMB2,158.9 million (US$333.3 million), RMB1,323.5 million and RMB921.6 million, respectively, on research and development activities.</w:t>
      </w:r>
    </w:p>
    <w:p>
      <w:pPr>
        <w:spacing w:after="0" w:line="18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16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We do not have any outstanding derivative financial instruments, off-balance sheet guarantees, interest rate swap transactions or foreign currency forward contracts. We do not engage in trading activities involving non-exchange traded contracts.</w:t>
      </w:r>
    </w:p>
    <w:p>
      <w:pPr>
        <w:spacing w:after="0" w:line="166"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ectPr>
          <w:pgSz w:w="11900" w:h="16838" w:orient="portrait"/>
          <w:cols w:equalWidth="0" w:num="1">
            <w:col w:w="11420"/>
          </w:cols>
          <w:pgMar w:left="240" w:top="517" w:right="239" w:bottom="144" w:gutter="0" w:footer="0" w:header="0"/>
        </w:sectPr>
      </w:pPr>
    </w:p>
    <w:bookmarkStart w:id="58" w:name="page59"/>
    <w:bookmarkEnd w:id="58"/>
    <w:p>
      <w:pPr>
        <w:ind w:right="140" w:firstLine="510"/>
        <w:spacing w:after="0" w:line="293" w:lineRule="auto"/>
        <w:rPr>
          <w:sz w:val="20"/>
          <w:szCs w:val="20"/>
          <w:color w:val="auto"/>
        </w:rPr>
      </w:pPr>
      <w:r>
        <w:rPr>
          <w:rFonts w:ascii="Arial" w:cs="Arial" w:eastAsia="Arial" w:hAnsi="Arial"/>
          <w:sz w:val="16"/>
          <w:szCs w:val="16"/>
          <w:color w:val="auto"/>
        </w:rPr>
        <w:t>We have entered into leasing arrangements relating to our office premises. We also have contractual obligations in respect of the construction of new office buildings and warehouse facilities in Hangzhou, Guangzhou, Zhoushan and Ningbo, office rental and capital expenditures related to computer equipment and server custody fees. In addition, we have contractual obligations in connection with the licensing of World of Warcraft, StarCraft II: Wings of Liberty, Heroes of the Storm, Hearthstone: Heroes of Warcraft and Diablo III from Blizzard, as described below. The following sets forth our contractual obligations for operating leases, server custody fees, long-term payables, capital expenditures and office machine and other obligations related to content and services purchases, other than our obligations in connection with the online games licensed by Blizzard, as of December 31, 2015: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Rental</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Server custody</w:t>
            </w: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Long-term</w:t>
            </w: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Office machine</w:t>
            </w: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fee</w:t>
            </w:r>
          </w:p>
        </w:tc>
        <w:tc>
          <w:tcPr>
            <w:tcW w:w="16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and other</w:t>
            </w:r>
          </w:p>
        </w:tc>
        <w:tc>
          <w:tcPr>
            <w:tcW w:w="14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commitments</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commitments</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payables</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commitments</w:t>
            </w: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commitments</w:t>
            </w: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6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1380" w:type="dxa"/>
            <w:vAlign w:val="bottom"/>
            <w:tcBorders>
              <w:top w:val="single" w:sz="8" w:color="auto"/>
            </w:tcBorders>
          </w:tcPr>
          <w:p>
            <w:pPr>
              <w:jc w:val="right"/>
              <w:ind w:right="435"/>
              <w:spacing w:after="0" w:line="119" w:lineRule="exact"/>
              <w:rPr>
                <w:sz w:val="20"/>
                <w:szCs w:val="20"/>
                <w:color w:val="auto"/>
              </w:rPr>
            </w:pPr>
            <w:r>
              <w:rPr>
                <w:rFonts w:ascii="Arial" w:cs="Arial" w:eastAsia="Arial" w:hAnsi="Arial"/>
                <w:sz w:val="13"/>
                <w:szCs w:val="13"/>
                <w:b w:val="1"/>
                <w:bCs w:val="1"/>
                <w:color w:val="auto"/>
              </w:rPr>
              <w:t>RMB</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0" w:type="dxa"/>
            <w:vAlign w:val="bottom"/>
            <w:gridSpan w:val="4"/>
          </w:tcPr>
          <w:p>
            <w:pPr>
              <w:ind w:left="10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105,095</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27,672</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719,424</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65,960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918,151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2017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90,505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6,071</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84,974</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456,236</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15,340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653,126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60,411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16,612</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10,010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2019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7,887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4,700</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Beyond 2019</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275,945</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37,343</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84,974</w:t>
            </w: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1,192,272</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100,538</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1,691,072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86"/>
        <w:spacing w:after="0" w:line="273" w:lineRule="auto"/>
        <w:rPr>
          <w:sz w:val="20"/>
          <w:szCs w:val="20"/>
          <w:color w:val="auto"/>
        </w:rPr>
      </w:pPr>
      <w:r>
        <w:rPr>
          <w:rFonts w:ascii="Arial" w:cs="Arial" w:eastAsia="Arial" w:hAnsi="Arial"/>
          <w:sz w:val="17"/>
          <w:szCs w:val="17"/>
          <w:color w:val="auto"/>
        </w:rPr>
        <w:t>Under certain license agreements entered into in 2008, 2009, 2012, 2013 and 2014 pursuant to which Blizzard licensed to Shanghai EaseNet the exclusive right to operate StarCraft II: Wings of Liberty, World of Warcraft, Heroes of the Storm, Hearthstone: Heroes of Warcraft and Diablo III in the PRC, Shanghai EaseNet is required to pay license fees (except Hearthstone: Heroes of Warcraft, Heroes of the Storm and Diablo III for which no license fee is required to be paid), royalties and consultancy fees (except Hearthstone: Heroes of Warcraft, Heroes of the Storm and Diablo III for which no consultancy fee is required to be paid) to Blizzard for the games, and it also has a minimum marketing expenditure commitment. In accordance with such license agreements, we have incurred an overall commitment totaling approximately RMB5.6 billion (US$0.9 billion).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December 31, 2015, our outstanding commitments under the license agreements with respect to StarCraft II: Wings of Liberty, World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Warcraft, Hearthstone: Heroes of Warcraft, Heroes of the Storm and Diablo III totaled RMB0.9 billion (US$0.1 billion) which can be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RMB (in millions)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9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2017</w:t>
            </w:r>
          </w:p>
        </w:tc>
        <w:tc>
          <w:tcPr>
            <w:tcW w:w="5360" w:type="dxa"/>
            <w:vAlign w:val="bottom"/>
            <w:gridSpan w:val="3"/>
          </w:tcPr>
          <w:p>
            <w:pPr>
              <w:jc w:val="right"/>
              <w:ind w:right="120"/>
              <w:spacing w:after="0"/>
              <w:rPr>
                <w:sz w:val="20"/>
                <w:szCs w:val="20"/>
                <w:color w:val="auto"/>
              </w:rPr>
            </w:pPr>
            <w:r>
              <w:rPr>
                <w:rFonts w:ascii="Arial" w:cs="Arial" w:eastAsia="Arial" w:hAnsi="Arial"/>
                <w:sz w:val="18"/>
                <w:szCs w:val="18"/>
                <w:color w:val="auto"/>
              </w:rPr>
              <w:t>123</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9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00" w:type="dxa"/>
            <w:vAlign w:val="bottom"/>
            <w:vMerge w:val="restart"/>
          </w:tcPr>
          <w:p>
            <w:pPr>
              <w:jc w:val="right"/>
              <w:ind w:right="1810"/>
              <w:spacing w:after="0"/>
              <w:rPr>
                <w:sz w:val="20"/>
                <w:szCs w:val="20"/>
                <w:color w:val="auto"/>
              </w:rPr>
            </w:pPr>
            <w:r>
              <w:rPr>
                <w:rFonts w:ascii="Arial" w:cs="Arial" w:eastAsia="Arial" w:hAnsi="Arial"/>
                <w:sz w:val="18"/>
                <w:szCs w:val="18"/>
                <w:color w:val="auto"/>
              </w:rPr>
              <w:t>76</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Furthermore, under a license agreement entered into in May 2015, Blizzard agreed to license to Shanghai EaseNet the exclusive right to operate OverWatch in the PRC for a period of three years commencing from the game’s commercial release. We expect to incur a commitment totaling approximately RMB666.8 million (US$102.9 million), including royalty fees to Blizzard and minimum marketing expenditures for the game. As of December 31, 2015, OverWatch has not been commercially launched in China.</w:t>
      </w:r>
    </w:p>
    <w:p>
      <w:pPr>
        <w:spacing w:after="0" w:line="187" w:lineRule="exact"/>
        <w:rPr>
          <w:sz w:val="20"/>
          <w:szCs w:val="20"/>
          <w:color w:val="auto"/>
        </w:rPr>
      </w:pPr>
    </w:p>
    <w:p>
      <w:pPr>
        <w:ind w:right="160" w:firstLine="510"/>
        <w:spacing w:after="0" w:line="302" w:lineRule="auto"/>
        <w:rPr>
          <w:sz w:val="20"/>
          <w:szCs w:val="20"/>
          <w:color w:val="auto"/>
        </w:rPr>
      </w:pPr>
      <w:r>
        <w:rPr>
          <w:rFonts w:ascii="Arial" w:cs="Arial" w:eastAsia="Arial" w:hAnsi="Arial"/>
          <w:sz w:val="16"/>
          <w:szCs w:val="16"/>
          <w:color w:val="auto"/>
        </w:rPr>
        <w:t>In addition, Shanghai EaseNet is also obligated to purchase or lease certain prescribed hardware and then make such prescribed hardware available to fulfill its obligations under the license agreements with Blizzard in the aggregate amount of up to approximately RMB203.5 million (US$31.4 million) over the remaining term of each license as of December 31, 2015. This amount represents the maximum expenditure Shanghai EaseNet would have to make for the prescribed hardware, but it may not be required to spend this amount in order to satisfy its obligations with respect to such hardware.</w:t>
      </w:r>
    </w:p>
    <w:p>
      <w:pPr>
        <w:spacing w:after="0" w:line="154"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With respect to the above commitments related to Blizzard licensed games, we have guaranteed the foregoing amounts if and to the extent Shanghai EaseNet has insufficient funds to make such payments. We will be entitled to reimbursement of any amounts paid for the marketing of the games and for hardware support to operate the games under the guarantee from any net profits subsequently generated by Shanghai EaseNet, after the deduction of, among other things, various fees and expenses payable to Blizzard, our company and the joint venture with Blizzard which provides technical services to Shanghai EaseNet.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Please refer to Item 4.B. “Business Overview — Our Services — Game Licensing and Joint Venture with Blizzard” for further details.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than the obligations set forth above, we do not have any long-term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Our exposure to market rate risk for changes in interest rates relates primarily to the interest income generated by excess cash invested in fixed-rate corporate bonds of well-known Chinese companies and financial products issued by commercial banks in China, as well as interest expenses payable on our short-term bank borrowings. All of our short-term bank borrowings as of December 31, 2015 were at fixed rates. From time to time, we use derivatives, such as interest rate swaps, to manage our interest rate exposure. 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2015, a 10% change in the interest rate would result in an increase or decrease of RMB59.7 million (US$9.2 million) of our total amount of net interest income or of RMB14.3 million (US$2.2 million) of our total amount of investment income from short-term investments in 2015.</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right="160" w:firstLine="510"/>
        <w:spacing w:after="0" w:line="312" w:lineRule="auto"/>
        <w:rPr>
          <w:sz w:val="20"/>
          <w:szCs w:val="20"/>
          <w:color w:val="auto"/>
        </w:rPr>
      </w:pPr>
      <w:r>
        <w:rPr>
          <w:rFonts w:ascii="Arial" w:cs="Arial" w:eastAsia="Arial" w:hAnsi="Arial"/>
          <w:sz w:val="16"/>
          <w:szCs w:val="16"/>
          <w:color w:val="auto"/>
        </w:rPr>
        <w:t>Substantially all our revenues and expenses are denominated in Renminbi, but as noted above, a certain portion of our cash is kept in U.S. dollars and Euro. Although we believe that, in general, our exposure to foreign exchange risks should be limited, the value of our ADSs will be affected by the foreign exchange rate between U.S. dollars, Euro and Renminbi. For example, to the extent that we need to convert U.S. dollars or Euro into Renminbi for our</w:t>
      </w:r>
    </w:p>
    <w:p>
      <w:pPr>
        <w:sectPr>
          <w:pgSz w:w="11900" w:h="16838" w:orient="portrait"/>
          <w:cols w:equalWidth="0" w:num="1">
            <w:col w:w="11460"/>
          </w:cols>
          <w:pgMar w:left="240" w:top="125" w:right="199" w:bottom="0" w:gutter="0" w:footer="0" w:header="0"/>
        </w:sectPr>
      </w:pPr>
    </w:p>
    <w:bookmarkStart w:id="59" w:name="page60"/>
    <w:bookmarkEnd w:id="59"/>
    <w:p>
      <w:pPr>
        <w:spacing w:after="0" w:line="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operational needs and the Renminbi appreciates against the U.S. dollars or Euro at that time, our financial position and the price of our ADSs may be adversely affected. Conversely, if we decide to convert our Renminbi into U.S. dollars for the purpose of declaring dividends on our ADSs or otherwise and the U.S. dollar or Euro appreciates against the Renminbi, the U.S. dollar equivalent of our earnings from our subsidiaries and controlled entities in China would be reduced.</w:t>
      </w:r>
    </w:p>
    <w:p>
      <w:pPr>
        <w:spacing w:after="0" w:line="187"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In July 2005, the Chinese government announced that it is pegging the exchange rate of the Chinese Renminbi against a number of currencies, rather than just the US dollar. This change in policy has resulted in an appreciation in the value of the Renminbi against the US dollar. Although we generate substantially all of our revenues in Renminbi which has become more valuable in US dollar terms, we translate our monetary assets and liabilities which are denominated in currencies other than Renminbi into Renminbi as of each accounting period end, in accordance with applicable accounting standards. As a result of this foreign currency translation, we reported a net foreign exchange gain of RMB133.8 million (US$20.7 million) in 2015, compared to a net foreign exchange loss of RMB18.0 million in 2014.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spacing w:after="0" w:line="167" w:lineRule="exact"/>
        <w:rPr>
          <w:sz w:val="20"/>
          <w:szCs w:val="20"/>
          <w:color w:val="auto"/>
        </w:rPr>
      </w:pPr>
    </w:p>
    <w:p>
      <w:pPr>
        <w:jc w:val="both"/>
        <w:ind w:right="260" w:firstLine="510"/>
        <w:spacing w:after="0" w:line="342" w:lineRule="auto"/>
        <w:rPr>
          <w:sz w:val="20"/>
          <w:szCs w:val="20"/>
          <w:color w:val="auto"/>
        </w:rPr>
      </w:pPr>
      <w:r>
        <w:rPr>
          <w:rFonts w:ascii="Arial" w:cs="Arial" w:eastAsia="Arial" w:hAnsi="Arial"/>
          <w:sz w:val="16"/>
          <w:szCs w:val="16"/>
          <w:color w:val="auto"/>
        </w:rPr>
        <w:t>As of December 31, 2015, we had U.S. dollar-denominated debt outstanding of US$350.0 million. If the U.S. dollar had appreciated/depreciated by 10% against the Renminbi, our interest payments on this debt in Renminbi terms would have increased/decreased by RMB2.2 million (US$0.3 million).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510"/>
        <w:spacing w:after="0" w:line="264" w:lineRule="auto"/>
        <w:rPr>
          <w:sz w:val="20"/>
          <w:szCs w:val="20"/>
          <w:color w:val="auto"/>
        </w:rPr>
      </w:pPr>
      <w:r>
        <w:rPr>
          <w:rFonts w:ascii="Arial" w:cs="Arial" w:eastAsia="Arial" w:hAnsi="Arial"/>
          <w:sz w:val="18"/>
          <w:szCs w:val="18"/>
          <w:color w:val="auto"/>
        </w:rPr>
        <w:t>As of December 31, 2015, we had U.S. dollar-denominated cash and cash equivalents and time deposits of US$841.0 million. If the U.S. dollar had appreciated/depreciated by 10% against the Renminbi, our U.S. dollar-denominated cash and cash equivalents and time deposits as of December 31, 2015 would have increased/decreased by RMB544.8 million in Renminbi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May 2014, the FASB issued ASU No. 2014-09, ‘‘Revenue from Contracts with Customers (Topic 606).’’ This guidance supersedes current guidance on revenue recognition in Topic 605, ‘‘Revenue Recognition.’’ In addition, there are disclosure requirements related to the nature, amount, timing, and uncertainty of revenue recognition. In August 2015, the FASB issued ASU No. 2015-14 to defer the effective date of ASU No. 2014-09 for all entities by one year. For public entities that follow U.S. GAAP, the deferral results in the new revenue standard being effective for fiscal years, and interim periods within those fiscal years, beginning after December 15, 2017. The FASB decided to allow earlier adoption of the new revenue standard. However, entities reporting under U.S. GAAP are not permitted to adopt the standard earlier than the original effective date for public entities (that is, no earlier than 2017 for calendar year-end entities). We are currently evaluating the impact of this guidance.</w:t>
      </w:r>
    </w:p>
    <w:p>
      <w:pPr>
        <w:spacing w:after="0" w:line="17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February 2015, the FASB issued Consolidation (Topic 810) —Amendments to the Consolidation Analysis. The amendments in Topic 810 respond to stakeholders’ concerns about the current accounting for consolidation of variable interest entities, by changing aspects of the analysis that a reporting entity must perform to determine whether it should consolidate such entities. Under the amendments, all reporting entities are within the scope of Subtopic 810-10, Consolidation—Overall, including limited partnerships and similar legal entities, unless a scope exception applies. The amendments are intended to be an improvement to current U.S. GAAP, as they simplify the codification of FASB Statement No. 167, Amendments to FASB Interpretation No. 46(R), with changes including reducing the number of consolidation models through the elimination of the indefinite deferral of FASB Statement No. 167 and placing more emphasis on risk of loss when determining a controlling financial interest. The amendments are effective for publicly-traded companies for fiscal years beginning after December 15, 2015, and for interim periods within those fiscal years. Earlier adoption is permitted. The implementation of this update is not expected to have any material impact on our consolidated financial statements.</w:t>
      </w:r>
    </w:p>
    <w:p>
      <w:pPr>
        <w:spacing w:after="0" w:line="182"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In July 2015, the FASB issued ASU 2015-11, “Simplifying the Measurement of Inventory,” to reduce the complexity and cost of the subsequent measurement of inventory, in particular when using the first-in, first-out (FIFO) or average cost methods. The provisions of ASU 2015-11 specifically exclude inventory that is measured using the last-in, first-out (LIFO) or the retail inventory method. Entities should measure inventory within the scope of ASU 2015-11 at the lower of cost and net realizable value. ASU 2015-11 is effective for fiscal years and interim periods beginning after December 15, 2016. Early adoption is permitted. We are currently assessing the impact of ASU 2015-10 on our consolidated financial statements.</w:t>
      </w:r>
    </w:p>
    <w:p>
      <w:pPr>
        <w:spacing w:after="0" w:line="173" w:lineRule="exact"/>
        <w:rPr>
          <w:sz w:val="20"/>
          <w:szCs w:val="20"/>
          <w:color w:val="auto"/>
        </w:rPr>
      </w:pPr>
    </w:p>
    <w:p>
      <w:pPr>
        <w:ind w:right="80" w:firstLine="527"/>
        <w:spacing w:after="0" w:line="302"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which simplifies the presentation of deferred income taxes by requiring deferred tax assets and liabilities be classified as non-current on the balance sheet. The amendments in this update are effective for financial statements issued for annual periods beginning after December 15, 2016, and interim periods within those annual periods. All short-term deferred tax assets and liabilities will be reclassified to long-term assets and liabilities upon the adoption of this update.</w:t>
      </w:r>
    </w:p>
    <w:p>
      <w:pPr>
        <w:spacing w:after="0" w:line="154" w:lineRule="exact"/>
        <w:rPr>
          <w:sz w:val="20"/>
          <w:szCs w:val="20"/>
          <w:color w:val="auto"/>
        </w:rPr>
      </w:pPr>
    </w:p>
    <w:p>
      <w:pPr>
        <w:ind w:right="200" w:firstLine="486"/>
        <w:spacing w:after="0" w:line="293" w:lineRule="auto"/>
        <w:rPr>
          <w:sz w:val="20"/>
          <w:szCs w:val="20"/>
          <w:color w:val="auto"/>
        </w:rPr>
      </w:pPr>
      <w:r>
        <w:rPr>
          <w:rFonts w:ascii="Arial" w:cs="Arial" w:eastAsia="Arial" w:hAnsi="Arial"/>
          <w:sz w:val="16"/>
          <w:szCs w:val="16"/>
          <w:color w:val="auto"/>
        </w:rPr>
        <w:t>In January 2016, the FASB issued Accounting Standards Update No. 2016-01 (ASU 2016-01), “Financial Instruments-Overall (Subtopic 825-10): Recognition and Measurement of Financial Assets and Financial Liabilities.” ASU 2016-01 amends various aspects of the recognition, measurement, presentation, and disclosure for financial instruments. With respect to our consolidated financial statements, the most significant impact relates to the accounting for equity investments. This update will impact the disclosure and presentation of financial assets and liabilities. ASU 2016-01 is effective for annual reporting periods, and interim periods within those years, beginning after December 15, 2017. Early adoption by public entities is permitted only for certain provisions. We are currently in the process of evaluating the impact of the adoption of this standard on our consolidated financial statements.</w:t>
      </w:r>
    </w:p>
    <w:p>
      <w:pPr>
        <w:spacing w:after="0" w:line="16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In February 2016, the FASB issued ASU 2016-02, “Leases,” to increase transparency and comparability among organizations by recognizing lease assets and lease liabilities on the balance sheet and disclosing key information about leasing arrangements. ASU 2016-02 creates a new Accounting Standards Codification Topic 842, “Leases”, to replace the previous Topic 840, “Leases.” ASU 2016-02 affects both lessees and lessors, although for the latter the provisions are similar to the previous model, but updated to align with certain changes to the lessee model and also the new revenue recognition provisions contained in ASU 2014-09 (see above). ASU 2016-02 is effective for fiscal years and interim periods beginning after December 15, 2018. Early adoption is permitted. We are currently assessing the impact of ASU 2016-02 on our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names of our directors and executive officers, their ages as of April 1, 2016 and the principal positions with NetEase held by them are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2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90"/>
              </w:rPr>
              <w:t>Age</w:t>
            </w:r>
          </w:p>
        </w:tc>
        <w:tc>
          <w:tcPr>
            <w:tcW w:w="3640" w:type="dxa"/>
            <w:vAlign w:val="bottom"/>
          </w:tcPr>
          <w:p>
            <w:pPr>
              <w:ind w:left="15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6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William Lei Ding</w:t>
            </w:r>
          </w:p>
        </w:tc>
        <w:tc>
          <w:tcPr>
            <w:tcW w:w="2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center"/>
              <w:ind w:right="1472"/>
              <w:spacing w:after="0"/>
              <w:rPr>
                <w:sz w:val="20"/>
                <w:szCs w:val="20"/>
                <w:color w:val="auto"/>
              </w:rPr>
            </w:pPr>
            <w:r>
              <w:rPr>
                <w:rFonts w:ascii="Arial" w:cs="Arial" w:eastAsia="Arial" w:hAnsi="Arial"/>
                <w:sz w:val="18"/>
                <w:szCs w:val="18"/>
                <w:color w:val="auto"/>
                <w:w w:val="89"/>
              </w:rPr>
              <w:t>44</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and Chief Executive Officer</w:t>
            </w:r>
          </w:p>
        </w:tc>
      </w:tr>
      <w:tr>
        <w:trPr>
          <w:trHeight w:val="216"/>
        </w:trPr>
        <w:tc>
          <w:tcPr>
            <w:tcW w:w="5460" w:type="dxa"/>
            <w:vAlign w:val="bottom"/>
            <w:gridSpan w:val="5"/>
          </w:tcPr>
          <w:p>
            <w:pPr>
              <w:spacing w:after="0"/>
              <w:rPr>
                <w:sz w:val="20"/>
                <w:szCs w:val="20"/>
                <w:color w:val="auto"/>
              </w:rPr>
            </w:pPr>
            <w:r>
              <w:rPr>
                <w:rFonts w:ascii="Arial" w:cs="Arial" w:eastAsia="Arial" w:hAnsi="Arial"/>
                <w:sz w:val="18"/>
                <w:szCs w:val="18"/>
                <w:color w:val="auto"/>
              </w:rPr>
              <w:t>Onward Choi</w:t>
            </w:r>
          </w:p>
        </w:tc>
        <w:tc>
          <w:tcPr>
            <w:tcW w:w="2100" w:type="dxa"/>
            <w:vAlign w:val="bottom"/>
          </w:tcPr>
          <w:p>
            <w:pPr>
              <w:jc w:val="center"/>
              <w:ind w:right="1472"/>
              <w:spacing w:after="0"/>
              <w:rPr>
                <w:sz w:val="20"/>
                <w:szCs w:val="20"/>
                <w:color w:val="auto"/>
              </w:rPr>
            </w:pPr>
            <w:r>
              <w:rPr>
                <w:rFonts w:ascii="Arial" w:cs="Arial" w:eastAsia="Arial" w:hAnsi="Arial"/>
                <w:sz w:val="18"/>
                <w:szCs w:val="18"/>
                <w:color w:val="auto"/>
                <w:w w:val="89"/>
              </w:rPr>
              <w:t>45</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Acting Chief Financial Officer</w:t>
            </w:r>
          </w:p>
        </w:tc>
      </w:tr>
      <w:tr>
        <w:trPr>
          <w:trHeight w:val="216"/>
        </w:trPr>
        <w:tc>
          <w:tcPr>
            <w:tcW w:w="5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Alice Cheng (1)</w:t>
            </w:r>
          </w:p>
        </w:tc>
        <w:tc>
          <w:tcPr>
            <w:tcW w:w="2100" w:type="dxa"/>
            <w:vAlign w:val="bottom"/>
            <w:shd w:val="clear" w:color="auto" w:fill="CCEEFF"/>
          </w:tcPr>
          <w:p>
            <w:pPr>
              <w:jc w:val="center"/>
              <w:ind w:right="1472"/>
              <w:spacing w:after="0"/>
              <w:rPr>
                <w:sz w:val="20"/>
                <w:szCs w:val="20"/>
                <w:color w:val="auto"/>
              </w:rPr>
            </w:pPr>
            <w:r>
              <w:rPr>
                <w:rFonts w:ascii="Arial" w:cs="Arial" w:eastAsia="Arial" w:hAnsi="Arial"/>
                <w:sz w:val="18"/>
                <w:szCs w:val="18"/>
                <w:color w:val="auto"/>
                <w:w w:val="89"/>
              </w:rPr>
              <w:t>54</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460" w:type="dxa"/>
            <w:vAlign w:val="bottom"/>
            <w:gridSpan w:val="5"/>
          </w:tcPr>
          <w:p>
            <w:pPr>
              <w:spacing w:after="0"/>
              <w:rPr>
                <w:sz w:val="20"/>
                <w:szCs w:val="20"/>
                <w:color w:val="auto"/>
              </w:rPr>
            </w:pPr>
            <w:r>
              <w:rPr>
                <w:rFonts w:ascii="Arial" w:cs="Arial" w:eastAsia="Arial" w:hAnsi="Arial"/>
                <w:sz w:val="18"/>
                <w:szCs w:val="18"/>
                <w:color w:val="auto"/>
              </w:rPr>
              <w:t>Denny Lee</w:t>
            </w:r>
          </w:p>
        </w:tc>
        <w:tc>
          <w:tcPr>
            <w:tcW w:w="2100" w:type="dxa"/>
            <w:vAlign w:val="bottom"/>
          </w:tcPr>
          <w:p>
            <w:pPr>
              <w:jc w:val="center"/>
              <w:ind w:right="1472"/>
              <w:spacing w:after="0"/>
              <w:rPr>
                <w:sz w:val="20"/>
                <w:szCs w:val="20"/>
                <w:color w:val="auto"/>
              </w:rPr>
            </w:pPr>
            <w:r>
              <w:rPr>
                <w:rFonts w:ascii="Arial" w:cs="Arial" w:eastAsia="Arial" w:hAnsi="Arial"/>
                <w:sz w:val="18"/>
                <w:szCs w:val="18"/>
                <w:color w:val="auto"/>
                <w:w w:val="89"/>
              </w:rPr>
              <w:t>48</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Joseph Tong (1)</w:t>
            </w:r>
          </w:p>
        </w:tc>
        <w:tc>
          <w:tcPr>
            <w:tcW w:w="2100" w:type="dxa"/>
            <w:vAlign w:val="bottom"/>
            <w:shd w:val="clear" w:color="auto" w:fill="CCEEFF"/>
          </w:tcPr>
          <w:p>
            <w:pPr>
              <w:jc w:val="center"/>
              <w:ind w:right="1472"/>
              <w:spacing w:after="0"/>
              <w:rPr>
                <w:sz w:val="20"/>
                <w:szCs w:val="20"/>
                <w:color w:val="auto"/>
              </w:rPr>
            </w:pPr>
            <w:r>
              <w:rPr>
                <w:rFonts w:ascii="Arial" w:cs="Arial" w:eastAsia="Arial" w:hAnsi="Arial"/>
                <w:sz w:val="18"/>
                <w:szCs w:val="18"/>
                <w:color w:val="auto"/>
                <w:w w:val="89"/>
              </w:rPr>
              <w:t>53</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460" w:type="dxa"/>
            <w:vAlign w:val="bottom"/>
            <w:gridSpan w:val="5"/>
          </w:tcPr>
          <w:p>
            <w:pPr>
              <w:spacing w:after="0"/>
              <w:rPr>
                <w:sz w:val="20"/>
                <w:szCs w:val="20"/>
                <w:color w:val="auto"/>
              </w:rPr>
            </w:pPr>
            <w:r>
              <w:rPr>
                <w:rFonts w:ascii="Arial" w:cs="Arial" w:eastAsia="Arial" w:hAnsi="Arial"/>
                <w:sz w:val="18"/>
                <w:szCs w:val="18"/>
                <w:color w:val="auto"/>
              </w:rPr>
              <w:t>Lun Feng</w:t>
            </w:r>
          </w:p>
        </w:tc>
        <w:tc>
          <w:tcPr>
            <w:tcW w:w="2100" w:type="dxa"/>
            <w:vAlign w:val="bottom"/>
          </w:tcPr>
          <w:p>
            <w:pPr>
              <w:jc w:val="center"/>
              <w:ind w:right="1472"/>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Michael Leung (1)</w:t>
            </w:r>
          </w:p>
        </w:tc>
        <w:tc>
          <w:tcPr>
            <w:tcW w:w="2100" w:type="dxa"/>
            <w:vAlign w:val="bottom"/>
            <w:shd w:val="clear" w:color="auto" w:fill="CCEEFF"/>
          </w:tcPr>
          <w:p>
            <w:pPr>
              <w:jc w:val="center"/>
              <w:ind w:right="1472"/>
              <w:spacing w:after="0"/>
              <w:rPr>
                <w:sz w:val="20"/>
                <w:szCs w:val="20"/>
                <w:color w:val="auto"/>
              </w:rPr>
            </w:pPr>
            <w:r>
              <w:rPr>
                <w:rFonts w:ascii="Arial" w:cs="Arial" w:eastAsia="Arial" w:hAnsi="Arial"/>
                <w:sz w:val="18"/>
                <w:szCs w:val="18"/>
                <w:color w:val="auto"/>
                <w:w w:val="89"/>
              </w:rPr>
              <w:t>62</w:t>
            </w:r>
          </w:p>
        </w:tc>
        <w:tc>
          <w:tcPr>
            <w:tcW w:w="2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5460" w:type="dxa"/>
            <w:vAlign w:val="bottom"/>
            <w:gridSpan w:val="5"/>
          </w:tcPr>
          <w:p>
            <w:pPr>
              <w:spacing w:after="0"/>
              <w:rPr>
                <w:sz w:val="20"/>
                <w:szCs w:val="20"/>
                <w:color w:val="auto"/>
              </w:rPr>
            </w:pPr>
            <w:r>
              <w:rPr>
                <w:rFonts w:ascii="Arial" w:cs="Arial" w:eastAsia="Arial" w:hAnsi="Arial"/>
                <w:sz w:val="18"/>
                <w:szCs w:val="18"/>
                <w:color w:val="auto"/>
              </w:rPr>
              <w:t>Michael Tong</w:t>
            </w:r>
          </w:p>
        </w:tc>
        <w:tc>
          <w:tcPr>
            <w:tcW w:w="2100" w:type="dxa"/>
            <w:vAlign w:val="bottom"/>
          </w:tcPr>
          <w:p>
            <w:pPr>
              <w:jc w:val="center"/>
              <w:ind w:right="1472"/>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Director</w:t>
            </w:r>
          </w:p>
        </w:tc>
      </w:tr>
      <w:tr>
        <w:trPr>
          <w:trHeight w:val="310"/>
        </w:trPr>
        <w:tc>
          <w:tcPr>
            <w:tcW w:w="52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2580" w:type="dxa"/>
            <w:vAlign w:val="bottom"/>
            <w:gridSpan w:val="3"/>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w:t>
            </w:r>
          </w:p>
        </w:tc>
        <w:tc>
          <w:tcPr>
            <w:tcW w:w="4940" w:type="dxa"/>
            <w:vAlign w:val="bottom"/>
            <w:gridSpan w:val="4"/>
          </w:tcPr>
          <w:p>
            <w:pPr>
              <w:ind w:left="140"/>
              <w:spacing w:after="0"/>
              <w:rPr>
                <w:sz w:val="20"/>
                <w:szCs w:val="20"/>
                <w:color w:val="auto"/>
              </w:rPr>
            </w:pPr>
            <w:r>
              <w:rPr>
                <w:rFonts w:ascii="Arial" w:cs="Arial" w:eastAsia="Arial" w:hAnsi="Arial"/>
                <w:sz w:val="18"/>
                <w:szCs w:val="18"/>
                <w:color w:val="auto"/>
                <w:w w:val="93"/>
              </w:rPr>
              <w:t>Member of the audit, compensation and nominating committees.</w:t>
            </w: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22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i w:val="1"/>
          <w:iCs w:val="1"/>
          <w:color w:val="auto"/>
        </w:rPr>
        <w:t>William Lei Ding</w:t>
      </w:r>
      <w:r>
        <w:rPr>
          <w:rFonts w:ascii="Arial" w:cs="Arial" w:eastAsia="Arial" w:hAnsi="Arial"/>
          <w:sz w:val="16"/>
          <w:szCs w:val="16"/>
          <w:color w:val="auto"/>
        </w:rPr>
        <w:t>, our founder, has served as a director since July 1999 and as our Chief Executive Officer since November 2005. From March 2001</w:t>
      </w:r>
      <w:r>
        <w:rPr>
          <w:rFonts w:ascii="Arial" w:cs="Arial" w:eastAsia="Arial" w:hAnsi="Arial"/>
          <w:sz w:val="16"/>
          <w:szCs w:val="16"/>
          <w:i w:val="1"/>
          <w:iCs w:val="1"/>
          <w:color w:val="auto"/>
        </w:rPr>
        <w:t xml:space="preserve"> </w:t>
      </w:r>
      <w:r>
        <w:rPr>
          <w:rFonts w:ascii="Arial" w:cs="Arial" w:eastAsia="Arial" w:hAnsi="Arial"/>
          <w:sz w:val="16"/>
          <w:szCs w:val="16"/>
          <w:color w:val="auto"/>
        </w:rPr>
        <w:t>until November 2005, Mr. Ding served as our Chief Architect, and, from June 2001 until September 2001, he served as our Acting Chief Executive Officer and Acting Chief Operating Officer. Mr. Ding stepped down as Chairman of the board of directors in September 2001 (we currently have no permanently appointed Chairman). From July 1999 until March 2001, Mr. Ding served as Co-Chief Technology Officer, and from July 1999 until April 2000, he also served as our interim Chief Executive Officer. Mr. Ding established Guangzhou NetEase and Shanghai EaseNet, our affiliates, in May 1997 and</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January 2008. Mr. Ding holds a Bachelor of Science degree in Communication Technology from the University of Electronic Science and Technology of China.</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Onward Choi </w:t>
      </w:r>
      <w:r>
        <w:rPr>
          <w:rFonts w:ascii="Arial" w:cs="Arial" w:eastAsia="Arial" w:hAnsi="Arial"/>
          <w:sz w:val="17"/>
          <w:szCs w:val="17"/>
          <w:color w:val="auto"/>
        </w:rPr>
        <w:t>has served as our Acting Chief Financial Officer since July 2007. Mr. Choi previously served as our Financial Controller from</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2005 to June 2007 and as our Corporate Finance Director from November 2003 to December 2004. Prior to joining our company, Mr. Choi worked in the Beijing office of Ernst &amp; Young, the Hong Kong Trade Development Council and the Hong Kong office of KPMG for over ten years. Mr. Choi currently serves as the chairman of the audit committee and an independent non-executive director for Beijing Jingkelong Company Limited and China ITS (Holdings) Co., Ltd., which are listed on the Stock Exchange of Hong Kong Limited, and the chairman of the audit committee and an independent non-executive director for Tuniu Corporation, which is listed on the Nasdaq Global Market. Mr. Choi is a member of the Institute of Chartered Accountants in England and Wales, a fellow member of the Association of Chartered Certified Accountants, a fellow member of the CPA Australia, a fellow member of the Hong Kong Institute of Certified Public Accountants and a registered practicing Certified Public Accountant in Hong Kong. Mr. Choi holds a Bachelor of Arts degree in accountancy with honors from the Hong Kong Polytechnic University.</w:t>
      </w:r>
    </w:p>
    <w:p>
      <w:pPr>
        <w:spacing w:after="0" w:line="18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i w:val="1"/>
          <w:iCs w:val="1"/>
          <w:color w:val="auto"/>
        </w:rPr>
        <w:t xml:space="preserve">Alice Cheng </w:t>
      </w:r>
      <w:r>
        <w:rPr>
          <w:rFonts w:ascii="Arial" w:cs="Arial" w:eastAsia="Arial" w:hAnsi="Arial"/>
          <w:sz w:val="16"/>
          <w:szCs w:val="16"/>
          <w:color w:val="auto"/>
        </w:rPr>
        <w:t>has served as a director since June 2007. Ms. Cheng has been the Chief Financial Officer of BBK Electronics Corp., Ltd., a PRC-based</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of audio/visual equipment, since May 2005. From October 2010 to April 2013, she served as a supervisor of Wistron Information Technology Corporation in Taiwan, an information technology company with operations in Taiwan, China and Japan. From January 2002 to April 2005, she served as Financial Controller of Wistron Corporation, a Taiwanese original design manufacturer of notebook computers and other electronics. Prior to that, she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She is licensed as a certified public accountant in Taiwan and the PRC.</w:t>
      </w:r>
    </w:p>
    <w:p>
      <w:pPr>
        <w:spacing w:after="0" w:line="16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i w:val="1"/>
          <w:iCs w:val="1"/>
          <w:color w:val="auto"/>
        </w:rPr>
        <w:t xml:space="preserve">Denny Lee </w:t>
      </w:r>
      <w:r>
        <w:rPr>
          <w:rFonts w:ascii="Arial" w:cs="Arial" w:eastAsia="Arial" w:hAnsi="Arial"/>
          <w:sz w:val="16"/>
          <w:szCs w:val="16"/>
          <w:color w:val="auto"/>
        </w:rPr>
        <w:t>has served as a director since April 2002. Mr. Lee previously served as our Chief Financial Officer from April 2002 until June 2007 and</w:t>
      </w:r>
      <w:r>
        <w:rPr>
          <w:rFonts w:ascii="Arial" w:cs="Arial" w:eastAsia="Arial" w:hAnsi="Arial"/>
          <w:sz w:val="16"/>
          <w:szCs w:val="16"/>
          <w:i w:val="1"/>
          <w:iCs w:val="1"/>
          <w:color w:val="auto"/>
        </w:rPr>
        <w:t xml:space="preserve"> </w:t>
      </w:r>
      <w:r>
        <w:rPr>
          <w:rFonts w:ascii="Arial" w:cs="Arial" w:eastAsia="Arial" w:hAnsi="Arial"/>
          <w:sz w:val="16"/>
          <w:szCs w:val="16"/>
          <w:color w:val="auto"/>
        </w:rPr>
        <w:t>as our Financial Controller from November 2001 until April 2002. Prior to joining our company, Mr. Lee worked in the Hong Kong office of KPMG for more than ten years. Mr. Lee graduated from the Hong Kong Polytechnic University majoring in accounting and is a member of the Hong Kong Institute of Certified Public Accountants and the Association of Chartered Certified Accountants. Mr. Lee currently serves as the chairman of the audit committees</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and an independent non-executive director on the boards of New Oriental Education &amp; Technology Group Inc. and Concord Medical Services Holdings Limited, which are listed on the New York Stock Exchange, and an independent non-executive director on the board of China Metal Resources Utilization Ltd., which is listed on the Hong Kong Stock Exchange. Mr. Lee served as the chairman of the audit committee and an independent non-executive director on the board of Qunar Cayman Islands Limited, which is listed on the Nasdaq Global Market, from June 2012 to January 2016.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 xml:space="preserve">Joseph Tong </w:t>
      </w:r>
      <w:r>
        <w:rPr>
          <w:rFonts w:ascii="Arial" w:cs="Arial" w:eastAsia="Arial" w:hAnsi="Arial"/>
          <w:sz w:val="17"/>
          <w:szCs w:val="17"/>
          <w:color w:val="auto"/>
        </w:rPr>
        <w:t>has been a director of Parworld Investment Management Limited, which provides financial and investment advisory services, since</w:t>
      </w:r>
      <w:r>
        <w:rPr>
          <w:rFonts w:ascii="Arial" w:cs="Arial" w:eastAsia="Arial" w:hAnsi="Arial"/>
          <w:sz w:val="17"/>
          <w:szCs w:val="17"/>
          <w:i w:val="1"/>
          <w:iCs w:val="1"/>
          <w:color w:val="auto"/>
        </w:rPr>
        <w:t xml:space="preserve"> </w:t>
      </w:r>
      <w:r>
        <w:rPr>
          <w:rFonts w:ascii="Arial" w:cs="Arial" w:eastAsia="Arial" w:hAnsi="Arial"/>
          <w:sz w:val="17"/>
          <w:szCs w:val="17"/>
          <w:color w:val="auto"/>
        </w:rPr>
        <w:t>April 2004. 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he was the e-Commerce Director of the Asia Region for Universal Music Limited where he was responsible for forming e-business development strategies and overseeing new promotional opportunities. Mr. Tong currently serves as the chairman of the audit committee and an independent director on the board of Crosby Capital Limited, which is listed on the Hong Kong Stock Exchange. Mr. Tong received a Bachelor of Social Science degree with honors in Accounting and Statistics from the University of Southampton, England. He is a member of the American Institute of Certified Public Accountants, an associate member of the Hong Kong Institute of Certified Public Accountants, and has served as a director since March 2003.</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Lun Feng </w:t>
      </w:r>
      <w:r>
        <w:rPr>
          <w:rFonts w:ascii="Arial" w:cs="Arial" w:eastAsia="Arial" w:hAnsi="Arial"/>
          <w:sz w:val="18"/>
          <w:szCs w:val="18"/>
          <w:color w:val="auto"/>
        </w:rPr>
        <w:t>has served as a director since July 2005. He has been the Chairman of Vantone Holdings Co., Ltd., a private real estate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China, since 1993. Mr. Feng has a Juris Doctor from the Chinese Academy of Social Sciences, a Masters of Law degree from the Party School of the Chinese Communist Party and a Bachelor of Arts in Economics from Northwest University.</w:t>
      </w:r>
    </w:p>
    <w:p>
      <w:pPr>
        <w:sectPr>
          <w:pgSz w:w="11900" w:h="16838" w:orient="portrait"/>
          <w:cols w:equalWidth="0" w:num="1">
            <w:col w:w="11420"/>
          </w:cols>
          <w:pgMar w:left="240" w:top="337" w:right="239" w:bottom="0" w:gutter="0" w:footer="0" w:header="0"/>
        </w:sectPr>
      </w:pPr>
    </w:p>
    <w:bookmarkStart w:id="61" w:name="page62"/>
    <w:bookmarkEnd w:id="61"/>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Michael Leung </w:t>
      </w:r>
      <w:r>
        <w:rPr>
          <w:rFonts w:ascii="Arial" w:cs="Arial" w:eastAsia="Arial" w:hAnsi="Arial"/>
          <w:sz w:val="17"/>
          <w:szCs w:val="17"/>
          <w:color w:val="auto"/>
        </w:rPr>
        <w:t>has served as a director since July 2002. Mr. Leung held senior positions with Peregrine Capital (China) Limited, SG Securities (HK)</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(previously known as Crosby Securities (Hong Kong) Limited), Swiss Bank Corporation, Hong Kong Branch, and Optima Capital Limited (previously known as Ke Capital (Hong Kong) Limited) where he provided financial advisory services. Mr. Leung was also a director at Emerging Markets Partnership (Hong Kong) Limited, which was the principal advisor to the AIG Asian Infrastructure Fund L.P, and an independent non-executive director of Anhui Expressway Company Limited and Junefield Department Store Group Limited, both of which are companies listed on the Stock Exchange of Hong Kong Limited. Mr. Leung currently serves as an independent non-executive director for China Ting Group Holdings Limited, Orange Sky Golden Harvest Entertainment (Holdings) Limited, China Huiyuan Juice Group Limited, Optics Valley Union Holding Company Limited and Luye Pharma Group Ltd. and as an executive director of Chanceton Financial Group Limited, all of which are companies listed on the Stock Exchange of Hong Kong Limited. Mr. Leung is also the responsible officer of Chanceton Capital Partners Limited, which provides advice on corporate finance. Mr. Leung received a Bachelor’s Degree in Social Sciences from the University of Hong Kong with a major in accounting, management and statistics.</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Michael Tong </w:t>
      </w:r>
      <w:r>
        <w:rPr>
          <w:rFonts w:ascii="Arial" w:cs="Arial" w:eastAsia="Arial" w:hAnsi="Arial"/>
          <w:sz w:val="17"/>
          <w:szCs w:val="17"/>
          <w:color w:val="auto"/>
        </w:rPr>
        <w:t>has served as a director of our company since December 1999. He joined our company as an executive in May 2003 and later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Co-Chief Operating Officer from July 2004 to March 2009. Before joining our company as an executive, Mr. Tong had approximately seven years of experience in the investment industry working in several venture capital and private equity firms, including Techpacific Venture Capital Limited, Softbank China Venture Investments Limited and Nomura China Venture Investment Limited. Mr. Tong also served as a director for Qunar.com, a Chinese travel website, from October 2007 to June 2011. Mr. Tong graduated with a Bachelor of Business Administration from the University of Wisconsin, Madison with a major in Accounting and an extra concentration in Computer Science in 1993.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Among Directors or Executive Officers; Right to Nominate Directors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are no family relationships among any of the directors or executive officers of our company. None of our directors were nominated pursuant to a contractual or other right.</w:t>
      </w:r>
    </w:p>
    <w:p>
      <w:pPr>
        <w:spacing w:after="0" w:line="166" w:lineRule="exact"/>
        <w:rPr>
          <w:sz w:val="20"/>
          <w:szCs w:val="20"/>
          <w:color w:val="auto"/>
        </w:rPr>
      </w:pPr>
    </w:p>
    <w:p>
      <w:pPr>
        <w:jc w:val="both"/>
        <w:ind w:right="9620" w:firstLine="8"/>
        <w:spacing w:after="0" w:line="566" w:lineRule="auto"/>
        <w:tabs>
          <w:tab w:leader="none" w:pos="651"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Director Compensation</w:t>
      </w:r>
    </w:p>
    <w:p>
      <w:pPr>
        <w:spacing w:after="0" w:line="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2015, we paid an aggregate amount of RMB1.5 million (US$0.2 million) in compensation for the services of our independent non-executive directors. On February 13, 2015, we also granted restricted share unit awards under our RSU Plan (described below) to each of our independent non-executive directors which vested on March 1, 2016. ADRs, representing less than 1% of our total outstanding ordinary shares, were given to the directors in settlement of such awards upon vesting.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All of our current directors have entered into indemnification agreements in which we agree to indemnify, to the fullest extent allowed by Cayman Islands law, our charter documents or other applicable law, those directors from any liability or expenses, unless the liability or expense arises from the director’s own willful negligence or willful default. The indemnification agreements also specify the procedures to be followed with respect to indemnification.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service contracts with any of our directors which provide for benefits upon termination.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we paid our executive officers aggregate cash compensation of RMB7.0 million (US$1.1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entered into employment and related agreements with each of our executive officers. These agreements include: (i) a covenant that prohibits the executive officer from engaging in any activities that compete with our business during and for one to two years after their employment with us, (ii) a requirement that executive officers assign all rights in company-related inventions to us and to keep our proprietary information confidential, and (iii) provisions for severance payments in the event the executive officer is terminated without cause or resigns for good reason.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Restricted Share Unit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Our board approved the NetEase.com, Inc. 2009 Restricted Share Unit Plan, or the RSU Plan, in November 2009. The RSU Plan was adopted by our board as a replacement for our Amended and Restated 2000 Stock Incentive Plan, which expired in February 2010 under its terms.</w:t>
      </w:r>
    </w:p>
    <w:p>
      <w:pPr>
        <w:spacing w:after="0" w:line="14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purpose of the RSU Plan is to attract and retain the best available personnel, to provide additional incentive to employees, directors and consultants and to promote the success of our business. The RSU Plan provides for the granting of incentive awards of restricted share units, which may or may not be granted with dividend equivalent rights. Participants under the RSU Plan will not receive any account status reports.</w:t>
      </w:r>
    </w:p>
    <w:p>
      <w:pPr>
        <w:spacing w:after="0" w:line="16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RSU Plan is not subject to the Employee Retirement Income Security Act of 1974, as amended, nor is the RSU Plan a “qualified plan” within the meaning of Section 401(a) of the Internal Revenue Code of 1986,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Administration</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board has designated our compensation committee to administer the RSU Plan, and it may designate one or more of our officers to exercise its authority thereunder from time to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Subject to the RSU Plan</w:t>
      </w:r>
    </w:p>
    <w:p>
      <w:pPr>
        <w:sectPr>
          <w:pgSz w:w="11900" w:h="16838" w:orient="portrait"/>
          <w:cols w:equalWidth="0" w:num="1">
            <w:col w:w="11420"/>
          </w:cols>
          <w:pgMar w:left="240" w:top="341" w:right="239" w:bottom="0" w:gutter="0" w:footer="0" w:header="0"/>
        </w:sectPr>
      </w:pPr>
    </w:p>
    <w:bookmarkStart w:id="62" w:name="page63"/>
    <w:bookmarkEnd w:id="62"/>
    <w:p>
      <w:pPr>
        <w:ind w:firstLine="648"/>
        <w:spacing w:after="0" w:line="259" w:lineRule="auto"/>
        <w:rPr>
          <w:sz w:val="20"/>
          <w:szCs w:val="20"/>
          <w:color w:val="auto"/>
        </w:rPr>
      </w:pPr>
      <w:r>
        <w:rPr>
          <w:rFonts w:ascii="Arial" w:cs="Arial" w:eastAsia="Arial" w:hAnsi="Arial"/>
          <w:sz w:val="18"/>
          <w:szCs w:val="18"/>
          <w:color w:val="auto"/>
        </w:rPr>
        <w:t>The maximum aggregate number of our ordinary shares which may be issued pursuant to all awards under the RSU Plan is 323,694,050 ordinary shares. Such ordinary shares may, in whole or in part, be authorized but unissued shares or shares that will have been or may be reacquired by us. It is anticipated that all future awards to our employees, directors and consultants will be granted pursuant to the RSU Plan or any other future plan adopted by our board and, if appropriate, our shareholders.</w:t>
      </w:r>
    </w:p>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RSU Plan provides that in the event of certain corporate transactions, including specified types of mergers and acquisition transactions, each outstanding award granted under the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RSU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Under the RSU Plan, awards can be issued to participants in the RSU Plan, which include employees, directors or consultants of us, our subsidiaries or our variable interest entities.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RSU Plan</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Awards under the RSU Plan are evidenced by an award agreement which contains, among other things, such provisions concerning how the restricted share unit may be settled upon vesting and forfeiture upon termination of employment or the consulting arrangement (by reason of death, disability, retirement or otherwise) as have been determined by our board.</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purchase price, if any, for an award shall be determined by our board. The units can ultimately be paid in cash or ordinary shares, as our board determines.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of Awards</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Service</w:t>
      </w:r>
    </w:p>
    <w:p>
      <w:pPr>
        <w:spacing w:after="0" w:line="229"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In the event of the termination of the participant’s employment or service with us for any reason prior to the vesting of any restricted share units, such unvested units held by the participant shall be automatically forfeited as of the date of termination. Neither the participant nor any of the participant’s successors, heirs, assigns or personal representatives shall have any rights or interests in any restricted share units that are so forfeited.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Termination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RSU Plan, our board may at any time terminate, suspend, or amend the RSU Plan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RSU Plan will expire in November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 of Awards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RSU Plan, awards may not be sold, assigned, transferred, pledged, hypothecated or otherwise disposed of, except by will or by the laws of descent and distribution and during the lifetime of the participants, to the extent and in the manner provided in the award agreement. The RSU Plan permits the designation of beneficiaries by holders of awards in the event of the participant’s death. After any such transfer, the original recipient shall continue to remain subject to the withholding tax requirements described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No ordinary shares shall be delivered under the RSU Plan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Option Plans</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Certain of our subsidiaries have adopted their own option plans, which allow the relevant subsidiaries to grant options to certain of our employees. The options expire in five or six years from the date of grant and either vest or have a vesting commencement date upon certain conditions being met. The awards can become 100% vested on the vesting commencement date, or vest in two, four or five substantially equal annual installments with the first installment vesting on the vesting commencement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341" w:right="259" w:bottom="0" w:gutter="0" w:footer="0" w:header="0"/>
        </w:sectPr>
      </w:pPr>
    </w:p>
    <w:bookmarkStart w:id="63" w:name="page64"/>
    <w:bookmarkEnd w:id="6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each annual general meeting of our shareholders, our shareholders are asked to elect the directors nominated to serve for the ensuing year or until their successors are elected and duly qualified or until such director’s earlier death, bankruptcy, insanity, resignation or removal. For information regarding the period during which our officers and directors have served in their respective positions, please refer to Item 6.A. “Directors and Senior Management.” We have no specific policy with respect to director attendance at our annual general meetings of shareholders, and no director attended the annual general meeting of shareholders held on September 4, 2015.</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Our board has three committees, the audit committee, the compensation committee and the nominating committee. Alice Cheng, Joseph Tong and Michael Leung are currently the members of each of these committees.</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board of directors has determined that Mr. Joseph Tong is an “audit committee financial expert” as defined by Item 16A of Form 20-F. The board of directors has adopted a written audit committee charter pursuant to which the audit committee is responsible for overseeing the accounting and financial reporting processes of our company, including the appointment, compensation and oversight of the work of our independent auditors, monitoring compliance with our accounting and financial policies and evaluating management’s procedures and policies relative to the adequacy of our internal accounting controls.</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board of directors has adopted a written compensation committee charter pursuant to which the compensation committee is responsible for, among other things, annually reviewing and approving our company’s corporate goals and objectives relevant to the compensation of our chief executive officer, evaluating such officer’s performance in light of those goals and objectives, and, either as a committee or together with the other independent directors (as directed by our board), determining and approving the chief executive officer’s compensation level based on this evaluation.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approves any new equity compensation plan or any material change to an existing plan where shareholders’ approval has not been obtained.</w:t>
      </w:r>
    </w:p>
    <w:p>
      <w:pPr>
        <w:spacing w:after="0" w:line="17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board of directors has adopted a written nominating committee charter pursuant to which the nominating committee is responsible for monitoring the size and composition of our board and considering and making recommendations to our board with respect to the nominations or elections of directors of our company.</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audit, compensation and nominating committees are composed solely of non-employee directors, as such term is defined in Rule 16b-3 under the Exchange Act and the board of directors has determined that all such members are “independent” as that term is defined in NASDAQ Marketplace Rule 5605(a)(2).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 interlocking relationships have existed between our board of directors or compensation committee and the board of directors or compensation committee of any other company.</w:t>
      </w:r>
    </w:p>
    <w:p>
      <w:pPr>
        <w:spacing w:after="0" w:line="166"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2013, 2014 and 2015, we had 7,688, 10,004 and 12,919 full-time employees, respectively.</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The following table sets forth information regarding our staff as of December 31, 2015:</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Online game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Customer service</w:t>
            </w:r>
          </w:p>
        </w:tc>
        <w:tc>
          <w:tcPr>
            <w:tcW w:w="1360" w:type="dxa"/>
            <w:vAlign w:val="bottom"/>
          </w:tcPr>
          <w:p>
            <w:pPr>
              <w:jc w:val="right"/>
              <w:spacing w:after="0"/>
              <w:rPr>
                <w:sz w:val="20"/>
                <w:szCs w:val="20"/>
                <w:color w:val="auto"/>
              </w:rPr>
            </w:pPr>
            <w:r>
              <w:rPr>
                <w:rFonts w:ascii="Arial" w:cs="Arial" w:eastAsia="Arial" w:hAnsi="Arial"/>
                <w:sz w:val="18"/>
                <w:szCs w:val="18"/>
                <w:color w:val="auto"/>
              </w:rPr>
              <w:t>1,801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Product development</w:t>
            </w:r>
          </w:p>
        </w:tc>
        <w:tc>
          <w:tcPr>
            <w:tcW w:w="1360" w:type="dxa"/>
            <w:vAlign w:val="bottom"/>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E-mail</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Marketing</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as of December 31, 2015, we had approximately 1,100 part-time employees.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our employees are represented by a labor union.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20" w:firstLine="638"/>
        <w:spacing w:after="0" w:line="264" w:lineRule="auto"/>
        <w:rPr>
          <w:sz w:val="20"/>
          <w:szCs w:val="20"/>
          <w:color w:val="auto"/>
        </w:rPr>
      </w:pPr>
      <w:r>
        <w:rPr>
          <w:rFonts w:ascii="Arial" w:cs="Arial" w:eastAsia="Arial" w:hAnsi="Arial"/>
          <w:sz w:val="18"/>
          <w:szCs w:val="18"/>
          <w:color w:val="auto"/>
        </w:rPr>
        <w:t>All employees of our company and of our affiliated companies are employed under employment contracts which specify, among other things, the employee’s responsibilities, remuneration and grounds for termination of employment. Each employee signs a confidentiality agreement in respect of our intellectual property rights.</w:t>
      </w:r>
    </w:p>
    <w:p>
      <w:pPr>
        <w:spacing w:after="0" w:line="177"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right="680" w:firstLine="630"/>
        <w:spacing w:after="0" w:line="277" w:lineRule="auto"/>
        <w:rPr>
          <w:sz w:val="20"/>
          <w:szCs w:val="20"/>
          <w:color w:val="auto"/>
        </w:rPr>
      </w:pPr>
      <w:r>
        <w:rPr>
          <w:rFonts w:ascii="Arial" w:cs="Arial" w:eastAsia="Arial" w:hAnsi="Arial"/>
          <w:sz w:val="18"/>
          <w:szCs w:val="18"/>
          <w:color w:val="auto"/>
        </w:rPr>
        <w:t>The table in this section sets forth certain information known to us with respect to the beneficial ownership as of December 31, 2015 (unless otherwise indicated) by:</w:t>
      </w:r>
    </w:p>
    <w:p>
      <w:pPr>
        <w:sectPr>
          <w:pgSz w:w="11900" w:h="16838" w:orient="portrait"/>
          <w:cols w:equalWidth="0" w:num="1">
            <w:col w:w="11420"/>
          </w:cols>
          <w:pgMar w:left="240" w:top="517" w:right="239" w:bottom="0" w:gutter="0" w:footer="0" w:header="0"/>
        </w:sectPr>
      </w:pPr>
    </w:p>
    <w:bookmarkStart w:id="64" w:name="page65"/>
    <w:bookmarkEnd w:id="64"/>
    <w:p>
      <w:pPr>
        <w:ind w:left="1000" w:hanging="344"/>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persons who are beneficial owners of five percent or more of our ordinary shares,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Chief Executive Officer and Acting Chief Financial Officer,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December 31, 2015, 3,286,932,181 of our ordinary shares were outstanding.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18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Number of Shares</w:t>
            </w:r>
          </w:p>
        </w:tc>
      </w:tr>
      <w:tr>
        <w:trPr>
          <w:trHeight w:val="171"/>
        </w:trPr>
        <w:tc>
          <w:tcPr>
            <w:tcW w:w="824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Beneficially Owned</w:t>
            </w:r>
          </w:p>
        </w:tc>
      </w:tr>
      <w:tr>
        <w:trPr>
          <w:trHeight w:val="142"/>
        </w:trPr>
        <w:tc>
          <w:tcPr>
            <w:tcW w:w="8240" w:type="dxa"/>
            <w:vAlign w:val="bottom"/>
          </w:tcPr>
          <w:p>
            <w:pPr>
              <w:spacing w:after="0"/>
              <w:rPr>
                <w:sz w:val="12"/>
                <w:szCs w:val="12"/>
                <w:color w:val="auto"/>
              </w:rPr>
            </w:pPr>
          </w:p>
        </w:tc>
        <w:tc>
          <w:tcPr>
            <w:tcW w:w="166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rPr>
              <w:t>Number</w:t>
            </w:r>
          </w:p>
        </w:tc>
        <w:tc>
          <w:tcPr>
            <w:tcW w:w="15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Percentage</w:t>
            </w: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Shareholder</w:t>
            </w: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2"/>
        </w:trPr>
        <w:tc>
          <w:tcPr>
            <w:tcW w:w="8240" w:type="dxa"/>
            <w:vAlign w:val="bottom"/>
          </w:tcPr>
          <w:p>
            <w:pPr>
              <w:spacing w:after="0" w:line="201" w:lineRule="exact"/>
              <w:rPr>
                <w:sz w:val="20"/>
                <w:szCs w:val="20"/>
                <w:color w:val="auto"/>
              </w:rPr>
            </w:pPr>
            <w:r>
              <w:rPr>
                <w:rFonts w:ascii="Arial" w:cs="Arial" w:eastAsia="Arial" w:hAnsi="Arial"/>
                <w:sz w:val="18"/>
                <w:szCs w:val="18"/>
                <w:color w:val="auto"/>
              </w:rPr>
              <w:t>Shining Globe International Limited/William Lei Ding (1) c/o NetEase, Inc., Building No. 7, West Zone,</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8240" w:type="dxa"/>
            <w:vAlign w:val="bottom"/>
          </w:tcPr>
          <w:p>
            <w:pPr>
              <w:ind w:left="180"/>
              <w:spacing w:after="0"/>
              <w:rPr>
                <w:sz w:val="20"/>
                <w:szCs w:val="20"/>
                <w:color w:val="auto"/>
              </w:rPr>
            </w:pPr>
            <w:r>
              <w:rPr>
                <w:rFonts w:ascii="Arial" w:cs="Arial" w:eastAsia="Arial" w:hAnsi="Arial"/>
                <w:sz w:val="18"/>
                <w:szCs w:val="18"/>
                <w:color w:val="auto"/>
                <w:w w:val="96"/>
              </w:rPr>
              <w:t>Zhongguancun Software Park (Phase II), No. 10 Xibeiwang East Road, Haidian District, Beijing, People’s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Republic of China 100193.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1,456,000,000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44.3%</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Orbis Investment Management Limited (2)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255,747,600</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r>
        <w:trPr>
          <w:trHeight w:val="342"/>
        </w:trPr>
        <w:tc>
          <w:tcPr>
            <w:tcW w:w="8240" w:type="dxa"/>
            <w:vAlign w:val="bottom"/>
          </w:tcPr>
          <w:p>
            <w:pPr>
              <w:spacing w:after="0"/>
              <w:rPr>
                <w:sz w:val="24"/>
                <w:szCs w:val="24"/>
                <w:color w:val="auto"/>
              </w:rPr>
            </w:pPr>
          </w:p>
        </w:tc>
        <w:tc>
          <w:tcPr>
            <w:tcW w:w="318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Number of Shares</w:t>
            </w:r>
          </w:p>
        </w:tc>
      </w:tr>
      <w:tr>
        <w:trPr>
          <w:trHeight w:val="171"/>
        </w:trPr>
        <w:tc>
          <w:tcPr>
            <w:tcW w:w="8240" w:type="dxa"/>
            <w:vAlign w:val="bottom"/>
          </w:tcPr>
          <w:p>
            <w:pPr>
              <w:spacing w:after="0"/>
              <w:rPr>
                <w:sz w:val="14"/>
                <w:szCs w:val="14"/>
                <w:color w:val="auto"/>
              </w:rPr>
            </w:pPr>
          </w:p>
        </w:tc>
        <w:tc>
          <w:tcPr>
            <w:tcW w:w="318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Beneficially Owned</w:t>
            </w:r>
          </w:p>
        </w:tc>
      </w:tr>
      <w:tr>
        <w:trPr>
          <w:trHeight w:val="142"/>
        </w:trPr>
        <w:tc>
          <w:tcPr>
            <w:tcW w:w="8240" w:type="dxa"/>
            <w:vAlign w:val="bottom"/>
          </w:tcPr>
          <w:p>
            <w:pPr>
              <w:spacing w:after="0"/>
              <w:rPr>
                <w:sz w:val="12"/>
                <w:szCs w:val="12"/>
                <w:color w:val="auto"/>
              </w:rPr>
            </w:pPr>
          </w:p>
        </w:tc>
        <w:tc>
          <w:tcPr>
            <w:tcW w:w="1660" w:type="dxa"/>
            <w:vAlign w:val="bottom"/>
            <w:tcBorders>
              <w:top w:val="single" w:sz="8" w:color="auto"/>
            </w:tcBorders>
            <w:gridSpan w:val="2"/>
          </w:tcPr>
          <w:p>
            <w:pPr>
              <w:ind w:left="440"/>
              <w:spacing w:after="0" w:line="142" w:lineRule="exact"/>
              <w:rPr>
                <w:sz w:val="20"/>
                <w:szCs w:val="20"/>
                <w:color w:val="auto"/>
              </w:rPr>
            </w:pPr>
            <w:r>
              <w:rPr>
                <w:rFonts w:ascii="Arial" w:cs="Arial" w:eastAsia="Arial" w:hAnsi="Arial"/>
                <w:sz w:val="14"/>
                <w:szCs w:val="14"/>
                <w:b w:val="1"/>
                <w:bCs w:val="1"/>
                <w:color w:val="auto"/>
              </w:rPr>
              <w:t>Number</w:t>
            </w:r>
          </w:p>
        </w:tc>
        <w:tc>
          <w:tcPr>
            <w:tcW w:w="136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2"/>
                <w:szCs w:val="12"/>
                <w:color w:val="auto"/>
              </w:rPr>
            </w:pP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Executive Officers and Directors (3)</w:t>
            </w: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Onward Choi</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Alice Cheng</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Denny Lee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Joseph Tong</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Lun Feng</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Michael Leung</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Michael Tong</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(8 persons) (4)</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1,457,714,075</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440" w:right="100" w:hanging="432"/>
        <w:spacing w:after="0" w:line="277" w:lineRule="auto"/>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Shining Globe International Limited is 100% owned by William Lei Ding, our founder, Chief Executive Officer and a director, and its holdings consist of 1,406,000,000 ordinary shares and 2,000,000 ADSs.</w:t>
      </w:r>
    </w:p>
    <w:p>
      <w:pPr>
        <w:spacing w:after="0" w:line="170" w:lineRule="exact"/>
        <w:rPr>
          <w:rFonts w:ascii="Arial" w:cs="Arial" w:eastAsia="Arial" w:hAnsi="Arial"/>
          <w:sz w:val="18"/>
          <w:szCs w:val="18"/>
          <w:color w:val="auto"/>
        </w:rPr>
      </w:pPr>
    </w:p>
    <w:p>
      <w:pPr>
        <w:ind w:left="440" w:right="180" w:hanging="432"/>
        <w:spacing w:after="0" w:line="312" w:lineRule="auto"/>
        <w:tabs>
          <w:tab w:leader="none" w:pos="4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solely upon information contained in the Schedule 13G/A filed by Orbis Investment Management Limited with the SEC on February 16, 2016. The percentage of beneficial ownership was calculated based on the total number of our ordinary shares outstanding as of December 31, 2015. The address of the principal business office of the Orbis Investment Management Limited is Orbis House, 25 Front Street, Hamilton HM 11, Bermuda.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780" w:hanging="432"/>
        <w:spacing w:after="0" w:line="277" w:lineRule="auto"/>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address of our current executive officers and directors is c/o Building No. 7, West Zone, Zhongguancun Software Park (Phase II), No. 10 Xibeiwang East Road, Haidian District, Beijing, People’s Republic of China 100193.</w:t>
      </w:r>
    </w:p>
    <w:p>
      <w:pPr>
        <w:spacing w:after="0" w:line="170" w:lineRule="exact"/>
        <w:rPr>
          <w:rFonts w:ascii="Arial" w:cs="Arial" w:eastAsia="Arial" w:hAnsi="Arial"/>
          <w:sz w:val="18"/>
          <w:szCs w:val="18"/>
          <w:color w:val="auto"/>
        </w:rPr>
      </w:pPr>
    </w:p>
    <w:p>
      <w:pPr>
        <w:ind w:left="440" w:right="240" w:hanging="432"/>
        <w:spacing w:after="0" w:line="308" w:lineRule="auto"/>
        <w:tabs>
          <w:tab w:leader="none" w:pos="452" w:val="left"/>
        </w:tabs>
        <w:numPr>
          <w:ilvl w:val="0"/>
          <w:numId w:val="55"/>
        </w:numPr>
        <w:rPr>
          <w:rFonts w:ascii="Arial" w:cs="Arial" w:eastAsia="Arial" w:hAnsi="Arial"/>
          <w:sz w:val="17"/>
          <w:szCs w:val="17"/>
          <w:color w:val="auto"/>
        </w:rPr>
      </w:pPr>
      <w:r>
        <w:rPr>
          <w:rFonts w:ascii="Arial" w:cs="Arial" w:eastAsia="Arial" w:hAnsi="Arial"/>
          <w:sz w:val="17"/>
          <w:szCs w:val="17"/>
          <w:color w:val="auto"/>
        </w:rPr>
        <w:t>Shares owned by all of our current directors and executive officers as a group includes shares beneficially owned by William Lei Ding. Such amount includes ordinary shares and ordinary shares issuable upon vesting of RSUs held by our directors and executive officers as a group.</w:t>
      </w:r>
    </w:p>
    <w:p>
      <w:pPr>
        <w:spacing w:after="0" w:line="14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December 31, 2015, based on public filings with the SEC, there are no major shareholders holding 5% or more of our ordinary shares or ADSs representing ordinary shares, except as described above.</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December 31, 2015, there were five ordinary shareholders of record with an address in the United States, including The Bank of New York Mellon, depositary of our ADS program, which held 1,881,287,440 ordinary shares as of that date.</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 our knowledge, there are no arrangements the operation of which may at a subsequent date result in us undergoing a change in control.</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major shareholders do not have different voting rights than any of our other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Please refer to Item 6.E. “Directors, Senior Management and Employees—Share Ownership.”</w:t>
      </w:r>
    </w:p>
    <w:p>
      <w:pPr>
        <w:sectPr>
          <w:pgSz w:w="11900" w:h="16838" w:orient="portrait"/>
          <w:cols w:equalWidth="0" w:num="1">
            <w:col w:w="11420"/>
          </w:cols>
          <w:pgMar w:left="240" w:top="125" w:right="239" w:bottom="0" w:gutter="0" w:footer="0" w:header="0"/>
        </w:sectPr>
      </w:pPr>
    </w:p>
    <w:bookmarkStart w:id="65" w:name="page66"/>
    <w:bookmarkEnd w:id="65"/>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20" w:firstLine="506"/>
        <w:spacing w:after="0" w:line="255" w:lineRule="auto"/>
        <w:rPr>
          <w:sz w:val="20"/>
          <w:szCs w:val="20"/>
          <w:color w:val="auto"/>
        </w:rPr>
      </w:pPr>
      <w:r>
        <w:rPr>
          <w:rFonts w:ascii="Arial" w:cs="Arial" w:eastAsia="Arial" w:hAnsi="Arial"/>
          <w:sz w:val="18"/>
          <w:szCs w:val="18"/>
          <w:color w:val="auto"/>
        </w:rPr>
        <w:t>NetEase, Inc. and certain of its wholly owned subsidiaries have entered into a series of agreements with Guangzhou NetEase, NetEase Advertising and Hangzhou Leihuo and the shareholders of these entities under which we provide our Internet and e-commerce applications, services and technologies and advertising services to Guangzhou NetEase, NetEase Advertising and Hangzhou Leihuo, and they in turn provide certain of our online and mobile games and operate the NetEase websites, our online advertising business and e-mail and certain of our e-commerce and other fee-based premium services. We believe that the terms of each agreement are no less favorable than the terms that we could obtain from disinterested third parties and that the shareholders of Guangzhou NetEase, NetEase Advertising and Hangzhou Leihuo will not receive material benefits from these agreements except as shareholders of NetEase. These agreements are described below.</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Agreements relating to Guangzhou NetEase</w:t>
      </w:r>
    </w:p>
    <w:p>
      <w:pPr>
        <w:spacing w:after="0" w:line="225" w:lineRule="exact"/>
        <w:rPr>
          <w:sz w:val="20"/>
          <w:szCs w:val="20"/>
          <w:color w:val="auto"/>
        </w:rPr>
      </w:pPr>
    </w:p>
    <w:p>
      <w:pPr>
        <w:ind w:right="200" w:firstLine="506"/>
        <w:spacing w:after="0" w:line="255" w:lineRule="auto"/>
        <w:rPr>
          <w:sz w:val="20"/>
          <w:szCs w:val="20"/>
          <w:color w:val="auto"/>
        </w:rPr>
      </w:pPr>
      <w:r>
        <w:rPr>
          <w:rFonts w:ascii="Arial" w:cs="Arial" w:eastAsia="Arial" w:hAnsi="Arial"/>
          <w:sz w:val="18"/>
          <w:szCs w:val="18"/>
          <w:color w:val="auto"/>
        </w:rPr>
        <w:t>In May 2014, NetEase Beijing caused the 10.0% equity interest in Guangzhou NetEase held by Bo Ding to be transferred to William Lei Ding, our Chief Executive Officer, director and major shareholder, and Xiaojun Hui, our vice president of game development. As a result of this transfer, William Lei Ding and Xiaojun Hui own 99.0% and 1.0% of the equity interest in Guangzhou NetEase, respectively. Concurrently, Bo Ding transferred the 20.0% equity interest in NetEase Advertising held by him to William Lei Ding such that Guangzhou NetEase and Mr. Ding owned 80.0% and 20.0% of NetEase Advertising, respectively, until the subsequent equity transfer described below under “—Agreements relating to NetEase Advertising.” Bo Ding requested that NetEase Beijing cause these transfers for personal reasons, and such transfers are not the result of any disagreement with our company or any of our affiliates on any matters.</w:t>
      </w:r>
    </w:p>
    <w:p>
      <w:pPr>
        <w:spacing w:after="0" w:line="189" w:lineRule="exact"/>
        <w:rPr>
          <w:sz w:val="20"/>
          <w:szCs w:val="20"/>
          <w:color w:val="auto"/>
        </w:rPr>
      </w:pPr>
    </w:p>
    <w:p>
      <w:pPr>
        <w:jc w:val="both"/>
        <w:ind w:left="1020" w:right="60" w:hanging="502"/>
        <w:spacing w:after="0" w:line="264" w:lineRule="auto"/>
        <w:tabs>
          <w:tab w:leader="none" w:pos="98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Domain Name License Agreement between NetEase and Guangzhou NetEase. </w:t>
      </w:r>
      <w:r>
        <w:rPr>
          <w:rFonts w:ascii="Arial" w:cs="Arial" w:eastAsia="Arial" w:hAnsi="Arial"/>
          <w:sz w:val="18"/>
          <w:szCs w:val="18"/>
          <w:color w:val="auto"/>
        </w:rPr>
        <w:t>NetEase granted Guangzhou NetEase the right to use the domain</w:t>
      </w:r>
      <w:r>
        <w:rPr>
          <w:rFonts w:ascii="Arial" w:cs="Arial" w:eastAsia="Arial" w:hAnsi="Arial"/>
          <w:sz w:val="18"/>
          <w:szCs w:val="18"/>
          <w:i w:val="1"/>
          <w:iCs w:val="1"/>
          <w:color w:val="auto"/>
        </w:rPr>
        <w:t xml:space="preserve"> </w:t>
      </w:r>
      <w:r>
        <w:rPr>
          <w:rFonts w:ascii="Arial" w:cs="Arial" w:eastAsia="Arial" w:hAnsi="Arial"/>
          <w:sz w:val="18"/>
          <w:szCs w:val="18"/>
          <w:color w:val="auto"/>
        </w:rPr>
        <w:t>names “netease.com,” “163.com,” “126.com,” “yeah.net” and “nease.net” on the NetEase websites in China for license fees of RMB10,000 per year. NetEase may waive this fee at any time.</w:t>
      </w:r>
    </w:p>
    <w:p>
      <w:pPr>
        <w:spacing w:after="0" w:line="181" w:lineRule="exact"/>
        <w:rPr>
          <w:rFonts w:ascii="Arial" w:cs="Arial" w:eastAsia="Arial" w:hAnsi="Arial"/>
          <w:sz w:val="18"/>
          <w:szCs w:val="18"/>
          <w:color w:val="auto"/>
        </w:rPr>
      </w:pPr>
    </w:p>
    <w:p>
      <w:pPr>
        <w:ind w:left="1020" w:right="120" w:hanging="502"/>
        <w:spacing w:after="0" w:line="342" w:lineRule="auto"/>
        <w:tabs>
          <w:tab w:leader="none" w:pos="987"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Copyright License Agreement between NetEase Beijing and Guangzhou NetEase. </w:t>
      </w:r>
      <w:r>
        <w:rPr>
          <w:rFonts w:ascii="Arial" w:cs="Arial" w:eastAsia="Arial" w:hAnsi="Arial"/>
          <w:sz w:val="16"/>
          <w:szCs w:val="16"/>
          <w:color w:val="auto"/>
        </w:rPr>
        <w:t>NetEase Beijing granted Guangzhou NetEase the right to use</w:t>
      </w:r>
      <w:r>
        <w:rPr>
          <w:rFonts w:ascii="Arial" w:cs="Arial" w:eastAsia="Arial" w:hAnsi="Arial"/>
          <w:sz w:val="16"/>
          <w:szCs w:val="16"/>
          <w:i w:val="1"/>
          <w:iCs w:val="1"/>
          <w:color w:val="auto"/>
        </w:rPr>
        <w:t xml:space="preserve"> </w:t>
      </w:r>
      <w:r>
        <w:rPr>
          <w:rFonts w:ascii="Arial" w:cs="Arial" w:eastAsia="Arial" w:hAnsi="Arial"/>
          <w:sz w:val="16"/>
          <w:szCs w:val="16"/>
          <w:color w:val="auto"/>
        </w:rPr>
        <w:t>NetEase Beijing’s web page layout in China for a royalty of RMB10,000 per year. NetEase Beijing may waive this fee at any time.</w:t>
      </w:r>
    </w:p>
    <w:p>
      <w:pPr>
        <w:spacing w:after="0" w:line="123" w:lineRule="exact"/>
        <w:rPr>
          <w:rFonts w:ascii="Arial" w:cs="Arial" w:eastAsia="Arial" w:hAnsi="Arial"/>
          <w:sz w:val="16"/>
          <w:szCs w:val="16"/>
          <w:color w:val="auto"/>
        </w:rPr>
      </w:pPr>
    </w:p>
    <w:p>
      <w:pPr>
        <w:jc w:val="both"/>
        <w:ind w:left="1020" w:right="40" w:hanging="502"/>
        <w:spacing w:after="0" w:line="264" w:lineRule="auto"/>
        <w:tabs>
          <w:tab w:leader="none" w:pos="98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Trademark License Agreement between NetEase Beijing and Guangzhou NetEase. </w:t>
      </w:r>
      <w:r>
        <w:rPr>
          <w:rFonts w:ascii="Arial" w:cs="Arial" w:eastAsia="Arial" w:hAnsi="Arial"/>
          <w:sz w:val="18"/>
          <w:szCs w:val="18"/>
          <w:color w:val="auto"/>
        </w:rPr>
        <w:t>NetEase Beijing granted Guangzhou NetEase a license to use</w:t>
      </w:r>
      <w:r>
        <w:rPr>
          <w:rFonts w:ascii="Arial" w:cs="Arial" w:eastAsia="Arial" w:hAnsi="Arial"/>
          <w:sz w:val="18"/>
          <w:szCs w:val="18"/>
          <w:i w:val="1"/>
          <w:iCs w:val="1"/>
          <w:color w:val="auto"/>
        </w:rPr>
        <w:t xml:space="preserve"> </w:t>
      </w:r>
      <w:r>
        <w:rPr>
          <w:rFonts w:ascii="Arial" w:cs="Arial" w:eastAsia="Arial" w:hAnsi="Arial"/>
          <w:sz w:val="18"/>
          <w:szCs w:val="18"/>
          <w:color w:val="auto"/>
        </w:rPr>
        <w:t>NetEase Beijing’s registered trademarks on the NetEase websites in China for license fees of RMB10,000 per year. NetEase Beijing may waive this fee at any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20" w:right="340" w:hanging="526"/>
        <w:spacing w:after="0" w:line="277" w:lineRule="auto"/>
        <w:tabs>
          <w:tab w:leader="none" w:pos="989"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Agreements. </w:t>
      </w:r>
      <w:r>
        <w:rPr>
          <w:rFonts w:ascii="Arial" w:cs="Arial" w:eastAsia="Arial" w:hAnsi="Arial"/>
          <w:sz w:val="18"/>
          <w:szCs w:val="18"/>
          <w:color w:val="auto"/>
        </w:rPr>
        <w:t>Guangzhou NetEase has entered into cooperative agreements with each of NetEase Beijing, Boguan, and NetEase</w:t>
      </w:r>
      <w:r>
        <w:rPr>
          <w:rFonts w:ascii="Arial" w:cs="Arial" w:eastAsia="Arial" w:hAnsi="Arial"/>
          <w:sz w:val="18"/>
          <w:szCs w:val="18"/>
          <w:i w:val="1"/>
          <w:iCs w:val="1"/>
          <w:color w:val="auto"/>
        </w:rPr>
        <w:t xml:space="preserve"> </w:t>
      </w:r>
      <w:r>
        <w:rPr>
          <w:rFonts w:ascii="Arial" w:cs="Arial" w:eastAsia="Arial" w:hAnsi="Arial"/>
          <w:sz w:val="18"/>
          <w:szCs w:val="18"/>
          <w:color w:val="auto"/>
        </w:rPr>
        <w:t>Hangzhou pursuant to which such subsidiaries have agreed to provide the following services:</w:t>
      </w:r>
    </w:p>
    <w:p>
      <w:pPr>
        <w:spacing w:after="0" w:line="170" w:lineRule="exact"/>
        <w:rPr>
          <w:rFonts w:ascii="Arial" w:cs="Arial" w:eastAsia="Arial" w:hAnsi="Arial"/>
          <w:sz w:val="18"/>
          <w:szCs w:val="18"/>
          <w:color w:val="auto"/>
        </w:rPr>
      </w:pPr>
    </w:p>
    <w:p>
      <w:pPr>
        <w:ind w:left="2120" w:right="180" w:hanging="572"/>
        <w:spacing w:after="0" w:line="277" w:lineRule="auto"/>
        <w:tabs>
          <w:tab w:leader="none" w:pos="2084"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research and development of computer software (including but not limited to online games software) and technical support and maintenance for the operation of computer software;</w:t>
      </w:r>
    </w:p>
    <w:p>
      <w:pPr>
        <w:spacing w:after="0" w:line="170" w:lineRule="exact"/>
        <w:rPr>
          <w:rFonts w:ascii="Arial" w:cs="Arial" w:eastAsia="Arial" w:hAnsi="Arial"/>
          <w:sz w:val="18"/>
          <w:szCs w:val="18"/>
          <w:color w:val="auto"/>
        </w:rPr>
      </w:pPr>
    </w:p>
    <w:p>
      <w:pPr>
        <w:ind w:left="2120" w:right="320" w:hanging="572"/>
        <w:spacing w:after="0" w:line="277" w:lineRule="auto"/>
        <w:tabs>
          <w:tab w:leader="none" w:pos="208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technical service for Internet media, including but not limited to server maintenance and development, update and upgrade of relevant application software; and</w:t>
      </w:r>
    </w:p>
    <w:p>
      <w:pPr>
        <w:spacing w:after="0" w:line="170" w:lineRule="exact"/>
        <w:rPr>
          <w:rFonts w:ascii="Arial" w:cs="Arial" w:eastAsia="Arial" w:hAnsi="Arial"/>
          <w:sz w:val="18"/>
          <w:szCs w:val="18"/>
          <w:color w:val="auto"/>
        </w:rPr>
      </w:pPr>
    </w:p>
    <w:p>
      <w:pPr>
        <w:ind w:left="2080" w:hanging="532"/>
        <w:spacing w:after="0"/>
        <w:tabs>
          <w:tab w:leader="none" w:pos="2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research and development of electronic publishing technology and relevant technical assistance and support.</w:t>
      </w:r>
    </w:p>
    <w:p>
      <w:pPr>
        <w:spacing w:after="0" w:line="225" w:lineRule="exact"/>
        <w:rPr>
          <w:sz w:val="20"/>
          <w:szCs w:val="20"/>
          <w:color w:val="auto"/>
        </w:rPr>
      </w:pPr>
    </w:p>
    <w:p>
      <w:pPr>
        <w:ind w:left="1540" w:right="80"/>
        <w:spacing w:after="0" w:line="259" w:lineRule="auto"/>
        <w:rPr>
          <w:sz w:val="20"/>
          <w:szCs w:val="20"/>
          <w:color w:val="auto"/>
        </w:rPr>
      </w:pPr>
      <w:r>
        <w:rPr>
          <w:rFonts w:ascii="Arial" w:cs="Arial" w:eastAsia="Arial" w:hAnsi="Arial"/>
          <w:sz w:val="18"/>
          <w:szCs w:val="18"/>
          <w:color w:val="auto"/>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p>
      <w:pPr>
        <w:spacing w:after="0" w:line="187" w:lineRule="exact"/>
        <w:rPr>
          <w:sz w:val="20"/>
          <w:szCs w:val="20"/>
          <w:color w:val="auto"/>
        </w:rPr>
      </w:pPr>
    </w:p>
    <w:p>
      <w:pPr>
        <w:jc w:val="both"/>
        <w:ind w:left="1020" w:right="80" w:hanging="502"/>
        <w:spacing w:after="0" w:line="264" w:lineRule="auto"/>
        <w:tabs>
          <w:tab w:leader="none" w:pos="987"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Exclusive Advertising Agency Agreement between NetEase and Guangzhou NetEase. </w:t>
      </w:r>
      <w:r>
        <w:rPr>
          <w:rFonts w:ascii="Arial" w:cs="Arial" w:eastAsia="Arial" w:hAnsi="Arial"/>
          <w:sz w:val="18"/>
          <w:szCs w:val="18"/>
          <w:color w:val="auto"/>
        </w:rPr>
        <w:t>Guangzhou NetEase appointed NetEase as its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agent to solicit advertising customers on behalf of Guangzhou NetEase in markets outside of China. NetEase pays Guangzhou NetEase 10% of the total advertising revenue under this agreement per month.</w:t>
      </w:r>
    </w:p>
    <w:p>
      <w:pPr>
        <w:spacing w:after="0" w:line="181" w:lineRule="exact"/>
        <w:rPr>
          <w:rFonts w:ascii="Arial" w:cs="Arial" w:eastAsia="Arial" w:hAnsi="Arial"/>
          <w:sz w:val="18"/>
          <w:szCs w:val="18"/>
          <w:color w:val="auto"/>
        </w:rPr>
      </w:pPr>
    </w:p>
    <w:p>
      <w:pPr>
        <w:ind w:left="1020" w:hanging="502"/>
        <w:spacing w:after="0" w:line="312" w:lineRule="auto"/>
        <w:tabs>
          <w:tab w:leader="none" w:pos="987"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Online Advertising Agreement between Guangzhou NetEase and NetEase Advertising. </w:t>
      </w:r>
      <w:r>
        <w:rPr>
          <w:rFonts w:ascii="Arial" w:cs="Arial" w:eastAsia="Arial" w:hAnsi="Arial"/>
          <w:sz w:val="16"/>
          <w:szCs w:val="16"/>
          <w:color w:val="auto"/>
        </w:rPr>
        <w:t>Guangzhou NetEase sells all of the banner space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NetEase websites to NetEase Advertising and publishes the advertisements provided by NetEase Advertising on the banner space purchased by NetEase Advertising. NetEase Advertising pays Guangzhou NetEase RMB10,000 per year. Guangzhou NetEase may waive this fee at any time.</w:t>
      </w:r>
    </w:p>
    <w:p>
      <w:pPr>
        <w:spacing w:after="0" w:line="147" w:lineRule="exact"/>
        <w:rPr>
          <w:sz w:val="20"/>
          <w:szCs w:val="20"/>
          <w:color w:val="auto"/>
        </w:rPr>
      </w:pPr>
    </w:p>
    <w:p>
      <w:pPr>
        <w:ind w:right="180" w:firstLine="506"/>
        <w:spacing w:after="0" w:line="342" w:lineRule="auto"/>
        <w:rPr>
          <w:sz w:val="20"/>
          <w:szCs w:val="20"/>
          <w:color w:val="auto"/>
        </w:rPr>
      </w:pPr>
      <w:r>
        <w:rPr>
          <w:rFonts w:ascii="Arial" w:cs="Arial" w:eastAsia="Arial" w:hAnsi="Arial"/>
          <w:sz w:val="16"/>
          <w:szCs w:val="16"/>
          <w:color w:val="auto"/>
        </w:rPr>
        <w:t>The respective terms of the foregoing two agreements are automatically renewable for successive one year terms, unless, in the case of the Exclusive Advertising Agency Agreement, NetEase, or in the case of the Online Advertising Agreement, Guangzhou NetEase, objects to such renewal.</w:t>
      </w:r>
    </w:p>
    <w:p>
      <w:pPr>
        <w:spacing w:after="0" w:line="124" w:lineRule="exact"/>
        <w:rPr>
          <w:sz w:val="20"/>
          <w:szCs w:val="20"/>
          <w:color w:val="auto"/>
        </w:rPr>
      </w:pPr>
    </w:p>
    <w:p>
      <w:pPr>
        <w:ind w:left="1020" w:right="240" w:hanging="502"/>
        <w:spacing w:after="0" w:line="277" w:lineRule="auto"/>
        <w:tabs>
          <w:tab w:leader="none" w:pos="987"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Trademark Transfer Agreement between Guangzhou NetEase and NetEase Beijing. </w:t>
      </w:r>
      <w:r>
        <w:rPr>
          <w:rFonts w:ascii="Arial" w:cs="Arial" w:eastAsia="Arial" w:hAnsi="Arial"/>
          <w:sz w:val="18"/>
          <w:szCs w:val="18"/>
          <w:color w:val="auto"/>
        </w:rPr>
        <w:t>Under this agreement, Guangzhou NetEase transferred its</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trademarks to NetEase Beijing.</w:t>
      </w:r>
    </w:p>
    <w:p>
      <w:pPr>
        <w:spacing w:after="0" w:line="170" w:lineRule="exact"/>
        <w:rPr>
          <w:rFonts w:ascii="Arial" w:cs="Arial" w:eastAsia="Arial" w:hAnsi="Arial"/>
          <w:sz w:val="18"/>
          <w:szCs w:val="18"/>
          <w:color w:val="auto"/>
        </w:rPr>
      </w:pPr>
    </w:p>
    <w:p>
      <w:pPr>
        <w:ind w:left="1020" w:right="100" w:hanging="506"/>
        <w:spacing w:after="0" w:line="342" w:lineRule="auto"/>
        <w:tabs>
          <w:tab w:leader="none" w:pos="978"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Supplemental Agreement between NetEase Beijing and Guangzhou NetEase. </w:t>
      </w:r>
      <w:r>
        <w:rPr>
          <w:rFonts w:ascii="Arial" w:cs="Arial" w:eastAsia="Arial" w:hAnsi="Arial"/>
          <w:sz w:val="16"/>
          <w:szCs w:val="16"/>
          <w:color w:val="auto"/>
        </w:rPr>
        <w:t>NetEase Beijing may not grant the license to use its domain name,</w:t>
      </w:r>
      <w:r>
        <w:rPr>
          <w:rFonts w:ascii="Arial" w:cs="Arial" w:eastAsia="Arial" w:hAnsi="Arial"/>
          <w:sz w:val="16"/>
          <w:szCs w:val="16"/>
          <w:i w:val="1"/>
          <w:iCs w:val="1"/>
          <w:color w:val="auto"/>
        </w:rPr>
        <w:t xml:space="preserve"> </w:t>
      </w:r>
      <w:r>
        <w:rPr>
          <w:rFonts w:ascii="Arial" w:cs="Arial" w:eastAsia="Arial" w:hAnsi="Arial"/>
          <w:sz w:val="16"/>
          <w:szCs w:val="16"/>
          <w:color w:val="auto"/>
        </w:rPr>
        <w:t>copyright and trademark to any third-party without Guangzhou NetEase’s consent and may not provide technical service to any third-party.</w:t>
      </w:r>
    </w:p>
    <w:p>
      <w:pPr>
        <w:spacing w:after="0" w:line="123" w:lineRule="exact"/>
        <w:rPr>
          <w:rFonts w:ascii="Arial" w:cs="Arial" w:eastAsia="Arial" w:hAnsi="Arial"/>
          <w:sz w:val="16"/>
          <w:szCs w:val="16"/>
          <w:color w:val="auto"/>
        </w:rPr>
      </w:pPr>
    </w:p>
    <w:p>
      <w:pPr>
        <w:ind w:left="1060" w:right="100" w:hanging="541"/>
        <w:spacing w:after="0" w:line="255" w:lineRule="auto"/>
        <w:tabs>
          <w:tab w:leader="none" w:pos="1021"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Shareholder Voting Rights Trust Agreement among NetEase Beijing and the Individual Shareholders of Guangzhou NetEase. </w:t>
      </w:r>
      <w:r>
        <w:rPr>
          <w:rFonts w:ascii="Arial" w:cs="Arial" w:eastAsia="Arial" w:hAnsi="Arial"/>
          <w:sz w:val="18"/>
          <w:szCs w:val="18"/>
          <w:color w:val="auto"/>
        </w:rPr>
        <w:t>William Lei 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Xiaojun Hui (replacing Bo Ding upon the equity transfer described above) agreed to irrevocably appoint NetEase Beijing to represent him to exercise all voting rights to which he is entitled as a shareholder of Guangzhou NetEase. The term of this agreement is 20 years from May 12, 2010. This agreement was amended and novated on May 1, 2014 in connection with the equity transfer to Mr. Hui described above and further amended and restated on November 30, 2015 in connection with the equity transfer of NetEase Advertising to William Lei Ding and Li Li described below.</w:t>
      </w:r>
    </w:p>
    <w:p>
      <w:pPr>
        <w:sectPr>
          <w:pgSz w:w="11900" w:h="16838" w:orient="portrait"/>
          <w:cols w:equalWidth="0" w:num="1">
            <w:col w:w="11420"/>
          </w:cols>
          <w:pgMar w:left="240" w:top="121" w:right="239" w:bottom="0" w:gutter="0" w:footer="0" w:header="0"/>
        </w:sectPr>
      </w:pPr>
    </w:p>
    <w:bookmarkStart w:id="66" w:name="page67"/>
    <w:bookmarkEnd w:id="66"/>
    <w:p>
      <w:pPr>
        <w:spacing w:after="0" w:line="137" w:lineRule="exact"/>
        <w:rPr>
          <w:sz w:val="20"/>
          <w:szCs w:val="20"/>
          <w:color w:val="auto"/>
        </w:rPr>
      </w:pPr>
    </w:p>
    <w:p>
      <w:pPr>
        <w:ind w:left="1000" w:hanging="482"/>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Agreement between NetEase Beijing and Guangzhou NetEase. </w:t>
      </w:r>
      <w:r>
        <w:rPr>
          <w:rFonts w:ascii="Arial" w:cs="Arial" w:eastAsia="Arial" w:hAnsi="Arial"/>
          <w:sz w:val="16"/>
          <w:szCs w:val="16"/>
          <w:color w:val="auto"/>
        </w:rPr>
        <w:t>NetEase Beijing agrees to pay the operating costs of Guangzhou NetEase.</w:t>
      </w:r>
    </w:p>
    <w:p>
      <w:pPr>
        <w:spacing w:after="0" w:line="248" w:lineRule="exact"/>
        <w:rPr>
          <w:rFonts w:ascii="Arial" w:cs="Arial" w:eastAsia="Arial" w:hAnsi="Arial"/>
          <w:sz w:val="16"/>
          <w:szCs w:val="16"/>
          <w:color w:val="auto"/>
        </w:rPr>
      </w:pPr>
    </w:p>
    <w:p>
      <w:pPr>
        <w:ind w:left="1020" w:hanging="502"/>
        <w:spacing w:after="0" w:line="270" w:lineRule="auto"/>
        <w:tabs>
          <w:tab w:leader="none" w:pos="987"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Letter of Agreement. </w:t>
      </w:r>
      <w:r>
        <w:rPr>
          <w:rFonts w:ascii="Arial" w:cs="Arial" w:eastAsia="Arial" w:hAnsi="Arial"/>
          <w:sz w:val="17"/>
          <w:szCs w:val="17"/>
          <w:color w:val="auto"/>
        </w:rPr>
        <w:t>Each of William Lei Ding and Xiaojun Hui (replacing Bo Ding upon the equity transfer described above) have agreed that</w:t>
      </w:r>
      <w:r>
        <w:rPr>
          <w:rFonts w:ascii="Arial" w:cs="Arial" w:eastAsia="Arial" w:hAnsi="Arial"/>
          <w:sz w:val="17"/>
          <w:szCs w:val="17"/>
          <w:i w:val="1"/>
          <w:iCs w:val="1"/>
          <w:color w:val="auto"/>
        </w:rPr>
        <w:t xml:space="preserve"> </w:t>
      </w:r>
      <w:r>
        <w:rPr>
          <w:rFonts w:ascii="Arial" w:cs="Arial" w:eastAsia="Arial" w:hAnsi="Arial"/>
          <w:sz w:val="17"/>
          <w:szCs w:val="17"/>
          <w:color w:val="auto"/>
        </w:rPr>
        <w:t>any amendments to be made to the Shareholder Voting Rights Trust Agreement, the Equity Pledge Agreement (described below) and the Loan Agreement (described below), as well as all other agreements to which our company, NetEase Beijing and/or their respective affiliates is a party, on the one hand, and any of their variable interest entities and/or the shareholders of such entities, on the other hand, shall be subject to the approval by the vote of a majority of our board, excluding the vote of William Lei Ding. Messrs. Ding and Hui have also agreed that, if any amendments to the above 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 the equity transfer to Mr. Hui described above and further amended and restated on November 30, 2015 in connection with the equity transfer of NetEase Advertising to William Lei Ding and Li Li described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20" w:right="60" w:hanging="502"/>
        <w:spacing w:after="0" w:line="269" w:lineRule="auto"/>
        <w:tabs>
          <w:tab w:leader="none" w:pos="98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Loan Agreement and Equity Pledge Agreement</w:t>
      </w:r>
      <w:r>
        <w:rPr>
          <w:rFonts w:ascii="Arial" w:cs="Arial" w:eastAsia="Arial" w:hAnsi="Arial"/>
          <w:sz w:val="17"/>
          <w:szCs w:val="17"/>
          <w:color w:val="auto"/>
        </w:rPr>
        <w:t>. Concurrent with Bo Ding’s transfer of 1.0% of the equity interest in Guangzhou NetEase to</w:t>
      </w:r>
      <w:r>
        <w:rPr>
          <w:rFonts w:ascii="Arial" w:cs="Arial" w:eastAsia="Arial" w:hAnsi="Arial"/>
          <w:sz w:val="17"/>
          <w:szCs w:val="17"/>
          <w:i w:val="1"/>
          <w:iCs w:val="1"/>
          <w:color w:val="auto"/>
        </w:rPr>
        <w:t xml:space="preserve"> </w:t>
      </w:r>
      <w:r>
        <w:rPr>
          <w:rFonts w:ascii="Arial" w:cs="Arial" w:eastAsia="Arial" w:hAnsi="Arial"/>
          <w:sz w:val="17"/>
          <w:szCs w:val="17"/>
          <w:color w:val="auto"/>
        </w:rPr>
        <w:t>Xiaojun Hui as described above, Mr. Hui entered into a Loan Agreement and Equity Pledge Agreement with NetEase Beijing, each dated May 1, 2014. Under the Loan Agreement, NetEase Beijing provided Mr. Hui with an interest-free loan in the principal amount of RMB0.2 million (US$32,000)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ten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Agreements relating to NetEase Advertising</w:t>
      </w:r>
    </w:p>
    <w:p>
      <w:pPr>
        <w:spacing w:after="0" w:line="225"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In November 2015, Guangzhou NetEase transferred the 80.0% equity interest in NetEase Advertising held by it to William Lei Ding, our Chief Executive Officer, director and major shareholder, and Li Li, the chief executive officer of our Internet media business. As a result of this transfer, William Lei Ding and Li Li own 99.0% and 1.0% of the equity interest in NetEase Advertising, respectively. Concurrently with such transfer, Media Beijing entered into the following agreements with NetEase Advertising and each of Mr. Ding and Ms. Li as the ultimate shareholders of NetEase Advertising. We and Guangzhou NetEase caused the equity transfer and entry into the following agreements in order to ensure that NetEase Advertising is subject to appropriate agreements that provide us with continued operational and legal control of NetEase Advertising.</w:t>
      </w:r>
    </w:p>
    <w:p>
      <w:pPr>
        <w:spacing w:after="0" w:line="178" w:lineRule="exact"/>
        <w:rPr>
          <w:sz w:val="20"/>
          <w:szCs w:val="20"/>
          <w:color w:val="auto"/>
        </w:rPr>
      </w:pPr>
    </w:p>
    <w:p>
      <w:pPr>
        <w:ind w:left="980" w:right="40" w:hanging="461"/>
        <w:spacing w:after="0" w:line="283" w:lineRule="auto"/>
        <w:tabs>
          <w:tab w:leader="none" w:pos="941"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Loan Agreements and Equity Pledge Agreements between Media Beijing and each of the ultimate shareholders of NetEase Advertising</w:t>
      </w:r>
      <w:r>
        <w:rPr>
          <w:rFonts w:ascii="Arial" w:cs="Arial" w:eastAsia="Arial" w:hAnsi="Arial"/>
          <w:sz w:val="16"/>
          <w:szCs w:val="16"/>
          <w:color w:val="auto"/>
        </w:rPr>
        <w:t>.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Mr. Ding and Ms. Li has entered into a Loan Agreement and an Equity Pledge Agreement with Media Beijing, each dated November 30, 2015. Under the Loan Agreements, Media Beijing provided each of Mr. Ding and Ms. Li with an interest-free loan in the principal amount of approximately RMB7.7 million (US$1.2 million) and RMB98,000 (US$15,100), which funds were used by each of Mr. Ding and Ms. Li to pay the consideration to acquire their 79.0% and 1.0% of the equity interests in NetEase Advertising, respectively. Each loan can be repaid by transferring the ultimate shareholder’s equity interest in NetEase Advertising to Media Beijing or its designee or through such other method as Media Beijing shall determine. The term of each Loan Agreement is 10 years from the date of the agreement and will be automatically extended for further 10 year terms unless otherwise decided by Media Beijing. Under the Equity Pledge Agreements, each of Mr. Ding and Ms. Li pledges his/her equity interest in NetEase Advertising to Media Beijing to secure his/her respective obligations under the Loan Agreement as well as the Exclusive Purchase Option Agreement, the Shareholder Voting Rights Trust Agreement and the Operating Agreement. Each of</w:t>
      </w:r>
    </w:p>
    <w:p>
      <w:pPr>
        <w:spacing w:after="0" w:line="5" w:lineRule="exact"/>
        <w:rPr>
          <w:rFonts w:ascii="Arial" w:cs="Arial" w:eastAsia="Arial" w:hAnsi="Arial"/>
          <w:sz w:val="16"/>
          <w:szCs w:val="16"/>
          <w:color w:val="auto"/>
        </w:rPr>
      </w:pPr>
    </w:p>
    <w:p>
      <w:pPr>
        <w:ind w:left="980" w:right="300"/>
        <w:spacing w:after="0" w:line="255" w:lineRule="auto"/>
        <w:rPr>
          <w:rFonts w:ascii="Arial" w:cs="Arial" w:eastAsia="Arial" w:hAnsi="Arial"/>
          <w:sz w:val="16"/>
          <w:szCs w:val="16"/>
          <w:color w:val="auto"/>
        </w:rPr>
      </w:pPr>
      <w:r>
        <w:rPr>
          <w:rFonts w:ascii="Arial" w:cs="Arial" w:eastAsia="Arial" w:hAnsi="Arial"/>
          <w:sz w:val="18"/>
          <w:szCs w:val="18"/>
          <w:color w:val="auto"/>
        </w:rPr>
        <w:t>Mr. Ding and Ms. Li agrees he/she shall not transfer, assign or pledge his/her equity interest in NetEase Advertising without the prior written consent of Media Beijing. The Equity Pledge Agreements will remain binding until the pledgor discharges all his/her obligations under the above-mentioned agreements.</w:t>
      </w:r>
    </w:p>
    <w:p>
      <w:pPr>
        <w:spacing w:after="0" w:line="190" w:lineRule="exact"/>
        <w:rPr>
          <w:rFonts w:ascii="Arial" w:cs="Arial" w:eastAsia="Arial" w:hAnsi="Arial"/>
          <w:sz w:val="16"/>
          <w:szCs w:val="16"/>
          <w:color w:val="auto"/>
        </w:rPr>
      </w:pPr>
    </w:p>
    <w:p>
      <w:pPr>
        <w:ind w:left="980" w:right="20" w:hanging="461"/>
        <w:spacing w:after="0" w:line="289" w:lineRule="auto"/>
        <w:tabs>
          <w:tab w:leader="none" w:pos="941" w:val="left"/>
        </w:tabs>
        <w:numPr>
          <w:ilvl w:val="1"/>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Exclusive Purchase Option Agreements among Media Beijing, NetEase Advertising and each of the ultimate shareholders of NetEase Advertising. </w:t>
      </w:r>
      <w:r>
        <w:rPr>
          <w:rFonts w:ascii="Arial" w:cs="Arial" w:eastAsia="Arial" w:hAnsi="Arial"/>
          <w:sz w:val="16"/>
          <w:szCs w:val="16"/>
          <w:color w:val="auto"/>
        </w:rPr>
        <w:t>Under the Exclusive Purchase Option Agreements, each dated November 30, 2015, each of Mr. Ding and Ms. Li has granted Media</w:t>
      </w:r>
      <w:r>
        <w:rPr>
          <w:rFonts w:ascii="Arial" w:cs="Arial" w:eastAsia="Arial" w:hAnsi="Arial"/>
          <w:sz w:val="16"/>
          <w:szCs w:val="16"/>
          <w:i w:val="1"/>
          <w:iCs w:val="1"/>
          <w:color w:val="auto"/>
        </w:rPr>
        <w:t xml:space="preserve"> </w:t>
      </w:r>
      <w:r>
        <w:rPr>
          <w:rFonts w:ascii="Arial" w:cs="Arial" w:eastAsia="Arial" w:hAnsi="Arial"/>
          <w:sz w:val="16"/>
          <w:szCs w:val="16"/>
          <w:color w:val="auto"/>
        </w:rPr>
        <w:t>Beijing an option to purchase all or a portion of his/her equity interest in NetEase Advertising at a price equal to the original paid-in capital paid by the ultimate shareholder. In addition, NetEase Advertising has granted Media Beijing an option under the Exclusive Purchase Option Agreements to purchase all or a portion of the assets held by NetEase Advertising or its subsidiaries at a price equal to the net book value of such assets. Each of NetEase Advertising and the ultimate shareholders of NetEase Advertising agrees not to transfer, mortgage or permit any security interest to be created on any equity interest in or assets of NetEase Advertising without the prior written consent of Media Beijing. Each Exclusive Purchase Option Agreement shall remain in effect until all of the equity interests in or assets of NetEase Advertising have been acquired by Media Beijing or its designee or until Media Beijing unilaterally terminates the agreement by written notice.</w:t>
      </w:r>
    </w:p>
    <w:p>
      <w:pPr>
        <w:spacing w:after="0" w:line="166" w:lineRule="exact"/>
        <w:rPr>
          <w:rFonts w:ascii="Arial" w:cs="Arial" w:eastAsia="Arial" w:hAnsi="Arial"/>
          <w:sz w:val="16"/>
          <w:szCs w:val="16"/>
          <w:color w:val="auto"/>
        </w:rPr>
      </w:pPr>
    </w:p>
    <w:p>
      <w:pPr>
        <w:ind w:left="940" w:hanging="446"/>
        <w:spacing w:after="0"/>
        <w:tabs>
          <w:tab w:leader="none" w:pos="94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Shareholder Voting Rights Trust Agreement between Media Beijing and each of the Individual Shareholders of NetEase Advertising. </w:t>
      </w:r>
      <w:r>
        <w:rPr>
          <w:rFonts w:ascii="Arial" w:cs="Arial" w:eastAsia="Arial" w:hAnsi="Arial"/>
          <w:sz w:val="16"/>
          <w:szCs w:val="16"/>
          <w:color w:val="auto"/>
        </w:rPr>
        <w:t>Each of</w:t>
      </w:r>
    </w:p>
    <w:p>
      <w:pPr>
        <w:spacing w:after="0" w:line="46" w:lineRule="exact"/>
        <w:rPr>
          <w:sz w:val="20"/>
          <w:szCs w:val="20"/>
          <w:color w:val="auto"/>
        </w:rPr>
      </w:pPr>
    </w:p>
    <w:p>
      <w:pPr>
        <w:jc w:val="both"/>
        <w:ind w:left="980" w:right="60"/>
        <w:spacing w:after="0" w:line="254" w:lineRule="auto"/>
        <w:rPr>
          <w:sz w:val="20"/>
          <w:szCs w:val="20"/>
          <w:color w:val="auto"/>
        </w:rPr>
      </w:pPr>
      <w:r>
        <w:rPr>
          <w:rFonts w:ascii="Arial" w:cs="Arial" w:eastAsia="Arial" w:hAnsi="Arial"/>
          <w:sz w:val="18"/>
          <w:szCs w:val="18"/>
          <w:color w:val="auto"/>
        </w:rPr>
        <w:t>Mr. Ding and Ms. Li agreed to irrevocably entrust a person designated by Media Beijing to represent him or her to exercise all the voting rights and other shareholders’ rights to which he/she is entitled as a shareholder of NetEase Advertising. Each agreement shall remain effective for as long as Mr. Ding or Ms. Li remains a shareholder of NetEase Advertising unless Media Beijing unilaterally terminates the agreement by written notice.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20" w:right="400" w:hanging="502"/>
        <w:spacing w:after="0" w:line="342" w:lineRule="auto"/>
        <w:tabs>
          <w:tab w:leader="none" w:pos="987"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Media Beijing, NetEase Advertising and the ultimate shareholders of NetEase Advertising. </w:t>
      </w:r>
      <w:r>
        <w:rPr>
          <w:rFonts w:ascii="Arial" w:cs="Arial" w:eastAsia="Arial" w:hAnsi="Arial"/>
          <w:sz w:val="16"/>
          <w:szCs w:val="16"/>
          <w:color w:val="auto"/>
        </w:rPr>
        <w:t>To ensure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 performance of the various agreements between the parties, NetEase Advertising and its ultimate shareholders have agreed that,</w:t>
      </w:r>
    </w:p>
    <w:p>
      <w:pPr>
        <w:sectPr>
          <w:pgSz w:w="11900" w:h="16975" w:orient="portrait"/>
          <w:cols w:equalWidth="0" w:num="1">
            <w:col w:w="11420"/>
          </w:cols>
          <w:pgMar w:left="240" w:top="125" w:right="239" w:bottom="0" w:gutter="0" w:footer="0" w:header="0"/>
        </w:sectPr>
      </w:pPr>
    </w:p>
    <w:bookmarkStart w:id="67" w:name="page68"/>
    <w:bookmarkEnd w:id="67"/>
    <w:p>
      <w:pPr>
        <w:spacing w:after="0" w:line="35" w:lineRule="exact"/>
        <w:rPr>
          <w:sz w:val="20"/>
          <w:szCs w:val="20"/>
          <w:color w:val="auto"/>
        </w:rPr>
      </w:pPr>
    </w:p>
    <w:p>
      <w:pPr>
        <w:ind w:left="1020" w:right="20"/>
        <w:spacing w:after="0" w:line="255" w:lineRule="auto"/>
        <w:rPr>
          <w:sz w:val="20"/>
          <w:szCs w:val="20"/>
          <w:color w:val="auto"/>
        </w:rPr>
      </w:pPr>
      <w:r>
        <w:rPr>
          <w:rFonts w:ascii="Arial" w:cs="Arial" w:eastAsia="Arial" w:hAnsi="Arial"/>
          <w:sz w:val="18"/>
          <w:szCs w:val="18"/>
          <w:color w:val="auto"/>
        </w:rPr>
        <w:t>except for transactions in the ordinary course of business, NetEase Advertising will not enter into any transaction that would materially affect the assets, liabilities, rights or operations of NetEase Advertising without the prior written consent of Media Beijing. Media Beijing has also agreed that it will provide performance guarantees and, at Media Beijing’s discretion, guarantee loans for working capital purposes to the extent required by NetEase Advertising for its operations. Furthermore, the ultimate shareholders of NetEase Advertising have agreed that, upon instruction from Media Beijing, they will appoint NetEase Advertising’s board members, president, chief financial officer and other senior executive officers. The term of this agreement is 20 years from November 30, 2015 and can be extended with the written consent of Media Beijing.</w:t>
      </w:r>
    </w:p>
    <w:p>
      <w:pPr>
        <w:spacing w:after="0" w:line="189" w:lineRule="exact"/>
        <w:rPr>
          <w:sz w:val="20"/>
          <w:szCs w:val="20"/>
          <w:color w:val="auto"/>
        </w:rPr>
      </w:pPr>
    </w:p>
    <w:p>
      <w:pPr>
        <w:ind w:left="980" w:right="580" w:hanging="486"/>
        <w:spacing w:after="0" w:line="277" w:lineRule="auto"/>
        <w:tabs>
          <w:tab w:leader="none" w:pos="944"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 between Media Beijing and NetEase Advertising. </w:t>
      </w:r>
      <w:r>
        <w:rPr>
          <w:rFonts w:ascii="Arial" w:cs="Arial" w:eastAsia="Arial" w:hAnsi="Arial"/>
          <w:sz w:val="18"/>
          <w:szCs w:val="18"/>
          <w:color w:val="auto"/>
        </w:rPr>
        <w:t>Under this cooperative agreement, Media Beijing has agreed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the following services:</w:t>
      </w:r>
    </w:p>
    <w:p>
      <w:pPr>
        <w:spacing w:after="0" w:line="170" w:lineRule="exact"/>
        <w:rPr>
          <w:rFonts w:ascii="Arial" w:cs="Arial" w:eastAsia="Arial" w:hAnsi="Arial"/>
          <w:sz w:val="18"/>
          <w:szCs w:val="18"/>
          <w:color w:val="auto"/>
        </w:rPr>
      </w:pPr>
    </w:p>
    <w:p>
      <w:pPr>
        <w:ind w:left="1540" w:right="200" w:hanging="560"/>
        <w:spacing w:after="0" w:line="308" w:lineRule="auto"/>
        <w:tabs>
          <w:tab w:leader="none" w:pos="1504" w:val="left"/>
        </w:tabs>
        <w:numPr>
          <w:ilvl w:val="1"/>
          <w:numId w:val="66"/>
        </w:numPr>
        <w:rPr>
          <w:rFonts w:ascii="Arial" w:cs="Arial" w:eastAsia="Arial" w:hAnsi="Arial"/>
          <w:sz w:val="17"/>
          <w:szCs w:val="17"/>
          <w:color w:val="auto"/>
        </w:rPr>
      </w:pPr>
      <w:r>
        <w:rPr>
          <w:rFonts w:ascii="Arial" w:cs="Arial" w:eastAsia="Arial" w:hAnsi="Arial"/>
          <w:sz w:val="17"/>
          <w:szCs w:val="17"/>
          <w:color w:val="auto"/>
        </w:rPr>
        <w:t>research and development of computer software (including but not limited to the production, distribution, monitoring and management software of online advertisement) and technical support and maintenance for the operation of computer software;</w:t>
      </w:r>
    </w:p>
    <w:p>
      <w:pPr>
        <w:spacing w:after="0" w:line="146" w:lineRule="exact"/>
        <w:rPr>
          <w:rFonts w:ascii="Arial" w:cs="Arial" w:eastAsia="Arial" w:hAnsi="Arial"/>
          <w:sz w:val="17"/>
          <w:szCs w:val="17"/>
          <w:color w:val="auto"/>
        </w:rPr>
      </w:pPr>
    </w:p>
    <w:p>
      <w:pPr>
        <w:ind w:left="1520" w:hanging="540"/>
        <w:spacing w:after="0"/>
        <w:tabs>
          <w:tab w:leader="none" w:pos="1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 development, update and upgrade of advertisement distribution platform;</w:t>
      </w:r>
    </w:p>
    <w:p>
      <w:pPr>
        <w:spacing w:after="0" w:line="225" w:lineRule="exact"/>
        <w:rPr>
          <w:rFonts w:ascii="Arial" w:cs="Arial" w:eastAsia="Arial" w:hAnsi="Arial"/>
          <w:sz w:val="18"/>
          <w:szCs w:val="18"/>
          <w:color w:val="auto"/>
        </w:rPr>
      </w:pPr>
    </w:p>
    <w:p>
      <w:pPr>
        <w:ind w:left="1540" w:right="260" w:hanging="560"/>
        <w:spacing w:after="0" w:line="277" w:lineRule="auto"/>
        <w:tabs>
          <w:tab w:leader="none" w:pos="150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technical service for Internet media, including but not limited to server maintenance and development, update and upgrade of relevant application software; and</w:t>
      </w:r>
    </w:p>
    <w:p>
      <w:pPr>
        <w:spacing w:after="0" w:line="170" w:lineRule="exact"/>
        <w:rPr>
          <w:rFonts w:ascii="Arial" w:cs="Arial" w:eastAsia="Arial" w:hAnsi="Arial"/>
          <w:sz w:val="18"/>
          <w:szCs w:val="18"/>
          <w:color w:val="auto"/>
        </w:rPr>
      </w:pPr>
    </w:p>
    <w:p>
      <w:pPr>
        <w:ind w:left="1520" w:hanging="540"/>
        <w:spacing w:after="0"/>
        <w:tabs>
          <w:tab w:leader="none" w:pos="15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research and development of electronic publishing technology and relevant technical assistance and support.</w:t>
      </w:r>
    </w:p>
    <w:p>
      <w:pPr>
        <w:spacing w:after="0" w:line="225"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NetEase Advertising has agreed to pay a monthly service fee to Media Beijing in accordance with a formula based on its expenses incurred. This agreement was effective from October 1, 2013 and will continue to be effective unless any one of the two parties terminates such agreement by written notice.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Agreements relating to Hangzhou Leihuo</w:t>
      </w:r>
    </w:p>
    <w:p>
      <w:pPr>
        <w:spacing w:after="0" w:line="225"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In April 2009, we established a new affiliated variable interest entity, Hangzhou Leihuo, in China, and we entered into a series of agreements with that entity and its ultimate shareholders which are designed to give us operational control over it. Hangzhou Leihuo has a license to provide Internet content and has operated our mobile games since 2014. Two of our employees, Zhipeng Hu and Gang Chen, each owned 50.0% of the equity interest in Hangzhou Leihuo. In December 2015, NetEase Hangzhou caused one of the shareholders, Mr. Chen, to transfer his equity in Hangzhou Leihuo to another employee of our company, Tianlei Hu. As a result of this transfer, Zhipeng Hu and Tianlei Hu each own 50.0% of the equity interest in Hangzhou Leihuo. Mr. Chen requested that NetEase Hangzhou cause this transfer for personal reasons, and this transfer is not the result of any disagreement with our company or any of our affiliates on any matters. Concurrently with such transfer, NetEase Hangzhou entered into the following agreements with Hangzhou Leihuo and each of Zhipeng Hu and Tianlei Hu as the ultimate shareholders of Hangzhou Leihuo.</w:t>
      </w:r>
    </w:p>
    <w:p>
      <w:pPr>
        <w:spacing w:after="0" w:line="179" w:lineRule="exact"/>
        <w:rPr>
          <w:sz w:val="20"/>
          <w:szCs w:val="20"/>
          <w:color w:val="auto"/>
        </w:rPr>
      </w:pPr>
    </w:p>
    <w:p>
      <w:pPr>
        <w:ind w:left="980" w:right="60" w:hanging="461"/>
        <w:spacing w:after="0" w:line="286" w:lineRule="auto"/>
        <w:tabs>
          <w:tab w:leader="none" w:pos="941"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Loan Agreements and Equity Pledge Agreements between NetEase Hangzhou and each of the ultimate shareholders of Hangzhou Leihuo</w:t>
      </w:r>
      <w:r>
        <w:rPr>
          <w:rFonts w:ascii="Arial" w:cs="Arial" w:eastAsia="Arial" w:hAnsi="Arial"/>
          <w:sz w:val="16"/>
          <w:szCs w:val="16"/>
          <w:color w:val="auto"/>
        </w:rPr>
        <w:t>.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the ultimate shareholders of Hangzhou Leihuo has entered into a Loan Agreement and an Equity Pledge Agreement with NetEase Hangzhou, each dated December 1, 2015. Under the Loan Agreements, NetEase Hangzhou provided each of the ultimate shareholders of Hangzhou Leihuo with an interest-free loan in the principal amount of RMB5.0 million (US$0.8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 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80" w:hanging="461"/>
        <w:spacing w:after="0" w:line="289" w:lineRule="auto"/>
        <w:tabs>
          <w:tab w:leader="none" w:pos="941"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Exclusive Purchase Option Agreements among NetEase Hangzhou, Hangzhou Leihuo and each of the ultimate shareholders of Hangzhou Leihuo. </w:t>
      </w:r>
      <w:r>
        <w:rPr>
          <w:rFonts w:ascii="Arial" w:cs="Arial" w:eastAsia="Arial" w:hAnsi="Arial"/>
          <w:sz w:val="16"/>
          <w:szCs w:val="16"/>
          <w:color w:val="auto"/>
        </w:rPr>
        <w:t>Under the Exclusive Purchase Option Agreements, each dated December 1, 2015, each of the ultimate shareholders of Hangzhou</w:t>
      </w:r>
      <w:r>
        <w:rPr>
          <w:rFonts w:ascii="Arial" w:cs="Arial" w:eastAsia="Arial" w:hAnsi="Arial"/>
          <w:sz w:val="16"/>
          <w:szCs w:val="16"/>
          <w:i w:val="1"/>
          <w:iCs w:val="1"/>
          <w:color w:val="auto"/>
        </w:rPr>
        <w:t xml:space="preserve"> </w:t>
      </w:r>
      <w:r>
        <w:rPr>
          <w:rFonts w:ascii="Arial" w:cs="Arial" w:eastAsia="Arial" w:hAnsi="Arial"/>
          <w:sz w:val="16"/>
          <w:szCs w:val="16"/>
          <w:color w:val="auto"/>
        </w:rPr>
        <w:t>Leihuo has granted NetEase Hangzhou an option to purchase all or a portion of his equity interest in Hangzhou Leihuo at a price equal to the original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pacing w:after="0" w:line="166" w:lineRule="exact"/>
        <w:rPr>
          <w:rFonts w:ascii="Arial" w:cs="Arial" w:eastAsia="Arial" w:hAnsi="Arial"/>
          <w:sz w:val="16"/>
          <w:szCs w:val="16"/>
          <w:color w:val="auto"/>
        </w:rPr>
      </w:pPr>
    </w:p>
    <w:p>
      <w:pPr>
        <w:ind w:left="980" w:right="60" w:hanging="486"/>
        <w:spacing w:after="0" w:line="276" w:lineRule="auto"/>
        <w:tabs>
          <w:tab w:leader="none" w:pos="944"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Shareholder Voting Rights Trust Agreement between NetEase Hangzhou and each of the ultimate shareholders of Hangzhou Leihuo. </w:t>
      </w:r>
      <w:r>
        <w:rPr>
          <w:rFonts w:ascii="Arial" w:cs="Arial" w:eastAsia="Arial" w:hAnsi="Arial"/>
          <w:sz w:val="17"/>
          <w:szCs w:val="17"/>
          <w:color w:val="auto"/>
        </w:rPr>
        <w:t>Under these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each dated December 1, 2015, each of the ultimate shareholders of Hangzhou Leihuo has 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p>
      <w:pPr>
        <w:spacing w:after="0" w:line="172" w:lineRule="exact"/>
        <w:rPr>
          <w:rFonts w:ascii="Arial" w:cs="Arial" w:eastAsia="Arial" w:hAnsi="Arial"/>
          <w:sz w:val="17"/>
          <w:szCs w:val="17"/>
          <w:color w:val="auto"/>
        </w:rPr>
      </w:pPr>
    </w:p>
    <w:p>
      <w:pPr>
        <w:ind w:left="1020" w:right="40" w:hanging="502"/>
        <w:spacing w:after="0" w:line="297" w:lineRule="auto"/>
        <w:tabs>
          <w:tab w:leader="none" w:pos="987"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Operating Agreement among NetEase Hangzhou, Hangzhou Leihuo and the ultimate shareholders of Hangzhou Leihuo. </w:t>
      </w:r>
      <w:r>
        <w:rPr>
          <w:rFonts w:ascii="Arial" w:cs="Arial" w:eastAsia="Arial" w:hAnsi="Arial"/>
          <w:sz w:val="16"/>
          <w:szCs w:val="16"/>
          <w:color w:val="auto"/>
        </w:rPr>
        <w:t>To ensure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 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w:t>
      </w:r>
    </w:p>
    <w:p>
      <w:pPr>
        <w:sectPr>
          <w:pgSz w:w="11900" w:h="16874" w:orient="portrait"/>
          <w:cols w:equalWidth="0" w:num="1">
            <w:col w:w="11420"/>
          </w:cols>
          <w:pgMar w:left="240" w:top="125" w:right="239" w:bottom="0" w:gutter="0" w:footer="0" w:header="0"/>
        </w:sectPr>
      </w:pPr>
    </w:p>
    <w:bookmarkStart w:id="68" w:name="page69"/>
    <w:bookmarkEnd w:id="68"/>
    <w:p>
      <w:pPr>
        <w:ind w:left="1020" w:right="20"/>
        <w:spacing w:after="0" w:line="312" w:lineRule="auto"/>
        <w:rPr>
          <w:sz w:val="20"/>
          <w:szCs w:val="20"/>
          <w:color w:val="auto"/>
        </w:rPr>
      </w:pPr>
      <w:r>
        <w:rPr>
          <w:rFonts w:ascii="Arial" w:cs="Arial" w:eastAsia="Arial" w:hAnsi="Arial"/>
          <w:sz w:val="16"/>
          <w:szCs w:val="16"/>
          <w:color w:val="auto"/>
        </w:rPr>
        <w:t>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pacing w:after="0" w:line="147" w:lineRule="exact"/>
        <w:rPr>
          <w:sz w:val="20"/>
          <w:szCs w:val="20"/>
          <w:color w:val="auto"/>
        </w:rPr>
      </w:pPr>
    </w:p>
    <w:p>
      <w:pPr>
        <w:ind w:left="1020" w:right="60" w:hanging="493"/>
        <w:spacing w:after="0" w:line="277" w:lineRule="auto"/>
        <w:tabs>
          <w:tab w:leader="none" w:pos="981"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Cooperation Agreement between NetEase Hangzhou and Hangzhou Leihuo. </w:t>
      </w:r>
      <w:r>
        <w:rPr>
          <w:rFonts w:ascii="Arial" w:cs="Arial" w:eastAsia="Arial" w:hAnsi="Arial"/>
          <w:sz w:val="18"/>
          <w:szCs w:val="18"/>
          <w:color w:val="auto"/>
        </w:rPr>
        <w:t>Under this Cooperation Agreement, NetEase Hangzhou has agreed</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the following services:</w:t>
      </w:r>
    </w:p>
    <w:p>
      <w:pPr>
        <w:spacing w:after="0" w:line="170" w:lineRule="exact"/>
        <w:rPr>
          <w:rFonts w:ascii="Arial" w:cs="Arial" w:eastAsia="Arial" w:hAnsi="Arial"/>
          <w:sz w:val="18"/>
          <w:szCs w:val="18"/>
          <w:color w:val="auto"/>
        </w:rPr>
      </w:pPr>
    </w:p>
    <w:p>
      <w:pPr>
        <w:ind w:left="1620" w:right="80" w:hanging="559"/>
        <w:spacing w:after="0" w:line="277" w:lineRule="auto"/>
        <w:tabs>
          <w:tab w:leader="none" w:pos="158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development of computer software (including but not limited to online games) and technical support and maintenance for computer software operation;</w:t>
      </w:r>
    </w:p>
    <w:p>
      <w:pPr>
        <w:spacing w:after="0" w:line="170" w:lineRule="exact"/>
        <w:rPr>
          <w:rFonts w:ascii="Arial" w:cs="Arial" w:eastAsia="Arial" w:hAnsi="Arial"/>
          <w:sz w:val="18"/>
          <w:szCs w:val="18"/>
          <w:color w:val="auto"/>
        </w:rPr>
      </w:pPr>
    </w:p>
    <w:p>
      <w:pPr>
        <w:ind w:left="1600" w:hanging="539"/>
        <w:spacing w:after="0"/>
        <w:tabs>
          <w:tab w:leader="none" w:pos="1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provision of broadband Internet access and other operational support; and</w:t>
      </w:r>
    </w:p>
    <w:p>
      <w:pPr>
        <w:spacing w:after="0" w:line="225" w:lineRule="exact"/>
        <w:rPr>
          <w:rFonts w:ascii="Arial" w:cs="Arial" w:eastAsia="Arial" w:hAnsi="Arial"/>
          <w:sz w:val="18"/>
          <w:szCs w:val="18"/>
          <w:color w:val="auto"/>
        </w:rPr>
      </w:pPr>
    </w:p>
    <w:p>
      <w:pPr>
        <w:ind w:left="1620" w:right="200" w:hanging="559"/>
        <w:spacing w:after="0" w:line="277" w:lineRule="auto"/>
        <w:tabs>
          <w:tab w:leader="none" w:pos="1584" w:val="left"/>
        </w:tabs>
        <w:numPr>
          <w:ilvl w:val="1"/>
          <w:numId w:val="69"/>
        </w:numPr>
        <w:rPr>
          <w:rFonts w:ascii="Arial" w:cs="Arial" w:eastAsia="Arial" w:hAnsi="Arial"/>
          <w:sz w:val="18"/>
          <w:szCs w:val="18"/>
          <w:color w:val="auto"/>
        </w:rPr>
      </w:pPr>
      <w:r>
        <w:rPr>
          <w:rFonts w:ascii="Arial" w:cs="Arial" w:eastAsia="Arial" w:hAnsi="Arial"/>
          <w:sz w:val="18"/>
          <w:szCs w:val="18"/>
          <w:color w:val="auto"/>
        </w:rPr>
        <w:t>jointly with Hangzhou Leihuo, the provision of value-added telecommunication and other services to users of the Leihuo website and relevant products.</w:t>
      </w:r>
    </w:p>
    <w:p>
      <w:pPr>
        <w:spacing w:after="0" w:line="170" w:lineRule="exact"/>
        <w:rPr>
          <w:sz w:val="20"/>
          <w:szCs w:val="20"/>
          <w:color w:val="auto"/>
        </w:rPr>
      </w:pPr>
    </w:p>
    <w:p>
      <w:pPr>
        <w:ind w:right="100" w:firstLine="510"/>
        <w:spacing w:after="0" w:line="264" w:lineRule="auto"/>
        <w:rPr>
          <w:sz w:val="20"/>
          <w:szCs w:val="20"/>
          <w:color w:val="auto"/>
        </w:rPr>
      </w:pPr>
      <w:r>
        <w:rPr>
          <w:rFonts w:ascii="Arial" w:cs="Arial" w:eastAsia="Arial" w:hAnsi="Arial"/>
          <w:sz w:val="18"/>
          <w:szCs w:val="18"/>
          <w:color w:val="auto"/>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in connection with the licensing of certain online games by Blizzard to Shanghai EaseNet for operation in the PRC starting in</w:t>
      </w:r>
    </w:p>
    <w:p>
      <w:pPr>
        <w:spacing w:after="0" w:line="2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August 2008, there are certain contractual arrangements among Shanghai EaseNet, the joint venture established between Blizzard and us, and us. As a result of these arrangements, Shanghai EaseNet is a controlled variable interest entity, and William Lei Ding, our Chief Executive Officer, director and major shareholder, does not receive any benefits in his capacity as the shareholder of Shanghai EaseNet or exercise any personal control over it. We have consolidated Shanghai EaseNet into our financial statements as of and for the years ended December 31, 2013, 2014 and 2015. Mr. Ding’s role as the shareholder of Shanghai EaseNet is designed to address Chinese regulations which place restrictions on the percentage interest foreign or foreign-invested companies may have in Chinese companies providing value-added telecommunications services in China, which include the provision of online games. See Item 5.A — “Operating Results — Our Corporate Structure.”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October 2014, Mr. Ding and two of our directors, Mr. Denny Lee and Mr. Michael Tong, subscribed for, respectively, 2,673,796, 29,500 and 29,500 newly issued Series A preferred shares of Lede Inc. for cash consideration of approximately US$10.0 million, US$0.1 million and US$0.1 million, respectively. Lede Inc. granted customary shelf and piggy-back registration rights for these shares, which become exercisable 180 days after certain conditions are met. In November 2015, Lede Inc. repurchased all the Series A preferred shares from Mr. Ding, Mr. Lee and Mr. Tong at a price of US$3.74 per share for total cash consideration of approximately US$10.2 million.</w:t>
      </w:r>
    </w:p>
    <w:p>
      <w:pPr>
        <w:spacing w:after="0" w:line="18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Item 18. “Financial Statements” for our audited consolidated financial statements filed as part of this annual report.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A.7</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material legal proceedings pending or, to our knowledge, threatened against us.</w:t>
      </w:r>
    </w:p>
    <w:p>
      <w:pPr>
        <w:spacing w:after="0" w:line="225"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message boards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A.8</w:t>
      </w:r>
      <w:r>
        <w:rPr>
          <w:sz w:val="20"/>
          <w:szCs w:val="20"/>
          <w:color w:val="auto"/>
        </w:rPr>
        <w:tab/>
      </w: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May 2014, our board of directors approved a quarterly dividend policy commencing in 2015. Under this policy, quarterly dividends are set at an amount equivalent to approximately 25% of our anticipated net income after tax in each fiscal quarter. The determination to make dividend distributions and the amount of such distributions in any particular quarter will be made at the discretion of our board of directors and will be based upon our operations and earnings, cash flow, financial condition and other relevant factors. Our board of directors declared dividends of US$0.39, US$0.44, US$0.56 and US$0.64 per ADS for the first, second, third and fourth quarters of 2015, respectively.</w:t>
      </w:r>
    </w:p>
    <w:p>
      <w:pPr>
        <w:spacing w:after="0" w:line="188" w:lineRule="exact"/>
        <w:rPr>
          <w:sz w:val="20"/>
          <w:szCs w:val="20"/>
          <w:color w:val="auto"/>
        </w:rPr>
      </w:pPr>
    </w:p>
    <w:p>
      <w:pPr>
        <w:jc w:val="both"/>
        <w:ind w:right="100" w:firstLine="510"/>
        <w:spacing w:after="0" w:line="279" w:lineRule="auto"/>
        <w:rPr>
          <w:sz w:val="20"/>
          <w:szCs w:val="20"/>
          <w:color w:val="auto"/>
        </w:rPr>
      </w:pPr>
      <w:r>
        <w:rPr>
          <w:rFonts w:ascii="Arial" w:cs="Arial" w:eastAsia="Arial" w:hAnsi="Arial"/>
          <w:sz w:val="17"/>
          <w:szCs w:val="17"/>
          <w:color w:val="auto"/>
        </w:rPr>
        <w:t>We are a holding company incorporated in the Cayman Islands, and our ability to pay dividends to our shareholders depends upon dividends, loans or advances that we receive from our subsidiaries and VIEs. Please refer to Item 3.D. “Risk Factors—Risks Related to Our Company—Our corporate structure may restrict our ability to receive dividends from, and transfer funds to, our PRC subsidiaries and variable interest entities, which could restrict our ability to act in response to changing market conditions and reallocate funds internally in a timely manner.”</w:t>
      </w:r>
    </w:p>
    <w:p>
      <w:pPr>
        <w:spacing w:after="0" w:line="171" w:lineRule="exact"/>
        <w:rPr>
          <w:sz w:val="20"/>
          <w:szCs w:val="20"/>
          <w:color w:val="auto"/>
        </w:rPr>
      </w:pPr>
    </w:p>
    <w:p>
      <w:pPr>
        <w:jc w:val="both"/>
        <w:ind w:right="540" w:firstLine="486"/>
        <w:spacing w:after="0" w:line="259" w:lineRule="auto"/>
        <w:rPr>
          <w:sz w:val="20"/>
          <w:szCs w:val="20"/>
          <w:color w:val="auto"/>
        </w:rPr>
      </w:pPr>
      <w:r>
        <w:rPr>
          <w:rFonts w:ascii="Arial" w:cs="Arial" w:eastAsia="Arial" w:hAnsi="Arial"/>
          <w:sz w:val="18"/>
          <w:szCs w:val="18"/>
          <w:color w:val="auto"/>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sectPr>
          <w:pgSz w:w="11900" w:h="16838" w:orient="portrait"/>
          <w:cols w:equalWidth="0" w:num="1">
            <w:col w:w="11400"/>
          </w:cols>
          <w:pgMar w:left="240" w:top="125" w:right="259" w:bottom="0" w:gutter="0" w:footer="0" w:header="0"/>
        </w:sectPr>
      </w:pPr>
    </w:p>
    <w:bookmarkStart w:id="69" w:name="page70"/>
    <w:bookmarkEnd w:id="69"/>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have not experienced any significant changes since the date of our audited consolidated financial statements included in this annual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 except for Item 9.A.4. and Item 9.C.</w:t>
      </w:r>
    </w:p>
    <w:p>
      <w:pPr>
        <w:spacing w:after="0" w:line="22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Our ADSs have been listed on the NASDAQ Global Select Market (formerly the NASDAQ National Market) since June 30, 2000. Our ADSs trade under the symbol “NTES.”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510"/>
        <w:spacing w:after="0" w:line="342" w:lineRule="auto"/>
        <w:rPr>
          <w:sz w:val="20"/>
          <w:szCs w:val="20"/>
          <w:color w:val="auto"/>
        </w:rPr>
      </w:pPr>
      <w:r>
        <w:rPr>
          <w:rFonts w:ascii="Arial" w:cs="Arial" w:eastAsia="Arial" w:hAnsi="Arial"/>
          <w:sz w:val="16"/>
          <w:szCs w:val="16"/>
          <w:color w:val="auto"/>
        </w:rPr>
        <w:t>The following table provides the high and low prices for our ADSs on the NASDAQ Global Select Market for (1) each of the most recent five financial years, (2) each quarter in the two most recent financial years and the most recent quarter and (3) each of the most recent six months.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Sales Price</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2"/>
                <w:szCs w:val="12"/>
                <w:color w:val="auto"/>
              </w:rPr>
            </w:pPr>
          </w:p>
        </w:tc>
        <w:tc>
          <w:tcPr>
            <w:tcW w:w="100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 highs and lows</w:t>
            </w:r>
          </w:p>
        </w:tc>
        <w:tc>
          <w:tcPr>
            <w:tcW w:w="2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2011</w:t>
            </w:r>
          </w:p>
        </w:tc>
        <w:tc>
          <w:tcPr>
            <w:tcW w:w="4560" w:type="dxa"/>
            <w:vAlign w:val="bottom"/>
          </w:tcPr>
          <w:p>
            <w:pPr>
              <w:spacing w:after="0"/>
              <w:rPr>
                <w:sz w:val="18"/>
                <w:szCs w:val="18"/>
                <w:color w:val="auto"/>
              </w:rPr>
            </w:pP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56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2013</w:t>
            </w:r>
          </w:p>
        </w:tc>
        <w:tc>
          <w:tcPr>
            <w:tcW w:w="4560" w:type="dxa"/>
            <w:vAlign w:val="bottom"/>
          </w:tcPr>
          <w:p>
            <w:pPr>
              <w:spacing w:after="0"/>
              <w:rPr>
                <w:sz w:val="18"/>
                <w:szCs w:val="18"/>
                <w:color w:val="auto"/>
              </w:rPr>
            </w:pP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78.60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56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105.82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2015</w:t>
            </w:r>
          </w:p>
        </w:tc>
        <w:tc>
          <w:tcPr>
            <w:tcW w:w="4560" w:type="dxa"/>
            <w:vAlign w:val="bottom"/>
          </w:tcPr>
          <w:p>
            <w:pPr>
              <w:spacing w:after="0"/>
              <w:rPr>
                <w:sz w:val="18"/>
                <w:szCs w:val="18"/>
                <w:color w:val="auto"/>
              </w:rPr>
            </w:pP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184.73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gridSpan w:val="2"/>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Quarterly highs and lows</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2014</w:t>
            </w:r>
          </w:p>
        </w:tc>
        <w:tc>
          <w:tcPr>
            <w:tcW w:w="3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82.40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Second Quarter 2014</w:t>
            </w: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78.36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2014</w:t>
            </w:r>
          </w:p>
        </w:tc>
        <w:tc>
          <w:tcPr>
            <w:tcW w:w="3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Fourth Quarter 2014</w:t>
            </w: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105.82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2015</w:t>
            </w:r>
          </w:p>
        </w:tc>
        <w:tc>
          <w:tcPr>
            <w:tcW w:w="3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Second Quarter 2015</w:t>
            </w: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151.27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2015</w:t>
            </w:r>
          </w:p>
        </w:tc>
        <w:tc>
          <w:tcPr>
            <w:tcW w:w="3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151.05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Fourth Quarter 2015</w:t>
            </w: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184.73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2016</w:t>
            </w:r>
          </w:p>
        </w:tc>
        <w:tc>
          <w:tcPr>
            <w:tcW w:w="3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173.86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Monthly highs and lows</w:t>
            </w:r>
          </w:p>
        </w:tc>
        <w:tc>
          <w:tcPr>
            <w:tcW w:w="2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October 2015</w:t>
            </w: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144.53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2015</w:t>
            </w:r>
          </w:p>
        </w:tc>
        <w:tc>
          <w:tcPr>
            <w:tcW w:w="3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169.43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December 2015</w:t>
            </w: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184.73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86"/>
              </w:rPr>
              <w:t>January 2016</w:t>
            </w:r>
          </w:p>
        </w:tc>
        <w:tc>
          <w:tcPr>
            <w:tcW w:w="456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173.86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February 2016</w:t>
            </w: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160.08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 2016</w:t>
            </w:r>
          </w:p>
        </w:tc>
        <w:tc>
          <w:tcPr>
            <w:tcW w:w="456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151.91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April 2016 (through April 21, 2016)</w:t>
            </w:r>
          </w:p>
        </w:tc>
        <w:tc>
          <w:tcPr>
            <w:tcW w:w="3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144.86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135.94</w:t>
            </w:r>
          </w:p>
        </w:tc>
        <w:tc>
          <w:tcPr>
            <w:tcW w:w="0" w:type="dxa"/>
            <w:vAlign w:val="bottom"/>
          </w:tcPr>
          <w:p>
            <w:pPr>
              <w:spacing w:after="0"/>
              <w:rPr>
                <w:sz w:val="1"/>
                <w:szCs w:val="1"/>
                <w:color w:val="auto"/>
              </w:rPr>
            </w:pPr>
          </w:p>
        </w:tc>
      </w:tr>
      <w:tr>
        <w:trPr>
          <w:trHeight w:val="418"/>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10.</w:t>
            </w:r>
          </w:p>
        </w:tc>
        <w:tc>
          <w:tcPr>
            <w:tcW w:w="4560" w:type="dxa"/>
            <w:vAlign w:val="bottom"/>
          </w:tcPr>
          <w:p>
            <w:pPr>
              <w:spacing w:after="0"/>
              <w:rPr>
                <w:sz w:val="20"/>
                <w:szCs w:val="20"/>
                <w:color w:val="auto"/>
              </w:rPr>
            </w:pPr>
            <w:r>
              <w:rPr>
                <w:rFonts w:ascii="Arial" w:cs="Arial" w:eastAsia="Arial" w:hAnsi="Arial"/>
                <w:sz w:val="18"/>
                <w:szCs w:val="18"/>
                <w:b w:val="1"/>
                <w:bCs w:val="1"/>
                <w:color w:val="auto"/>
              </w:rPr>
              <w:t>Additional Information</w:t>
            </w:r>
          </w:p>
        </w:tc>
        <w:tc>
          <w:tcPr>
            <w:tcW w:w="2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a description of the terms and provisions of our restated memorandum and articles of association.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were incorporated in the Cayman Islands on July 6, 1999 and operate under the Cayman Islands Companies Law (2013 Revision), as revised and amended from time to time, or the Companies Law. Our corporate objectives and purpose are unrestricted.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Directors</w:t>
      </w:r>
    </w:p>
    <w:p>
      <w:pPr>
        <w:spacing w:after="0" w:line="225" w:lineRule="exact"/>
        <w:rPr>
          <w:sz w:val="20"/>
          <w:szCs w:val="20"/>
          <w:color w:val="auto"/>
        </w:rPr>
      </w:pPr>
    </w:p>
    <w:p>
      <w:pPr>
        <w:ind w:right="20" w:firstLine="510"/>
        <w:spacing w:after="0" w:line="276" w:lineRule="auto"/>
        <w:rPr>
          <w:sz w:val="20"/>
          <w:szCs w:val="20"/>
          <w:color w:val="auto"/>
        </w:rPr>
      </w:pPr>
      <w:r>
        <w:rPr>
          <w:rFonts w:ascii="Arial" w:cs="Arial" w:eastAsia="Arial" w:hAnsi="Arial"/>
          <w:sz w:val="17"/>
          <w:szCs w:val="17"/>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70" w:name="page71"/>
    <w:bookmarkEnd w:id="70"/>
    <w:p>
      <w:pPr>
        <w:ind w:right="60" w:firstLine="504"/>
        <w:spacing w:after="0" w:line="264" w:lineRule="auto"/>
        <w:rPr>
          <w:sz w:val="20"/>
          <w:szCs w:val="20"/>
          <w:color w:val="auto"/>
        </w:rPr>
      </w:pPr>
      <w:r>
        <w:rPr>
          <w:rFonts w:ascii="Arial" w:cs="Arial" w:eastAsia="Arial" w:hAnsi="Arial"/>
          <w:sz w:val="18"/>
          <w:szCs w:val="18"/>
          <w:color w:val="auto"/>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third-party.</w:t>
      </w:r>
    </w:p>
    <w:p>
      <w:pPr>
        <w:spacing w:after="0" w:line="18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There are no membership qualifications for directors. Further, there are no age limitations or retirement requirements and no share ownership qualifications for directors unless so fixed by shareholders in a general meeting.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Rights, Preferences and Restrictions of Ordinary Shares</w:t>
      </w:r>
    </w:p>
    <w:p>
      <w:pPr>
        <w:spacing w:after="0" w:line="225"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outstanding shares are fully paid and non-assessable. Certificates representing the shares are issued in registered form.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who are nonresidents of the Cayman Islands may freely hold and vote their shares.</w:t>
      </w:r>
    </w:p>
    <w:p>
      <w:pPr>
        <w:spacing w:after="0" w:line="170" w:lineRule="exact"/>
        <w:rPr>
          <w:sz w:val="20"/>
          <w:szCs w:val="20"/>
          <w:color w:val="auto"/>
        </w:rPr>
      </w:pPr>
    </w:p>
    <w:p>
      <w:pPr>
        <w:jc w:val="both"/>
        <w:ind w:right="240" w:firstLine="510"/>
        <w:spacing w:after="0" w:line="31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shares are entitled to such dividends as may be declared by our board of directors. Under Cayman Islands law,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4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 Each share is entitled to one vote on all matters upon which the shares are entitled to vote, including the election of directors. Voting at</w:t>
      </w:r>
      <w:r>
        <w:rPr>
          <w:rFonts w:ascii="Arial" w:cs="Arial" w:eastAsia="Arial" w:hAnsi="Arial"/>
          <w:sz w:val="17"/>
          <w:szCs w:val="17"/>
          <w:i w:val="1"/>
          <w:iCs w:val="1"/>
          <w:color w:val="auto"/>
        </w:rPr>
        <w:t xml:space="preserve"> </w:t>
      </w:r>
      <w:r>
        <w:rPr>
          <w:rFonts w:ascii="Arial" w:cs="Arial" w:eastAsia="Arial" w:hAnsi="Arial"/>
          <w:sz w:val="17"/>
          <w:szCs w:val="17"/>
          <w:color w:val="auto"/>
        </w:rPr>
        <w:t>any meeting of shareholders is by show of hands unless a poll is demanded. A poll may be demanded by the Chairman or any other shareholder present in person or by proxy. A quorum required for a meeting of shareholders consists of at least two shareholders present or by proxy.</w:t>
      </w:r>
    </w:p>
    <w:p>
      <w:pPr>
        <w:spacing w:after="0" w:line="166" w:lineRule="exact"/>
        <w:rPr>
          <w:sz w:val="20"/>
          <w:szCs w:val="20"/>
          <w:color w:val="auto"/>
        </w:rPr>
      </w:pPr>
    </w:p>
    <w:p>
      <w:pPr>
        <w:ind w:right="80" w:firstLine="504"/>
        <w:spacing w:after="0" w:line="257" w:lineRule="auto"/>
        <w:rPr>
          <w:sz w:val="20"/>
          <w:szCs w:val="20"/>
          <w:color w:val="auto"/>
        </w:rPr>
      </w:pPr>
      <w:r>
        <w:rPr>
          <w:rFonts w:ascii="Arial" w:cs="Arial" w:eastAsia="Arial" w:hAnsi="Arial"/>
          <w:sz w:val="18"/>
          <w:szCs w:val="18"/>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name. Holders of the shares may by ordinary resolution, among other things, elect directors, appoint auditors, and increase our share capital. Both ordinary resolutions and special resolutions may also be passed by a unanimous written resolution signed by all the shareholders of our company.</w:t>
      </w:r>
    </w:p>
    <w:p>
      <w:pPr>
        <w:spacing w:after="0" w:line="188" w:lineRule="exact"/>
        <w:rPr>
          <w:sz w:val="20"/>
          <w:szCs w:val="20"/>
          <w:color w:val="auto"/>
        </w:rPr>
      </w:pPr>
    </w:p>
    <w:p>
      <w:pPr>
        <w:ind w:right="80" w:firstLine="504"/>
        <w:spacing w:after="0" w:line="286"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 On a return of capital on winding up or otherwise (other than on conversion, redemption or purchase of shares) assets available for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spacing w:after="0" w:line="166" w:lineRule="exact"/>
        <w:rPr>
          <w:sz w:val="20"/>
          <w:szCs w:val="20"/>
          <w:color w:val="auto"/>
        </w:rPr>
      </w:pPr>
    </w:p>
    <w:p>
      <w:pPr>
        <w:ind w:right="60" w:firstLine="510"/>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in a notice served to such shareholders at least 14 days prior to the specified time or times of payment. The shares that have been called upon and remain unpaid are subject to forfeiture.</w:t>
      </w:r>
    </w:p>
    <w:p>
      <w:pPr>
        <w:spacing w:after="0" w:line="18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i w:val="1"/>
          <w:iCs w:val="1"/>
          <w:color w:val="auto"/>
        </w:rPr>
        <w:t>Redemption, Repurchase and Surrender of Shares</w:t>
      </w:r>
      <w:r>
        <w:rPr>
          <w:rFonts w:ascii="Arial" w:cs="Arial" w:eastAsia="Arial" w:hAnsi="Arial"/>
          <w:sz w:val="16"/>
          <w:szCs w:val="16"/>
          <w:color w:val="auto"/>
        </w:rPr>
        <w:t>. Subject to the provisions of the Companies Law and the memorandum and articles of association,</w:t>
      </w:r>
      <w:r>
        <w:rPr>
          <w:rFonts w:ascii="Arial" w:cs="Arial" w:eastAsia="Arial" w:hAnsi="Arial"/>
          <w:sz w:val="16"/>
          <w:szCs w:val="16"/>
          <w:i w:val="1"/>
          <w:iCs w:val="1"/>
          <w:color w:val="auto"/>
        </w:rPr>
        <w:t xml:space="preserve"> </w:t>
      </w:r>
      <w:r>
        <w:rPr>
          <w:rFonts w:ascii="Arial" w:cs="Arial" w:eastAsia="Arial" w:hAnsi="Arial"/>
          <w:sz w:val="16"/>
          <w:szCs w:val="16"/>
          <w:color w:val="auto"/>
        </w:rPr>
        <w:t>we may issue shares on the terms that they are, or at our option or at the option of the holders are, subject to redemption on such terms and in such manner as we may determine by special resolution. Subject to the provisions of the Companies Law and the memorandum and articles of association, we may also repurchase any of our shares provided that the manner of such purchase has first been approved by ordinary resolution of our shareholders. Under the Companies Law,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Law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Variations of Rights of Shares</w:t>
      </w:r>
    </w:p>
    <w:p>
      <w:pPr>
        <w:spacing w:after="0" w:line="225" w:lineRule="exact"/>
        <w:rPr>
          <w:sz w:val="20"/>
          <w:szCs w:val="20"/>
          <w:color w:val="auto"/>
        </w:rPr>
      </w:pPr>
    </w:p>
    <w:p>
      <w:pPr>
        <w:ind w:right="100" w:firstLine="510"/>
        <w:spacing w:after="0" w:line="264" w:lineRule="auto"/>
        <w:rPr>
          <w:sz w:val="20"/>
          <w:szCs w:val="20"/>
          <w:color w:val="auto"/>
        </w:rPr>
      </w:pPr>
      <w:r>
        <w:rPr>
          <w:rFonts w:ascii="Arial" w:cs="Arial" w:eastAsia="Arial" w:hAnsi="Arial"/>
          <w:sz w:val="18"/>
          <w:szCs w:val="18"/>
          <w:color w:val="auto"/>
        </w:rPr>
        <w:t>The rights attached to any class of shares (unless otherwise provided by the terms of issue of the shares of that class)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Meetings of Shareholders</w:t>
      </w:r>
    </w:p>
    <w:p>
      <w:pPr>
        <w:spacing w:after="0" w:line="225"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directors may whenever they think fit, and they shall on the requisition of our shareholders holding at the date of the deposit of the requisition not less than one-tenth of our paid-up capital as at the date of the deposit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limitations on the right to own our shares.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Limitations on Transfer of Shares</w:t>
      </w:r>
    </w:p>
    <w:p>
      <w:pPr>
        <w:spacing w:after="0" w:line="22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are no provisions in our restated memorandum or articles of association that would have an effect of delaying, deferring or preventing a change in control and that would operate only with respect to a merger, acquisition or corporate restructuring.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Disclosure of Shareholder Ownership</w:t>
      </w:r>
    </w:p>
    <w:p>
      <w:pPr>
        <w:sectPr>
          <w:pgSz w:w="11900" w:h="16838" w:orient="portrait"/>
          <w:cols w:equalWidth="0" w:num="1">
            <w:col w:w="11400"/>
          </w:cols>
          <w:pgMar w:left="240" w:top="125" w:right="259" w:bottom="100" w:gutter="0" w:footer="0" w:header="0"/>
        </w:sectPr>
      </w:pPr>
    </w:p>
    <w:bookmarkStart w:id="71" w:name="page72"/>
    <w:bookmarkEnd w:id="71"/>
    <w:p>
      <w:pPr>
        <w:spacing w:after="0" w:line="6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There are no provisions in our restated memorandum or articles of association governing the ownership threshold above which shareholder ownership must be disclosed.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Capital</w:t>
      </w:r>
    </w:p>
    <w:p>
      <w:pPr>
        <w:spacing w:after="0" w:line="225" w:lineRule="exact"/>
        <w:rPr>
          <w:sz w:val="20"/>
          <w:szCs w:val="20"/>
          <w:color w:val="auto"/>
        </w:rPr>
      </w:pPr>
    </w:p>
    <w:p>
      <w:pPr>
        <w:ind w:right="300" w:firstLine="506"/>
        <w:spacing w:after="0" w:line="264" w:lineRule="auto"/>
        <w:rPr>
          <w:sz w:val="20"/>
          <w:szCs w:val="20"/>
          <w:color w:val="auto"/>
        </w:rPr>
      </w:pPr>
      <w:r>
        <w:rPr>
          <w:rFonts w:ascii="Arial" w:cs="Arial" w:eastAsia="Arial" w:hAnsi="Arial"/>
          <w:sz w:val="18"/>
          <w:szCs w:val="18"/>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81" w:lineRule="exact"/>
        <w:rPr>
          <w:sz w:val="20"/>
          <w:szCs w:val="20"/>
          <w:color w:val="auto"/>
        </w:rPr>
      </w:pPr>
    </w:p>
    <w:p>
      <w:pPr>
        <w:ind w:left="1020" w:hanging="502"/>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larger amount than our existing shares;</w:t>
      </w:r>
    </w:p>
    <w:p>
      <w:pPr>
        <w:spacing w:after="0" w:line="225" w:lineRule="exact"/>
        <w:rPr>
          <w:rFonts w:ascii="Arial" w:cs="Arial" w:eastAsia="Arial" w:hAnsi="Arial"/>
          <w:sz w:val="18"/>
          <w:szCs w:val="18"/>
          <w:color w:val="auto"/>
        </w:rPr>
      </w:pPr>
    </w:p>
    <w:p>
      <w:pPr>
        <w:ind w:left="1020" w:right="260" w:hanging="502"/>
        <w:spacing w:after="0" w:line="277" w:lineRule="auto"/>
        <w:tabs>
          <w:tab w:leader="none" w:pos="10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smaller amount than is fixed by our restated memorandum of association or into shares without nominal or par value; and</w:t>
      </w:r>
    </w:p>
    <w:p>
      <w:pPr>
        <w:spacing w:after="0" w:line="170" w:lineRule="exact"/>
        <w:rPr>
          <w:rFonts w:ascii="Arial" w:cs="Arial" w:eastAsia="Arial" w:hAnsi="Arial"/>
          <w:sz w:val="18"/>
          <w:szCs w:val="18"/>
          <w:color w:val="auto"/>
        </w:rPr>
      </w:pPr>
    </w:p>
    <w:p>
      <w:pPr>
        <w:ind w:left="1040" w:hanging="522"/>
        <w:spacing w:after="0"/>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may by special resolution reduce our share capital and any capital redemption reserve fund in any manner authorized by the Companies Law.</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Differences in Corporate Law</w:t>
      </w:r>
    </w:p>
    <w:p>
      <w:pPr>
        <w:spacing w:after="0" w:line="225"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The Companies Law is modeled after that of the United Kingdom but does not follow recent United Kingdom statutory enactments and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66"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subject to certain exceptions. Court approval is not required for a merger or consolidation which is effected in compliance with these statutory procedures.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there are statutory provisions that facilitate the reconstruction and amalgamation of companies, provided that the arrangement in question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78" w:lineRule="exact"/>
        <w:rPr>
          <w:sz w:val="20"/>
          <w:szCs w:val="20"/>
          <w:color w:val="auto"/>
        </w:rPr>
      </w:pPr>
    </w:p>
    <w:p>
      <w:pPr>
        <w:ind w:left="980" w:hanging="466"/>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statutory provisions as to majority vote have been complied with;</w:t>
      </w:r>
    </w:p>
    <w:p>
      <w:pPr>
        <w:spacing w:after="0" w:line="225" w:lineRule="exact"/>
        <w:rPr>
          <w:rFonts w:ascii="Arial" w:cs="Arial" w:eastAsia="Arial" w:hAnsi="Arial"/>
          <w:sz w:val="18"/>
          <w:szCs w:val="18"/>
          <w:color w:val="auto"/>
        </w:rPr>
      </w:pPr>
    </w:p>
    <w:p>
      <w:pPr>
        <w:ind w:left="1020" w:right="200" w:hanging="506"/>
        <w:spacing w:after="0" w:line="277" w:lineRule="auto"/>
        <w:tabs>
          <w:tab w:leader="none" w:pos="97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70" w:lineRule="exact"/>
        <w:rPr>
          <w:rFonts w:ascii="Arial" w:cs="Arial" w:eastAsia="Arial" w:hAnsi="Arial"/>
          <w:sz w:val="18"/>
          <w:szCs w:val="18"/>
          <w:color w:val="auto"/>
        </w:rPr>
      </w:pPr>
    </w:p>
    <w:p>
      <w:pPr>
        <w:ind w:left="1000" w:hanging="482"/>
        <w:spacing w:after="0"/>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48" w:lineRule="exact"/>
        <w:rPr>
          <w:rFonts w:ascii="Arial" w:cs="Arial" w:eastAsia="Arial" w:hAnsi="Arial"/>
          <w:sz w:val="16"/>
          <w:szCs w:val="16"/>
          <w:color w:val="auto"/>
        </w:rPr>
      </w:pPr>
    </w:p>
    <w:p>
      <w:pPr>
        <w:ind w:left="1000" w:hanging="482"/>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When a take-over offer is made and accepted by holders of 90% of the affected shares within four months, the offeror may, within a two month period after expiry of such four months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66" w:lineRule="exact"/>
        <w:rPr>
          <w:sz w:val="20"/>
          <w:szCs w:val="20"/>
          <w:color w:val="auto"/>
        </w:rPr>
      </w:pPr>
    </w:p>
    <w:p>
      <w:pPr>
        <w:ind w:right="200" w:firstLine="510"/>
        <w:spacing w:after="0" w:line="264" w:lineRule="auto"/>
        <w:rPr>
          <w:sz w:val="20"/>
          <w:szCs w:val="20"/>
          <w:color w:val="auto"/>
        </w:rPr>
      </w:pPr>
      <w:r>
        <w:rPr>
          <w:rFonts w:ascii="Arial" w:cs="Arial" w:eastAsia="Arial" w:hAnsi="Arial"/>
          <w:sz w:val="18"/>
          <w:szCs w:val="18"/>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and as a general rule a derivative action may not be brought by a 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88" w:lineRule="exact"/>
        <w:rPr>
          <w:sz w:val="20"/>
          <w:szCs w:val="20"/>
          <w:color w:val="auto"/>
        </w:rPr>
      </w:pPr>
    </w:p>
    <w:p>
      <w:pPr>
        <w:ind w:right="160" w:firstLine="504"/>
        <w:spacing w:after="0" w:line="342" w:lineRule="auto"/>
        <w:rPr>
          <w:sz w:val="20"/>
          <w:szCs w:val="20"/>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Cayman Islands law does not (other than as set forth hereafter) limit the extent to which a company’s organizational documents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indemnification of officers and directors, except to the extent any such provision may be held by the Cayman Islands courts to be contrary to</w:t>
      </w:r>
    </w:p>
    <w:p>
      <w:pPr>
        <w:sectPr>
          <w:pgSz w:w="11900" w:h="16908" w:orient="portrait"/>
          <w:cols w:equalWidth="0" w:num="1">
            <w:col w:w="11420"/>
          </w:cols>
          <w:pgMar w:left="240" w:top="125" w:right="239" w:bottom="0" w:gutter="0" w:footer="0" w:header="0"/>
        </w:sectPr>
      </w:pPr>
    </w:p>
    <w:bookmarkStart w:id="72" w:name="page73"/>
    <w:bookmarkEnd w:id="72"/>
    <w:p>
      <w:pPr>
        <w:spacing w:after="0" w:line="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81" w:lineRule="exact"/>
        <w:rPr>
          <w:sz w:val="20"/>
          <w:szCs w:val="20"/>
          <w:color w:val="auto"/>
        </w:rPr>
      </w:pPr>
    </w:p>
    <w:p>
      <w:pPr>
        <w:jc w:val="both"/>
        <w:ind w:right="600" w:firstLine="510"/>
        <w:spacing w:after="0" w:line="264" w:lineRule="auto"/>
        <w:rPr>
          <w:sz w:val="20"/>
          <w:szCs w:val="20"/>
          <w:color w:val="auto"/>
        </w:rPr>
      </w:pPr>
      <w:r>
        <w:rPr>
          <w:rFonts w:ascii="Arial" w:cs="Arial" w:eastAsia="Arial" w:hAnsi="Arial"/>
          <w:sz w:val="18"/>
          <w:szCs w:val="18"/>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77"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or elsewhere in this annual report.</w:t>
      </w:r>
    </w:p>
    <w:p>
      <w:pPr>
        <w:spacing w:after="0" w:line="166"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Foreign currency exchange in the PRC is primarily governed by the Foreign Exchange Administration Rules issued by the State Council on January 29,</w:t>
      </w:r>
    </w:p>
    <w:p>
      <w:pPr>
        <w:spacing w:after="0" w:line="4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1996 and effective as of April 1, 1996 (and amended on January 14, 1997 and August 1, 2008) and the Regulations of Settlement, Sale and Payment of Foreign Exchange which came into effect on July 1, 1996.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441"/>
        <w:spacing w:after="0" w:line="312" w:lineRule="auto"/>
        <w:rPr>
          <w:sz w:val="20"/>
          <w:szCs w:val="20"/>
          <w:color w:val="auto"/>
        </w:rPr>
      </w:pPr>
      <w:r>
        <w:rPr>
          <w:rFonts w:ascii="Arial" w:cs="Arial" w:eastAsia="Arial" w:hAnsi="Arial"/>
          <w:sz w:val="16"/>
          <w:szCs w:val="16"/>
          <w:color w:val="auto"/>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w:t>
      </w:r>
    </w:p>
    <w:p>
      <w:pPr>
        <w:spacing w:after="0" w:line="147"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Under the Regulations of Settlement, Sale and Payment of Foreign Exchange, foreign invested enterprises including wholly foreign owned enterprises, may buy, sell or remit foreign currencies only at those banks that are authorized to conduct foreign exchange business after providing such banks with valid commercial supporting documents and, in the case of capital account item transactions, after obtaining approvals from SAFE. Capital investments by foreign invested enterprises outside the PRC are also subject to limitations, which include approvals by the Ministry of Commerce, SAFE and the National Development and Reform Commission.</w:t>
      </w:r>
    </w:p>
    <w:p>
      <w:pPr>
        <w:spacing w:after="0" w:line="18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In March 2015, SAFE released the Circular on Reforming the Management Approach regarding the Foreign Exchange Capital Settlement of Foreign-invested Enterprises, or FIEs,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FIEs may settle a specified proportion of their foreign exchange capital in banks at their discretion, and may choose the timing for such settlement. The proportion of foreign exchange capital to be settled at FIEs’ discretion for the time being is 100% and the SAFE may adjust the proportion in due time based on the situation of international balance of payments. The circular also stipulates that FIEs’ usage of capital and settled foreign exchange capital shall comply with relevant provisions concerning foreign exchange control and be subject to the management of a negative list. The FIEs’ capital and Renminbi capital gained from the settlement of foreign exchange capital may not be directly or indirectly used for expenditure beyond the business scope of the FIEs or as prohibited by laws and regulations of the PRC. Such capital also may not be directly or indirectly used for issuing Renminbi entrusted loans except as permitted by the business scope of the FIE, for repaying inter-enterprise borrowings including any third party advance, or for repaying the bank loans denominated in RMB that have been sub-lent to a third party.</w:t>
      </w:r>
    </w:p>
    <w:p>
      <w:pPr>
        <w:spacing w:after="0" w:line="180"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In addition, if any of our PRC subsidiaries incurs debt on its own behalf in the future, the instruments governing the debt may restrict its ability to pay dividends or make other distributions to us.</w:t>
      </w:r>
    </w:p>
    <w:p>
      <w:pPr>
        <w:spacing w:after="0" w:line="178" w:lineRule="exact"/>
        <w:rPr>
          <w:sz w:val="20"/>
          <w:szCs w:val="20"/>
          <w:color w:val="auto"/>
        </w:rPr>
      </w:pPr>
    </w:p>
    <w:p>
      <w:pPr>
        <w:ind w:right="100" w:firstLine="504"/>
        <w:spacing w:after="0" w:line="259" w:lineRule="auto"/>
        <w:rPr>
          <w:sz w:val="20"/>
          <w:szCs w:val="20"/>
          <w:color w:val="auto"/>
        </w:rPr>
      </w:pPr>
      <w:r>
        <w:rPr>
          <w:rFonts w:ascii="Arial" w:cs="Arial" w:eastAsia="Arial" w:hAnsi="Arial"/>
          <w:sz w:val="18"/>
          <w:szCs w:val="18"/>
          <w:color w:val="auto"/>
        </w:rPr>
        <w:t>Furthermore, pursuant to regulations promulgated by SAFE, PRC subsidiaries of offshore parent companies may be prohibited from making distributions of profits to such offshore parent companies and from paying the offshore parent companies proceeds from any reduction in capital, share transfer or liquidation in respect of such PRC subsidiaries, if PRC shareholders with a direct or indirect stake in the offshore parent company fail to make the required SAFE registrations.</w:t>
      </w:r>
    </w:p>
    <w:p>
      <w:pPr>
        <w:spacing w:after="0" w:line="187" w:lineRule="exact"/>
        <w:rPr>
          <w:sz w:val="20"/>
          <w:szCs w:val="20"/>
          <w:color w:val="auto"/>
        </w:rPr>
      </w:pPr>
    </w:p>
    <w:p>
      <w:pPr>
        <w:ind w:right="60" w:firstLine="504"/>
        <w:spacing w:after="0" w:line="293" w:lineRule="auto"/>
        <w:rPr>
          <w:sz w:val="20"/>
          <w:szCs w:val="20"/>
          <w:color w:val="auto"/>
        </w:rPr>
      </w:pPr>
      <w:r>
        <w:rPr>
          <w:rFonts w:ascii="Arial" w:cs="Arial" w:eastAsia="Arial" w:hAnsi="Arial"/>
          <w:sz w:val="16"/>
          <w:szCs w:val="16"/>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 For additional information on the SAFE regulations and the related risks to our company, see Item 3.D. “Risk Factors—Risks Related to Doing Business in China—The Chinese government has strengthened the regulation of investments made by Chinese residents in offshore companies and reinvestments in China made by these offshore companies. Our business may be adversely affected by these restrictions.”</w:t>
      </w:r>
    </w:p>
    <w:p>
      <w:pPr>
        <w:spacing w:after="0" w:line="165"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For more information about foreign exchange control, see Item 3.D. “Risk Factors—Risks Related to Our Company—Our corporate structure may restrict our ability to receive dividends, loans or advances from, and transfer funds to, our PRC subsidiaries and variable interest entities,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w:t>
      </w:r>
    </w:p>
    <w:p>
      <w:pPr>
        <w:spacing w:after="0" w:line="167"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20" w:firstLine="510"/>
        <w:spacing w:after="0" w:line="285" w:lineRule="auto"/>
        <w:rPr>
          <w:sz w:val="20"/>
          <w:szCs w:val="20"/>
          <w:color w:val="auto"/>
        </w:rPr>
      </w:pPr>
      <w:r>
        <w:rPr>
          <w:rFonts w:ascii="Arial" w:cs="Arial" w:eastAsia="Arial" w:hAnsi="Arial"/>
          <w:sz w:val="17"/>
          <w:szCs w:val="17"/>
          <w:color w:val="auto"/>
        </w:rPr>
        <w:t xml:space="preserve">The following summary of the material Cayman Islands and United States federal income tax consequences relevant to the purchase, ownership or sale of our ADSs is based upon laws and relevant interpretations thereof in effect as of the date of this annual </w:t>
      </w:r>
      <w:r>
        <w:rPr>
          <w:rFonts w:ascii="Arial" w:cs="Arial" w:eastAsia="Arial" w:hAnsi="Arial"/>
          <w:sz w:val="16"/>
          <w:szCs w:val="16"/>
          <w:color w:val="auto"/>
        </w:rPr>
        <w:t>report, all of which are subject to change. To the</w:t>
      </w:r>
      <w:r>
        <w:rPr>
          <w:rFonts w:ascii="Arial" w:cs="Arial" w:eastAsia="Arial" w:hAnsi="Arial"/>
          <w:sz w:val="17"/>
          <w:szCs w:val="17"/>
          <w:color w:val="auto"/>
        </w:rPr>
        <w:t xml:space="preserve"> </w:t>
      </w:r>
      <w:r>
        <w:rPr>
          <w:rFonts w:ascii="Arial" w:cs="Arial" w:eastAsia="Arial" w:hAnsi="Arial"/>
          <w:sz w:val="16"/>
          <w:szCs w:val="16"/>
          <w:color w:val="auto"/>
        </w:rPr>
        <w:t>extent that the discussion relates to matters of Cayman Islands tax law, it represents the opinion of Maples and Calder, our Cayman Islands counsel.</w:t>
      </w:r>
    </w:p>
    <w:p>
      <w:pPr>
        <w:sectPr>
          <w:pgSz w:w="11900" w:h="16864" w:orient="portrait"/>
          <w:cols w:equalWidth="0" w:num="1">
            <w:col w:w="11420"/>
          </w:cols>
          <w:pgMar w:left="240" w:top="125" w:right="239" w:bottom="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w:t>
      </w:r>
    </w:p>
    <w:p>
      <w:pPr>
        <w:spacing w:after="0" w:line="229"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following discussion is a summary of certain United States federal income tax considerations applicable to the ownership and disposition of shares or ADSs by a U.S. Holder (as defined below) who holds such shares or ADSs as capital assets as defined under the Internal Revenue Code of 1986, as amended (the “Code”). This summary does not purport to be a complete analysis of all potential United States federal income tax effects. This summary is based on the Code, United States Treasury regulations promulgated thereunder, Internal Revenue Service (“IRS”) rulings and judicial decisions and the income tax treaty between the United States and the PRC, or the U.S.-PRC Tax Treaty, all as in effect on the date hereof. All of these are subject to change, possibly with retroactive effect, or to different interpretations. Such change could materially and adversely affect the tax consequences described below. No assurance can be given that the IRS would not assert, or that a court would not sustain, a position contrary to any of the tax consequences described below.</w:t>
      </w:r>
    </w:p>
    <w:p>
      <w:pPr>
        <w:spacing w:after="0" w:line="167" w:lineRule="exact"/>
        <w:rPr>
          <w:sz w:val="20"/>
          <w:szCs w:val="20"/>
          <w:color w:val="auto"/>
        </w:rPr>
      </w:pPr>
    </w:p>
    <w:p>
      <w:pPr>
        <w:ind w:right="100" w:firstLine="510"/>
        <w:spacing w:after="0" w:line="264" w:lineRule="auto"/>
        <w:rPr>
          <w:sz w:val="20"/>
          <w:szCs w:val="20"/>
          <w:color w:val="auto"/>
        </w:rPr>
      </w:pPr>
      <w:r>
        <w:rPr>
          <w:rFonts w:ascii="Arial" w:cs="Arial" w:eastAsia="Arial" w:hAnsi="Arial"/>
          <w:sz w:val="18"/>
          <w:szCs w:val="18"/>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p>
      <w:pPr>
        <w:spacing w:after="0" w:line="181" w:lineRule="exact"/>
        <w:rPr>
          <w:sz w:val="20"/>
          <w:szCs w:val="20"/>
          <w:color w:val="auto"/>
        </w:rPr>
      </w:pPr>
    </w:p>
    <w:p>
      <w:pPr>
        <w:ind w:left="980" w:hanging="466"/>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dealers in stocks, securities or currencies;</w:t>
      </w:r>
    </w:p>
    <w:p>
      <w:pPr>
        <w:spacing w:after="0" w:line="225" w:lineRule="exact"/>
        <w:rPr>
          <w:rFonts w:ascii="Arial" w:cs="Arial" w:eastAsia="Arial" w:hAnsi="Arial"/>
          <w:sz w:val="18"/>
          <w:szCs w:val="18"/>
          <w:color w:val="auto"/>
        </w:rPr>
      </w:pPr>
    </w:p>
    <w:p>
      <w:pPr>
        <w:ind w:left="980" w:hanging="466"/>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securities traders that use a mark-to-market accounting method;</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holding shares or ADSs as part of a hedging or conversion transaction or a straddle;</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deemed to sell shares or ADSs under the constructive sale provisions of the Code;</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who or that are, or may become, subject to the expatriation provisions of the Code;</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persons whose functional currency is not the United States dollar; and</w:t>
      </w:r>
    </w:p>
    <w:p>
      <w:pPr>
        <w:spacing w:after="0" w:line="225" w:lineRule="exact"/>
        <w:rPr>
          <w:rFonts w:ascii="Arial" w:cs="Arial" w:eastAsia="Arial" w:hAnsi="Arial"/>
          <w:sz w:val="18"/>
          <w:szCs w:val="18"/>
          <w:color w:val="auto"/>
        </w:rPr>
      </w:pPr>
    </w:p>
    <w:p>
      <w:pPr>
        <w:ind w:left="1000" w:hanging="482"/>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direct, indirect or constructive owners of 10% or more of the total combined voting power of all classes of our voting stock.</w:t>
      </w:r>
    </w:p>
    <w:p>
      <w:pPr>
        <w:spacing w:after="0" w:line="225" w:lineRule="exact"/>
        <w:rPr>
          <w:sz w:val="20"/>
          <w:szCs w:val="20"/>
          <w:color w:val="auto"/>
        </w:rPr>
      </w:pPr>
    </w:p>
    <w:p>
      <w:pPr>
        <w:ind w:right="80" w:firstLine="510"/>
        <w:spacing w:after="0" w:line="264" w:lineRule="auto"/>
        <w:rPr>
          <w:sz w:val="20"/>
          <w:szCs w:val="20"/>
          <w:color w:val="auto"/>
        </w:rPr>
      </w:pPr>
      <w:r>
        <w:rPr>
          <w:rFonts w:ascii="Arial" w:cs="Arial" w:eastAsia="Arial" w:hAnsi="Arial"/>
          <w:sz w:val="18"/>
          <w:szCs w:val="18"/>
          <w:color w:val="auto"/>
        </w:rPr>
        <w:t>This summary also does not discuss any aspect of state, local or non-U.S. tax law, or United States federal estate or gift tax law as applicable to U.S. Holders. Prospective purchasers are urged to consult their tax advisors about the United States federal, state and local and non-U.S. tax consequences to them of the purchase, ownership and disposition of shares or ADSs.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purposes of this summary, “U.S. Holder” means a beneficial holder of shares or ADSs who or that for United States federal income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00" w:hanging="482"/>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1020" w:right="40" w:hanging="502"/>
        <w:spacing w:after="0" w:line="277" w:lineRule="auto"/>
        <w:tabs>
          <w:tab w:leader="none" w:pos="9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(or other entity classified as a corporation for United States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1000" w:hanging="482"/>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25" w:lineRule="exact"/>
        <w:rPr>
          <w:rFonts w:ascii="Arial" w:cs="Arial" w:eastAsia="Arial" w:hAnsi="Arial"/>
          <w:sz w:val="18"/>
          <w:szCs w:val="18"/>
          <w:color w:val="auto"/>
        </w:rPr>
      </w:pPr>
    </w:p>
    <w:p>
      <w:pPr>
        <w:ind w:left="1020" w:right="140" w:hanging="502"/>
        <w:spacing w:after="0" w:line="264" w:lineRule="auto"/>
        <w:tabs>
          <w:tab w:leader="none" w:pos="9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U.S. person.</w:t>
      </w:r>
    </w:p>
    <w:p>
      <w:pPr>
        <w:sectPr>
          <w:pgSz w:w="11900" w:h="16838" w:orient="portrait"/>
          <w:cols w:equalWidth="0" w:num="1">
            <w:col w:w="11420"/>
          </w:cols>
          <w:pgMar w:left="240" w:top="341" w:right="239" w:bottom="0" w:gutter="0" w:footer="0" w:header="0"/>
        </w:sectPr>
      </w:pPr>
    </w:p>
    <w:bookmarkStart w:id="74" w:name="page75"/>
    <w:bookmarkEnd w:id="74"/>
    <w:p>
      <w:pPr>
        <w:spacing w:after="0" w:line="47" w:lineRule="exact"/>
        <w:rPr>
          <w:sz w:val="20"/>
          <w:szCs w:val="20"/>
          <w:color w:val="auto"/>
        </w:rPr>
      </w:pPr>
    </w:p>
    <w:p>
      <w:pPr>
        <w:ind w:right="60" w:firstLine="510"/>
        <w:spacing w:after="0" w:line="312" w:lineRule="auto"/>
        <w:rPr>
          <w:sz w:val="20"/>
          <w:szCs w:val="20"/>
          <w:color w:val="auto"/>
        </w:rPr>
      </w:pPr>
      <w:r>
        <w:rPr>
          <w:rFonts w:ascii="Arial" w:cs="Arial" w:eastAsia="Arial" w:hAnsi="Arial"/>
          <w:sz w:val="16"/>
          <w:szCs w:val="16"/>
          <w:color w:val="auto"/>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tax advisors.</w:t>
      </w:r>
    </w:p>
    <w:p>
      <w:pPr>
        <w:spacing w:after="0" w:line="147" w:lineRule="exact"/>
        <w:rPr>
          <w:sz w:val="20"/>
          <w:szCs w:val="20"/>
          <w:color w:val="auto"/>
        </w:rPr>
      </w:pPr>
    </w:p>
    <w:p>
      <w:pPr>
        <w:ind w:right="80" w:firstLine="506"/>
        <w:spacing w:after="0" w:line="259" w:lineRule="auto"/>
        <w:rPr>
          <w:sz w:val="20"/>
          <w:szCs w:val="20"/>
          <w:color w:val="auto"/>
        </w:rPr>
      </w:pPr>
      <w:r>
        <w:rPr>
          <w:rFonts w:ascii="Arial" w:cs="Arial" w:eastAsia="Arial" w:hAnsi="Arial"/>
          <w:sz w:val="18"/>
          <w:szCs w:val="18"/>
          <w:color w:val="auto"/>
        </w:rPr>
        <w:t>The discussion below is written on the basis that the representations contained in the deposit agreement are true and that the obligations in the deposit agreement and any related agreement will be performed in accordance with the terms. If you hold ADSs, you generally will be treated as the owner of the underlying shares represented by those ADSs for United States federal income tax purposes. Accordingly, deposits or withdrawal of shares for ADSs will not be subject to United States federal income tax.</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TAXATION OF U.S. HOLDERS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Taxation of Dividends and Other Distributions on the Shares or ADSs</w:t>
      </w:r>
    </w:p>
    <w:p>
      <w:pPr>
        <w:spacing w:after="0" w:line="229"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Subject to the passive foreign investment company (“PFIC”) rules discussed below, distributions paid by our company out of current or accumulated earnings and profits (as determined for United States federal income tax purposes) generally will be taxable to a U.S. Holder as foreign source dividend income,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w:t>
      </w:r>
    </w:p>
    <w:p>
      <w:pPr>
        <w:spacing w:after="0" w:line="192" w:lineRule="exact"/>
        <w:rPr>
          <w:sz w:val="20"/>
          <w:szCs w:val="20"/>
          <w:color w:val="auto"/>
        </w:rPr>
      </w:pPr>
    </w:p>
    <w:p>
      <w:pPr>
        <w:jc w:val="both"/>
        <w:ind w:firstLine="510"/>
        <w:spacing w:after="0" w:line="288" w:lineRule="auto"/>
        <w:rPr>
          <w:sz w:val="20"/>
          <w:szCs w:val="20"/>
          <w:color w:val="auto"/>
        </w:rPr>
      </w:pPr>
      <w:r>
        <w:rPr>
          <w:rFonts w:ascii="Arial" w:cs="Arial" w:eastAsia="Arial" w:hAnsi="Arial"/>
          <w:sz w:val="16"/>
          <w:szCs w:val="16"/>
          <w:color w:val="auto"/>
        </w:rPr>
        <w:t>Certain dividends received by non-corporate U.S. Holders, including individuals, may be eligible for the special reduced rates normally applicable to long-term capital gains, provided that certain conditions are satisfied. A U.S. Holder is not able to claim the reduced rate for any year in which we are treated as a PFIC. See “Passive Foreign Investment Company Considerations,” below. Dividends may be taxed at the lower applicable capital gains rate provided that</w:t>
      </w:r>
    </w:p>
    <w:p>
      <w:pPr>
        <w:ind w:right="120" w:firstLine="8"/>
        <w:spacing w:after="0" w:line="292" w:lineRule="auto"/>
        <w:tabs>
          <w:tab w:leader="none" w:pos="255" w:val="left"/>
        </w:tabs>
        <w:numPr>
          <w:ilvl w:val="0"/>
          <w:numId w:val="82"/>
        </w:numPr>
        <w:rPr>
          <w:rFonts w:ascii="Arial" w:cs="Arial" w:eastAsia="Arial" w:hAnsi="Arial"/>
          <w:sz w:val="16"/>
          <w:szCs w:val="16"/>
          <w:color w:val="auto"/>
        </w:rPr>
      </w:pPr>
      <w:r>
        <w:rPr>
          <w:rFonts w:ascii="Arial" w:cs="Arial" w:eastAsia="Arial" w:hAnsi="Arial"/>
          <w:sz w:val="16"/>
          <w:szCs w:val="16"/>
          <w:color w:val="auto"/>
        </w:rPr>
        <w:t>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Since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w:t>
      </w:r>
    </w:p>
    <w:p>
      <w:pPr>
        <w:spacing w:after="0" w:line="163"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the event that dividends from our company are subject to withholding by the PRC, a U.S. Holder may be eligible, subject to a number of complex limitations, to claim a foreign tax credit in respect of any foreign withholding taxes imposed on dividends received on the shares or ADSs.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Dividends will constitute foreign source income for United States foreign tax credit purposes. The U.S. foreign tax credit rules are complex. U.S. Holders should consult their own tax advisors regarding the foreign tax credit rules in light of their particular circumstances.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Taxation of Disposition of Shares or ADSs</w:t>
      </w:r>
    </w:p>
    <w:p>
      <w:pPr>
        <w:spacing w:after="0" w:line="22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Subject to the PFIC rules discussed below, you will generally recognize taxable gain or loss on any sale or exchange of a share or ADS in an amount equal to the difference between the amount realized (in U.S. dollars) for the share or ADS and your tax basis (in U.S. dollars) in the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such gain may be treated as PRC source gain under the U.S.-PRC Tax Treaty, in which case a U.S. Holder eligible for treaty benefits may be able to claim a foreign tax credit, subject to applicable limitations.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shares or ADSs, including the availability of the U.S. foreign tax credit and the ability and whether to treat any gain as PRC source gain for the purposes of the U.S. foreign tax credit in consideration of their particular circumstances.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Tax on Net Investment Income</w:t>
      </w:r>
    </w:p>
    <w:p>
      <w:pPr>
        <w:spacing w:after="0" w:line="229" w:lineRule="exact"/>
        <w:rPr>
          <w:sz w:val="20"/>
          <w:szCs w:val="20"/>
          <w:color w:val="auto"/>
        </w:rPr>
      </w:pPr>
    </w:p>
    <w:p>
      <w:pPr>
        <w:jc w:val="both"/>
        <w:ind w:right="40" w:firstLine="510"/>
        <w:spacing w:after="0" w:line="264" w:lineRule="auto"/>
        <w:rPr>
          <w:sz w:val="20"/>
          <w:szCs w:val="20"/>
          <w:color w:val="auto"/>
        </w:rPr>
      </w:pPr>
      <w:r>
        <w:rPr>
          <w:rFonts w:ascii="Arial" w:cs="Arial" w:eastAsia="Arial" w:hAnsi="Arial"/>
          <w:sz w:val="18"/>
          <w:szCs w:val="18"/>
          <w:color w:val="auto"/>
        </w:rPr>
        <w:t>A 3.8% tax is imposed on the “net investment income” (as defined in section 1411 of the Code) of individuals whose income exceeds certain threshold amounts, and of certain trusts and estates under similar rules. U.S. Holders should consult their tax advisors regarding the applicability of this net investment income tax in respect of an investment in our company in light of their particular circumstances.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Passive Foreign Investment Company</w:t>
      </w:r>
    </w:p>
    <w:p>
      <w:pPr>
        <w:spacing w:after="0" w:line="229" w:lineRule="exact"/>
        <w:rPr>
          <w:sz w:val="20"/>
          <w:szCs w:val="20"/>
          <w:color w:val="auto"/>
        </w:rPr>
      </w:pPr>
    </w:p>
    <w:p>
      <w:pPr>
        <w:jc w:val="both"/>
        <w:ind w:right="180" w:firstLine="510"/>
        <w:spacing w:after="0" w:line="286" w:lineRule="auto"/>
        <w:rPr>
          <w:sz w:val="20"/>
          <w:szCs w:val="20"/>
          <w:color w:val="auto"/>
        </w:rPr>
      </w:pPr>
      <w:r>
        <w:rPr>
          <w:rFonts w:ascii="Arial" w:cs="Arial" w:eastAsia="Arial" w:hAnsi="Arial"/>
          <w:sz w:val="17"/>
          <w:szCs w:val="17"/>
          <w:color w:val="auto"/>
        </w:rPr>
        <w:t>A non-U.S.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of its assets is attributable to assets which produce passive income or are held for the production of passive income.</w:t>
      </w:r>
    </w:p>
    <w:p>
      <w:pPr>
        <w:spacing w:after="0" w:line="166" w:lineRule="exact"/>
        <w:rPr>
          <w:sz w:val="20"/>
          <w:szCs w:val="20"/>
          <w:color w:val="auto"/>
        </w:rPr>
      </w:pPr>
    </w:p>
    <w:p>
      <w:pPr>
        <w:jc w:val="both"/>
        <w:ind w:right="120" w:firstLine="510"/>
        <w:spacing w:after="0" w:line="264" w:lineRule="auto"/>
        <w:rPr>
          <w:sz w:val="20"/>
          <w:szCs w:val="20"/>
          <w:color w:val="auto"/>
        </w:rPr>
      </w:pPr>
      <w:r>
        <w:rPr>
          <w:rFonts w:ascii="Arial" w:cs="Arial" w:eastAsia="Arial" w:hAnsi="Arial"/>
          <w:sz w:val="18"/>
          <w:szCs w:val="18"/>
          <w:color w:val="auto"/>
        </w:rPr>
        <w:t>For this purpose, cash and investment securities are categorized as passive assets and our company’s unbooked intangibles are taken into account. We will be treated as owning our proportionate share of the assets and earning our proportionate share of the income of any other corporation in which we own, directly or indirectly, more than 25% (by value) of the stock.</w:t>
      </w:r>
    </w:p>
    <w:p>
      <w:pPr>
        <w:spacing w:after="0" w:line="181" w:lineRule="exact"/>
        <w:rPr>
          <w:sz w:val="20"/>
          <w:szCs w:val="20"/>
          <w:color w:val="auto"/>
        </w:rPr>
      </w:pPr>
    </w:p>
    <w:p>
      <w:pPr>
        <w:ind w:right="220" w:firstLine="510"/>
        <w:spacing w:after="0" w:line="312" w:lineRule="auto"/>
        <w:rPr>
          <w:sz w:val="20"/>
          <w:szCs w:val="20"/>
          <w:color w:val="auto"/>
        </w:rPr>
      </w:pPr>
      <w:r>
        <w:rPr>
          <w:rFonts w:ascii="Arial" w:cs="Arial" w:eastAsia="Arial" w:hAnsi="Arial"/>
          <w:sz w:val="16"/>
          <w:szCs w:val="16"/>
          <w:color w:val="auto"/>
        </w:rPr>
        <w:t>We do not believe that we are currently a PFIC for United States federal income tax purposes and do not expect to become a PFIC in the foreseeable future. However, the determination of whether we will be classified as a PFIC is made annually and may involve facts that are not within our control. In particular, the fair market value of some of our company’s assets may be determined in large part by the market price of the ADSs, which is likely to</w:t>
      </w:r>
    </w:p>
    <w:p>
      <w:pPr>
        <w:sectPr>
          <w:pgSz w:w="11900" w:h="16885" w:orient="portrait"/>
          <w:cols w:equalWidth="0" w:num="1">
            <w:col w:w="11420"/>
          </w:cols>
          <w:pgMar w:left="240" w:top="125" w:right="239" w:bottom="0" w:gutter="0" w:footer="0" w:header="0"/>
        </w:sectPr>
      </w:pPr>
    </w:p>
    <w:bookmarkStart w:id="75" w:name="page76"/>
    <w:bookmarkEnd w:id="75"/>
    <w:p>
      <w:pPr>
        <w:ind w:right="120"/>
        <w:spacing w:after="0" w:line="312" w:lineRule="auto"/>
        <w:rPr>
          <w:sz w:val="20"/>
          <w:szCs w:val="20"/>
          <w:color w:val="auto"/>
        </w:rPr>
      </w:pPr>
      <w:r>
        <w:rPr>
          <w:rFonts w:ascii="Arial" w:cs="Arial" w:eastAsia="Arial" w:hAnsi="Arial"/>
          <w:sz w:val="16"/>
          <w:szCs w:val="16"/>
          <w:color w:val="auto"/>
        </w:rPr>
        <w:t>fluctuate. In addition, the composition of our company’s income and assets will be affected by how, and how quickly, our company spends any cash that is raised. Thus, no assurance can be provided that our company would not be classified as a PFIC for the current or any future taxable year. Furthermore, while we believe our valuation approach is reasonable, it is possible that the IRS could challenge our determination concerning our PFIC status.</w:t>
      </w:r>
    </w:p>
    <w:p>
      <w:pPr>
        <w:spacing w:after="0" w:line="147" w:lineRule="exact"/>
        <w:rPr>
          <w:sz w:val="20"/>
          <w:szCs w:val="20"/>
          <w:color w:val="auto"/>
        </w:rPr>
      </w:pPr>
    </w:p>
    <w:p>
      <w:pPr>
        <w:ind w:right="80" w:firstLine="510"/>
        <w:spacing w:after="0" w:line="276" w:lineRule="auto"/>
        <w:rPr>
          <w:sz w:val="20"/>
          <w:szCs w:val="20"/>
          <w:color w:val="auto"/>
        </w:rPr>
      </w:pPr>
      <w:r>
        <w:rPr>
          <w:rFonts w:ascii="Arial" w:cs="Arial" w:eastAsia="Arial" w:hAnsi="Arial"/>
          <w:sz w:val="17"/>
          <w:szCs w:val="17"/>
          <w:color w:val="auto"/>
        </w:rPr>
        <w:t>If our company is classified as a PFIC for any taxable year during which a U.S. Holder owns shares or ADSs, the U.S. Holder, absent certain elections (including a mark-to-market election), will generally be subject to adverse rules (regardless of whether our company continues to be classified as a PFIC) with respect to (i) any “excess distributions” (generally, any distributions received by the U.S. Holder on the 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spacing w:after="0" w:line="173"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Under these adverse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w:t>
      </w:r>
    </w:p>
    <w:p>
      <w:pPr>
        <w:jc w:val="both"/>
        <w:ind w:right="140" w:firstLine="8"/>
        <w:spacing w:after="0" w:line="255" w:lineRule="auto"/>
        <w:tabs>
          <w:tab w:leader="none" w:pos="2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19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Alternatively, a U.S. Holder may be eligible to make a mark-to-market election with respect to its shares or ADSs if such shares or ADSs qualify as “marketable” under applicable U.S. federal income tax rules. A U.S. Holder that makes an effective mark-to-market election must include in ordinary income, rather than capital gain, for each year an amount equal to the excess, if any, of the fair market value of the shares or ADSs, as applicable, at the close of the taxable year over the U.S. Holder’s adjusted basis in the shares or ADSs. Additional complex rules apply and the election cannot be revoked without the consent of the IRS unless the shares or ADSs cease to be marketable.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Although the PFIC rules permit a holder of PFIC stock in certain circumstances to avoid some of the disadvantageous tax treatment described above by making a “qualified electing fund,” or QEF, election, a U.S. Holder will not be able to elect to treat our company as a QEF because our company does not intend to prepare the information that the U.S. Investor would need to make a QEF election.</w:t>
      </w:r>
    </w:p>
    <w:p>
      <w:pPr>
        <w:spacing w:after="0" w:line="181"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If we are a PFIC in any year with respect to a U.S. Holder, and any of our subsidiaries are also a PFIC, such U.S. Holder will be treated as owning a proportionate share (by value) of the shares of the lower-tier PFIC for purposes of these rules. Non-corporate U.S. Holders will not be eligible for the reduced tax rate on any dividends received from us if we are a PFIC in the taxable year in which such dividends are paid or in the preceding taxable year.</w:t>
      </w:r>
    </w:p>
    <w:p>
      <w:pPr>
        <w:spacing w:after="0" w:line="147"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spacing w:after="0" w:line="166"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60" w:firstLine="504"/>
        <w:spacing w:after="0" w:line="273" w:lineRule="auto"/>
        <w:rPr>
          <w:sz w:val="20"/>
          <w:szCs w:val="20"/>
          <w:color w:val="auto"/>
        </w:rPr>
      </w:pPr>
      <w:r>
        <w:rPr>
          <w:rFonts w:ascii="Arial" w:cs="Arial" w:eastAsia="Arial" w:hAnsi="Arial"/>
          <w:sz w:val="17"/>
          <w:szCs w:val="17"/>
          <w:color w:val="auto"/>
        </w:rPr>
        <w:t>The proceeds of a sale or other disposition, as well as dividends paid with respect to shares or ADSs by a United States payor (including any payments received from a U.S. financial intermediary), generally will be reported to the IRS and to the U.S. Holder as required under applicable regulations. Backup withholding tax may apply to these payments if the U.S. Holder fails to timely provide an accurate taxpayer identification number or otherwise fails to comply with, or establish an exemption from, such backup withholding tax requirements. Certain U.S. Holders (including, among others, corporations) are not subject to the information reporting or backup withholding tax requirements described herein. U.S. Holders should consult their tax advisors as to their qualification for exemption from backup withholding tax and the procedure for establishing an exemption.</w:t>
      </w:r>
    </w:p>
    <w:p>
      <w:pPr>
        <w:spacing w:after="0" w:line="178" w:lineRule="exact"/>
        <w:rPr>
          <w:sz w:val="20"/>
          <w:szCs w:val="20"/>
          <w:color w:val="auto"/>
        </w:rPr>
      </w:pPr>
    </w:p>
    <w:p>
      <w:pPr>
        <w:ind w:right="40" w:firstLine="504"/>
        <w:spacing w:after="0" w:line="257" w:lineRule="auto"/>
        <w:rPr>
          <w:sz w:val="20"/>
          <w:szCs w:val="20"/>
          <w:color w:val="auto"/>
        </w:rPr>
      </w:pPr>
      <w:r>
        <w:rPr>
          <w:rFonts w:ascii="Arial" w:cs="Arial" w:eastAsia="Arial" w:hAnsi="Arial"/>
          <w:sz w:val="18"/>
          <w:szCs w:val="18"/>
          <w:color w:val="auto"/>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own tax advisors regarding the information reporting obligations that may arise from their acquisition, ownership or disposition of our shares or ADSs.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an exempted company incorporated in the Cayman Islands because of the following benefits found there:</w:t>
      </w:r>
    </w:p>
    <w:p>
      <w:pPr>
        <w:spacing w:after="0" w:line="225" w:lineRule="exact"/>
        <w:rPr>
          <w:sz w:val="20"/>
          <w:szCs w:val="20"/>
          <w:color w:val="auto"/>
        </w:rPr>
      </w:pPr>
    </w:p>
    <w:p>
      <w:pPr>
        <w:ind w:left="1060" w:hanging="542"/>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25" w:lineRule="exact"/>
        <w:rPr>
          <w:rFonts w:ascii="Arial" w:cs="Arial" w:eastAsia="Arial" w:hAnsi="Arial"/>
          <w:sz w:val="18"/>
          <w:szCs w:val="18"/>
          <w:color w:val="auto"/>
        </w:rPr>
      </w:pPr>
    </w:p>
    <w:p>
      <w:pPr>
        <w:ind w:left="1060" w:hanging="548"/>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25" w:lineRule="exact"/>
        <w:rPr>
          <w:rFonts w:ascii="Arial" w:cs="Arial" w:eastAsia="Arial" w:hAnsi="Arial"/>
          <w:sz w:val="18"/>
          <w:szCs w:val="18"/>
          <w:color w:val="auto"/>
        </w:rPr>
      </w:pPr>
    </w:p>
    <w:p>
      <w:pPr>
        <w:ind w:left="1060" w:hanging="542"/>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25" w:lineRule="exact"/>
        <w:rPr>
          <w:rFonts w:ascii="Arial" w:cs="Arial" w:eastAsia="Arial" w:hAnsi="Arial"/>
          <w:sz w:val="18"/>
          <w:szCs w:val="18"/>
          <w:color w:val="auto"/>
        </w:rPr>
      </w:pPr>
    </w:p>
    <w:p>
      <w:pPr>
        <w:ind w:left="1060" w:hanging="542"/>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225" w:lineRule="exact"/>
        <w:rPr>
          <w:rFonts w:ascii="Arial" w:cs="Arial" w:eastAsia="Arial" w:hAnsi="Arial"/>
          <w:sz w:val="18"/>
          <w:szCs w:val="18"/>
          <w:color w:val="auto"/>
        </w:rPr>
      </w:pPr>
    </w:p>
    <w:p>
      <w:pPr>
        <w:ind w:left="1060" w:hanging="542"/>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248" w:lineRule="exact"/>
        <w:rPr>
          <w:sz w:val="20"/>
          <w:szCs w:val="20"/>
          <w:color w:val="auto"/>
        </w:rPr>
      </w:pPr>
    </w:p>
    <w:p>
      <w:pPr>
        <w:ind w:right="420" w:firstLine="518"/>
        <w:spacing w:after="0" w:line="277" w:lineRule="auto"/>
        <w:tabs>
          <w:tab w:leader="none" w:pos="7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provides significantly less protection to investors; and</w:t>
      </w:r>
    </w:p>
    <w:p>
      <w:pPr>
        <w:sectPr>
          <w:pgSz w:w="11900" w:h="16838" w:orient="portrait"/>
          <w:cols w:equalWidth="0" w:num="1">
            <w:col w:w="11420"/>
          </w:cols>
          <w:pgMar w:left="240" w:top="125" w:right="239" w:bottom="0" w:gutter="0" w:footer="0" w:header="0"/>
        </w:sectPr>
      </w:pPr>
    </w:p>
    <w:bookmarkStart w:id="76" w:name="page77"/>
    <w:bookmarkEnd w:id="76"/>
    <w:p>
      <w:pPr>
        <w:ind w:left="520"/>
        <w:spacing w:after="0"/>
        <w:rPr>
          <w:sz w:val="20"/>
          <w:szCs w:val="20"/>
          <w:color w:val="auto"/>
        </w:rPr>
      </w:pPr>
      <w:r>
        <w:rPr>
          <w:rFonts w:ascii="Arial" w:cs="Arial" w:eastAsia="Arial" w:hAnsi="Arial"/>
          <w:sz w:val="18"/>
          <w:szCs w:val="18"/>
          <w:color w:val="auto"/>
        </w:rPr>
        <w:t>(2) Cayman Islands companies may not have standing to sue before the federal courts of the United States.</w:t>
      </w:r>
    </w:p>
    <w:p>
      <w:pPr>
        <w:spacing w:after="0" w:line="225"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 substantial portion of our current operations is conducted in China through our wholly-owned subsidiaries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93" w:lineRule="exact"/>
        <w:rPr>
          <w:sz w:val="20"/>
          <w:szCs w:val="20"/>
          <w:color w:val="auto"/>
        </w:rPr>
      </w:pPr>
    </w:p>
    <w:p>
      <w:pPr>
        <w:ind w:firstLine="506"/>
        <w:spacing w:after="0" w:line="277" w:lineRule="auto"/>
        <w:rPr>
          <w:sz w:val="20"/>
          <w:szCs w:val="20"/>
          <w:color w:val="auto"/>
        </w:rPr>
      </w:pPr>
      <w:r>
        <w:rPr>
          <w:rFonts w:ascii="Arial" w:cs="Arial" w:eastAsia="Arial" w:hAnsi="Arial"/>
          <w:sz w:val="18"/>
          <w:szCs w:val="18"/>
          <w:color w:val="auto"/>
        </w:rPr>
        <w:t>Maples and Calder, our counsel as to Cayman Islands law, and Jun He Lawyers, our counsel as to Chinese law, have advised us, respectively, that there is uncertainty as to whether the courts of the Cayman Islands or China would:</w:t>
      </w:r>
    </w:p>
    <w:p>
      <w:pPr>
        <w:spacing w:after="0" w:line="170" w:lineRule="exact"/>
        <w:rPr>
          <w:sz w:val="20"/>
          <w:szCs w:val="20"/>
          <w:color w:val="auto"/>
        </w:rPr>
      </w:pPr>
    </w:p>
    <w:p>
      <w:pPr>
        <w:ind w:right="60" w:firstLine="518"/>
        <w:spacing w:after="0" w:line="277" w:lineRule="auto"/>
        <w:tabs>
          <w:tab w:leader="none" w:pos="7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0" w:lineRule="exact"/>
        <w:rPr>
          <w:rFonts w:ascii="Arial" w:cs="Arial" w:eastAsia="Arial" w:hAnsi="Arial"/>
          <w:sz w:val="18"/>
          <w:szCs w:val="18"/>
          <w:color w:val="auto"/>
        </w:rPr>
      </w:pPr>
    </w:p>
    <w:p>
      <w:pPr>
        <w:ind w:right="180" w:firstLine="518"/>
        <w:spacing w:after="0" w:line="277" w:lineRule="auto"/>
        <w:tabs>
          <w:tab w:leader="none" w:pos="7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entertain original actions brought in the Cayman Islands or China against us or our directors or officers predicated upon the securities laws of the United States or any state in the United States.</w:t>
      </w:r>
    </w:p>
    <w:p>
      <w:pPr>
        <w:spacing w:after="0" w:line="170"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Maples and Calder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has advised us that although there is no statutory enforcement in the Cayman Islands of judgments obtained in the federal or state courts of the United States, a judgment obtained in such jurisdiction will be recognised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69" w:lineRule="exact"/>
        <w:rPr>
          <w:sz w:val="20"/>
          <w:szCs w:val="20"/>
          <w:color w:val="auto"/>
        </w:rPr>
      </w:pPr>
    </w:p>
    <w:p>
      <w:pPr>
        <w:jc w:val="both"/>
        <w:ind w:right="300" w:firstLine="510"/>
        <w:spacing w:after="0" w:line="286" w:lineRule="auto"/>
        <w:rPr>
          <w:sz w:val="20"/>
          <w:szCs w:val="20"/>
          <w:color w:val="auto"/>
        </w:rPr>
      </w:pPr>
      <w:r>
        <w:rPr>
          <w:rFonts w:ascii="Arial" w:cs="Arial" w:eastAsia="Arial" w:hAnsi="Arial"/>
          <w:sz w:val="17"/>
          <w:szCs w:val="17"/>
          <w:color w:val="auto"/>
        </w:rPr>
        <w:t>Jun He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62" w:lineRule="exact"/>
        <w:rPr>
          <w:sz w:val="20"/>
          <w:szCs w:val="20"/>
          <w:color w:val="auto"/>
        </w:rPr>
      </w:pPr>
    </w:p>
    <w:p>
      <w:pPr>
        <w:ind w:left="680" w:hanging="672"/>
        <w:spacing w:after="0"/>
        <w:tabs>
          <w:tab w:leader="none" w:pos="6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40" w:hanging="732"/>
        <w:spacing w:after="0"/>
        <w:tabs>
          <w:tab w:leader="none" w:pos="7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40" w:hanging="732"/>
        <w:spacing w:after="0"/>
        <w:tabs>
          <w:tab w:leader="none" w:pos="7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We have previously filed with the SEC our registration statement on Form F-1 and prospectus under the Securities Act of 1933, as amended, with respect to our ADSs.</w:t>
      </w:r>
    </w:p>
    <w:p>
      <w:pPr>
        <w:spacing w:after="0" w:line="170"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 xml:space="preserve">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Copies of reports and other information, when so filed, may be inspected without charge and may be obtained at prescribed rates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reports, proxy and information statements, and other information regarding registrants that make electronic filings with the SEC using its EDGAR system.</w:t>
      </w:r>
    </w:p>
    <w:p>
      <w:pPr>
        <w:spacing w:after="0" w:line="189" w:lineRule="exact"/>
        <w:rPr>
          <w:sz w:val="20"/>
          <w:szCs w:val="20"/>
          <w:color w:val="auto"/>
        </w:rPr>
      </w:pPr>
    </w:p>
    <w:p>
      <w:pPr>
        <w:ind w:right="20" w:firstLine="510"/>
        <w:spacing w:after="0" w:line="264"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financial statements have been prepared in accordance with U.S. GAAP.</w:t>
      </w:r>
    </w:p>
    <w:p>
      <w:pPr>
        <w:spacing w:after="0" w:line="225"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sectPr>
          <w:pgSz w:w="11900" w:h="16838" w:orient="portrait"/>
          <w:cols w:equalWidth="0" w:num="1">
            <w:col w:w="11400"/>
          </w:cols>
          <w:pgMar w:left="240" w:top="125" w:right="259" w:bottom="0" w:gutter="0" w:footer="0" w:header="0"/>
        </w:sectPr>
      </w:pPr>
    </w:p>
    <w:bookmarkStart w:id="77" w:name="page78"/>
    <w:bookmarkEnd w:id="77"/>
    <w:p>
      <w:pPr>
        <w:ind w:left="520" w:right="9080" w:hanging="512"/>
        <w:spacing w:after="0" w:line="563" w:lineRule="auto"/>
        <w:tabs>
          <w:tab w:leader="none" w:pos="53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Please refer to Item 5.F. “Operating and Financial Review and Prospects—Quantitative and Qualitative Disclosures About Market Risk.”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225" w:lineRule="exact"/>
        <w:rPr>
          <w:sz w:val="20"/>
          <w:szCs w:val="20"/>
          <w:color w:val="auto"/>
        </w:rPr>
      </w:pPr>
    </w:p>
    <w:p>
      <w:pPr>
        <w:ind w:left="520" w:right="9720" w:hanging="512"/>
        <w:spacing w:after="0" w:line="601" w:lineRule="auto"/>
        <w:tabs>
          <w:tab w:leader="none" w:pos="536" w:val="left"/>
        </w:tabs>
        <w:numPr>
          <w:ilvl w:val="0"/>
          <w:numId w:val="9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ind w:left="520" w:right="9280" w:hanging="512"/>
        <w:spacing w:after="0" w:line="563" w:lineRule="auto"/>
        <w:tabs>
          <w:tab w:leader="none" w:pos="526"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520" w:right="9640" w:hanging="512"/>
        <w:spacing w:after="0" w:line="563" w:lineRule="auto"/>
        <w:tabs>
          <w:tab w:leader="none" w:pos="536"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540" w:hanging="532"/>
        <w:spacing w:after="0"/>
        <w:tabs>
          <w:tab w:leader="none" w:pos="5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Fees and charges our ADS holders may have to pay</w:t>
      </w:r>
    </w:p>
    <w:p>
      <w:pPr>
        <w:spacing w:after="0" w:line="229"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The Bank of New York Mellon, the depositary of our ADS program,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Persons depositing or withdrawing shares must pay:</w:t>
            </w:r>
          </w:p>
        </w:tc>
        <w:tc>
          <w:tcPr>
            <w:tcW w:w="5600" w:type="dxa"/>
            <w:vAlign w:val="bottom"/>
          </w:tcPr>
          <w:p>
            <w:pPr>
              <w:ind w:left="2660"/>
              <w:spacing w:after="0"/>
              <w:rPr>
                <w:sz w:val="20"/>
                <w:szCs w:val="20"/>
                <w:color w:val="auto"/>
              </w:rPr>
            </w:pPr>
            <w:r>
              <w:rPr>
                <w:rFonts w:ascii="Arial" w:cs="Arial" w:eastAsia="Arial" w:hAnsi="Arial"/>
                <w:sz w:val="14"/>
                <w:szCs w:val="14"/>
                <w:b w:val="1"/>
                <w:bCs w:val="1"/>
                <w:color w:val="auto"/>
              </w:rPr>
              <w:t>For: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Up to US$0.05 per ADS</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 Issuance of ADSs, including issuances resulting from a distribution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ordinary shares or rights or other property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Cancellation or withdrawals of ADSs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 Distribution of ADSs pursuant to stock dividends, free stock distributions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 exercise of 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 Distributions of securities other than ADSs or rights to purchase additional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US$0.01 per ADS</w:t>
            </w: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Distributions of cash dividends or other cash distributions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US$1.5 per certificate presented for transfer</w:t>
            </w: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Transfer of American depositary receipts, or ADRs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Taxes and other governmental charges the depositary or the custodian have to</w:t>
            </w: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As necessary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pay on any ADS or ordinary shares underlying an ADS, for example, stock</w:t>
            </w:r>
          </w:p>
        </w:tc>
        <w:tc>
          <w:tcPr>
            <w:tcW w:w="5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taxes, stamp duty or withholding taxes</w:t>
            </w:r>
          </w:p>
        </w:tc>
        <w:tc>
          <w:tcPr>
            <w:tcW w:w="5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229" w:lineRule="exact"/>
        <w:rPr>
          <w:sz w:val="20"/>
          <w:szCs w:val="20"/>
          <w:color w:val="auto"/>
        </w:rPr>
      </w:pPr>
    </w:p>
    <w:p>
      <w:pPr>
        <w:jc w:val="both"/>
        <w:ind w:right="120" w:firstLine="510"/>
        <w:spacing w:after="0" w:line="264" w:lineRule="auto"/>
        <w:rPr>
          <w:sz w:val="20"/>
          <w:szCs w:val="20"/>
          <w:color w:val="auto"/>
        </w:rPr>
      </w:pPr>
      <w:r>
        <w:rPr>
          <w:rFonts w:ascii="Arial" w:cs="Arial" w:eastAsia="Arial" w:hAnsi="Arial"/>
          <w:sz w:val="18"/>
          <w:szCs w:val="18"/>
          <w:color w:val="auto"/>
        </w:rPr>
        <w:t>We did not receive any direct or indirect payment from the depositary in 2015, except that the depositary has agreed to waive certain fees for standard costs associated with the administration of the ADS program and waived such costs in an aggregate amount of US$25,760 for the year ended December 31,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ectPr>
          <w:pgSz w:w="11900" w:h="16838" w:orient="portrait"/>
          <w:cols w:equalWidth="0" w:num="1">
            <w:col w:w="11420"/>
          </w:cols>
          <w:pgMar w:left="240" w:top="121" w:right="239" w:bottom="0" w:gutter="0" w:footer="0" w:header="0"/>
        </w:sectPr>
      </w:pPr>
    </w:p>
    <w:bookmarkStart w:id="78" w:name="page79"/>
    <w:bookmarkEnd w:id="78"/>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management, with the participation of William Lei Ding, our Chief Executive Officer, and Onward Choi, our Acting Chief Financial Officer, have conducted an evaluation pursuant to Rule 13a-15 promulgated under the Exchange Act, as amended, of the effectiveness of our disclosure controls and procedures as of December 31, 2015. Based on this evaluation, our Chief Executive Officer and Acting Chief Financial Officer concluded that such disclosure controls and procedures were effective as of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 and Attestation Report of the Registered Public Accounting Firm</w:t>
      </w:r>
    </w:p>
    <w:p>
      <w:pPr>
        <w:spacing w:after="0" w:line="24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Our management’s annual report on internal control over financial reporting and the related report of our independent registered public accounting firm are included in this annual report on pages F-1 and F-2,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510"/>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29"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Our board of directors has determined that Mr. Joseph Tong qualifies as an Audit Committee Financial Expert as defined by the applicable rules of the SEC and that Mr. Tong is “independent” as that term is defined in NASDAQ Marketplace Rule 5605(a)(2).</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29" w:lineRule="exact"/>
        <w:rPr>
          <w:sz w:val="20"/>
          <w:szCs w:val="20"/>
          <w:color w:val="auto"/>
        </w:rPr>
      </w:pPr>
    </w:p>
    <w:p>
      <w:pPr>
        <w:ind w:right="140" w:firstLine="506"/>
        <w:spacing w:after="0" w:line="264" w:lineRule="auto"/>
        <w:rPr>
          <w:sz w:val="20"/>
          <w:szCs w:val="20"/>
          <w:color w:val="auto"/>
        </w:rPr>
      </w:pPr>
      <w:r>
        <w:rPr>
          <w:rFonts w:ascii="Arial" w:cs="Arial" w:eastAsia="Arial" w:hAnsi="Arial"/>
          <w:sz w:val="18"/>
          <w:szCs w:val="18"/>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This code is intended to qualify as a “code of ethics” within the meaning of the applicable rules of the SEC.</w:t>
      </w:r>
    </w:p>
    <w:p>
      <w:pPr>
        <w:spacing w:after="0" w:line="17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Disclosure of Fees Charged by Independent Accountants</w:t>
      </w:r>
    </w:p>
    <w:p>
      <w:pPr>
        <w:spacing w:after="0" w:line="229" w:lineRule="exact"/>
        <w:rPr>
          <w:sz w:val="20"/>
          <w:szCs w:val="20"/>
          <w:color w:val="auto"/>
        </w:rPr>
      </w:pPr>
    </w:p>
    <w:p>
      <w:pPr>
        <w:ind w:right="160" w:firstLine="506"/>
        <w:spacing w:after="0" w:line="277" w:lineRule="auto"/>
        <w:rPr>
          <w:sz w:val="20"/>
          <w:szCs w:val="20"/>
          <w:color w:val="auto"/>
        </w:rPr>
      </w:pPr>
      <w:r>
        <w:rPr>
          <w:rFonts w:ascii="Arial" w:cs="Arial" w:eastAsia="Arial" w:hAnsi="Arial"/>
          <w:sz w:val="18"/>
          <w:szCs w:val="18"/>
          <w:color w:val="auto"/>
        </w:rPr>
        <w:t>The following table summarizes the fees charged by PricewaterhouseCoopers Zhong Tian LLP (previously known as PricewaterhouseCoopers Zhong Tian CPAs Limited Company) for certain services rendered to our company during 2014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8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2"/>
              </w:rPr>
              <w:t>For the year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80" w:type="dxa"/>
            <w:vAlign w:val="bottom"/>
            <w:tcBorders>
              <w:bottom w:val="single" w:sz="8" w:color="auto"/>
            </w:tcBorders>
            <w:gridSpan w:val="3"/>
          </w:tcPr>
          <w:p>
            <w:pPr>
              <w:jc w:val="center"/>
              <w:ind w:left="805"/>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40" w:type="dxa"/>
            <w:vAlign w:val="bottom"/>
            <w:tcBorders>
              <w:bottom w:val="single" w:sz="8" w:color="auto"/>
            </w:tcBorders>
          </w:tcPr>
          <w:p>
            <w:pPr>
              <w:jc w:val="right"/>
              <w:ind w:right="405"/>
              <w:spacing w:after="0" w:line="142" w:lineRule="exact"/>
              <w:rPr>
                <w:sz w:val="20"/>
                <w:szCs w:val="20"/>
                <w:color w:val="auto"/>
              </w:rPr>
            </w:pPr>
            <w:r>
              <w:rPr>
                <w:rFonts w:ascii="Arial" w:cs="Arial" w:eastAsia="Arial" w:hAnsi="Arial"/>
                <w:sz w:val="14"/>
                <w:szCs w:val="14"/>
                <w:b w:val="1"/>
                <w:bCs w:val="1"/>
                <w:color w:val="auto"/>
              </w:rPr>
              <w:t>2014</w:t>
            </w:r>
            <w:r>
              <w:rPr>
                <w:rFonts w:ascii="Arial" w:cs="Arial" w:eastAsia="Arial" w:hAnsi="Arial"/>
                <w:sz w:val="16"/>
                <w:szCs w:val="16"/>
                <w:b w:val="1"/>
                <w:bCs w:val="1"/>
                <w:color w:val="auto"/>
                <w:vertAlign w:val="superscript"/>
              </w:rPr>
              <w:t>(1)</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w w:val="90"/>
              </w:rPr>
              <w:t>2015</w:t>
            </w:r>
            <w:r>
              <w:rPr>
                <w:rFonts w:ascii="Arial" w:cs="Arial" w:eastAsia="Arial" w:hAnsi="Arial"/>
                <w:sz w:val="16"/>
                <w:szCs w:val="16"/>
                <w:b w:val="1"/>
                <w:bCs w:val="1"/>
                <w:color w:val="auto"/>
                <w:w w:val="90"/>
                <w:vertAlign w:val="superscript"/>
              </w:rPr>
              <w:t>(1)</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9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5"/>
              </w:rPr>
              <w:t>RMB (in thousands)</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(2)</w:t>
            </w:r>
          </w:p>
        </w:tc>
        <w:tc>
          <w:tcPr>
            <w:tcW w:w="5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17,052</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tcPr>
          <w:p>
            <w:pPr>
              <w:spacing w:after="0" w:line="21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3"/>
                <w:szCs w:val="23"/>
                <w:color w:val="auto"/>
                <w:vertAlign w:val="superscript"/>
              </w:rPr>
              <w:t>(3)</w:t>
            </w:r>
          </w:p>
        </w:tc>
        <w:tc>
          <w:tcPr>
            <w:tcW w:w="5280" w:type="dxa"/>
            <w:vAlign w:val="bottom"/>
            <w:gridSpan w:val="3"/>
          </w:tcPr>
          <w:p>
            <w:pPr>
              <w:jc w:val="right"/>
              <w:ind w:right="280"/>
              <w:spacing w:after="0"/>
              <w:rPr>
                <w:sz w:val="20"/>
                <w:szCs w:val="20"/>
                <w:color w:val="auto"/>
              </w:rPr>
            </w:pPr>
            <w:r>
              <w:rPr>
                <w:rFonts w:ascii="Arial" w:cs="Arial" w:eastAsia="Arial" w:hAnsi="Arial"/>
                <w:sz w:val="18"/>
                <w:szCs w:val="18"/>
                <w:color w:val="auto"/>
              </w:rPr>
              <w:t>1,114</w:t>
            </w:r>
          </w:p>
        </w:tc>
        <w:tc>
          <w:tcPr>
            <w:tcW w:w="4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707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0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3"/>
                <w:szCs w:val="23"/>
                <w:color w:val="auto"/>
                <w:vertAlign w:val="superscript"/>
              </w:rPr>
              <w:t>(4)</w:t>
            </w:r>
          </w:p>
        </w:tc>
        <w:tc>
          <w:tcPr>
            <w:tcW w:w="5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192</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18,358</w:t>
            </w: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vMerge w:val="restart"/>
          </w:tcPr>
          <w:p>
            <w:pPr>
              <w:jc w:val="right"/>
              <w:ind w:right="1430"/>
              <w:spacing w:after="0"/>
              <w:rPr>
                <w:sz w:val="20"/>
                <w:szCs w:val="20"/>
                <w:color w:val="auto"/>
              </w:rPr>
            </w:pPr>
            <w:r>
              <w:rPr>
                <w:rFonts w:ascii="Arial" w:cs="Arial" w:eastAsia="Arial" w:hAnsi="Arial"/>
                <w:sz w:val="18"/>
                <w:szCs w:val="18"/>
                <w:color w:val="auto"/>
              </w:rPr>
              <w:t>103</w:t>
            </w: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04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right="1040" w:hanging="332"/>
        <w:spacing w:after="0" w:line="277" w:lineRule="auto"/>
        <w:tabs>
          <w:tab w:leader="none" w:pos="347"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fees disclosed are exclusive of out-of-pocket expenses and taxes on the amounts paid, which totaled approximately RMB1,010,000 and RMB700,000 in 2014 and 2015, respectively.</w:t>
      </w:r>
    </w:p>
    <w:p>
      <w:pPr>
        <w:spacing w:after="0" w:line="170" w:lineRule="exact"/>
        <w:rPr>
          <w:rFonts w:ascii="Arial" w:cs="Arial" w:eastAsia="Arial" w:hAnsi="Arial"/>
          <w:sz w:val="18"/>
          <w:szCs w:val="18"/>
          <w:color w:val="auto"/>
        </w:rPr>
      </w:pPr>
    </w:p>
    <w:p>
      <w:pPr>
        <w:ind w:left="340" w:right="340" w:hanging="332"/>
        <w:spacing w:after="0" w:line="277" w:lineRule="auto"/>
        <w:tabs>
          <w:tab w:leader="none" w:pos="3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“Audit fees” means the aggregate fees billed in each of the fiscal years for professional services rendered by our principal auditors for the audit of our annual financial statements and our internal controls over financial reporting.</w:t>
      </w:r>
    </w:p>
    <w:p>
      <w:pPr>
        <w:spacing w:after="0" w:line="170" w:lineRule="exact"/>
        <w:rPr>
          <w:rFonts w:ascii="Arial" w:cs="Arial" w:eastAsia="Arial" w:hAnsi="Arial"/>
          <w:sz w:val="18"/>
          <w:szCs w:val="18"/>
          <w:color w:val="auto"/>
        </w:rPr>
      </w:pPr>
    </w:p>
    <w:p>
      <w:pPr>
        <w:ind w:left="340" w:right="200" w:hanging="332"/>
        <w:spacing w:after="0" w:line="277" w:lineRule="auto"/>
        <w:tabs>
          <w:tab w:leader="none" w:pos="33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“Tax fees” means the aggregate fees billed in each of the fiscal years for professional services rendered by our principal auditors for tax compliance and tax advice.</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other fees” includes the aggregate fees billed in each of the fiscal years for non-audit services rendered which were not listed above.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jc w:val="both"/>
        <w:ind w:right="540" w:firstLine="506"/>
        <w:spacing w:after="0" w:line="264" w:lineRule="auto"/>
        <w:rPr>
          <w:sz w:val="20"/>
          <w:szCs w:val="20"/>
          <w:color w:val="auto"/>
        </w:rPr>
      </w:pPr>
      <w:r>
        <w:rPr>
          <w:rFonts w:ascii="Arial" w:cs="Arial" w:eastAsia="Arial" w:hAnsi="Arial"/>
          <w:sz w:val="18"/>
          <w:szCs w:val="18"/>
          <w:color w:val="auto"/>
        </w:rPr>
        <w:t>Our audit committee has adopted procedures which set forth the manner in which the committee will review and approve all audit and non-audit services to be provided by PricewaterhouseCoopers Zhong Tian LLP before that firm is retained for such services. The pre-approval procedures are as follows:</w:t>
      </w:r>
    </w:p>
    <w:p>
      <w:pPr>
        <w:spacing w:after="0" w:line="181" w:lineRule="exact"/>
        <w:rPr>
          <w:sz w:val="20"/>
          <w:szCs w:val="20"/>
          <w:color w:val="auto"/>
        </w:rPr>
      </w:pPr>
    </w:p>
    <w:p>
      <w:pPr>
        <w:ind w:left="1020" w:right="440" w:hanging="502"/>
        <w:spacing w:after="0" w:line="277" w:lineRule="auto"/>
        <w:tabs>
          <w:tab w:leader="none" w:pos="9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70" w:lineRule="exact"/>
        <w:rPr>
          <w:rFonts w:ascii="Arial" w:cs="Arial" w:eastAsia="Arial" w:hAnsi="Arial"/>
          <w:sz w:val="18"/>
          <w:szCs w:val="18"/>
          <w:color w:val="auto"/>
        </w:rPr>
      </w:pPr>
    </w:p>
    <w:p>
      <w:pPr>
        <w:ind w:left="1020" w:right="260" w:hanging="502"/>
        <w:spacing w:after="0" w:line="277" w:lineRule="auto"/>
        <w:tabs>
          <w:tab w:leader="none" w:pos="98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audit committee in its sole discretion then approves or disapproves the proposed services and documents such approval, if given, through written resolutions or in the minutes of meetings, as the case may be.</w:t>
      </w:r>
    </w:p>
    <w:p>
      <w:pPr>
        <w:sectPr>
          <w:pgSz w:w="11900" w:h="16902" w:orient="portrait"/>
          <w:cols w:equalWidth="0" w:num="1">
            <w:col w:w="11460"/>
          </w:cols>
          <w:pgMar w:left="240" w:top="125" w:right="199" w:bottom="0" w:gutter="0" w:footer="0" w:header="0"/>
        </w:sectPr>
      </w:pPr>
    </w:p>
    <w:bookmarkStart w:id="79" w:name="page80"/>
    <w:bookmarkEnd w:id="79"/>
    <w:p>
      <w:pPr>
        <w:spacing w:after="0" w:line="7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sought an exemption from the applicable listing standards for the audit committee of our board of directors.</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29"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On August 25, 2015, we announced a new share repurchase program authorized by our board of directors. Under the terms of the approved share repurchase program, we were authorized to purchase up to US$500.0 million worth of our issued and outstanding ADSs on the NASDAQ Global Select Market. This share repurchase program will expire on September 1, 2016. As of December 31, 2015, we had cumulatively purchased 185,141 ADSs in open market purchases under this program for a total consideration of approximately US$20.7 million.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ADSs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Purchased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of ADSs</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as Part of</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that May Yet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Publicly</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13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Plans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49"/>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ADSs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Paid</w:t>
            </w:r>
          </w:p>
        </w:tc>
        <w:tc>
          <w:tcPr>
            <w:tcW w:w="13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9"/>
              </w:rPr>
              <w:t>or</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1520" w:type="dxa"/>
            <w:vAlign w:val="bottom"/>
            <w:gridSpan w:val="2"/>
          </w:tcPr>
          <w:p>
            <w:pPr>
              <w:jc w:val="center"/>
              <w:ind w:right="160"/>
              <w:spacing w:after="0" w:line="172" w:lineRule="exact"/>
              <w:rPr>
                <w:sz w:val="20"/>
                <w:szCs w:val="20"/>
                <w:color w:val="auto"/>
              </w:rPr>
            </w:pPr>
            <w:r>
              <w:rPr>
                <w:rFonts w:ascii="Arial" w:cs="Arial" w:eastAsia="Arial" w:hAnsi="Arial"/>
                <w:sz w:val="14"/>
                <w:szCs w:val="14"/>
                <w:b w:val="1"/>
                <w:bCs w:val="1"/>
                <w:color w:val="auto"/>
                <w:w w:val="88"/>
              </w:rPr>
              <w:t>Purchased</w:t>
            </w:r>
            <w:r>
              <w:rPr>
                <w:rFonts w:ascii="Arial" w:cs="Arial" w:eastAsia="Arial" w:hAnsi="Arial"/>
                <w:sz w:val="17"/>
                <w:szCs w:val="17"/>
                <w:b w:val="1"/>
                <w:bCs w:val="1"/>
                <w:color w:val="auto"/>
                <w:w w:val="88"/>
                <w:vertAlign w:val="superscript"/>
              </w:rPr>
              <w:t>(1)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Per ADS</w:t>
            </w: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Programs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85"/>
              <w:spacing w:after="0" w:line="142" w:lineRule="exact"/>
              <w:rPr>
                <w:sz w:val="20"/>
                <w:szCs w:val="20"/>
                <w:color w:val="auto"/>
              </w:rPr>
            </w:pPr>
            <w:r>
              <w:rPr>
                <w:rFonts w:ascii="Arial" w:cs="Arial" w:eastAsia="Arial" w:hAnsi="Arial"/>
                <w:sz w:val="14"/>
                <w:szCs w:val="14"/>
                <w:b w:val="1"/>
                <w:bCs w:val="1"/>
                <w:color w:val="auto"/>
                <w:w w:val="87"/>
              </w:rPr>
              <w:t>US$</w:t>
            </w:r>
          </w:p>
        </w:tc>
        <w:tc>
          <w:tcPr>
            <w:tcW w:w="2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107"/>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 through September 30, 2015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185,141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111.73</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185,141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479,314,093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185,141</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20" w:hanging="712"/>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ADS to ordinary share ratio is one ADS for every 25 ordinary shares.</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29" w:lineRule="exact"/>
        <w:rPr>
          <w:sz w:val="20"/>
          <w:szCs w:val="20"/>
          <w:color w:val="auto"/>
        </w:rPr>
      </w:pPr>
    </w:p>
    <w:p>
      <w:pPr>
        <w:ind w:right="140" w:firstLine="510"/>
        <w:spacing w:after="0" w:line="302" w:lineRule="auto"/>
        <w:rPr>
          <w:sz w:val="20"/>
          <w:szCs w:val="20"/>
          <w:color w:val="auto"/>
        </w:rPr>
      </w:pPr>
      <w:r>
        <w:rPr>
          <w:rFonts w:ascii="Arial" w:cs="Arial" w:eastAsia="Arial" w:hAnsi="Arial"/>
          <w:sz w:val="16"/>
          <w:szCs w:val="16"/>
          <w:color w:val="auto"/>
        </w:rPr>
        <w:t>As permitted by NASDAQ, in lieu of the NASDAQ corporate governance rules, but subject to certain exceptions, we may follow the practices of our home country which for the purpose of such rules is the Cayman Islands. Specifically, our board of directors adopted our RSU Plan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spacing w:after="0" w:line="15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consolidated financial statements for NetEase, Inc. and its subsidiaries are included at the end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1058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920" w:type="dxa"/>
            <w:vAlign w:val="bottom"/>
            <w:vMerge w:val="restart"/>
          </w:tcPr>
          <w:p>
            <w:pPr>
              <w:ind w:left="464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1.1</w:t>
            </w:r>
          </w:p>
        </w:tc>
        <w:tc>
          <w:tcPr>
            <w:tcW w:w="4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Amended and Restated Memorandum of Association of NetEase.com, Inc. (incorporated by reference to Exhibit 3.1 to Amendment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ind w:left="200"/>
              <w:spacing w:after="0"/>
              <w:rPr>
                <w:sz w:val="20"/>
                <w:szCs w:val="20"/>
                <w:color w:val="auto"/>
              </w:rPr>
            </w:pPr>
            <w:r>
              <w:rPr>
                <w:rFonts w:ascii="Arial" w:cs="Arial" w:eastAsia="Arial" w:hAnsi="Arial"/>
                <w:sz w:val="18"/>
                <w:szCs w:val="18"/>
                <w:color w:val="auto"/>
              </w:rPr>
              <w:t>No. 1 to the company’s Registration Statement on Form F-1 (file no. 333-11724) filed with the SEC on May 15, 2000)</w:t>
            </w:r>
          </w:p>
        </w:tc>
        <w:tc>
          <w:tcPr>
            <w:tcW w:w="0" w:type="dxa"/>
            <w:vAlign w:val="bottom"/>
          </w:tcPr>
          <w:p>
            <w:pPr>
              <w:spacing w:after="0"/>
              <w:rPr>
                <w:sz w:val="1"/>
                <w:szCs w:val="1"/>
                <w:color w:val="auto"/>
              </w:rPr>
            </w:pPr>
          </w:p>
        </w:tc>
      </w:tr>
      <w:tr>
        <w:trPr>
          <w:trHeight w:val="418"/>
        </w:trPr>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4"/>
                <w:szCs w:val="24"/>
                <w:color w:val="auto"/>
              </w:rPr>
            </w:pPr>
          </w:p>
        </w:tc>
        <w:tc>
          <w:tcPr>
            <w:tcW w:w="10120" w:type="dxa"/>
            <w:vAlign w:val="bottom"/>
            <w:gridSpan w:val="2"/>
          </w:tcPr>
          <w:p>
            <w:pPr>
              <w:ind w:left="200"/>
              <w:spacing w:after="0"/>
              <w:rPr>
                <w:sz w:val="20"/>
                <w:szCs w:val="20"/>
                <w:color w:val="auto"/>
              </w:rPr>
            </w:pPr>
            <w:r>
              <w:rPr>
                <w:rFonts w:ascii="Arial" w:cs="Arial" w:eastAsia="Arial" w:hAnsi="Arial"/>
                <w:sz w:val="18"/>
                <w:szCs w:val="18"/>
                <w:color w:val="auto"/>
                <w:w w:val="93"/>
              </w:rPr>
              <w:t>Amended and Restated Articles of Association of NetEase.com, Inc. (incorporated by reference to Exhibit 3.2 to Amendment No. 1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ind w:left="200"/>
              <w:spacing w:after="0"/>
              <w:rPr>
                <w:sz w:val="20"/>
                <w:szCs w:val="20"/>
                <w:color w:val="auto"/>
              </w:rPr>
            </w:pPr>
            <w:r>
              <w:rPr>
                <w:rFonts w:ascii="Arial" w:cs="Arial" w:eastAsia="Arial" w:hAnsi="Arial"/>
                <w:sz w:val="18"/>
                <w:szCs w:val="18"/>
                <w:color w:val="auto"/>
              </w:rPr>
              <w:t>the company’s Registration Statement on Form F-1 (file no. 333-11724) filed with the SEC on May 15, 2000)</w:t>
            </w:r>
          </w:p>
        </w:tc>
        <w:tc>
          <w:tcPr>
            <w:tcW w:w="0" w:type="dxa"/>
            <w:vAlign w:val="bottom"/>
          </w:tcPr>
          <w:p>
            <w:pPr>
              <w:spacing w:after="0"/>
              <w:rPr>
                <w:sz w:val="1"/>
                <w:szCs w:val="1"/>
                <w:color w:val="auto"/>
              </w:rPr>
            </w:pPr>
          </w:p>
        </w:tc>
      </w:tr>
      <w:tr>
        <w:trPr>
          <w:trHeight w:val="418"/>
        </w:trPr>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4"/>
                <w:szCs w:val="24"/>
                <w:color w:val="auto"/>
              </w:rPr>
            </w:pPr>
          </w:p>
        </w:tc>
        <w:tc>
          <w:tcPr>
            <w:tcW w:w="10120" w:type="dxa"/>
            <w:vAlign w:val="bottom"/>
            <w:gridSpan w:val="2"/>
          </w:tcPr>
          <w:p>
            <w:pPr>
              <w:ind w:left="200"/>
              <w:spacing w:after="0"/>
              <w:rPr>
                <w:sz w:val="20"/>
                <w:szCs w:val="20"/>
                <w:color w:val="auto"/>
              </w:rPr>
            </w:pPr>
            <w:r>
              <w:rPr>
                <w:rFonts w:ascii="Arial" w:cs="Arial" w:eastAsia="Arial" w:hAnsi="Arial"/>
                <w:sz w:val="18"/>
                <w:szCs w:val="18"/>
                <w:color w:val="auto"/>
                <w:w w:val="91"/>
              </w:rPr>
              <w:t>Amendment to Amended and Restated Articles of Association of NetEase.com, Inc. dated as of June 6, 2003 (incorporated by reference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120" w:type="dxa"/>
            <w:vAlign w:val="bottom"/>
            <w:gridSpan w:val="2"/>
          </w:tcPr>
          <w:p>
            <w:pPr>
              <w:ind w:left="200"/>
              <w:spacing w:after="0"/>
              <w:rPr>
                <w:sz w:val="20"/>
                <w:szCs w:val="20"/>
                <w:color w:val="auto"/>
              </w:rPr>
            </w:pPr>
            <w:r>
              <w:rPr>
                <w:rFonts w:ascii="Arial" w:cs="Arial" w:eastAsia="Arial" w:hAnsi="Arial"/>
                <w:sz w:val="18"/>
                <w:szCs w:val="18"/>
                <w:color w:val="auto"/>
                <w:w w:val="95"/>
              </w:rPr>
              <w:t>to Exhibit 1.3 to the company’s Annual Report on Form 20-F for the year ended December 31, 2002 filed with the SEC on June 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gridSpan w:val="3"/>
          </w:tcPr>
          <w:p>
            <w:pPr>
              <w:ind w:left="6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418"/>
        </w:trPr>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10120" w:type="dxa"/>
            <w:vAlign w:val="bottom"/>
            <w:gridSpan w:val="2"/>
          </w:tcPr>
          <w:p>
            <w:pPr>
              <w:ind w:left="200"/>
              <w:spacing w:after="0"/>
              <w:rPr>
                <w:sz w:val="20"/>
                <w:szCs w:val="20"/>
                <w:color w:val="auto"/>
              </w:rPr>
            </w:pPr>
            <w:r>
              <w:rPr>
                <w:rFonts w:ascii="Arial" w:cs="Arial" w:eastAsia="Arial" w:hAnsi="Arial"/>
                <w:sz w:val="18"/>
                <w:szCs w:val="18"/>
                <w:color w:val="auto"/>
                <w:w w:val="95"/>
              </w:rPr>
              <w:t>Specimen American Depositary Receipt of NetEase.com, Inc. (incorporated by reference to Exhibit 4.1 to Amendment No. 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ind w:left="200"/>
              <w:spacing w:after="0"/>
              <w:rPr>
                <w:sz w:val="20"/>
                <w:szCs w:val="20"/>
                <w:color w:val="auto"/>
              </w:rPr>
            </w:pPr>
            <w:r>
              <w:rPr>
                <w:rFonts w:ascii="Arial" w:cs="Arial" w:eastAsia="Arial" w:hAnsi="Arial"/>
                <w:sz w:val="18"/>
                <w:szCs w:val="18"/>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418"/>
        </w:trPr>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24"/>
                <w:szCs w:val="24"/>
                <w:color w:val="auto"/>
              </w:rPr>
            </w:pPr>
          </w:p>
        </w:tc>
        <w:tc>
          <w:tcPr>
            <w:tcW w:w="10120" w:type="dxa"/>
            <w:vAlign w:val="bottom"/>
            <w:gridSpan w:val="2"/>
          </w:tcPr>
          <w:p>
            <w:pPr>
              <w:ind w:left="200"/>
              <w:spacing w:after="0"/>
              <w:rPr>
                <w:sz w:val="20"/>
                <w:szCs w:val="20"/>
                <w:color w:val="auto"/>
              </w:rPr>
            </w:pPr>
            <w:r>
              <w:rPr>
                <w:rFonts w:ascii="Arial" w:cs="Arial" w:eastAsia="Arial" w:hAnsi="Arial"/>
                <w:sz w:val="18"/>
                <w:szCs w:val="18"/>
                <w:color w:val="auto"/>
                <w:w w:val="96"/>
              </w:rPr>
              <w:t>Specimen Stock Certificate of NetEase.com, Inc. (incorporated by reference to Exhibit 4.2 to Amendment No. 1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120" w:type="dxa"/>
            <w:vAlign w:val="bottom"/>
            <w:gridSpan w:val="2"/>
          </w:tcPr>
          <w:p>
            <w:pPr>
              <w:ind w:left="200"/>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c>
          <w:tcPr>
            <w:tcW w:w="0" w:type="dxa"/>
            <w:vAlign w:val="bottom"/>
          </w:tcPr>
          <w:p>
            <w:pPr>
              <w:spacing w:after="0"/>
              <w:rPr>
                <w:sz w:val="1"/>
                <w:szCs w:val="1"/>
                <w:color w:val="auto"/>
              </w:rPr>
            </w:pPr>
          </w:p>
        </w:tc>
      </w:tr>
      <w:tr>
        <w:trPr>
          <w:trHeight w:val="432"/>
        </w:trPr>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10120" w:type="dxa"/>
            <w:vAlign w:val="bottom"/>
            <w:gridSpan w:val="2"/>
          </w:tcPr>
          <w:p>
            <w:pPr>
              <w:ind w:left="200"/>
              <w:spacing w:after="0"/>
              <w:rPr>
                <w:sz w:val="20"/>
                <w:szCs w:val="20"/>
                <w:color w:val="auto"/>
              </w:rPr>
            </w:pPr>
            <w:r>
              <w:rPr>
                <w:rFonts w:ascii="Arial" w:cs="Arial" w:eastAsia="Arial" w:hAnsi="Arial"/>
                <w:sz w:val="18"/>
                <w:szCs w:val="18"/>
                <w:color w:val="auto"/>
              </w:rPr>
              <w:t>Shareholder Voting Rights Trust Agreement dated May 12, 2000 among William Lei Ding, Bo Ding and NetEase Information</w:t>
            </w:r>
          </w:p>
        </w:tc>
        <w:tc>
          <w:tcPr>
            <w:tcW w:w="0" w:type="dxa"/>
            <w:vAlign w:val="bottom"/>
          </w:tcPr>
          <w:p>
            <w:pPr>
              <w:spacing w:after="0"/>
              <w:rPr>
                <w:sz w:val="1"/>
                <w:szCs w:val="1"/>
                <w:color w:val="auto"/>
              </w:rPr>
            </w:pPr>
          </w:p>
        </w:tc>
      </w:tr>
    </w:tbl>
    <w:p>
      <w:pPr>
        <w:sectPr>
          <w:pgSz w:w="11900" w:h="16911" w:orient="portrait"/>
          <w:cols w:equalWidth="0" w:num="1">
            <w:col w:w="11420"/>
          </w:cols>
          <w:pgMar w:left="240" w:top="337" w:right="239" w:bottom="0" w:gutter="0" w:footer="0" w:header="0"/>
        </w:sectPr>
      </w:pPr>
    </w:p>
    <w:bookmarkStart w:id="80" w:name="page81"/>
    <w:bookmarkEnd w:id="80"/>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Technology (Beijing) Co., Ltd. (incorporated by reference to Exhibit 10.40 to Amendment No. 1 to the company’s Registration Statement</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on Form F-1 (file no. 333-11724) filed with the SEC on May 15, 2000)</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Amendment and Novation of Shareholder Voting Right Trust Agreement dated May 1, 2014 among William Lei Ding, Bo Ding, Xiaojun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Hui, Beijing Guangyitong Advertising Co., Ltd. and NetEase Information Technology (Beijing) Co., Ltd (incorporated by reference to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Exhibit 3.2 to the company’s Annual Report on Form 20-F for the year ended December 31, 2014 filed with the SEC on April 24, 2015)</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Proxy Agreement dated April 15, 2009 between NetEase (Hangzhou) Network Co., Ltd. and Zhipeng Hu (incorporated by reference to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Exhibit 3.3 to the company’s Annual Report on Form 20-F for the year ended December 31, 2014 filed with the SEC on April 24, 2015)</w:t>
            </w: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200"/>
              <w:spacing w:after="0"/>
              <w:rPr>
                <w:sz w:val="20"/>
                <w:szCs w:val="20"/>
                <w:color w:val="auto"/>
              </w:rPr>
            </w:pPr>
            <w:r>
              <w:rPr>
                <w:rFonts w:ascii="Arial" w:cs="Arial" w:eastAsia="Arial" w:hAnsi="Arial"/>
                <w:sz w:val="18"/>
                <w:szCs w:val="18"/>
                <w:color w:val="auto"/>
              </w:rPr>
              <w:t>105</w:t>
            </w:r>
          </w:p>
        </w:tc>
      </w:tr>
      <w:tr>
        <w:trPr>
          <w:trHeight w:val="132"/>
        </w:trPr>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00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ind w:left="3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Proxy Agreement dated April 15, 2009 between NetEase (Hangzhou) Network Co., Ltd. and Gang Chen (incorporated by reference to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Exhibit 3.4 to the company’s Annual Report on Form 20-F for the year ended December 31, 2014 filed with the SEC on April 24, 2015)</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Shareholder Voting Rights Trust Agreement dated November 30, 2015 between Netease Media Technology (Beijing) Co., Ltd. and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William Lei Ding.</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Shareholder Voting Rights Trust Agreement dated November 30, 2015 between Netease Media Technology (Beijing) Co., Ltd. and Li Li.</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Amended and Restated Shareholder Voting Rights Trust Agreement dated November 30, 2015 among NetEase Information Technology</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(Beijing) Co., Ltd., Beijing Guangyitong Advertising Co., Ltd., William Lei Ding and Xiaojun Hui.</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Shareholder Voting Rights Trust Agreement dated December 1, 2015 between NetEase (Hangzhou) Network Co., Ltd. and Tianlei Hu.</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Shareholder Voting Rights Trust Agreement dated December 1, 2015 between NetEase (Hangzhou) Network Co., Ltd. and Zhipeng Hu.</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2009 Restricted Share Unit Plan (incorporated by reference to Exhibit 10.1 to the company’s Registration Statement on Form S-8 (file</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no. 333-164249) filed with the SEC on January 8, 2010)</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Form of Employment Agreement between NetEase.com, Inc. and its executive officers (incorporated by reference to Exhibit 4.3 to the</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company’s Annual Report on Form 20-F for the year ended December 31, 2009 filed with the SEC on June 29, 2010)</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Domain Name License Agreement dated February 3, 2000 between NetEase.com, Inc. and Guangzhou NetEase Computer System</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Co., Ltd. (incorporated by reference to Exhibit 10.7 to the company’s Registration Statement on Form F-1 (file no. 333-11724) filed with</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the SEC on March 27, 2000)</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Copyright License Agreement dated February 3, 2000 between NetEase Information Technology (Beijing) Co., Ltd. and Guangzhou</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NetEase Computer System Co., Ltd. (incorporated by reference to Exhibit 10.8 to the company’s Registration Statement on Form F-1</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(file no. 333-11724) filed with the SEC on March 27, 2000)</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Trademark License Agreement dated February 3, 2000 between NetEase Information Technology (Beijing) Co., Ltd. and Guangzhou</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NetEase Computer System Co., Ltd. (incorporated by reference to Exhibit 10.9 to the company’s Registration Statement on Form F-1</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(file no. 333-11724) filed with the SEC on March 27, 2000)</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6"/>
              </w:rPr>
              <w:t>Supplemental Agreement (to Copyright License Agreement and Domain Name License Agreement) dated April 27,2000 between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NetEase Information Technology (Beijing) Co., Ltd. and Guangzhou NetEase Computer System Co., Ltd. (incorporated by reference to</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Exhibit 10.10 to Amendment No.1 to the company’s Registration Statement on Form F-1 (file no. 333-11724) filed with the SEC 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May 15, 2000)</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Notice of Renewal dated April 2, 2001 relating to the Copyright License Agreement and the Trademark License Agreement each dated</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February 3, 2000 and made between NetEase Information Technology (Beijing) Co., Ltd. and Guangzhou NetEase Computer System</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Co., Ltd. (incorporated by reference to Exhibit 4.14 to the company’s Annual Report on Form 20-F for the year ended December 31,</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2000 filed with the SEC on August 31, 2001)</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7"/>
              </w:rPr>
              <w:t>Exclusive Advertising Agency Agreement dated February 3, 2000 between Guangzhou NetEase Computer System Co., Ltd. and</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NetEase.com, Inc. (incorporated by reference to Exhibit 10.13 to the company’s Registration Statement on Form F-1 (file no. 333-11724)</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filed with the SEC on March 27, 2000)</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7"/>
              </w:rPr>
              <w:t>Notice of Renewal dated April 2, 2001 relating to the Exclusive Advertising Agency Agreement dated February 3, 2000 between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Guangzhou NetEase Computer System Co., Ltd. and NetEase.com, Inc. (incorporated by reference to Exhibit 4.18 to the company’s</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Annual Report on Form 20-F for the year ended December 31, 2000 filed with the SEC on August 31, 2001)</w:t>
            </w: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200"/>
              <w:spacing w:after="0"/>
              <w:rPr>
                <w:sz w:val="20"/>
                <w:szCs w:val="20"/>
                <w:color w:val="auto"/>
              </w:rPr>
            </w:pPr>
            <w:r>
              <w:rPr>
                <w:rFonts w:ascii="Arial" w:cs="Arial" w:eastAsia="Arial" w:hAnsi="Arial"/>
                <w:sz w:val="18"/>
                <w:szCs w:val="18"/>
                <w:color w:val="auto"/>
              </w:rPr>
              <w:t>106</w:t>
            </w:r>
          </w:p>
        </w:tc>
      </w:tr>
      <w:tr>
        <w:trPr>
          <w:trHeight w:val="132"/>
        </w:trPr>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00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ind w:left="36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8"/>
              </w:rPr>
              <w:t>Trademark Transfer Agreement dated March 29, 2000 between Guangzhou NetEase Computer System Co., Ltd. and NetEase</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Information Technology (Beijing) Co., Ltd. (incorporated by reference to Exhibit 10.14 to Amendment No. 1 to the company’s</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9"/>
              </w:rPr>
              <w:t>Online Advertising Agreement dated February 15, 2000 between Guangzhou NetEase Computer System Co., Ltd. and Beijing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-8937625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-8937625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Guangyitong Advertising Co., Ltd. (incorporated by reference to Exhibit 10.15 to the company’s Registration Statement on Form F-1</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(file no. 333-11724) filed with the SEC on March 27, 2000)</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7"/>
              </w:rPr>
              <w:t>Notice of Renewal dated April 2, 2001 relating to the Online Advertising Agreement dated February 15, 2000 and made between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Guangzhou NetEase Computer System Co., Ltd. and Beijing Guangyitong Advertising Co., Ltd. (incorporated by reference to</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Exhibit 4.21 to the company’s Annual Report on Form 20-F for the year ended December 31, 2000 filed with the SEC on August 31,</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2001)</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6"/>
              </w:rPr>
              <w:t>Supplemental Agreement dated May 15, 2000 (amending the Domain Name License Agreement) between NetEase.com, Inc. and</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Guangzhou NetEase Computer System Co., Ltd. (incorporated by reference to Exhibit 10.37 to Amendment No. 1 to the company’s</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0"/>
              </w:rPr>
              <w:t>Agreement dated May 12, 2000 between NetEase Information Technology (Beijing) Co., Ltd. and Guangzhou NetEase Computer System</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Co., Ltd. (incorporated by reference to Exhibit 10.41 to Amendment No. 1 to the company’s Registration Statement on Form F-1 (file no.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333-11724) filed with the SEC on May 15, 2000)</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Operating Agreement dated May 10, 2000 among NetEase Information Technology (Beijing) Co., Ltd., Beijing Guangyitong Advertising</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Co., Ltd., Bo Ding and William Lei Ding (incorporated by reference to Exhibit 10.42 to Amendment No. 1 to the company’s Registration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Statement on Form F-1 (file no. 333-11724) filed with the SEC on May 15, 2000)</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Supplemental Agreement dated May 12, 2000 (supplementing the Online Advertising Agreement dated February 15, 2000) between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Guangzhou NetEase Computer System Co., Ltd. and Beijing Guangyitong Advertising Co., Ltd. (incorporated by reference to</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Exhibit 10.47 to Amendment No. 1 to the company’s Registration Statement on Form F-1 (file no. 333-11724) filed with the SEC 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May 15, 2000)</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Supplemental Agreement dated May 15, 2000 (supplementing the Domain Name License Agreement dated February 3, 2000) between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NetEase.com, Inc. and Guangzhou NetEase Computer System Co., Ltd. (incorporated by reference to Exhibit 10.48 to Amendment No. 1</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to the company’s Registration Statement on Form F-1 (file no. 333-11724) filed with the SEC on May 15, 2000)</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7"/>
              </w:rPr>
              <w:t>Letter of Agreement, dated June 6, 2000, among William Lei Ding, Bo Ding and NetEase.com, Inc. (incorporated by reference to</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Exhibit 10.49 to Amendment No. 2 to the company’s Registration Statement on Form F-1 (file no. 333-11724) filed with the SEC 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June 15, 2000)</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Supplemental Agreement dated June 15, 2000 (supplementing the Online Advertising Agreement dated February 15, 2000), between</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Beijing Guangyitong Advertising Co., Ltd. and Guangzhou NetEase Computer System Co., Ltd. (incorporated by reference to</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Exhibit 10.50 to Amendment No. 2 to the company’s Registration Statement on Form F-1 (file no. 333-11724) filed with the SEC 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June 15, 2000)</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Trademark Assignment Agreement dated August 17, 2001 between Guangzhou NetEase Computer System Co., Ltd. and NetEase</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7"/>
              </w:rPr>
              <w:t>Information Technology (Beijing) Co., Ltd. and its Supplemental Agreement dated August 27, 2001 (incorporated by reference to</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Exhibit 4.53 to the company’s Annual Report on Form 20-F for the year ended December 31, 2000 filed with the SEC on August 31,</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2001)</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Supplemental Letter of Agreement dated May 17, 2004 (supplementing the Letter Agreement dated June 6, 2000 by and among William</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Lei Ding, Bo Ding and NetEase.com, Inc.) by and among William Lei Ding, Bo Ding, Jun Liang and NetEase.com, Inc. (incorporated by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reference to Exhibit 4.39 to the company’s Annual Report on Form 20-F for the year ended December 31, 2004 filed with the SEC 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June 27, 2005)</w:t>
            </w: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200"/>
              <w:spacing w:after="0"/>
              <w:rPr>
                <w:sz w:val="20"/>
                <w:szCs w:val="20"/>
                <w:color w:val="auto"/>
              </w:rPr>
            </w:pPr>
            <w:r>
              <w:rPr>
                <w:rFonts w:ascii="Arial" w:cs="Arial" w:eastAsia="Arial" w:hAnsi="Arial"/>
                <w:sz w:val="18"/>
                <w:szCs w:val="18"/>
                <w:color w:val="auto"/>
              </w:rPr>
              <w:t>107</w:t>
            </w:r>
          </w:p>
        </w:tc>
      </w:tr>
      <w:tr>
        <w:trPr>
          <w:trHeight w:val="132"/>
        </w:trPr>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00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jc w:val="right"/>
              <w:ind w:right="51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Second Supplemental Letter of Agreement dated July 15, 2004 (supplementing the Letter Agreement dated June 6, 2000 by and among</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William Lei Ding, Bo Ding and NetEase.com, Inc., as supplemented by the Supplemental Letter of Agreement dated May 17, 2004 by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6"/>
              </w:rPr>
              <w:t>and among William Lei Ding, Bo Ding, Jun Liang and NetEase.com, Inc.) by and among William Lei Ding, Bo Ding, Jun Liang and</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8"/>
              </w:rPr>
              <w:t>NetEase.com, Inc. (incorporated by reference to Exhibit 4.40 to the company’s Annual Report on Form 20-F for the year ended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December 31, 2004 filed with the SEC on June 27, 2005)</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No. 3 Supplemental Letter of Agreement dated July 20, 2004 (supplementing the Letter Agreement dated June 6, 2000 by and among</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William Lei Ding, Bo Ding and NetEase.com, Inc., as supplemented by the Supplemental Letter of Agreement dated May 17, 2004 and</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6"/>
              </w:rPr>
              <w:t>the Second Supplemental Letter of Agreement dated July 15, 2004, each by and among William Lei Ding, Bo Ding, Jun Liang and</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NetEase.com, Inc.) by and among William Lei Ding, Bo Ding, Jun Liang and NetEase.com, Inc. (incorporated by reference to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Exhibit 4.41 to the company’s Annual Report on Form 20-F for the year ended December 31, 2004 filed with the SEC on June 27, 2005)</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Form of Cooperative Agreement (incorporated by reference to Exhibit 4.25 to the company’s Annual Report on Form 20-F for the year</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ended December 31, 2012 filed with the SEC on April 22, 2013)</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Loan Agreement dated March 23, 2009 between NetEase (Hangzhou) Network Co., Ltd. and Zhipeng Hu (incorporated by reference to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Exhibit 4.25 to the company’s Annual Report on Form 20-F for the year ended December 31, 2014 filed with the SEC on April 24, 2015)</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Loan Agreement dated March 23, 2009 between NetEase (Hangzhou) Network Co., Ltd. and Gang Chen (incorporated by reference to</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Exhibit 4.26 to the company’s Annual Report on Form 20-F for the year ended December 31, 2014 filed with the SEC on April 24, 2015)</w:t>
            </w:r>
          </w:p>
        </w:tc>
      </w:tr>
      <w:tr>
        <w:trPr>
          <w:trHeight w:val="418"/>
        </w:trPr>
        <w:tc>
          <w:tcPr>
            <w:tcW w:w="1280" w:type="dxa"/>
            <w:vAlign w:val="bottom"/>
          </w:tcPr>
          <w:p>
            <w:pPr>
              <w:jc w:val="right"/>
              <w:ind w:right="51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6"/>
              </w:rPr>
              <w:t>Equity Pledge Agreement dated April 15, 2009 between NetEase (Hangzhou) Network Co., Ltd. and Zhipeng Hu (incorporated by</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reference to Exhibit 4.27 to the company’s Annual Report on Form 20-F for the year ended December 31, 2014 filed with the SEC 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-3680460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-3680460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April 24, 2015)</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6"/>
              </w:rPr>
              <w:t>Equity Pledge Agreement dated April 15, 2009 between NetEase (Hangzhou) Network Co., Ltd. and Gang Chen (incorporated by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reference to Exhibit 4.28 to the company’s Annual Report on Form 20-F for the year ended December 31, 2014 filed with the SEC 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April 24, 2015)</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Exclusive Purchase Option Agreement dated April 15, 2009 among NetEase (Hangzhou) Network Co., Ltd., Gang Chen and Hangzhou</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Leihuo Network Co., Ltd (incorporated by reference to Exhibit 4.29 to the company’s Annual Report on Form 20-F for the year ended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December 31, 2014 filed with the SEC on April 24, 2015)</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Exclusive Purchase Option Agreement dated April 15, 2009 among NetEase (Hangzhou) Network Co., Ltd., Zhipeng Hu and Hangzhou</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Leihuo Network Co., Ltd (incorporated by reference to Exhibit 4.30 to the company’s Annual Report on Form 20-F for the year ended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December 31, 2014 filed with the SEC on April 24, 2015)</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Operating Agreement dated April 15, 2009 among NetEase (Hangzhou) Network Co., Ltd., Zhipeng Hu, Gang Chen and Hangzhou</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Leihuo Network Co., Ltd (incorporated by reference to Exhibit 4.31 to the company’s Annual Report on Form 20-F for the year ended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December 31, 2014 filed with the SEC on April 24, 2015)</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Cooperation Agreement dated January 1, 2010 between NetEase (Hangzhou) Network Co., Ltd. and Hangzhou Leihuo Network Co., Ltd</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(incorporated by reference to Exhibit 4.32 to the company’s Annual Report on Form 20-F for the year ended December 31, 2014 filed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with the SEC on April 24, 2015)</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Amendment and Novation of Operating Agreement dated May 1, 2014 among NetEase Information Technology (Beijing) Co., Ltd.,</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Beijing Guangyitong Advertising Co., Ltd., Bo Ding and William Lei Ding (incorporated by reference to Exhibit 4.33 to the company’s</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Annual Report on Form 20-F for the year ended December 31, 2014 filed with the SEC on April 24, 2015)</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Amendment and Novation of Letter of Agreement dated May 1, 2014 among NetEase Inc., William Lei Ding, Bo Ding and Xiaojun Hui</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(incorporated by reference to Exhibit 4.34 to the company’s Annual Report on Form 20-F for the year ended December 31, 2014 filed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with the SEC on April 24, 2015)</w:t>
            </w: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200"/>
              <w:spacing w:after="0"/>
              <w:rPr>
                <w:sz w:val="20"/>
                <w:szCs w:val="20"/>
                <w:color w:val="auto"/>
              </w:rPr>
            </w:pPr>
            <w:r>
              <w:rPr>
                <w:rFonts w:ascii="Arial" w:cs="Arial" w:eastAsia="Arial" w:hAnsi="Arial"/>
                <w:sz w:val="18"/>
                <w:szCs w:val="18"/>
                <w:color w:val="auto"/>
              </w:rPr>
              <w:t>108</w:t>
            </w:r>
          </w:p>
        </w:tc>
      </w:tr>
      <w:tr>
        <w:trPr>
          <w:trHeight w:val="132"/>
        </w:trPr>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008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ind w:left="36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Loan Agreement dated May 1, 2014 between NetEase Information Technology (Beijing) Co., Ltd. and Xiaojun Hui (incorporated by</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reference to Exhibit 4.35 to the company’s Annual Report on Form 20-F for the year ended December 31, 2014 filed with the SEC on</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April 24, 2015)</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Equity Pledge Agreement dated May 1, 2014 between NetEase Information Technology (Beijing) Co., Ltd. and Xiaojun Hui</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3"/>
              </w:rPr>
              <w:t>(incorporated by reference to Exhibit 4.36 to the company’s Annual Report on Form 20-F for the year ended December 31, 2014 filed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with the SEC on April 24, 2015)</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Loan Agreement dated November 30, 2015 between NetEase Media Technology (Beijing) Co., Ltd. and William Lei Ding.</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Loan Agreement dated November 30, 2015 between NetEase Media Technology (Beijing) Co., Ltd. and Li Li.</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6"/>
              </w:rPr>
              <w:t>Equity Pledge Agreement dated November 30, 2015 between NetEase Media Technology (Beijing) Co., Ltd. and William Lei Ding.</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Equity Pledge Agreement dated November 30, 2015 between NetEase Media Technology (Beijing) Co., Ltd. and Li Li.</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7"/>
              </w:rPr>
              <w:t>Exclusive Purchase Option Agreement dated November 30, 2015 among NetEase Media Technology (Beijing) Co., Ltd., Beijing</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Guangyitong Advertising Co., Ltd. and William Lei Ding.</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7"/>
              </w:rPr>
              <w:t>Exclusive Purchase Option Agreement dated November 30, 2015 among NetEase Media Technology (Beijing) Co., Ltd., Beijing</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Guangyitong Advertising Co., Ltd. and Li Li.</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Operating Agreement dated November 30, 2015 among NetEase Media Technology (Beijing) Co., Ltd., Beijing Guangyitong</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Advertising Co., Ltd., William Lei Ding and Li Li.</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8"/>
              </w:rPr>
              <w:t>Amended and Restated Letter of Agreement dated November 30, 2015 among NetEase, Inc., William Lei Ding and Xiaojun Hui</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Loan Agreement dated December 1, 2015 between NetEase (Hangzhou) Network Co., Ltd. and Tianlei Hu.</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Loan Agreement dated December 1, 2015 between NetEase (Hangzhou) Network Co., Ltd. and Zhipeng Hu.</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1"/>
              </w:rPr>
              <w:t>Amended and Restated Equity Pledge Agreement dated December 1, 2015 between NetEase (Hangzhou) Network Co., Ltd. and Tianlei</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Hu.</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0"/>
              </w:rPr>
              <w:t>Amended and Restated Equity Pledge Agreement dated December 1, 2015 between NetEase (Hangzhou) Network Co., Ltd. and Zhipeng</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Hu.</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Exclusive Purchase Option Agreement dated December 1, 2015 among NetEase (Hangzhou) Network Co., Ltd., Hangzhou NetEase</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Leihuo Network Co., Ltd. and Tianlei Hu.</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Exclusive Purchase Option Agreement dated December 1, 2015 among NetEase (Hangzhou) Network Co., Ltd., Hangzhou NetEase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-6149975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-6149975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Leihuo Network Co., Ltd. and Zhipeng Hu.</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4"/>
              </w:rPr>
              <w:t>Operating Agreement dated December 1, 2015 among NetEase (Hangzhou) Network Co., Ltd., Hangzhou NetEase Leihuo Network</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Co., Ltd., Tianlei Hu and Zhipeng Hu.</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Subsidiaries and Variable Interest Entities of NetEase, Inc.</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2"/>
              </w:rPr>
              <w:t>Code of Business Conduct (incorporated by reference to Exhibit 11.1 to the company’s Annual Report on Form 20-F for the year ended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December 31, 2006 filed with the SEC on June 26, 2007)</w:t>
            </w: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200"/>
              <w:spacing w:after="0"/>
              <w:rPr>
                <w:sz w:val="20"/>
                <w:szCs w:val="20"/>
                <w:color w:val="auto"/>
              </w:rPr>
            </w:pPr>
            <w:r>
              <w:rPr>
                <w:rFonts w:ascii="Arial" w:cs="Arial" w:eastAsia="Arial" w:hAnsi="Arial"/>
                <w:sz w:val="18"/>
                <w:szCs w:val="18"/>
                <w:color w:val="auto"/>
              </w:rPr>
              <w:t>109</w:t>
            </w:r>
          </w:p>
        </w:tc>
      </w:tr>
      <w:tr>
        <w:trPr>
          <w:trHeight w:val="132"/>
        </w:trPr>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008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ind w:left="36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Certification of Chief Executive Officer Required by Rule 13a-14(a)</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Certification of Acting Chief Financial Officer Required by Rule 13a-14(a)</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5"/>
              </w:rPr>
              <w:t>Certification of Chief Executive Officer Required by Rule 13a-14(b) and Section 1350 of Chapter 63 of Title 18 of the United States</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Code</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6"/>
              </w:rPr>
              <w:t>Certification of Acting Chief Financial Officer Required by Rule 13a-14(b) and Section 1350 of Chapter 63 of Title 18 of the United</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States Code</w:t>
            </w:r>
          </w:p>
        </w:tc>
      </w:tr>
      <w:tr>
        <w:trPr>
          <w:trHeight w:val="418"/>
        </w:trPr>
        <w:tc>
          <w:tcPr>
            <w:tcW w:w="1280" w:type="dxa"/>
            <w:vAlign w:val="bottom"/>
          </w:tcPr>
          <w:p>
            <w:pPr>
              <w:ind w:left="36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w w:val="96"/>
              </w:rPr>
              <w:t>Charter of Audit Committee of the Board of Directors of the Registrant (incorporated by reference to Exhibit 15.1 to the company’s</w:t>
            </w:r>
          </w:p>
        </w:tc>
      </w:tr>
      <w:tr>
        <w:trPr>
          <w:trHeight w:val="230"/>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Annual Report on Form 20-F for the year ended December 31, 2014 filed with the SEC on April 24, 2015)</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Consent of PricewaterhouseCoopers Zhong Tian LLP, Independent Registered Public Accounting Firm</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Consent of Maples and Calder</w:t>
            </w:r>
          </w:p>
        </w:tc>
      </w:tr>
      <w:tr>
        <w:trPr>
          <w:trHeight w:val="432"/>
        </w:trPr>
        <w:tc>
          <w:tcPr>
            <w:tcW w:w="1280" w:type="dxa"/>
            <w:vAlign w:val="bottom"/>
          </w:tcPr>
          <w:p>
            <w:pPr>
              <w:ind w:left="36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Arial" w:cs="Arial" w:eastAsia="Arial" w:hAnsi="Arial"/>
                <w:sz w:val="18"/>
                <w:szCs w:val="18"/>
                <w:color w:val="auto"/>
              </w:rPr>
              <w:t>Consent of Jun He Law Offices</w:t>
            </w:r>
          </w:p>
        </w:tc>
      </w:tr>
      <w:tr>
        <w:trPr>
          <w:trHeight w:val="432"/>
        </w:trPr>
        <w:tc>
          <w:tcPr>
            <w:tcW w:w="1380" w:type="dxa"/>
            <w:vAlign w:val="bottom"/>
            <w:gridSpan w:val="2"/>
          </w:tcPr>
          <w:p>
            <w:pPr>
              <w:ind w:left="360"/>
              <w:spacing w:after="0"/>
              <w:rPr>
                <w:sz w:val="20"/>
                <w:szCs w:val="20"/>
                <w:color w:val="auto"/>
              </w:rPr>
            </w:pPr>
            <w:r>
              <w:rPr>
                <w:rFonts w:ascii="Arial" w:cs="Arial" w:eastAsia="Arial" w:hAnsi="Arial"/>
                <w:sz w:val="18"/>
                <w:szCs w:val="18"/>
                <w:color w:val="auto"/>
              </w:rPr>
              <w:t>101.INS*</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2"/>
          </w:tcPr>
          <w:p>
            <w:pPr>
              <w:ind w:left="360"/>
              <w:spacing w:after="0"/>
              <w:rPr>
                <w:sz w:val="20"/>
                <w:szCs w:val="20"/>
                <w:color w:val="auto"/>
              </w:rPr>
            </w:pPr>
            <w:r>
              <w:rPr>
                <w:rFonts w:ascii="Arial" w:cs="Arial" w:eastAsia="Arial" w:hAnsi="Arial"/>
                <w:sz w:val="18"/>
                <w:szCs w:val="18"/>
                <w:color w:val="auto"/>
              </w:rPr>
              <w:t>101.SCH*</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gridSpan w:val="2"/>
          </w:tcPr>
          <w:p>
            <w:pPr>
              <w:ind w:left="360"/>
              <w:spacing w:after="0"/>
              <w:rPr>
                <w:sz w:val="20"/>
                <w:szCs w:val="20"/>
                <w:color w:val="auto"/>
              </w:rPr>
            </w:pPr>
            <w:r>
              <w:rPr>
                <w:rFonts w:ascii="Arial" w:cs="Arial" w:eastAsia="Arial" w:hAnsi="Arial"/>
                <w:sz w:val="18"/>
                <w:szCs w:val="18"/>
                <w:color w:val="auto"/>
              </w:rPr>
              <w:t>101.CAL*</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80" w:type="dxa"/>
            <w:vAlign w:val="bottom"/>
            <w:gridSpan w:val="2"/>
          </w:tcPr>
          <w:p>
            <w:pPr>
              <w:ind w:left="360"/>
              <w:spacing w:after="0"/>
              <w:rPr>
                <w:sz w:val="20"/>
                <w:szCs w:val="20"/>
                <w:color w:val="auto"/>
              </w:rPr>
            </w:pPr>
            <w:r>
              <w:rPr>
                <w:rFonts w:ascii="Arial" w:cs="Arial" w:eastAsia="Arial" w:hAnsi="Arial"/>
                <w:sz w:val="18"/>
                <w:szCs w:val="18"/>
                <w:color w:val="auto"/>
              </w:rPr>
              <w:t>101.LAB*</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80" w:type="dxa"/>
            <w:vAlign w:val="bottom"/>
            <w:gridSpan w:val="2"/>
          </w:tcPr>
          <w:p>
            <w:pPr>
              <w:ind w:left="360"/>
              <w:spacing w:after="0"/>
              <w:rPr>
                <w:sz w:val="20"/>
                <w:szCs w:val="20"/>
                <w:color w:val="auto"/>
              </w:rPr>
            </w:pPr>
            <w:r>
              <w:rPr>
                <w:rFonts w:ascii="Arial" w:cs="Arial" w:eastAsia="Arial" w:hAnsi="Arial"/>
                <w:sz w:val="18"/>
                <w:szCs w:val="18"/>
                <w:color w:val="auto"/>
              </w:rPr>
              <w:t>101.PRE*</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380" w:type="dxa"/>
            <w:vAlign w:val="bottom"/>
            <w:gridSpan w:val="2"/>
          </w:tcPr>
          <w:p>
            <w:pPr>
              <w:ind w:left="360"/>
              <w:spacing w:after="0"/>
              <w:rPr>
                <w:sz w:val="20"/>
                <w:szCs w:val="20"/>
                <w:color w:val="auto"/>
              </w:rPr>
            </w:pPr>
            <w:r>
              <w:rPr>
                <w:rFonts w:ascii="Arial" w:cs="Arial" w:eastAsia="Arial" w:hAnsi="Arial"/>
                <w:sz w:val="18"/>
                <w:szCs w:val="18"/>
                <w:color w:val="auto"/>
              </w:rPr>
              <w:t>101.DEF*</w:t>
            </w:r>
          </w:p>
        </w:tc>
        <w:tc>
          <w:tcPr>
            <w:tcW w:w="1008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-4641215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-4641215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Filed with this annual report on Form 20-F</w:t>
      </w:r>
    </w:p>
    <w:p>
      <w:pPr>
        <w:spacing w:after="0" w:line="23"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Furnished with this annual report on Form 20-F</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NETEASE,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Lei Ding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22, 2016</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NETEASE,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Borders>
              <w:bottom w:val="single" w:sz="8" w:color="0000EE"/>
            </w:tcBorders>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Management’s report on internal control over financial reporting</w:t>
              </w:r>
            </w:hyperlink>
          </w:p>
        </w:tc>
        <w:tc>
          <w:tcPr>
            <w:tcW w:w="6760" w:type="dxa"/>
            <w:vAlign w:val="bottom"/>
          </w:tcPr>
          <w:p>
            <w:pPr>
              <w:ind w:left="6520"/>
              <w:spacing w:after="0"/>
              <w:rPr>
                <w:sz w:val="20"/>
                <w:szCs w:val="20"/>
                <w:color w:val="auto"/>
              </w:rPr>
            </w:pPr>
            <w:r>
              <w:rPr>
                <w:rFonts w:ascii="Arial" w:cs="Arial" w:eastAsia="Arial" w:hAnsi="Arial"/>
                <w:sz w:val="18"/>
                <w:szCs w:val="18"/>
                <w:color w:val="auto"/>
                <w:w w:val="81"/>
              </w:rPr>
              <w:t>F-1</w:t>
            </w:r>
          </w:p>
        </w:tc>
      </w:tr>
    </w:tbl>
    <w:p>
      <w:pPr>
        <w:sectPr>
          <w:pgSz w:w="11900" w:h="16838" w:orient="portrait"/>
          <w:cols w:equalWidth="0" w:num="1">
            <w:col w:w="11460"/>
          </w:cols>
          <w:pgMar w:left="240" w:top="125" w:right="199" w:bottom="0" w:gutter="0" w:footer="0" w:header="0"/>
        </w:sectPr>
      </w:pPr>
    </w:p>
    <w:bookmarkStart w:id="84" w:name="page85"/>
    <w:bookmarkEnd w:id="84"/>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Report of independent registered public accounting firm</w:t>
              </w:r>
            </w:hyperlink>
          </w:p>
        </w:tc>
        <w:tc>
          <w:tcPr>
            <w:tcW w:w="5920" w:type="dxa"/>
            <w:vAlign w:val="bottom"/>
            <w:gridSpan w:val="5"/>
          </w:tcPr>
          <w:p>
            <w:pPr>
              <w:spacing w:after="0"/>
              <w:rPr>
                <w:sz w:val="17"/>
                <w:szCs w:val="17"/>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w w:val="96"/>
              </w:rPr>
              <w:t>F-2</w:t>
            </w:r>
          </w:p>
        </w:tc>
      </w:tr>
      <w:tr>
        <w:trPr>
          <w:trHeight w:val="412"/>
        </w:trPr>
        <w:tc>
          <w:tcPr>
            <w:tcW w:w="9980" w:type="dxa"/>
            <w:vAlign w:val="bottom"/>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Consolidated balance sheets at December 31, 2014 and 2015</w:t>
              </w:r>
            </w:hyperlink>
          </w:p>
        </w:tc>
        <w:tc>
          <w:tcPr>
            <w:tcW w:w="1480" w:type="dxa"/>
            <w:vAlign w:val="bottom"/>
          </w:tcPr>
          <w:p>
            <w:pPr>
              <w:ind w:left="1200"/>
              <w:spacing w:after="0"/>
              <w:rPr>
                <w:sz w:val="20"/>
                <w:szCs w:val="20"/>
                <w:color w:val="auto"/>
              </w:rPr>
            </w:pPr>
            <w:r>
              <w:rPr>
                <w:rFonts w:ascii="Arial" w:cs="Arial" w:eastAsia="Arial" w:hAnsi="Arial"/>
                <w:sz w:val="18"/>
                <w:szCs w:val="18"/>
                <w:color w:val="auto"/>
                <w:w w:val="96"/>
              </w:rPr>
              <w:t>F-3</w:t>
            </w:r>
          </w:p>
        </w:tc>
      </w:tr>
      <w:tr>
        <w:trPr>
          <w:trHeight w:val="20"/>
        </w:trPr>
        <w:tc>
          <w:tcPr>
            <w:tcW w:w="33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2"/>
        </w:trPr>
        <w:tc>
          <w:tcPr>
            <w:tcW w:w="9980" w:type="dxa"/>
            <w:vAlign w:val="bottom"/>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statements of operations and comprehensive income for the years ended December 31, 2013, 2014 and 2015</w:t>
              </w:r>
            </w:hyperlink>
          </w:p>
        </w:tc>
        <w:tc>
          <w:tcPr>
            <w:tcW w:w="1480" w:type="dxa"/>
            <w:vAlign w:val="bottom"/>
          </w:tcPr>
          <w:p>
            <w:pPr>
              <w:ind w:left="1200"/>
              <w:spacing w:after="0"/>
              <w:rPr>
                <w:sz w:val="20"/>
                <w:szCs w:val="20"/>
                <w:color w:val="auto"/>
              </w:rPr>
            </w:pPr>
            <w:r>
              <w:rPr>
                <w:rFonts w:ascii="Arial" w:cs="Arial" w:eastAsia="Arial" w:hAnsi="Arial"/>
                <w:sz w:val="18"/>
                <w:szCs w:val="18"/>
                <w:color w:val="auto"/>
                <w:w w:val="96"/>
              </w:rPr>
              <w:t>F-4</w:t>
            </w:r>
          </w:p>
        </w:tc>
      </w:tr>
      <w:tr>
        <w:trPr>
          <w:trHeight w:val="412"/>
        </w:trPr>
        <w:tc>
          <w:tcPr>
            <w:tcW w:w="8800" w:type="dxa"/>
            <w:vAlign w:val="bottom"/>
            <w:tcBorders>
              <w:top w:val="single" w:sz="8" w:color="0000EE"/>
            </w:tcBorders>
            <w:gridSpan w:val="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statements of shareholders’ equity for the years ended December 31, 2013, 2014 and 2015</w:t>
              </w:r>
            </w:hyperlink>
          </w:p>
        </w:tc>
        <w:tc>
          <w:tcPr>
            <w:tcW w:w="1180" w:type="dxa"/>
            <w:vAlign w:val="bottom"/>
          </w:tcPr>
          <w:p>
            <w:pPr>
              <w:spacing w:after="0"/>
              <w:rPr>
                <w:sz w:val="24"/>
                <w:szCs w:val="24"/>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w w:val="96"/>
              </w:rPr>
              <w:t>F-5</w:t>
            </w:r>
          </w:p>
        </w:tc>
      </w:tr>
      <w:tr>
        <w:trPr>
          <w:trHeight w:val="412"/>
        </w:trPr>
        <w:tc>
          <w:tcPr>
            <w:tcW w:w="7500" w:type="dxa"/>
            <w:vAlign w:val="bottom"/>
            <w:tcBorders>
              <w:top w:val="single" w:sz="8" w:color="0000EE"/>
            </w:tcBorders>
            <w:gridSpan w:val="5"/>
          </w:tcPr>
          <w:p>
            <w:pPr>
              <w:spacing w:after="0"/>
              <w:rPr>
                <w:rFonts w:ascii="Arial" w:cs="Arial" w:eastAsia="Arial" w:hAnsi="Arial"/>
                <w:sz w:val="18"/>
                <w:szCs w:val="18"/>
                <w:color w:val="0000EE"/>
                <w:w w:val="98"/>
              </w:rPr>
            </w:pPr>
            <w:hyperlink w:anchor="page88">
              <w:r>
                <w:rPr>
                  <w:rFonts w:ascii="Arial" w:cs="Arial" w:eastAsia="Arial" w:hAnsi="Arial"/>
                  <w:sz w:val="18"/>
                  <w:szCs w:val="18"/>
                  <w:color w:val="0000EE"/>
                  <w:w w:val="98"/>
                </w:rPr>
                <w:t>Consolidated statements of cash flows for the years ended December 31, 2013, 2014 and 2015</w:t>
              </w:r>
            </w:hyperlink>
          </w:p>
        </w:tc>
        <w:tc>
          <w:tcPr>
            <w:tcW w:w="2480" w:type="dxa"/>
            <w:vAlign w:val="bottom"/>
            <w:gridSpan w:val="2"/>
          </w:tcPr>
          <w:p>
            <w:pPr>
              <w:spacing w:after="0"/>
              <w:rPr>
                <w:sz w:val="24"/>
                <w:szCs w:val="24"/>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w w:val="96"/>
              </w:rPr>
              <w:t>F-6</w:t>
            </w:r>
          </w:p>
        </w:tc>
      </w:tr>
      <w:tr>
        <w:trPr>
          <w:trHeight w:val="412"/>
        </w:trPr>
        <w:tc>
          <w:tcPr>
            <w:tcW w:w="6800" w:type="dxa"/>
            <w:vAlign w:val="bottom"/>
            <w:tcBorders>
              <w:top w:val="single" w:sz="8" w:color="0000EE"/>
            </w:tcBorders>
            <w:gridSpan w:val="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Notes to the consolidated financial statements</w:t>
              </w:r>
            </w:hyperlink>
          </w:p>
        </w:tc>
        <w:tc>
          <w:tcPr>
            <w:tcW w:w="3180" w:type="dxa"/>
            <w:vAlign w:val="bottom"/>
            <w:gridSpan w:val="3"/>
          </w:tcPr>
          <w:p>
            <w:pPr>
              <w:spacing w:after="0"/>
              <w:rPr>
                <w:sz w:val="24"/>
                <w:szCs w:val="24"/>
                <w:color w:val="auto"/>
              </w:rPr>
            </w:pPr>
          </w:p>
        </w:tc>
        <w:tc>
          <w:tcPr>
            <w:tcW w:w="1480" w:type="dxa"/>
            <w:vAlign w:val="bottom"/>
          </w:tcPr>
          <w:p>
            <w:pPr>
              <w:ind w:left="1200"/>
              <w:spacing w:after="0"/>
              <w:rPr>
                <w:sz w:val="20"/>
                <w:szCs w:val="20"/>
                <w:color w:val="auto"/>
              </w:rPr>
            </w:pPr>
            <w:r>
              <w:rPr>
                <w:rFonts w:ascii="Arial" w:cs="Arial" w:eastAsia="Arial" w:hAnsi="Arial"/>
                <w:sz w:val="18"/>
                <w:szCs w:val="18"/>
                <w:color w:val="auto"/>
                <w:w w:val="96"/>
              </w:rPr>
              <w:t>F-7</w:t>
            </w:r>
          </w:p>
        </w:tc>
      </w:tr>
      <w:tr>
        <w:trPr>
          <w:trHeight w:val="368"/>
        </w:trPr>
        <w:tc>
          <w:tcPr>
            <w:tcW w:w="3320" w:type="dxa"/>
            <w:vAlign w:val="bottom"/>
            <w:tcBorders>
              <w:top w:val="single" w:sz="8" w:color="0000EE"/>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management of NetEase, Inc., or the Company, is responsible for establishing and maintaining adequate internal control over financial reporting as defined in Rule 13a-15(f) and 15d-15(f) promulgated under the Securities Exchange Act of 1934, as amended.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The Company’s management, with the participation of the Company’s principal executive and principal financial officer, assessed the effectiveness of the Company’s internal control over financial reporting as of the end of the most recent fiscal year, December 31, 2015. In making this assessment, the Company’s management used the criteria set forth by the Committee of Sponsoring Organizations of the Treadway Commission (COSO)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Based on its assessment, management concluded that, as of the end of the Company’s most recent fiscal year,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2015, the Company’s internal control over financial reporting is effective based on those criteria.</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PricewaterhouseCoopers Zhong Tian LLP, the Company’s independent registered public accounting firm, has audited the effectiveness of the Company’s internal control over financial reporting as of December 31, 2015, as stated in their report, which is included 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NetEase, Inc.</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and comprehensive income, of shareholders’ equity and of cash flows present fairly, in all material respects, the financial position of NetEase, Inc. (“the Company”) and its subsidiaries at December 31, 2015 and December 31,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Internal Control—Integrated Framework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on Page F-1 of this Annual Report on Form 20-F.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ectPr>
          <w:pgSz w:w="11900" w:h="16888" w:orient="portrait"/>
          <w:cols w:equalWidth="0" w:num="1">
            <w:col w:w="11460"/>
          </w:cols>
          <w:pgMar w:left="240" w:top="324" w:right="199" w:bottom="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April 22,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Note 2(n)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2,021,453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6,071,487</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18,496,574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14,593,291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2,252,816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2,628,847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2,192,634</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873,137</w:t>
            </w:r>
          </w:p>
        </w:tc>
        <w:tc>
          <w:tcPr>
            <w:tcW w:w="1360" w:type="dxa"/>
            <w:vAlign w:val="bottom"/>
          </w:tcPr>
          <w:p>
            <w:pPr>
              <w:jc w:val="right"/>
              <w:spacing w:after="0"/>
              <w:rPr>
                <w:sz w:val="20"/>
                <w:szCs w:val="20"/>
                <w:color w:val="auto"/>
              </w:rPr>
            </w:pPr>
            <w:r>
              <w:rPr>
                <w:rFonts w:ascii="Arial" w:cs="Arial" w:eastAsia="Arial" w:hAnsi="Arial"/>
                <w:sz w:val="18"/>
                <w:szCs w:val="18"/>
                <w:color w:val="auto"/>
              </w:rPr>
              <w:t>2,614,149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28,251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817,765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Prepayments and other current assets</w:t>
            </w:r>
          </w:p>
        </w:tc>
        <w:tc>
          <w:tcPr>
            <w:tcW w:w="1380" w:type="dxa"/>
            <w:vAlign w:val="bottom"/>
          </w:tcPr>
          <w:p>
            <w:pPr>
              <w:jc w:val="right"/>
              <w:spacing w:after="0"/>
              <w:rPr>
                <w:sz w:val="20"/>
                <w:szCs w:val="20"/>
                <w:color w:val="auto"/>
              </w:rPr>
            </w:pPr>
            <w:r>
              <w:rPr>
                <w:rFonts w:ascii="Arial" w:cs="Arial" w:eastAsia="Arial" w:hAnsi="Arial"/>
                <w:sz w:val="18"/>
                <w:szCs w:val="18"/>
                <w:color w:val="auto"/>
              </w:rPr>
              <w:t>1,423,668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2,695,510</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2,058,552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5,013,499</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202,040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410,589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63,384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27,732,522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34,408,924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Property, equipment and software, net</w:t>
            </w:r>
          </w:p>
        </w:tc>
        <w:tc>
          <w:tcPr>
            <w:tcW w:w="1380" w:type="dxa"/>
            <w:vAlign w:val="bottom"/>
          </w:tcPr>
          <w:p>
            <w:pPr>
              <w:jc w:val="right"/>
              <w:spacing w:after="0"/>
              <w:rPr>
                <w:sz w:val="20"/>
                <w:szCs w:val="20"/>
                <w:color w:val="auto"/>
              </w:rPr>
            </w:pPr>
            <w:r>
              <w:rPr>
                <w:rFonts w:ascii="Arial" w:cs="Arial" w:eastAsia="Arial" w:hAnsi="Arial"/>
                <w:sz w:val="18"/>
                <w:szCs w:val="18"/>
                <w:color w:val="auto"/>
              </w:rPr>
              <w:t>1,281,225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2,092,046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322,956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 use right, net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77,648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238,878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21,160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24,685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673,000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1,110,000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1,200,000</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investments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377,478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1,764,652</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191,638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318,245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non-current assets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2,622,149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6,748,506</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30,354,671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41,157,430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6,353,612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6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Mezzanine Classified Noncontrolling Interests and Shareholders’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Equity</w:t>
            </w:r>
          </w:p>
        </w:tc>
        <w:tc>
          <w:tcPr>
            <w:tcW w:w="1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payable (including accounts payable of the consolidated VIEs without</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recourse to the primary beneficiaries of RMB408,112 and RMB515,552 as of</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2014 and 2015, respectively)</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410,722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700,600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rPr>
              <w:t>Salary and welfare payables (including salary and welfare payables of the</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consolidated VIEs without recourse to the primary beneficiaries of RMB56,917</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and RMB82,616 as of December 31, 2014 and 2015, respectively)</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534,565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920,982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142,175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Taxes payable (including taxes payable of the consolidated VIEs without recourse to</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 primary beneficiaries of RMB40,894 and RMB43,475 as of December 31,</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and 2015, respectively)</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334,290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736,214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Short-term loans</w:t>
            </w:r>
          </w:p>
        </w:tc>
        <w:tc>
          <w:tcPr>
            <w:tcW w:w="1380" w:type="dxa"/>
            <w:vAlign w:val="bottom"/>
          </w:tcPr>
          <w:p>
            <w:pPr>
              <w:jc w:val="right"/>
              <w:spacing w:after="0"/>
              <w:rPr>
                <w:sz w:val="20"/>
                <w:szCs w:val="20"/>
                <w:color w:val="auto"/>
              </w:rPr>
            </w:pPr>
            <w:r>
              <w:rPr>
                <w:rFonts w:ascii="Arial" w:cs="Arial" w:eastAsia="Arial" w:hAnsi="Arial"/>
                <w:sz w:val="18"/>
                <w:szCs w:val="18"/>
                <w:color w:val="auto"/>
              </w:rPr>
              <w:t>2,049,865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2,272,760</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350,854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Deferred revenue (including deferred revenue of the consolidated VIEs without</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recourse to the primary beneficiaries of RMB871,722 and RMB4,439,238 as of</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2014 and 2015, respectively)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1,967,780</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4,651,750</w:t>
            </w:r>
          </w:p>
        </w:tc>
        <w:tc>
          <w:tcPr>
            <w:tcW w:w="2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rPr>
              <w:t>Accrued liabilities and other payables (including accrued liabilities and other</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w w:val="96"/>
              </w:rPr>
              <w:t>payables of the consolidated VIEs without recourse to the primary beneficiaries of</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RMB765,895 and RMB1,093,939 as of December 31, 2014 and 2015,</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380" w:type="dxa"/>
            <w:vAlign w:val="bottom"/>
          </w:tcPr>
          <w:p>
            <w:pPr>
              <w:jc w:val="right"/>
              <w:spacing w:after="0"/>
              <w:rPr>
                <w:sz w:val="20"/>
                <w:szCs w:val="20"/>
                <w:color w:val="auto"/>
              </w:rPr>
            </w:pPr>
            <w:r>
              <w:rPr>
                <w:rFonts w:ascii="Arial" w:cs="Arial" w:eastAsia="Arial" w:hAnsi="Arial"/>
                <w:sz w:val="18"/>
                <w:szCs w:val="18"/>
                <w:color w:val="auto"/>
              </w:rPr>
              <w:t>1,357,228</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2,218,330</w:t>
            </w:r>
          </w:p>
        </w:tc>
        <w:tc>
          <w:tcPr>
            <w:tcW w:w="2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342,451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101,997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166,787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6,756,447</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11,667,423</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1,801,139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payable:</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81,434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payable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106,430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84,974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6,862,877</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11,833,831</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1,826,828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Commitments and contingencies (See Note 22)</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Mezzanine classified noncontrolling interests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133,634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Shareholders’ equity:</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US$0.0001 par value: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w w:val="99"/>
              </w:rPr>
              <w:t>1,000,300,000 shares authorized, 3,268,019 shares issued and outstanding as of</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December 31, 2014 and 3,286,932 shares issued and outstanding as of</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December 31, 2015</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2,674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2,685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1,226,416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1,779,331</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Statutory reserves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937,282</w:t>
            </w:r>
          </w:p>
        </w:tc>
        <w:tc>
          <w:tcPr>
            <w:tcW w:w="1360" w:type="dxa"/>
            <w:vAlign w:val="bottom"/>
          </w:tcPr>
          <w:p>
            <w:pPr>
              <w:jc w:val="right"/>
              <w:spacing w:after="0"/>
              <w:rPr>
                <w:sz w:val="20"/>
                <w:szCs w:val="20"/>
                <w:color w:val="auto"/>
              </w:rPr>
            </w:pPr>
            <w:r>
              <w:rPr>
                <w:rFonts w:ascii="Arial" w:cs="Arial" w:eastAsia="Arial" w:hAnsi="Arial"/>
                <w:sz w:val="18"/>
                <w:szCs w:val="18"/>
                <w:color w:val="auto"/>
              </w:rPr>
              <w:t>1,010,917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156,059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27,452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Retained earnings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21,223,973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26,419,698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4,078,498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NetEase, Inc’s shareholders’ equity</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23,390,345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29,240,083</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4,513,891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(32,185)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83,516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23,358,160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29,323,599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4,526,784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liabilities, mezzanine classified noncontrolling interests and shareholders’ equity</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30,354,671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41,157,430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6,353,612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data or per ADS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c>
          <w:tcPr>
            <w:tcW w:w="1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360" w:type="dxa"/>
            <w:vAlign w:val="bottom"/>
          </w:tcPr>
          <w:p>
            <w:pPr>
              <w:jc w:val="right"/>
              <w:ind w:right="431"/>
              <w:spacing w:after="0" w:line="119" w:lineRule="exact"/>
              <w:rPr>
                <w:sz w:val="20"/>
                <w:szCs w:val="20"/>
                <w:color w:val="auto"/>
              </w:rPr>
            </w:pPr>
            <w:r>
              <w:rPr>
                <w:rFonts w:ascii="Arial" w:cs="Arial" w:eastAsia="Arial" w:hAnsi="Arial"/>
                <w:sz w:val="13"/>
                <w:szCs w:val="13"/>
                <w:b w:val="1"/>
                <w:bCs w:val="1"/>
                <w:color w:val="auto"/>
              </w:rPr>
              <w:t>RMB</w:t>
            </w:r>
          </w:p>
        </w:tc>
        <w:tc>
          <w:tcPr>
            <w:tcW w:w="300" w:type="dxa"/>
            <w:vAlign w:val="bottom"/>
          </w:tcPr>
          <w:p>
            <w:pPr>
              <w:spacing w:after="0"/>
              <w:rPr>
                <w:sz w:val="10"/>
                <w:szCs w:val="10"/>
                <w:color w:val="auto"/>
              </w:rPr>
            </w:pPr>
          </w:p>
        </w:tc>
        <w:tc>
          <w:tcPr>
            <w:tcW w:w="1360" w:type="dxa"/>
            <w:vAlign w:val="bottom"/>
          </w:tcPr>
          <w:p>
            <w:pPr>
              <w:jc w:val="right"/>
              <w:ind w:right="432"/>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60" w:type="dxa"/>
            <w:vAlign w:val="bottom"/>
          </w:tcPr>
          <w:p>
            <w:pPr>
              <w:jc w:val="right"/>
              <w:ind w:right="411"/>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Note 2(n)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Online game services</w:t>
            </w:r>
          </w:p>
        </w:tc>
        <w:tc>
          <w:tcPr>
            <w:tcW w:w="1360" w:type="dxa"/>
            <w:vAlign w:val="bottom"/>
          </w:tcPr>
          <w:p>
            <w:pPr>
              <w:jc w:val="right"/>
              <w:spacing w:after="0"/>
              <w:rPr>
                <w:sz w:val="20"/>
                <w:szCs w:val="20"/>
                <w:color w:val="auto"/>
              </w:rPr>
            </w:pPr>
            <w:r>
              <w:rPr>
                <w:rFonts w:ascii="Arial" w:cs="Arial" w:eastAsia="Arial" w:hAnsi="Arial"/>
                <w:sz w:val="18"/>
                <w:szCs w:val="18"/>
                <w:color w:val="auto"/>
              </w:rPr>
              <w:t>7,864,464</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9,266,158</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17,314,148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2,672,844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services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987,467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1,344,829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1,789,377</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E-mail, e-commerce and others</w:t>
            </w:r>
          </w:p>
        </w:tc>
        <w:tc>
          <w:tcPr>
            <w:tcW w:w="1360" w:type="dxa"/>
            <w:vAlign w:val="bottom"/>
          </w:tcPr>
          <w:p>
            <w:pPr>
              <w:jc w:val="right"/>
              <w:spacing w:after="0"/>
              <w:rPr>
                <w:sz w:val="20"/>
                <w:szCs w:val="20"/>
                <w:color w:val="auto"/>
              </w:rPr>
            </w:pPr>
            <w:r>
              <w:rPr>
                <w:rFonts w:ascii="Arial" w:cs="Arial" w:eastAsia="Arial" w:hAnsi="Arial"/>
                <w:sz w:val="18"/>
                <w:szCs w:val="18"/>
                <w:color w:val="auto"/>
              </w:rPr>
              <w:t>344,244</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1,101,847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3,699,370</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571,084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9,196,175</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11,712,834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22,802,895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3,520,160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 of revenues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(2,478,516)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(3,261,544)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(9,399,260)</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(1,450,996)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13,403,635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2,069,164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Selling and marketing expenses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(1,093,612)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(1,894,998)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(2,958,229)</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(456,672)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(349,832)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(467,669)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(1,014,395)</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(921,618)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(1,323,498)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(2,158,888)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(333,275)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(2,365,062)</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(3,686,165)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(6,131,512)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(946,543)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4,352,597</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4,765,125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7,272,123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1,122,621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income/(expenses):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37,255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27,373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62,341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506,181</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601,502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596,930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92,150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Exchange (losses)/gains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(15,348)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(17,998)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133,776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net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95,136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82,438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45,138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6,968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4,975,821</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5,458,440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8,110,308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tax</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(530,603)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(662,735)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(1,273,408)</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(196,579)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4,445,218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4,795,705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6,836,900</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1,055,435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noncontrolling interests and</w:t>
            </w: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mezzanine classified noncontrolling interests</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(39,082)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(101,792)</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w w:val="98"/>
              </w:rPr>
              <w:t>Net income attributable to the NetEase, Inc.’s shareholders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4,443,910</w:t>
            </w:r>
          </w:p>
        </w:tc>
        <w:tc>
          <w:tcPr>
            <w:tcW w:w="3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4,756,623</w:t>
            </w:r>
          </w:p>
        </w:tc>
        <w:tc>
          <w:tcPr>
            <w:tcW w:w="2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6,735,108</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1,039,721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jc w:val="right"/>
              <w:spacing w:after="0"/>
              <w:rPr>
                <w:sz w:val="20"/>
                <w:szCs w:val="20"/>
                <w:color w:val="auto"/>
              </w:rPr>
            </w:pPr>
            <w:r>
              <w:rPr>
                <w:rFonts w:ascii="Arial" w:cs="Arial" w:eastAsia="Arial" w:hAnsi="Arial"/>
                <w:sz w:val="18"/>
                <w:szCs w:val="18"/>
                <w:color w:val="auto"/>
              </w:rPr>
              <w:t>4,445,218</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4,795,705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6,836,900</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1,055,435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Unrealized gains on available-for-sale securities, net of tax</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27,452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4,445,218</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4,795,705</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6,864,352</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1,059,673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Comprehensive income attributable to noncontrolling interests</w:t>
            </w: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and mezzanine classified noncontrolling interests</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(1,308)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(39,082)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(101,792)</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Comprehensive income attributable to the NetEase, Inc.’s</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4,443,910</w:t>
            </w:r>
          </w:p>
        </w:tc>
        <w:tc>
          <w:tcPr>
            <w:tcW w:w="3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4,756,623</w:t>
            </w:r>
          </w:p>
        </w:tc>
        <w:tc>
          <w:tcPr>
            <w:tcW w:w="2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6,762,560</w:t>
            </w:r>
          </w:p>
        </w:tc>
        <w:tc>
          <w:tcPr>
            <w:tcW w:w="2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1,043,959</w:t>
            </w:r>
          </w:p>
        </w:tc>
        <w:tc>
          <w:tcPr>
            <w:tcW w:w="20" w:type="dxa"/>
            <w:vAlign w:val="bottom"/>
            <w:tcBorders>
              <w:top w:val="single" w:sz="8" w:color="CCEEFF"/>
            </w:tcBorders>
            <w:vMerge w:val="restart"/>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basic</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per ADS, basic</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34.21</w:t>
            </w:r>
          </w:p>
        </w:tc>
        <w:tc>
          <w:tcPr>
            <w:tcW w:w="3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36.43</w:t>
            </w:r>
          </w:p>
        </w:tc>
        <w:tc>
          <w:tcPr>
            <w:tcW w:w="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51.27</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per share, diluted</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3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color w:val="auto"/>
              </w:rPr>
              <w:t>Net income per ADS, diluted</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34.12</w:t>
            </w:r>
          </w:p>
        </w:tc>
        <w:tc>
          <w:tcPr>
            <w:tcW w:w="3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36.29</w:t>
            </w:r>
          </w:p>
        </w:tc>
        <w:tc>
          <w:tcPr>
            <w:tcW w:w="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50.94</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7.86</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w w:val="97"/>
              </w:rPr>
              <w:t>Weighted average number of ordinary shares outstanding, basic</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3,247,874</w:t>
            </w:r>
          </w:p>
        </w:tc>
        <w:tc>
          <w:tcPr>
            <w:tcW w:w="3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3,264,450</w:t>
            </w: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3,284,382</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3,284,382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spacing w:after="0"/>
              <w:rPr>
                <w:sz w:val="20"/>
                <w:szCs w:val="20"/>
                <w:color w:val="auto"/>
              </w:rPr>
            </w:pPr>
            <w:r>
              <w:rPr>
                <w:rFonts w:ascii="Arial" w:cs="Arial" w:eastAsia="Arial" w:hAnsi="Arial"/>
                <w:sz w:val="18"/>
                <w:szCs w:val="18"/>
                <w:color w:val="auto"/>
              </w:rPr>
              <w:t>Weighted average number of ADS outstanding, basic</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129,915</w:t>
            </w:r>
          </w:p>
        </w:tc>
        <w:tc>
          <w:tcPr>
            <w:tcW w:w="3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130,578</w:t>
            </w:r>
          </w:p>
        </w:tc>
        <w:tc>
          <w:tcPr>
            <w:tcW w:w="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131,375</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131,375</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ordinary shares outstanding,</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3,256,297</w:t>
            </w:r>
          </w:p>
        </w:tc>
        <w:tc>
          <w:tcPr>
            <w:tcW w:w="3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3,277,049</w:t>
            </w: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3,305,213</w:t>
            </w:r>
          </w:p>
        </w:tc>
        <w:tc>
          <w:tcPr>
            <w:tcW w:w="28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3,305,213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3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ADS outstanding, diluted</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130,252</w:t>
            </w:r>
          </w:p>
        </w:tc>
        <w:tc>
          <w:tcPr>
            <w:tcW w:w="300" w:type="dxa"/>
            <w:vAlign w:val="bottom"/>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131,082</w:t>
            </w:r>
          </w:p>
        </w:tc>
        <w:tc>
          <w:tcPr>
            <w:tcW w:w="2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132,209</w:t>
            </w:r>
          </w:p>
        </w:tc>
        <w:tc>
          <w:tcPr>
            <w:tcW w:w="28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132,209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(Amounts and share numbers, in thousands)</w:t>
      </w:r>
    </w:p>
    <w:p>
      <w:pPr>
        <w:sectPr>
          <w:pgSz w:w="11900" w:h="16838" w:orient="portrait"/>
          <w:cols w:equalWidth="0" w:num="1">
            <w:col w:w="11420"/>
          </w:cols>
          <w:pgMar w:left="240" w:top="125" w:right="239" w:bottom="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58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Ordinary shares</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54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rPr>
              <w:t>Treasury stock</w:t>
            </w:r>
          </w:p>
        </w:tc>
        <w:tc>
          <w:tcPr>
            <w:tcW w:w="7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Statutory</w:t>
            </w: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Retained</w:t>
            </w:r>
          </w:p>
        </w:tc>
        <w:tc>
          <w:tcPr>
            <w:tcW w:w="94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paid-</w:t>
            </w:r>
          </w:p>
        </w:tc>
        <w:tc>
          <w:tcPr>
            <w:tcW w:w="1540" w:type="dxa"/>
            <w:vAlign w:val="bottom"/>
            <w:gridSpan w:val="5"/>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shareholders’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Share</w:t>
            </w: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in capital</w:t>
            </w:r>
          </w:p>
        </w:tc>
        <w:tc>
          <w:tcPr>
            <w:tcW w:w="76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Share</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7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reserves</w:t>
            </w:r>
          </w:p>
        </w:tc>
        <w:tc>
          <w:tcPr>
            <w:tcW w:w="80" w:type="dxa"/>
            <w:vAlign w:val="bottom"/>
          </w:tcPr>
          <w:p>
            <w:pPr>
              <w:spacing w:after="0"/>
              <w:rPr>
                <w:sz w:val="12"/>
                <w:szCs w:val="12"/>
                <w:color w:val="auto"/>
              </w:rPr>
            </w:pPr>
          </w:p>
        </w:tc>
        <w:tc>
          <w:tcPr>
            <w:tcW w:w="104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2"/>
                <w:szCs w:val="12"/>
                <w:color w:val="auto"/>
              </w:rPr>
            </w:pPr>
          </w:p>
        </w:tc>
        <w:tc>
          <w:tcPr>
            <w:tcW w:w="8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earnings</w:t>
            </w:r>
          </w:p>
        </w:tc>
        <w:tc>
          <w:tcPr>
            <w:tcW w:w="940" w:type="dxa"/>
            <w:vAlign w:val="bottom"/>
            <w:gridSpan w:val="5"/>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Interests</w:t>
            </w:r>
          </w:p>
        </w:tc>
        <w:tc>
          <w:tcPr>
            <w:tcW w:w="100" w:type="dxa"/>
            <w:vAlign w:val="bottom"/>
          </w:tcPr>
          <w:p>
            <w:pPr>
              <w:spacing w:after="0"/>
              <w:rPr>
                <w:sz w:val="12"/>
                <w:szCs w:val="12"/>
                <w:color w:val="auto"/>
              </w:rPr>
            </w:pPr>
          </w:p>
        </w:tc>
        <w:tc>
          <w:tcPr>
            <w:tcW w:w="94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center"/>
              <w:ind w:right="11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ind w:right="191"/>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8"/>
              </w:rPr>
              <w:t>Balance as of December 31, 2012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3,287,546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1,156,681</w:t>
            </w:r>
          </w:p>
        </w:tc>
        <w:tc>
          <w:tcPr>
            <w:tcW w:w="10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9"/>
              </w:rPr>
              <w:t>(41,504) (422,489)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634,108</w:t>
            </w:r>
          </w:p>
        </w:tc>
        <w:tc>
          <w:tcPr>
            <w:tcW w:w="80" w:type="dxa"/>
            <w:vAlign w:val="bottom"/>
            <w:shd w:val="clear" w:color="auto" w:fill="CCEEFF"/>
          </w:tcPr>
          <w:p>
            <w:pPr>
              <w:spacing w:after="0"/>
              <w:rPr>
                <w:sz w:val="18"/>
                <w:szCs w:val="18"/>
                <w:color w:val="auto"/>
              </w:rPr>
            </w:pPr>
          </w:p>
        </w:tc>
        <w:tc>
          <w:tcPr>
            <w:tcW w:w="196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14,309,609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0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w w:val="97"/>
              </w:rPr>
              <w:t>(79,119) 15,601,486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Ordinary shares issued upon</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exercise of employee stock</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options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2,474</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2,474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issued upon</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restricted share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217,431</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217,431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7"/>
              </w:rPr>
              <w:t>Appropriation to statutory reserves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244,358</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(244,358)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Net income attributable to</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96"/>
              </w:rPr>
              <w:t>NetEase, Inc. and noncontrolling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interest shareholders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4,443,910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1,308</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4,445,218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(9,081)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(99,262)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(99,262)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Cancellation of treasury stock</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(50,585)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(521,710)</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50,585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521,751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Capital injection in a subsidiary by</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906</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Balance as of December 31, 2013</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3,250,284</w:t>
            </w: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854,878</w:t>
            </w: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878,466</w:t>
            </w:r>
          </w:p>
        </w:tc>
        <w:tc>
          <w:tcPr>
            <w:tcW w:w="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18,509,161</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(76,905)</w:t>
            </w:r>
          </w:p>
        </w:tc>
        <w:tc>
          <w:tcPr>
            <w:tcW w:w="120" w:type="dxa"/>
            <w:vAlign w:val="bottom"/>
            <w:tcBorders>
              <w:bottom w:val="single" w:sz="8" w:color="CCEEFF"/>
            </w:tcBorders>
            <w:gridSpan w:val="2"/>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20,168,263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Ordinary shares issued upon</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employee stock</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Ordinary shares issued upon</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settlement of restricted share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units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17,450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368,632</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368,632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w w:val="97"/>
              </w:rPr>
              <w:t>Appropriation to statutory reserves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58,816</w:t>
            </w:r>
          </w:p>
        </w:tc>
        <w:tc>
          <w:tcPr>
            <w:tcW w:w="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(58,816)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NetEase, Inc. and noncontrolling</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shareholders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4,756,623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35,813</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4,792,436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w w:val="99"/>
              </w:rPr>
              <w:t>Capital injection in subsidiaries by</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8,907</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8,922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Dividends to shareholders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9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(1,983,010)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(1,983,010)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8"/>
              </w:rPr>
              <w:t>Balance as of December 31, 2014</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3,268,019</w:t>
            </w:r>
          </w:p>
        </w:tc>
        <w:tc>
          <w:tcPr>
            <w:tcW w:w="10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1,226,416</w:t>
            </w:r>
          </w:p>
        </w:tc>
        <w:tc>
          <w:tcPr>
            <w:tcW w:w="10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937,282</w:t>
            </w:r>
          </w:p>
        </w:tc>
        <w:tc>
          <w:tcPr>
            <w:tcW w:w="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21,223,973</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(32,185)</w:t>
            </w:r>
          </w:p>
        </w:tc>
        <w:tc>
          <w:tcPr>
            <w:tcW w:w="120" w:type="dxa"/>
            <w:vAlign w:val="bottom"/>
            <w:tcBorders>
              <w:bottom w:val="single" w:sz="8" w:color="CCEEFF"/>
            </w:tcBorders>
            <w:gridSpan w:val="2"/>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23,358,160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Ordinary shares issued upon</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 of restricted share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687,332</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687,332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7"/>
              </w:rPr>
              <w:t>Appropriation to statutory reserves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73,635</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(73,635)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Net income attributable to</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w w:val="96"/>
              </w:rPr>
              <w:t>NetEase, Inc. and noncontrolling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interest shareholders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6,737,321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100,689</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6,838,010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(4,628) (132,192)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(132,192)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Cancellation of treasury stock</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(4,628)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(132,189)</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4,628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132,192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Unrealized gains on available-for-</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securities, net of tax</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27,452</w:t>
            </w:r>
          </w:p>
        </w:tc>
        <w:tc>
          <w:tcPr>
            <w:tcW w:w="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27,452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w w:val="99"/>
              </w:rPr>
              <w:t>Capital injection in subsidiaries by</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15,012</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15,015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Dividends to shareholders</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(1,467,965)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(1,467,965)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w w:val="93"/>
              </w:rPr>
              <w:t>Exchanges losses on repurchase of</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180"/>
              <w:spacing w:after="0"/>
              <w:rPr>
                <w:sz w:val="20"/>
                <w:szCs w:val="20"/>
                <w:color w:val="auto"/>
              </w:rPr>
            </w:pPr>
            <w:r>
              <w:rPr>
                <w:rFonts w:ascii="Arial" w:cs="Arial" w:eastAsia="Arial" w:hAnsi="Arial"/>
                <w:sz w:val="18"/>
                <w:szCs w:val="18"/>
                <w:color w:val="auto"/>
              </w:rPr>
              <w:t>mezzanine classified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(2,213)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(2,213)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as of December 31, 2015</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3,286,932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1,779,331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1,010,917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26,419,698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83,516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29,323,599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12"/>
          </w:tcPr>
          <w:p>
            <w:pPr>
              <w:spacing w:after="0"/>
              <w:rPr>
                <w:sz w:val="20"/>
                <w:szCs w:val="20"/>
                <w:color w:val="auto"/>
              </w:rPr>
            </w:pPr>
            <w:r>
              <w:rPr>
                <w:rFonts w:ascii="Arial" w:cs="Arial" w:eastAsia="Arial" w:hAnsi="Arial"/>
                <w:sz w:val="18"/>
                <w:szCs w:val="18"/>
                <w:color w:val="auto"/>
                <w:w w:val="94"/>
              </w:rPr>
              <w:t>The accompanying notes are an integral part of these consolidated financial statements.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F-5</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7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700" w:type="dxa"/>
            <w:vAlign w:val="bottom"/>
          </w:tcPr>
          <w:p>
            <w:pPr>
              <w:spacing w:after="0"/>
              <w:rPr>
                <w:sz w:val="20"/>
                <w:szCs w:val="20"/>
                <w:color w:val="auto"/>
              </w:rPr>
            </w:pPr>
            <w:r>
              <w:rPr>
                <w:rFonts w:ascii="Arial" w:cs="Arial" w:eastAsia="Arial" w:hAnsi="Arial"/>
                <w:sz w:val="18"/>
                <w:szCs w:val="18"/>
                <w:b w:val="1"/>
                <w:bCs w:val="1"/>
                <w:color w:val="auto"/>
              </w:rPr>
              <w:t>NetEase, Inc.</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80" w:type="dxa"/>
            <w:vAlign w:val="bottom"/>
            <w:gridSpan w:val="5"/>
          </w:tcPr>
          <w:p>
            <w:pPr>
              <w:spacing w:after="0"/>
              <w:rPr>
                <w:sz w:val="20"/>
                <w:szCs w:val="20"/>
                <w:color w:val="auto"/>
              </w:rPr>
            </w:pPr>
            <w:r>
              <w:rPr>
                <w:rFonts w:ascii="Arial" w:cs="Arial" w:eastAsia="Arial" w:hAnsi="Arial"/>
                <w:sz w:val="18"/>
                <w:szCs w:val="18"/>
                <w:b w:val="1"/>
                <w:bCs w:val="1"/>
                <w:color w:val="auto"/>
                <w:w w:val="90"/>
              </w:rPr>
              <w:t>Consolidated Statements of Cash Flows (in thousands)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1"/>
              </w:rPr>
              <w:t>For the year ended December 31,</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12"/>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US$</w:t>
            </w:r>
          </w:p>
        </w:tc>
        <w:tc>
          <w:tcPr>
            <w:tcW w:w="3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Note 2(n)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208"/>
              <w:spacing w:after="0"/>
              <w:rPr>
                <w:sz w:val="20"/>
                <w:szCs w:val="20"/>
                <w:color w:val="auto"/>
              </w:rPr>
            </w:pPr>
            <w:r>
              <w:rPr>
                <w:rFonts w:ascii="Arial" w:cs="Arial" w:eastAsia="Arial" w:hAnsi="Arial"/>
                <w:sz w:val="18"/>
                <w:szCs w:val="18"/>
                <w:color w:val="auto"/>
              </w:rPr>
              <w:t>4,445,218</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4,795,705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6,836,900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1,055,435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80" w:type="dxa"/>
            <w:vAlign w:val="bottom"/>
            <w:gridSpan w:val="10"/>
            <w:shd w:val="clear" w:color="auto" w:fill="CCEEFF"/>
          </w:tcPr>
          <w:p>
            <w:pPr>
              <w:ind w:left="180"/>
              <w:spacing w:after="0" w:line="201"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360"/>
              <w:spacing w:after="0"/>
              <w:rPr>
                <w:sz w:val="20"/>
                <w:szCs w:val="20"/>
                <w:color w:val="auto"/>
              </w:rPr>
            </w:pPr>
            <w:r>
              <w:rPr>
                <w:rFonts w:ascii="Arial" w:cs="Arial" w:eastAsia="Arial" w:hAnsi="Arial"/>
                <w:sz w:val="18"/>
                <w:szCs w:val="18"/>
                <w:color w:val="auto"/>
                <w:w w:val="97"/>
              </w:rPr>
              <w:t>Depreciation and amortization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right"/>
              <w:ind w:right="208"/>
              <w:spacing w:after="0"/>
              <w:rPr>
                <w:sz w:val="20"/>
                <w:szCs w:val="20"/>
                <w:color w:val="auto"/>
              </w:rPr>
            </w:pPr>
            <w:r>
              <w:rPr>
                <w:rFonts w:ascii="Arial" w:cs="Arial" w:eastAsia="Arial" w:hAnsi="Arial"/>
                <w:sz w:val="18"/>
                <w:szCs w:val="18"/>
                <w:color w:val="auto"/>
              </w:rPr>
              <w:t>158,363</w:t>
            </w:r>
          </w:p>
        </w:tc>
        <w:tc>
          <w:tcPr>
            <w:tcW w:w="26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174,462</w:t>
            </w:r>
          </w:p>
        </w:tc>
        <w:tc>
          <w:tcPr>
            <w:tcW w:w="80" w:type="dxa"/>
            <w:vAlign w:val="bottom"/>
          </w:tcPr>
          <w:p>
            <w:pPr>
              <w:spacing w:after="0"/>
              <w:rPr>
                <w:sz w:val="18"/>
                <w:szCs w:val="18"/>
                <w:color w:val="auto"/>
              </w:rPr>
            </w:pP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182,450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10"/>
              <w:spacing w:after="0"/>
              <w:rPr>
                <w:sz w:val="20"/>
                <w:szCs w:val="20"/>
                <w:color w:val="auto"/>
              </w:rPr>
            </w:pPr>
            <w:r>
              <w:rPr>
                <w:rFonts w:ascii="Arial" w:cs="Arial" w:eastAsia="Arial" w:hAnsi="Arial"/>
                <w:sz w:val="18"/>
                <w:szCs w:val="18"/>
                <w:color w:val="auto"/>
              </w:rPr>
              <w:t>28,165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impairment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24,040</w:t>
            </w: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12,037</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1,858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-2016760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-2016760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4" w:right="199" w:bottom="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Share-based compensation cost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306,308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349,277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684,467</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(Reversal of) /allowance for provision for doubtful accounts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(Gain)/loss on disposal of property, equipment and software</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(509)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1,507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5,903</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exchange losses/(gains)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18,764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(116,772)</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142,283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(117,342)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(147,285)</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equity share of losses from associated companies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48,955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Fair value changes of short-term investments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12,355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(64,249)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(140,104)</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(21,628)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(131,030)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(474,381)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(1,744,059)</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(269,236)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(789,514)</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Prepayments and other current assets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(23,851)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(284,203)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(1,249,573)</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(192,901)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70,959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190,453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243,140</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Salary and welfare payables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87,269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157,448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386,417</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59,653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payable</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(315,001)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259,828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401,924</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321,018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486,744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2,683,970</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414,334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 payables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145,010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310,463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746,844</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5,235,890</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5,873,023</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8,076,920</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1,246,863</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equipment and software</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(218,936)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(537,376)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(866,314)</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Proceeds from sale of property, equipment and software</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4,516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1,463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1,292</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other intangible assets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(14,011)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Purchase of land use right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(66,957)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(163,998)</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(25,317)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Net change of short-term investments with terms of three months or</w:t>
            </w: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less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(480,000)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247,406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(231,306)</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Purchase of short-term investments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(2,358,122)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(5,687,000)</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(877,922)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maturities of short-term investments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1,017,596</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3,103,463</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Investment in an associated company</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(187,532)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(28,950)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of other long-term investments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(30,558)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(155,553)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(1,178,929)</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Transfer to restricted cash</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(1,566,244)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(492,149)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(763,493)</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Placement/rollover of matured time deposits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(21,807,617)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(21,955,012)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(19,017,824)</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(2,935,846)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Proceeds from maturity of time deposits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18,231,797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19,905,004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22,582,480</w:t>
            </w:r>
          </w:p>
        </w:tc>
        <w:tc>
          <w:tcPr>
            <w:tcW w:w="1140" w:type="dxa"/>
            <w:vAlign w:val="bottom"/>
          </w:tcPr>
          <w:p>
            <w:pPr>
              <w:jc w:val="right"/>
              <w:spacing w:after="0"/>
              <w:rPr>
                <w:sz w:val="20"/>
                <w:szCs w:val="20"/>
                <w:color w:val="auto"/>
              </w:rPr>
            </w:pPr>
            <w:r>
              <w:rPr>
                <w:rFonts w:ascii="Arial" w:cs="Arial" w:eastAsia="Arial" w:hAnsi="Arial"/>
                <w:sz w:val="18"/>
                <w:szCs w:val="18"/>
                <w:color w:val="auto"/>
              </w:rPr>
              <w:t>3,486,134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other assets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(25,337)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(92,455)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(127,016)</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(5,453,279)</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(4,520,166)</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(2,536,524)</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(391,573)</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of short-term bank loan</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1,005,680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2,046,669</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5,828,758</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899,805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Payment of short-term bank loan</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(975,504)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(5,741,616)</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(886,353)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employees’ stock options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Dividends paid to shareholders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(815,413)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(1,983,010)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(1,467,965)</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(226,615)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Capital injection from/(repurchase of) mezzanine classified</w:t>
            </w: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noncontrolling interests shareholders</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130,365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(134,736)</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Capital injection from noncontrolling interest shareholders</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15,015</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shares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(106,809)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(132,192)</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by/(used in) financing activities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86,848</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(778,442)</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(1,632,736)</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(252,052)</w:t>
            </w:r>
          </w:p>
        </w:tc>
        <w:tc>
          <w:tcPr>
            <w:tcW w:w="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w w:val="98"/>
              </w:rPr>
              <w:t>Effect of exchange rate changes on cash held in foreign currencies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(1,930)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(11,260)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142,374</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21,979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(132,471)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563,155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4,050,034</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625,217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the year</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1,590,769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1,458,298</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2,021,453</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312,059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end of the year</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1,458,298</w:t>
            </w:r>
          </w:p>
        </w:tc>
        <w:tc>
          <w:tcPr>
            <w:tcW w:w="2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2,021,453</w:t>
            </w:r>
          </w:p>
        </w:tc>
        <w:tc>
          <w:tcPr>
            <w:tcW w:w="2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6,071,487</w:t>
            </w:r>
          </w:p>
        </w:tc>
        <w:tc>
          <w:tcPr>
            <w:tcW w:w="2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937,276</w:t>
            </w:r>
          </w:p>
        </w:tc>
        <w:tc>
          <w:tcPr>
            <w:tcW w:w="3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 net of tax refund</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687,454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551,303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1,124,339</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w w:val="94"/>
              </w:rPr>
              <w:t>Supplemental schedule of non-cash investing and financing activities: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 purchases financed by accounts payable</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80,575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216,328</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33,395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Renminbi (“RMB”), unless otherwise stated)</w:t>
      </w:r>
    </w:p>
    <w:p>
      <w:pPr>
        <w:spacing w:after="0" w:line="207"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225"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The Group</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NetEase.com, Inc. was incorporated in the Cayman Islands on July 6, 1999 and changed its name to “NetEase, Inc.” (“the Company”) with effect from March 29, 2012. The Company has been listed on the Nasdaq National Market (now the Nasdaq Global Select Market) in the United States of America since July 2000. As of December 31, 2015, the Company has wholly-owned and majority-owned subsidiaries incorporated in countries and jurisdictions including the People’s Republic of China (“PRC”), Hong Kong, Cayman Islands and British Virgin Islands (“BVI”). As of December 31, 2015, the Company also effectively controls a number of variable interest entities (“VIEs”) for which the Company is the primary beneficiary. The Company, its subsidiaries and VIEs</w:t>
      </w:r>
    </w:p>
    <w:p>
      <w:pPr>
        <w:sectPr>
          <w:pgSz w:w="11900" w:h="16838" w:orient="portrait"/>
          <w:cols w:equalWidth="0" w:num="1">
            <w:col w:w="11420"/>
          </w:cols>
          <w:pgMar w:left="240" w:top="125" w:right="239" w:bottom="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are hereinafter collectively referred to as the “Group”. The major subsidiaries and VIEs through which the Company conducts its business operations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are described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Subsidiaries</w:t>
            </w:r>
          </w:p>
        </w:tc>
        <w:tc>
          <w:tcPr>
            <w:tcW w:w="2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Place and year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7"/>
              </w:rPr>
              <w:t>Incorporation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NetEase Information Technology (Beijing) Co., Ltd. (“NetEase Beijing”)</w:t>
            </w: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Beijing,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1999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Guangzhou Boguan Telecommunication Technology Co., Ltd. (“Boguan”)</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Guangzhou,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NetEase Youdao Information Technology (Beijing) Co., Ltd. (“Youdao Information”)</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Beijing,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NetEase (Hangzhou) Network Co., Ltd. (“NetEase Hangzhou”)</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Hangzhou,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Hangzhou Langhe Technology Co., Ltd. (“Hangzhou Langhe”)</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Hangzhou,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Lede Technology Co., Ltd. (“Lede Technology”)</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Hangzhou,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NetEase Media Technology (Beijing) Co., Ltd. (“Media Beijing”)</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Beijing,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HQG, Limited (“HQG”)</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Hong Kong,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Hangzhou Youmai Technology Co., Ltd. (“Hangzhou Youmai”)</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Hangzhou,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8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VIEs and VIEs’ subsidiaries</w:t>
            </w:r>
          </w:p>
        </w:tc>
        <w:tc>
          <w:tcPr>
            <w:tcW w:w="2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Place and year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7"/>
              </w:rPr>
              <w:t>Incorporation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Guangzhou NetEase Computer System Co., Ltd. (“Guangzhou NetEase”)</w:t>
            </w: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Guangzhou,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1997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Beijing NetEase Media Co., Ltd. (previously named “Beijing Guangyitong Advertising Co., Ltd.”) (“NetEase</w:t>
            </w:r>
          </w:p>
        </w:tc>
        <w:tc>
          <w:tcPr>
            <w:tcW w:w="220" w:type="dxa"/>
            <w:vAlign w:val="bottom"/>
            <w:shd w:val="clear" w:color="auto" w:fill="CCEEFF"/>
          </w:tcPr>
          <w:p>
            <w:pPr>
              <w:spacing w:after="0"/>
              <w:rPr>
                <w:sz w:val="17"/>
                <w:szCs w:val="17"/>
                <w:color w:val="auto"/>
              </w:rPr>
            </w:pP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Beijing, China</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1999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Shanghai EaseNet Network Technology Co., Ltd. (“Shanghai EaseNet”)</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Shanghai,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StormNet Information Technology (Hong Kong) Limited (“StormNet IT HK”)</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Hong Kong,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StormNet Information Technology (Shanghai) Co., Ltd. (“StormNet IT SH”)</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Shanghai,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Hangzhou NetEase Leihuo Network Co., Ltd. (“HZ Leihuo”)</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Hangzhou,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Wangyibao Co., Ltd. (“Wangyibao Company”)</w:t>
            </w:r>
          </w:p>
        </w:tc>
        <w:tc>
          <w:tcPr>
            <w:tcW w:w="22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Hangzhou, China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9"/>
              </w:rPr>
              <w:t>2010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00" w:type="dxa"/>
            <w:vAlign w:val="bottom"/>
          </w:tcPr>
          <w:p>
            <w:pPr>
              <w:ind w:left="5560"/>
              <w:spacing w:after="0"/>
              <w:rPr>
                <w:sz w:val="20"/>
                <w:szCs w:val="20"/>
                <w:color w:val="auto"/>
              </w:rPr>
            </w:pPr>
            <w:r>
              <w:rPr>
                <w:rFonts w:ascii="Arial" w:cs="Arial" w:eastAsia="Arial" w:hAnsi="Arial"/>
                <w:sz w:val="18"/>
                <w:szCs w:val="18"/>
                <w:color w:val="auto"/>
              </w:rPr>
              <w:t>F-7</w:t>
            </w:r>
          </w:p>
        </w:tc>
        <w:tc>
          <w:tcPr>
            <w:tcW w:w="2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9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Guangzhou NetEase, a principal VIE of the Company, was incorporated in June 1997 in China and owned by William Lei Ding, the Company’s Chief Executive Officer, director and major shareholder, and another Chinese employee of the Company. It is responsible for providing online games, e-mail and other value-added telecommunication services.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NetEase Advertising, owned by William Lei Ding and another Chinese employee of the Company, was incorporated in November 1999 in China. NetEase Advertising operates the Company’s portal business.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HZ Leihuo was incorporated in April 2009 in China by two Chinese employees of the Company and currently operates the Company’s mobile game business.</w:t>
      </w:r>
    </w:p>
    <w:p>
      <w:pPr>
        <w:spacing w:after="0" w:line="248"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Wangyibao Company was incorporated in July 2010 in China as a wholly-owned subsidiary of Guangzhou NetEase for the purpose of operating the Wangyibao online payment platform of the Company to facilitate e-payments by online game or other services customers to the Company.</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Shanghai EaseNet is a PRC company owned by William Lei Ding, and has contractual arrangements with the joint venture established between, and owned equally by, Blizzard Entertainment, Inc. (“Blizzard”) and the Company, and with the Company. The joint venture was established concurrently with the licensing of certain online games in August 2008 and provides technical services to Shanghai EaseNet. The joint venture currently consists of two companies, StormNet IT HK and its wholly-owned subsidiary StormNet IT SH.</w:t>
      </w:r>
    </w:p>
    <w:p>
      <w:pPr>
        <w:sectPr>
          <w:pgSz w:w="11900" w:h="16838" w:orient="portrait"/>
          <w:cols w:equalWidth="0" w:num="1">
            <w:col w:w="11460"/>
          </w:cols>
          <w:pgMar w:left="240" w:top="125" w:right="199" w:bottom="88" w:gutter="0" w:footer="0" w:header="0"/>
        </w:sectPr>
      </w:pPr>
    </w:p>
    <w:bookmarkStart w:id="90" w:name="page91"/>
    <w:bookmarkEnd w:id="90"/>
    <w:p>
      <w:pPr>
        <w:ind w:right="440"/>
        <w:spacing w:after="0" w:line="277" w:lineRule="auto"/>
        <w:rPr>
          <w:sz w:val="20"/>
          <w:szCs w:val="20"/>
          <w:color w:val="auto"/>
        </w:rPr>
      </w:pPr>
      <w:r>
        <w:rPr>
          <w:rFonts w:ascii="Arial" w:cs="Arial" w:eastAsia="Arial" w:hAnsi="Arial"/>
          <w:sz w:val="18"/>
          <w:szCs w:val="18"/>
          <w:color w:val="auto"/>
        </w:rPr>
        <w:t>The following combined financial information of the Group’s VIEs was included in the accompanying consolidated financial statements of the Group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9"/>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3,449,055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6,404,523</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Total liabilities</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3,304,133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6,174,820</w:t>
            </w:r>
          </w:p>
        </w:tc>
      </w:tr>
      <w:tr>
        <w:trPr>
          <w:trHeight w:val="350"/>
        </w:trPr>
        <w:tc>
          <w:tcPr>
            <w:tcW w:w="6640" w:type="dxa"/>
            <w:vAlign w:val="bottom"/>
          </w:tcPr>
          <w:p>
            <w:pPr>
              <w:spacing w:after="0"/>
              <w:rPr>
                <w:sz w:val="24"/>
                <w:szCs w:val="24"/>
                <w:color w:val="auto"/>
              </w:rPr>
            </w:pPr>
          </w:p>
        </w:tc>
        <w:tc>
          <w:tcPr>
            <w:tcW w:w="3460" w:type="dxa"/>
            <w:vAlign w:val="bottom"/>
            <w:tcBorders>
              <w:bottom w:val="single" w:sz="8" w:color="auto"/>
            </w:tcBorders>
            <w:gridSpan w:val="5"/>
          </w:tcPr>
          <w:p>
            <w:pPr>
              <w:jc w:val="center"/>
              <w:ind w:left="1140"/>
              <w:spacing w:after="0"/>
              <w:rPr>
                <w:sz w:val="20"/>
                <w:szCs w:val="20"/>
                <w:color w:val="auto"/>
              </w:rPr>
            </w:pPr>
            <w:r>
              <w:rPr>
                <w:rFonts w:ascii="Arial" w:cs="Arial" w:eastAsia="Arial" w:hAnsi="Arial"/>
                <w:sz w:val="14"/>
                <w:szCs w:val="14"/>
                <w:b w:val="1"/>
                <w:bCs w:val="1"/>
                <w:color w:val="auto"/>
                <w:w w:val="92"/>
              </w:rPr>
              <w:t>For the year ended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9"/>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9,263,978</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11,293,218</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19,819,474</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Net (loss)/income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(29,335)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139,560</w:t>
            </w:r>
          </w:p>
        </w:tc>
        <w:tc>
          <w:tcPr>
            <w:tcW w:w="1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343,942</w:t>
            </w:r>
          </w:p>
        </w:tc>
      </w:tr>
      <w:tr>
        <w:trPr>
          <w:trHeight w:val="350"/>
        </w:trPr>
        <w:tc>
          <w:tcPr>
            <w:tcW w:w="6640" w:type="dxa"/>
            <w:vAlign w:val="bottom"/>
          </w:tcPr>
          <w:p>
            <w:pPr>
              <w:spacing w:after="0"/>
              <w:rPr>
                <w:sz w:val="24"/>
                <w:szCs w:val="24"/>
                <w:color w:val="auto"/>
              </w:rPr>
            </w:pPr>
          </w:p>
        </w:tc>
        <w:tc>
          <w:tcPr>
            <w:tcW w:w="3460" w:type="dxa"/>
            <w:vAlign w:val="bottom"/>
            <w:tcBorders>
              <w:bottom w:val="single" w:sz="8" w:color="auto"/>
            </w:tcBorders>
            <w:gridSpan w:val="5"/>
          </w:tcPr>
          <w:p>
            <w:pPr>
              <w:jc w:val="center"/>
              <w:ind w:left="1140"/>
              <w:spacing w:after="0"/>
              <w:rPr>
                <w:sz w:val="20"/>
                <w:szCs w:val="20"/>
                <w:color w:val="auto"/>
              </w:rPr>
            </w:pPr>
            <w:r>
              <w:rPr>
                <w:rFonts w:ascii="Arial" w:cs="Arial" w:eastAsia="Arial" w:hAnsi="Arial"/>
                <w:sz w:val="14"/>
                <w:szCs w:val="14"/>
                <w:b w:val="1"/>
                <w:bCs w:val="1"/>
                <w:color w:val="auto"/>
                <w:w w:val="92"/>
              </w:rPr>
              <w:t>For the year ended December 31,</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9"/>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143,403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368,209</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931,049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(220,809)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(148,982)</w:t>
            </w: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(327,330)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2,508</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(89,996)</w:t>
            </w:r>
          </w:p>
        </w:tc>
      </w:tr>
    </w:tbl>
    <w:p>
      <w:pPr>
        <w:spacing w:after="0" w:line="20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RMB199.1 million and RMB454.2 million, respectively, as of December 31, 2014 and 2015, as well as certain non-distributable statutory reserves amounting to approximately RMB13.2 million and RMB15.8 million, respectively, as of December 31, 2014 and 2015. As the respective VIEs are incorporated as limited liability companies under the PRC Company Law, creditors do not have recourse to the general credit of the Company for the liabilities of the respective VIEs.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Currently, there are certain contractual arrangements between the Company and several of its VIEs which require the Company to provide additional financial support or guarantees to its VIEs, where necessary. Please see Note 1(b)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There is no entity in the Company’s group for which the Company has a variable interest but is not the primary beneficiary as of December 31, 2015.</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hanging="472"/>
        <w:spacing w:after="0"/>
        <w:tabs>
          <w:tab w:leader="none" w:pos="4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generates revenues from providing online game services and advertising services on the NetEase websites, and from e-mail, e-commerce and other services.</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industry in which the Group operates is subject to a number of industry-specific risk factors, including, but not limited to, rapidly changing technologies; government regulations of the Internet and online game industry in China; significant numbers of new entrants; dependence on key individuals; competition of similar services from larger companies; customer preferences; and the need for the continued successful development, marketing and selling of its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VIE Arrangements with Guangzhou NetEase, NetEase Advertising, HZ Leihuo, and Shanghai EaseNet</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Group conducts its business mainly in China. The Chinese government regulates Internet access, telecommunications services, the distribution of news and other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its principal VIEs with respect to the operation of the NetEase websites, operation of self-developed and licensed online and mobile games, Internet content and wireless value-added services, as well as the provision of advertising services. Our VIEs include:</w:t>
      </w:r>
    </w:p>
    <w:p>
      <w:pPr>
        <w:spacing w:after="0" w:line="165" w:lineRule="exact"/>
        <w:rPr>
          <w:sz w:val="20"/>
          <w:szCs w:val="20"/>
          <w:color w:val="auto"/>
        </w:rPr>
      </w:pPr>
    </w:p>
    <w:p>
      <w:pPr>
        <w:ind w:left="520" w:hanging="2"/>
        <w:spacing w:after="0" w:line="277" w:lineRule="auto"/>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Guangzhou NetEase (owned by William Lei Ding or Mr. Ding, the Company’s Officer, director and principal shareholder, and a Chinese employee of the Company, (together referred as “the VIE shareholders”)*),</w:t>
      </w:r>
    </w:p>
    <w:p>
      <w:pPr>
        <w:spacing w:after="0" w:line="170" w:lineRule="exact"/>
        <w:rPr>
          <w:rFonts w:ascii="Arial" w:cs="Arial" w:eastAsia="Arial" w:hAnsi="Arial"/>
          <w:sz w:val="18"/>
          <w:szCs w:val="18"/>
          <w:color w:val="auto"/>
        </w:rPr>
      </w:pPr>
    </w:p>
    <w:p>
      <w:pPr>
        <w:ind w:left="820" w:hanging="302"/>
        <w:spacing w:after="0"/>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NetEase Advertising (owned by Mr. Ding and another Chinese employee of the Company**),</w:t>
      </w:r>
    </w:p>
    <w:p>
      <w:pPr>
        <w:spacing w:after="0" w:line="225" w:lineRule="exact"/>
        <w:rPr>
          <w:rFonts w:ascii="Arial" w:cs="Arial" w:eastAsia="Arial" w:hAnsi="Arial"/>
          <w:sz w:val="18"/>
          <w:szCs w:val="18"/>
          <w:color w:val="auto"/>
        </w:rPr>
      </w:pPr>
    </w:p>
    <w:p>
      <w:pPr>
        <w:ind w:left="820" w:hanging="302"/>
        <w:spacing w:after="0"/>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HZ Leihuo (owned by two employees of the Company), and</w:t>
      </w:r>
    </w:p>
    <w:p>
      <w:pPr>
        <w:spacing w:after="0" w:line="225" w:lineRule="exact"/>
        <w:rPr>
          <w:rFonts w:ascii="Arial" w:cs="Arial" w:eastAsia="Arial" w:hAnsi="Arial"/>
          <w:sz w:val="18"/>
          <w:szCs w:val="18"/>
          <w:color w:val="auto"/>
        </w:rPr>
      </w:pPr>
    </w:p>
    <w:p>
      <w:pPr>
        <w:ind w:left="820" w:hanging="302"/>
        <w:spacing w:after="0"/>
        <w:tabs>
          <w:tab w:leader="none" w:pos="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Shanghai EaseNet (owned by Mr. Ding).</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Based on the agreements with these VIEs, the Company’s subsidiaries NetEase Beijing, Media Beijing, Boguan and NetEase Hangzhou provided technical consulting and related services to these VIEs. In 2012, these agreements were replaced with the following new cooperative agreements to reflect a change in the tax rules in China which resulted in the Company’s business in China becoming subject to a value-added tax instead of a business tax. The principal agreements that transfer economic benefits of Guangzhou NetEase and NetEase Advertising to the Company and its subsidiaries are:</w:t>
      </w:r>
    </w:p>
    <w:p>
      <w:pPr>
        <w:spacing w:after="0" w:line="154" w:lineRule="exact"/>
        <w:rPr>
          <w:sz w:val="20"/>
          <w:szCs w:val="20"/>
          <w:color w:val="auto"/>
        </w:rPr>
      </w:pPr>
    </w:p>
    <w:p>
      <w:pPr>
        <w:ind w:left="840" w:right="180" w:hanging="326"/>
        <w:spacing w:after="0" w:line="264" w:lineRule="auto"/>
        <w:tabs>
          <w:tab w:leader="none" w:pos="790" w:val="left"/>
        </w:tabs>
        <w:numPr>
          <w:ilvl w:val="0"/>
          <w:numId w:val="10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Cooperative agreements with Guangzhou NetEase — </w:t>
      </w:r>
      <w:r>
        <w:rPr>
          <w:rFonts w:ascii="Arial" w:cs="Arial" w:eastAsia="Arial" w:hAnsi="Arial"/>
          <w:sz w:val="18"/>
          <w:szCs w:val="18"/>
          <w:color w:val="auto"/>
        </w:rPr>
        <w:t>under these agreements, the Company’s subsidiaries NetEase Beijing, Boguan and NetEase</w:t>
      </w:r>
      <w:r>
        <w:rPr>
          <w:rFonts w:ascii="Arial" w:cs="Arial" w:eastAsia="Arial" w:hAnsi="Arial"/>
          <w:sz w:val="18"/>
          <w:szCs w:val="18"/>
          <w:i w:val="1"/>
          <w:iCs w:val="1"/>
          <w:color w:val="auto"/>
        </w:rPr>
        <w:t xml:space="preserve"> </w:t>
      </w:r>
      <w:r>
        <w:rPr>
          <w:rFonts w:ascii="Arial" w:cs="Arial" w:eastAsia="Arial" w:hAnsi="Arial"/>
          <w:sz w:val="18"/>
          <w:szCs w:val="18"/>
          <w:color w:val="auto"/>
        </w:rPr>
        <w:t>Hangzhou provide various technical consulting and related services to Guangzhou NetEase in exchange for substantially all of Guangzhou NetEase’s net profits.</w:t>
      </w:r>
    </w:p>
    <w:p>
      <w:pPr>
        <w:spacing w:after="0" w:line="181" w:lineRule="exact"/>
        <w:rPr>
          <w:rFonts w:ascii="Arial" w:cs="Arial" w:eastAsia="Arial" w:hAnsi="Arial"/>
          <w:sz w:val="18"/>
          <w:szCs w:val="18"/>
          <w:b w:val="1"/>
          <w:bCs w:val="1"/>
          <w:color w:val="auto"/>
        </w:rPr>
      </w:pPr>
    </w:p>
    <w:p>
      <w:pPr>
        <w:ind w:left="840" w:right="20" w:hanging="326"/>
        <w:spacing w:after="0" w:line="342" w:lineRule="auto"/>
        <w:tabs>
          <w:tab w:leader="none" w:pos="790" w:val="left"/>
        </w:tabs>
        <w:numPr>
          <w:ilvl w:val="0"/>
          <w:numId w:val="101"/>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Cooperative agreements with NetEase Advertising </w:t>
      </w:r>
      <w:r>
        <w:rPr>
          <w:rFonts w:ascii="Arial" w:cs="Arial" w:eastAsia="Arial" w:hAnsi="Arial"/>
          <w:sz w:val="16"/>
          <w:szCs w:val="16"/>
          <w:color w:val="auto"/>
        </w:rPr>
        <w:t>— under these agreements, NetEase Beijing until October 2013, and Media Beijing from</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2013 onwards, provide various technical consulting and related services in exchange for substantially all of NetEase Advertising’s profits.</w:t>
      </w:r>
    </w:p>
    <w:p>
      <w:pPr>
        <w:sectPr>
          <w:pgSz w:w="11900" w:h="16838" w:orient="portrait"/>
          <w:cols w:equalWidth="0" w:num="1">
            <w:col w:w="11420"/>
          </w:cols>
          <w:pgMar w:left="240" w:top="125" w:right="239" w:bottom="106" w:gutter="0" w:footer="0" w:header="0"/>
        </w:sectPr>
      </w:pPr>
    </w:p>
    <w:bookmarkStart w:id="91" w:name="page92"/>
    <w:bookmarkEnd w:id="91"/>
    <w:p>
      <w:pPr>
        <w:ind w:left="840" w:right="20" w:hanging="3"/>
        <w:spacing w:after="0" w:line="277" w:lineRule="auto"/>
        <w:rPr>
          <w:sz w:val="20"/>
          <w:szCs w:val="20"/>
          <w:color w:val="auto"/>
        </w:rPr>
      </w:pPr>
      <w:r>
        <w:rPr>
          <w:rFonts w:ascii="Arial" w:cs="Arial" w:eastAsia="Arial" w:hAnsi="Arial"/>
          <w:sz w:val="18"/>
          <w:szCs w:val="18"/>
          <w:color w:val="auto"/>
        </w:rPr>
        <w:t>Each cooperative agreement will remain in effect indefinitely unless any one of the contract parties terminates such agreement by written notice or otherwise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Guangzhou NetEase are:</w:t>
      </w:r>
    </w:p>
    <w:p>
      <w:pPr>
        <w:spacing w:after="0" w:line="225" w:lineRule="exact"/>
        <w:rPr>
          <w:sz w:val="20"/>
          <w:szCs w:val="20"/>
          <w:color w:val="auto"/>
        </w:rPr>
      </w:pPr>
    </w:p>
    <w:p>
      <w:pPr>
        <w:jc w:val="both"/>
        <w:ind w:left="840" w:right="100" w:hanging="326"/>
        <w:spacing w:after="0" w:line="312" w:lineRule="auto"/>
        <w:tabs>
          <w:tab w:leader="none" w:pos="790" w:val="left"/>
        </w:tabs>
        <w:numPr>
          <w:ilvl w:val="0"/>
          <w:numId w:val="102"/>
        </w:numPr>
        <w:rPr>
          <w:rFonts w:ascii="Arial" w:cs="Arial" w:eastAsia="Arial" w:hAnsi="Arial"/>
          <w:sz w:val="16"/>
          <w:szCs w:val="16"/>
          <w:b w:val="1"/>
          <w:bCs w:val="1"/>
          <w:color w:val="auto"/>
        </w:rPr>
      </w:pPr>
      <w:r>
        <w:rPr>
          <w:rFonts w:ascii="Arial" w:cs="Arial" w:eastAsia="Arial" w:hAnsi="Arial"/>
          <w:sz w:val="16"/>
          <w:szCs w:val="16"/>
          <w:color w:val="auto"/>
        </w:rPr>
        <w:t>Shareholder Voting Rights Trust Agreement among the VIE shareholders and NetEase Beijing. Each of the VIE shareholders irrevocably appoints NetEase Beijing to represent him to exercise all the voting rights to which he is entitled as a shareholder of Guangzhou NetEase. The term of this agreement was 10 years from May 12, 2000, which was extended on June 10, 2011 with a term of 20 years from May 12, 2010.</w:t>
      </w:r>
    </w:p>
    <w:p>
      <w:pPr>
        <w:spacing w:after="0" w:line="146" w:lineRule="exact"/>
        <w:rPr>
          <w:rFonts w:ascii="Arial" w:cs="Arial" w:eastAsia="Arial" w:hAnsi="Arial"/>
          <w:sz w:val="16"/>
          <w:szCs w:val="16"/>
          <w:b w:val="1"/>
          <w:bCs w:val="1"/>
          <w:color w:val="auto"/>
        </w:rPr>
      </w:pPr>
    </w:p>
    <w:p>
      <w:pPr>
        <w:ind w:left="840" w:right="200" w:hanging="326"/>
        <w:spacing w:after="0" w:line="293" w:lineRule="auto"/>
        <w:tabs>
          <w:tab w:leader="none" w:pos="790" w:val="left"/>
        </w:tabs>
        <w:numPr>
          <w:ilvl w:val="0"/>
          <w:numId w:val="102"/>
        </w:numPr>
        <w:rPr>
          <w:rFonts w:ascii="Arial" w:cs="Arial" w:eastAsia="Arial" w:hAnsi="Arial"/>
          <w:sz w:val="16"/>
          <w:szCs w:val="16"/>
          <w:b w:val="1"/>
          <w:bCs w:val="1"/>
          <w:color w:val="auto"/>
        </w:rPr>
      </w:pPr>
      <w:r>
        <w:rPr>
          <w:rFonts w:ascii="Arial" w:cs="Arial" w:eastAsia="Arial" w:hAnsi="Arial"/>
          <w:sz w:val="16"/>
          <w:szCs w:val="16"/>
          <w:color w:val="auto"/>
        </w:rPr>
        <w:t>Letter of Agreement. Each of the VIE shareholders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William Lei Ding. The VIE shareholders have also agreed that, if any amendments to the above mentioned agreements require a vote of the shareholders of NetEase or Guangzhou NetEase, as applicable, both of them will vote in their capacity as direct or indirect shareholders of these companies to act based upon the instructions of the Company’s Board. The term of this agreement is 20 years from May 12, 2010.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40" w:right="200" w:hanging="326"/>
        <w:spacing w:after="0" w:line="312" w:lineRule="auto"/>
        <w:tabs>
          <w:tab w:leader="none" w:pos="790"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Other Governance Arrangements. The parties have agreed that upon NetEase’s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ind w:left="500" w:right="20" w:hanging="6"/>
        <w:spacing w:after="0" w:line="259" w:lineRule="auto"/>
        <w:tabs>
          <w:tab w:leader="none" w:pos="8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May 2014, NetEase Beijing caused the 10.0% interest in Guangzhou NetEase held by Bo Ding to be transferred to William Lei Ding (9.0%) and one Chinese employee of the Group (1.0%). As a result of this transfer, William Lei Ding and that employee of the Group own 99.0% and 1.0% of the equity interest in Guangzhou NetEase, respectively. Concurrently, Bo Ding transferred the 20.0% equity interest in NetEase Advertising held by him to William Lei Ding.</w:t>
      </w:r>
    </w:p>
    <w:p>
      <w:pPr>
        <w:spacing w:after="0" w:line="186" w:lineRule="exact"/>
        <w:rPr>
          <w:rFonts w:ascii="Arial" w:cs="Arial" w:eastAsia="Arial" w:hAnsi="Arial"/>
          <w:sz w:val="18"/>
          <w:szCs w:val="18"/>
          <w:color w:val="auto"/>
        </w:rPr>
      </w:pPr>
    </w:p>
    <w:p>
      <w:pPr>
        <w:ind w:left="520" w:right="440" w:hanging="2"/>
        <w:spacing w:after="0" w:line="264" w:lineRule="auto"/>
        <w:tabs>
          <w:tab w:leader="none" w:pos="83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November 2015, Guangzhou NetEase transferred its 80.0% interest in NetEase Advertising to William Lei Ding (79.0%) and one Chinese employee of the Group (1.0%). As a result of this transfer, William Lei Ding and that employee of the Group own 99.0% and 1.0% of the equity interest in NetEase Advertising,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NetEase Advertising are:</w:t>
      </w:r>
    </w:p>
    <w:p>
      <w:pPr>
        <w:spacing w:after="0" w:line="225" w:lineRule="exact"/>
        <w:rPr>
          <w:sz w:val="20"/>
          <w:szCs w:val="20"/>
          <w:color w:val="auto"/>
        </w:rPr>
      </w:pPr>
    </w:p>
    <w:p>
      <w:pPr>
        <w:ind w:left="980" w:right="140" w:hanging="486"/>
        <w:spacing w:after="0" w:line="290" w:lineRule="auto"/>
        <w:tabs>
          <w:tab w:leader="none" w:pos="94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Operating Agreement among Media Beijing, NetEase Advertising and the VIE shareholders of NetEase Advertising. To ensure the successful performance of the various agreements between the parties, NetEase Advertising and its VIE shareholders have agreed that, except for transactions in the ordinary course of business, NetEase Advertising will not enter into any transaction that would materially affect the assets, liabilities, rights or operations of NetEase Advertising without the prior written consent of Media Beijing. Media Beijing has also agreed that it will provide performance guarantees and, at Media Beijing’s discretion, guarantee loans for working capital purposes to the extent required by NetEase Advertising for its operations. Furthermore, the VIE shareholders of NetEase Advertising have agreed that, upon instruction from Media Beijing, they will appoint NetEase Advertising’s board members, president, chief financial officer and other senior executive officers. The term of this agreement is 20 years from November 30, 2015 and can be extended with the written consent of Media Beijing.</w:t>
      </w:r>
    </w:p>
    <w:p>
      <w:pPr>
        <w:spacing w:after="0" w:line="166" w:lineRule="exact"/>
        <w:rPr>
          <w:rFonts w:ascii="Arial" w:cs="Arial" w:eastAsia="Arial" w:hAnsi="Arial"/>
          <w:sz w:val="16"/>
          <w:szCs w:val="16"/>
          <w:color w:val="auto"/>
        </w:rPr>
      </w:pPr>
    </w:p>
    <w:p>
      <w:pPr>
        <w:ind w:left="980" w:right="200" w:hanging="486"/>
        <w:spacing w:after="0" w:line="257" w:lineRule="auto"/>
        <w:tabs>
          <w:tab w:leader="none" w:pos="9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Shareholder Voting Rights Trust Agreement among Media Beijing and the VIE Shareholders of NetEase Advertising. Under these agreements, each dated November 30, 2015, each of the VIE shareholders agreed to irrevocably entrust a person designated by Media Beijing to represent him to exercise all the voting rights and other shareholders’ rights to which he is entitled as a shareholder of NetEase Advertising. Each agreement shall remain effective for as long as the VIE shareholder remains a shareholder of NetEase Advertising unless Media Beijing unilaterally terminates the agreement by written notice.</w:t>
      </w:r>
    </w:p>
    <w:p>
      <w:pPr>
        <w:spacing w:after="0" w:line="188" w:lineRule="exact"/>
        <w:rPr>
          <w:rFonts w:ascii="Arial" w:cs="Arial" w:eastAsia="Arial" w:hAnsi="Arial"/>
          <w:sz w:val="18"/>
          <w:szCs w:val="18"/>
          <w:color w:val="auto"/>
        </w:rPr>
      </w:pPr>
    </w:p>
    <w:p>
      <w:pPr>
        <w:ind w:left="980" w:hanging="461"/>
        <w:spacing w:after="0" w:line="289" w:lineRule="auto"/>
        <w:tabs>
          <w:tab w:leader="none" w:pos="941"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Exclusive Purchase Option Agreements among Media Beijing, NetEase Advertising and the VIE shareholders of NetEase Advertising. Under the Exclusive Purchase Option Agreements, each dated November 30, 2015, each of the VIE shareholders has granted Media Beijing an option to purchase all or a portion of his equity interest in NetEase Advertising at a price equal to the original paid-in capital paid by the VIE shareholder. In addition, NetEase Advertising has granted Media Beijing an option under the Exclusive Purchase Option Agreements to purchase all or a portion of the assets held by NetEase Advertising or its subsidiaries at a price equal to the net book value of such assets. Each of NetEase Advertising and the VIE shareholders of NetEase Advertising agrees not to transfer, mortgage or permit any security interest to be created on any equity interest in or assets of NetEase Advertising without the prior written consent of Media Beijing. Each Exclusive Purchase Option Agreement shall remain in effect until all of the equity interests in or assets of NetEase Advertising have been acquired by Media Beijing or its designee or until Media Beijing unilaterally terminates the agreement by written notice.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HZ Leihuo are:</w:t>
      </w:r>
    </w:p>
    <w:p>
      <w:pPr>
        <w:spacing w:after="0" w:line="225" w:lineRule="exact"/>
        <w:rPr>
          <w:sz w:val="20"/>
          <w:szCs w:val="20"/>
          <w:color w:val="auto"/>
        </w:rPr>
      </w:pPr>
    </w:p>
    <w:p>
      <w:pPr>
        <w:ind w:left="980" w:right="80" w:hanging="486"/>
        <w:spacing w:after="0" w:line="271" w:lineRule="auto"/>
        <w:tabs>
          <w:tab w:leader="none" w:pos="930" w:val="left"/>
        </w:tabs>
        <w:numPr>
          <w:ilvl w:val="0"/>
          <w:numId w:val="106"/>
        </w:numPr>
        <w:rPr>
          <w:rFonts w:ascii="Arial" w:cs="Arial" w:eastAsia="Arial" w:hAnsi="Arial"/>
          <w:sz w:val="17"/>
          <w:szCs w:val="17"/>
          <w:b w:val="1"/>
          <w:bCs w:val="1"/>
          <w:color w:val="auto"/>
        </w:rPr>
      </w:pPr>
      <w:r>
        <w:rPr>
          <w:rFonts w:ascii="Arial" w:cs="Arial" w:eastAsia="Arial" w:hAnsi="Arial"/>
          <w:sz w:val="17"/>
          <w:szCs w:val="17"/>
          <w:color w:val="auto"/>
        </w:rPr>
        <w:t>Operating Agreement among NetEase Hangzhou, HZ Leihuo and the VIE shareholders of HZ Leihuo. To ensure the successful performance of the various agreements between the parties, HZ Leihuo and its VIE shareholders have agreed that, except for transactions in the ordinary course of business, HZ Leihuo will not enter into any transaction that would materially affect the assets, liabilities, rights or operations of HZ Leihuo without the prior written consent of NetEase Hangzhou. NetEase Hangzhou has also agreed that it will provide performance guarantees and, at NetEase Hangzhou’s discretion, guarantee loans for working capital purposes to the extent required by HZ Leihuo for its operations. Furthermore, the VIE shareholders of HZ Leihuo have agreed that, upon instruction from NetEase Hangzhou, they will appoint HZ Leihuo’s board members, president, chief financial officer and other senior executive officers. The term of this agreement is 20 years from December 1, 2015 and can be extended with the written consent of NetEase Hangzhou.</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02" w:gutter="0" w:footer="0" w:header="0"/>
        </w:sectPr>
      </w:pPr>
    </w:p>
    <w:bookmarkStart w:id="92" w:name="page93"/>
    <w:bookmarkEnd w:id="92"/>
    <w:p>
      <w:pPr>
        <w:ind w:left="980" w:right="80" w:hanging="486"/>
        <w:spacing w:after="0" w:line="259" w:lineRule="auto"/>
        <w:tabs>
          <w:tab w:leader="none" w:pos="93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Cooperation Agreement between NetEase Hangzhou and HZ Leihuo. Under this agreement, starting from January 1, 2010, NetEase Hangzhou agreed to provide various technical consulting and related services to HZ Leihuo in exchange for a monthly service fee paid by HZ Leihuo. The agreement will continue to be effective unless it is terminated by written notice of NetEase Hangzhou or, in case of a material breach of the agreement, it is terminated by written notice of the non-breaching party.</w:t>
      </w:r>
    </w:p>
    <w:p>
      <w:pPr>
        <w:spacing w:after="0" w:line="186" w:lineRule="exact"/>
        <w:rPr>
          <w:rFonts w:ascii="Arial" w:cs="Arial" w:eastAsia="Arial" w:hAnsi="Arial"/>
          <w:sz w:val="18"/>
          <w:szCs w:val="18"/>
          <w:b w:val="1"/>
          <w:bCs w:val="1"/>
          <w:color w:val="auto"/>
        </w:rPr>
      </w:pPr>
    </w:p>
    <w:p>
      <w:pPr>
        <w:ind w:left="980" w:right="100" w:hanging="486"/>
        <w:spacing w:after="0" w:line="257" w:lineRule="auto"/>
        <w:tabs>
          <w:tab w:leader="none" w:pos="93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Shareholder Voting Rights Trust Agreement among NetEase Hangzhou and the VIE shareholders of HZ Leihuo. Under these agreements, each dated December 1, 2015, each of the VIE shareholders of HZ Leihuo has agreed to irrevocably entrust a person designated by NetEase Hangzhou to represent him to exercise all the voting rights and other shareholders’ rights to which he is entitled as a shareholder of HZ Leihuo. Each agreement shall remain effective for as long as the VIE shareholder remains a shareholder of HZ Leihuo unless NetEase Hangzhou unilaterally terminates the agreement by written notice.</w:t>
      </w:r>
    </w:p>
    <w:p>
      <w:pPr>
        <w:spacing w:after="0" w:line="188" w:lineRule="exact"/>
        <w:rPr>
          <w:rFonts w:ascii="Arial" w:cs="Arial" w:eastAsia="Arial" w:hAnsi="Arial"/>
          <w:sz w:val="18"/>
          <w:szCs w:val="18"/>
          <w:b w:val="1"/>
          <w:bCs w:val="1"/>
          <w:color w:val="auto"/>
        </w:rPr>
      </w:pPr>
    </w:p>
    <w:p>
      <w:pPr>
        <w:ind w:left="980" w:hanging="486"/>
        <w:spacing w:after="0" w:line="290" w:lineRule="auto"/>
        <w:tabs>
          <w:tab w:leader="none" w:pos="930" w:val="left"/>
        </w:tabs>
        <w:numPr>
          <w:ilvl w:val="0"/>
          <w:numId w:val="107"/>
        </w:numPr>
        <w:rPr>
          <w:rFonts w:ascii="Arial" w:cs="Arial" w:eastAsia="Arial" w:hAnsi="Arial"/>
          <w:sz w:val="16"/>
          <w:szCs w:val="16"/>
          <w:b w:val="1"/>
          <w:bCs w:val="1"/>
          <w:color w:val="auto"/>
        </w:rPr>
      </w:pPr>
      <w:r>
        <w:rPr>
          <w:rFonts w:ascii="Arial" w:cs="Arial" w:eastAsia="Arial" w:hAnsi="Arial"/>
          <w:sz w:val="16"/>
          <w:szCs w:val="16"/>
          <w:color w:val="auto"/>
        </w:rPr>
        <w:t>Exclusive Purchase Option Agreements among NetEase Hangzhou, HZ Leihuo and the VIE shareholders of HZ Leihuo. Under the Exclusive Purchase Option Agreements, each dated December 1, 2015, each of VIE shareholders of HZ Leihuo has granted NetEase Hangzhou an option to purchase all or a portion of his equity interest in HZ Leihuo at a price equal to the original paid-in capital paid by the ultimate shareholder. In addition, HZ Leihuo has granted NetEase Hangzhou an option to purchase all or a portion of the assets held by HZ Leihuo or its subsidiaries at a price equal to the net book value of such assets. Each of HZ Leihuo and the VIE shareholders of HZ Leihuo agrees not to transfer, mortgage or permit any security interest to be created on any equity interest in or assets of HZ Leihuo without the prior written consent of NetEase Hangzhou. Each Exclusive Purchase Option Agreement shall remain in effect until all of the equity interests in or assets of HZ Leihuo have been acquired by NetEase Hangzhou or its designee or until NetEase Hangzhou unilaterally terminates the agreement by written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Joint Venture</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In addition to the foregoing, in connection with the licensing of certain online games by Blizzard to Shanghai EaseNet for operation in the PRC, there are certain contractual arrangements among Shanghai EaseNet, the joint venture established between Blizzard and the Company, and the Company.</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StormNet IT HK, StormNet IT SH and Shanghai EaseNet (collectively referred to as the “JV Group”) are variable interest entities as equity investment at risk is not sufficient to permit the JV Group to finance its activities without additional subordinated financial support provided by any parties. Due to the restriction on the disposition of their respective shares in the joint venture, Blizzard and NetEase are considered related parties for purposes of identifying which party is the primary beneficiary under ASC 810. Since the aggregate variable interests held by Blizzard and NetEase would, if held by a single party, identify that party as the primary beneficiary, either Blizzard or NetEase will be the primary beneficiary. Based on the assessment of all relevant facts and circumstances, the Company determined that NetEase is most closely associated with the JV Group and therefore is the primary beneficiary. As a result, the JV Group’s results of operations, assets and liabilities have been included in the Company’s consolidated financial statements.</w:t>
      </w:r>
    </w:p>
    <w:p>
      <w:pPr>
        <w:spacing w:after="0" w:line="16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its VIEs is remote.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the VIE arrangements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believes that its contractual arrangements with the VIEs are in compliance with PRC law and are legally enforceable. Mr. Ding, who is the major shareholder of Guangzhou NetEase, and is in turn the major shareholder of Wangyibao Company and Youdao Computer, and of Shanghai EaseNet and NetEase Advertising,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The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suffer significant delay or other obstacles in the process of enforcing these contractual arrangements and materially and adversely affect the results of operations and the financial position of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It is unclear, however, how such restructuring could impact the Company’s business and operating results, as the Chinese government has not yet found any such contractual arrangements non-compliant. If the legal structure and contractual arrangements were found to be in violation of any existing PRC laws and regulations, the PRC government could potentially:</w:t>
      </w:r>
    </w:p>
    <w:p>
      <w:pPr>
        <w:spacing w:after="0" w:line="192" w:lineRule="exact"/>
        <w:rPr>
          <w:sz w:val="20"/>
          <w:szCs w:val="20"/>
          <w:color w:val="auto"/>
        </w:rPr>
      </w:pPr>
    </w:p>
    <w:p>
      <w:pPr>
        <w:ind w:left="1120" w:hanging="217"/>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revoke the Group’s business and operating licenses;</w:t>
      </w:r>
    </w:p>
    <w:p>
      <w:pPr>
        <w:spacing w:after="0" w:line="23" w:lineRule="exact"/>
        <w:rPr>
          <w:rFonts w:ascii="Arial" w:cs="Arial" w:eastAsia="Arial" w:hAnsi="Arial"/>
          <w:sz w:val="18"/>
          <w:szCs w:val="18"/>
          <w:color w:val="auto"/>
        </w:rPr>
      </w:pPr>
    </w:p>
    <w:p>
      <w:pPr>
        <w:ind w:left="1120" w:hanging="217"/>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require the Group to discontinue or restrict operations;</w:t>
      </w:r>
    </w:p>
    <w:p>
      <w:pPr>
        <w:spacing w:after="0" w:line="9" w:lineRule="exact"/>
        <w:rPr>
          <w:rFonts w:ascii="Arial" w:cs="Arial" w:eastAsia="Arial" w:hAnsi="Arial"/>
          <w:sz w:val="18"/>
          <w:szCs w:val="18"/>
          <w:color w:val="auto"/>
        </w:rPr>
      </w:pPr>
    </w:p>
    <w:p>
      <w:pPr>
        <w:ind w:left="1120" w:hanging="217"/>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restrict the Group’s right to collect revenues;</w:t>
      </w:r>
    </w:p>
    <w:p>
      <w:pPr>
        <w:spacing w:after="0" w:line="9" w:lineRule="exact"/>
        <w:rPr>
          <w:rFonts w:ascii="Arial" w:cs="Arial" w:eastAsia="Arial" w:hAnsi="Arial"/>
          <w:sz w:val="18"/>
          <w:szCs w:val="18"/>
          <w:color w:val="auto"/>
        </w:rPr>
      </w:pPr>
    </w:p>
    <w:p>
      <w:pPr>
        <w:ind w:left="1120" w:hanging="217"/>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block the Group’s websites;</w:t>
      </w:r>
    </w:p>
    <w:p>
      <w:pPr>
        <w:spacing w:after="0" w:line="9" w:lineRule="exact"/>
        <w:rPr>
          <w:rFonts w:ascii="Arial" w:cs="Arial" w:eastAsia="Arial" w:hAnsi="Arial"/>
          <w:sz w:val="18"/>
          <w:szCs w:val="18"/>
          <w:color w:val="auto"/>
        </w:rPr>
      </w:pPr>
    </w:p>
    <w:p>
      <w:pPr>
        <w:ind w:left="1140" w:right="180" w:hanging="237"/>
        <w:spacing w:after="0" w:line="250" w:lineRule="auto"/>
        <w:tabs>
          <w:tab w:leader="none" w:pos="11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require the Group to restructure the operations in such a way as to compel the Group to establish a new enterprise, re-apply for the necessary licenses or relocate the Group’s businesses, staff and assets;</w:t>
      </w:r>
    </w:p>
    <w:p>
      <w:pPr>
        <w:ind w:left="1120" w:hanging="217"/>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impose additional conditions or requirements with which the Group may not be able to comply; or</w:t>
      </w:r>
    </w:p>
    <w:p>
      <w:pPr>
        <w:spacing w:after="0" w:line="9" w:lineRule="exact"/>
        <w:rPr>
          <w:rFonts w:ascii="Arial" w:cs="Arial" w:eastAsia="Arial" w:hAnsi="Arial"/>
          <w:sz w:val="18"/>
          <w:szCs w:val="18"/>
          <w:color w:val="auto"/>
        </w:rPr>
      </w:pPr>
    </w:p>
    <w:p>
      <w:pPr>
        <w:ind w:left="1120" w:hanging="217"/>
        <w:spacing w:after="0"/>
        <w:tabs>
          <w:tab w:leader="none" w:pos="11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take other regulatory or enforcement actions against the Group that could be harmful to the Group’s business.</w:t>
      </w:r>
    </w:p>
    <w:p>
      <w:pPr>
        <w:sectPr>
          <w:pgSz w:w="11900" w:h="16838" w:orient="portrait"/>
          <w:cols w:equalWidth="0" w:num="1">
            <w:col w:w="11420"/>
          </w:cols>
          <w:pgMar w:left="240" w:top="125" w:right="239" w:bottom="0" w:gutter="0" w:footer="0" w:header="0"/>
        </w:sectPr>
      </w:pPr>
    </w:p>
    <w:bookmarkStart w:id="93" w:name="page94"/>
    <w:bookmarkEnd w:id="93"/>
    <w:p>
      <w:pPr>
        <w:ind w:right="100"/>
        <w:spacing w:after="0" w:line="259" w:lineRule="auto"/>
        <w:rPr>
          <w:sz w:val="20"/>
          <w:szCs w:val="20"/>
          <w:color w:val="auto"/>
        </w:rPr>
      </w:pPr>
      <w:r>
        <w:rPr>
          <w:rFonts w:ascii="Arial" w:cs="Arial" w:eastAsia="Arial" w:hAnsi="Arial"/>
          <w:sz w:val="18"/>
          <w:szCs w:val="18"/>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w:t>
      </w:r>
    </w:p>
    <w:p>
      <w:pPr>
        <w:spacing w:after="0" w:line="183"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225"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and VIEs for which the Company is the primary beneficiary with the ownership interests of minority shareholders reported as noncontrolling interests. All significant transactions and balances among the Company, its subsidiaries and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p>
      <w:pPr>
        <w:spacing w:after="0" w:line="184"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The consolidated financial statements are prepared based on the historical cost convention.</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These estimates and assumptions include, but are not limited to, assessing the following: lives of the permanent in-game items, average playing period of paying players of mobile games, the determination of whether sales prices are fixed or determinable and collectability is reasonably assured, realization of deferred tax assets and the determination of uncertain tax positions, lower of cost and market value of inventories, useful lives and impairment provision of property, equipment and software and intangibles, assumptions related to stock-based compensation and assumptions related to the valuation of long-term investments.</w:t>
      </w:r>
    </w:p>
    <w:p>
      <w:pPr>
        <w:spacing w:after="0" w:line="174"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Group recognizes revenue when persuasive evidence of an arrangement exists, delivery has occurred, the sales price is fixed or determinable and collectability is reasonably assured.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revenues presented in the consolidated statements of operations and comprehensive income represent revenues from online game services, advertising services, e-mail, e-commerce and others recognized net of sales discount, sales tax and related surcharges.</w:t>
      </w:r>
    </w:p>
    <w:p>
      <w:pPr>
        <w:spacing w:after="0" w:line="170" w:lineRule="exact"/>
        <w:rPr>
          <w:sz w:val="20"/>
          <w:szCs w:val="20"/>
          <w:color w:val="auto"/>
        </w:rPr>
      </w:pPr>
    </w:p>
    <w:p>
      <w:pPr>
        <w:ind w:left="460" w:hanging="434"/>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Online game services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MMORPG games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Group sells prepaid point cards through Guangzhou NetEase and Shanghai EaseNet to the end user. Customers can purchase physical prepaid point cards in different locations in China, including Internet cafés, software stores, convenience stores and bookstores. Customers can also purchase “virtual” prepaid points from vendors who register the points in the Group’s system and “virtual” prepaid cards online via debit and credit cards or bank transfers via the Group’s Wangyibao online payment services platform, and receive the prepaid point information over the Internet. Customers can use the points to play the Group’s online games, pay for in-game items and use other fee-based services. Proceeds received from the sales of prepaid point cards and online points to players are recorded as deferred revenues. The Group earns revenue through providing online game services to players under two types of revenue models: time-based revenue model and item-based revenue model. For online games using the time-based model, players are charged based on the time they spend playing games.</w:t>
      </w:r>
    </w:p>
    <w:p>
      <w:pPr>
        <w:spacing w:after="0" w:line="19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Under the item-based model, the basic game play functions are free of charge, and players are charged for purchases of in-game items. Revenues from the sales of in-game items are recognized when the items are consumed by the customers or over the estimated lives of the in-game items. The Group considers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lives of the permanent in-game items. The Group assesses the estimated lives of the permanent in-game items for the item-based games on a quarterly basis. Adjustments arising from the changes of estimated lives of permanent in-game items are applied prospectively as such changes are resulted from new information indicating a change in the game player behavior patterns.</w:t>
      </w:r>
    </w:p>
    <w:p>
      <w:pPr>
        <w:spacing w:after="0" w:line="17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Unused online points in a personal game account are recognized as revenues when the likelihood that the Group would provide further online games services with respect to such online points is remote. The Group has determined that such likelihood is remote when the personal game account has been inactive for 540 days or more. The revenue recognized from the inactive accounts was insignificant in 2013, 2014 and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Group primarily operates mobile games including both self-developed and licensed mobile games primarily through HZ Leihuo and generates mobile game revenues from the sale of in-game virtual items, including items, avatars, skills, privileges or other in-game consumables, features or functionality, within the games.</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Group records revenue generated from mobile games on a gross basis as the Group is acting as the principal to fulfill all obligations related to the mobile game operation. Fees paid to game developers, distribution channels (app stores) and payment channels are recorded as cost of revenues.</w:t>
      </w:r>
    </w:p>
    <w:p>
      <w:pPr>
        <w:sectPr>
          <w:pgSz w:w="11900" w:h="16838" w:orient="portrait"/>
          <w:cols w:equalWidth="0" w:num="1">
            <w:col w:w="11400"/>
          </w:cols>
          <w:pgMar w:left="240" w:top="341" w:right="259" w:bottom="21" w:gutter="0" w:footer="0" w:header="0"/>
        </w:sectPr>
      </w:pPr>
    </w:p>
    <w:bookmarkStart w:id="94" w:name="page95"/>
    <w:bookmarkEnd w:id="94"/>
    <w:p>
      <w:pPr>
        <w:ind w:right="140"/>
        <w:spacing w:after="0" w:line="279" w:lineRule="auto"/>
        <w:rPr>
          <w:sz w:val="20"/>
          <w:szCs w:val="20"/>
          <w:color w:val="auto"/>
        </w:rPr>
      </w:pPr>
      <w:r>
        <w:rPr>
          <w:rFonts w:ascii="Arial" w:cs="Arial" w:eastAsia="Arial" w:hAnsi="Arial"/>
          <w:sz w:val="17"/>
          <w:szCs w:val="17"/>
          <w:color w:val="auto"/>
        </w:rPr>
        <w:t>For the purposes of determining when the service has been provided to the end-users, the Group determined that an implied obligation exists to provide on-going services to the end-users who purchased virtual items to gain an enhanced game-playing experience over an average playing period of the paying players. Accordingly, the Group recognizes the revenues ratably over the estimated average playing period of these paying players, starting from the point in time when virtual items are delivered to the players’ accounts and all other revenue recognition criteria are met.</w:t>
      </w:r>
    </w:p>
    <w:p>
      <w:pPr>
        <w:spacing w:after="0" w:line="17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Group considers the average period that players typically play the games and other game player behavior patterns, as well as various other factors to arrive at the best estimates for the estimated playing period of the paying players for each game. If a new game is launched and only a limited period of paying player data is available, then the Group considers other qualitative factors, such as the playing patterns for paying users for other games with similar characteristics and playing patterns of paying players, such as targeted players and purchasing frequency.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0" w:hanging="472"/>
        <w:spacing w:after="0"/>
        <w:tabs>
          <w:tab w:leader="none" w:pos="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Advertising services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Group derives its advertising revenues principally from short-term online advertising contracts engaged by NetEase Advertising. Advertising service contracts may consist of multiple elements with a typical term of one quarter to one year. In accordance with ASU No.2009-13 Revenue Recognition - Multiple-Deliverable Revenue Arrangements (“ASU No.2009 -13”), the Group treats advertising contracts with multiple deliverable elements as separate units of accounting for revenue recognition purposes and recognizes revenue on a periodic basis during the contract when each deliverable service is provided. Since the contract price is for all deliverables, the Group allocates the arrangement consideration to all deliverables at the inception of the arrangement on the basis of their relative selling price according to the selling price hierarchy established by ASU No.2009-13. The Group uses (a) vendor-specific objective evidence of selling price (“VSOE”), if it exists, otherwise, (b) third-party evidence of selling price. If neither (a) nor (b) exists, the Group will use (c) the management’s best estimate of the selling price for that deliverable. The Group primarily uses VSOE to allocate the arrangement consideration if such selling price is available. For the deliverables that have not been sold separately, the best estimate of the selling price has taken into consideration the pricing of advertising areas of the Group’s platform with a similar level of popularity, advertisements with similar formats and quoted prices from competitors as well as other market conditions. Revenues recognized with reference to best estimation of selling price were immaterial for all periods presented.</w:t>
      </w:r>
    </w:p>
    <w:p>
      <w:pPr>
        <w:spacing w:after="0" w:line="1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the search engine business, Youdao Information enters into “cost per action” (“CPA”) advertising contracts and receives fees when an online user performs a specific action such as purchasing a product from or registering with the advertiser. Revenue for CPA contracts is recognized when the specific action is completed. Youdao Information may also enter into advertising business contracts with advertisers that include guarantees of a minimum number of impressions or times that an advertisement appears in pages viewed by users. To the extent that minimum guaranteed impressions are not met within the contractual time period, the related revenues are deferred until the remaining guaranteed impression levels are achieved.</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Group recognizes revenue and expense at fair value from a barter transaction involving advertising services provided by the Group only if the fair value of the advertising services surrendered in the transaction is determinable based on the entity’s own historical practice of receiving cash and cash equivalents, marketable securities, or other consideration that is readily convertible to a known amount of cash for similar advertising from buyers unrelated to the counterparty in the barter transaction.</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For the years ended December 31, 2013, 2014 and 2015, the Group was engaged in certain advertising barter transactions for which the fair value was not determinable and therefore no revenues or expenses derived from these barter transactions were recognized. These transactions primarily involved exchanges of advertising services rendered by the Group for advertising, promotional benefits, content, consulting services and software provided by the counterparties.</w:t>
      </w:r>
    </w:p>
    <w:p>
      <w:pPr>
        <w:spacing w:after="0" w:line="147" w:lineRule="exact"/>
        <w:rPr>
          <w:sz w:val="20"/>
          <w:szCs w:val="20"/>
          <w:color w:val="auto"/>
        </w:rPr>
      </w:pPr>
    </w:p>
    <w:p>
      <w:pPr>
        <w:ind w:left="500" w:hanging="492"/>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E-mail, e-commerce services and others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Revenue from e-mail, e-commerce and others is predominantly derived from activities related to fee-based premium services, e-commerce and online payment platform services.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Fee-based premium services revenues, operated on a monthly subscription basis, are derived principally from providing premium e-mail and other wireless value-added services. Prepaid subscription revenues are deferred and are recognized by the Group over the period in which the services are provided.</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February 2009, the Group launched its Wangyibao payment platform, through which game players registered for Wangyibao operations can deposit money in their accounts and use the accounts to pay for game point cards and other fee-based services and products rendered by the Group. The Group recognizes revenue when services are rendered to account holders in accordance with service agreement.</w:t>
      </w:r>
    </w:p>
    <w:p>
      <w:pPr>
        <w:spacing w:after="0" w:line="18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E-commerce revenues are recognized when persuasive evidence of an arrangement exists, delivery has occurred, the sales price is fixed or determinable and collectability is reasonably assured. The Group’s e-commerce businesses mainly include cross-border e-commerce business, e-commerce services related to third-party virtual products and other e-commerce services. The Group evaluates whether it is appropriate to record the net amount earned as commissions or the gross amount of product sales. When the Group is not the primary obligor, doesn’t bear the inventory risk and doesn’t have the ability to establish the price, revenues are recorded on a net basis. When the Group is primarily obligated in a transaction, is subject to inventory risk, has latitude in establishing prices and selecting suppliers, or has several but not all of these indicators, revenues are recorded on a gross basis.</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Group established its cross-border e-commerce platform, Kaola.com (“Kaola”), in January 2015 and primarily sells imported maternity and baby products, skincare and cosmetics and other general merchandise through online direct sales. The Group recognizes the revenues from the online direct sales on a gross basis as the Group is primarily obligated in these transactions, is subject to inventory risk, has latitude in establishing prices and selecting suppliers, or has met several but not all of these indicators. The Group also provides discount coupons to its customers for use in purchases on the Kaola platform, which are treated as a reduction of revenue when the related transaction is recognized.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95" w:name="page96"/>
    <w:bookmarkEnd w:id="95"/>
    <w:p>
      <w:pPr>
        <w:ind w:right="180"/>
        <w:spacing w:after="0" w:line="257" w:lineRule="auto"/>
        <w:rPr>
          <w:sz w:val="20"/>
          <w:szCs w:val="20"/>
          <w:color w:val="auto"/>
        </w:rPr>
      </w:pPr>
      <w:r>
        <w:rPr>
          <w:rFonts w:ascii="Arial" w:cs="Arial" w:eastAsia="Arial" w:hAnsi="Arial"/>
          <w:sz w:val="18"/>
          <w:szCs w:val="18"/>
          <w:color w:val="auto"/>
        </w:rPr>
        <w:t>The Group offer e-commerce services related to third- party virtual e-commerce products, which primarily include Caipiao, an online service that facilitates the processing of end users’ purchase orders for lotteries operated by third-party vendors, and Baoxian, an online service that facilitates the sale of insurance products from third-party insurers. The Group acts as an agent and do not buy, sell, manufacture, or design such products. Revenues are recognized when services are rendered to customers based on the pre-determined service fee rate. Caipiao platform suspend accepting online purchase orders for lottery products from February 2015 pursuant to certain regulations.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Group also operates its “Duobao” platform, which provides services that allow users to purchase the virtual currency, “Duobao Bi”, and use them to exchange for products. For the services where the Group acts as an agent, products are provided by third-party suppliers and the Group does not buy, sell, manufacture, or design such products, revenues are recognized on a net basis when services are rendered. With respect to the business arrangements where the Group acts as a principle, revenues are recognized on a gross basis.</w:t>
      </w:r>
    </w:p>
    <w:p>
      <w:pPr>
        <w:spacing w:after="0" w:line="183" w:lineRule="exact"/>
        <w:rPr>
          <w:sz w:val="20"/>
          <w:szCs w:val="20"/>
          <w:color w:val="auto"/>
        </w:rPr>
      </w:pPr>
    </w:p>
    <w:p>
      <w:pPr>
        <w:ind w:left="460" w:hanging="434"/>
        <w:spacing w:after="0"/>
        <w:tabs>
          <w:tab w:leader="none" w:pos="4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Costs of online game services, advertising services and e-mail, e-commerce and others consist primarily of staff costs, royalties and consultancy fees related to licensed games, revenue sharing cost related to mobile games, cost of merchandise sold, depreciation and amortization of computers and software, server custody fees, bandwidth, and other direct costs of providing these services. These costs are charged to the consolidated statements of operations and comprehensive income as incurred.</w:t>
      </w:r>
    </w:p>
    <w:p>
      <w:pPr>
        <w:spacing w:after="0" w:line="183"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prior to the establishment of technological feasibility and costs associated with new product development. For the years ended December 31, 2013, 2014 and 2015, the costs incurred for development of online game products have not been capitalized because the period after the date technical feasibility is reached and the time when the game is marketed is short historically and the development cost incurred in the period are insignificant.</w:t>
      </w:r>
    </w:p>
    <w:p>
      <w:pPr>
        <w:spacing w:after="0" w:line="150"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time deposits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Cash and cash equivalents mainly represent cash on hand, demand deposits placed with large reputable banks in Hong Kong or China, and highly liquid investments that are readily convertible to known amounts of cash and with original maturities from the date of purchase with terms of less than three months. As of December 31, 2014, there were cash at bank and demand deposits with terms of less than three months denominated in US dollars and Euro amounting to approximately US$25.9 million and Euro2.1 million, respectively. As of December 31, 2015, there were cash at bank and demand deposits with terms of less than three months denominated in US dollars and Euro amounting to approximately US$541.5 million and Euro1.0 million, respectively (equivalent to approximately RMB3,516.1 million and RMB7.4 million, respectively).</w:t>
      </w:r>
    </w:p>
    <w:p>
      <w:pPr>
        <w:spacing w:after="0" w:line="178"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Time deposits represent time deposits placed with banks with original maturities of three months or more. As of December 31, 2014, there were time deposits denominated in US dollars and Euro amounting to approximately US$637.6 million and Euro2.0 million. As of December 31, 2015, there were time deposits denominated in US dollars amounting to approximately US$299.5 million (equivalent to approximately RMB1,944.8 million).</w:t>
      </w:r>
    </w:p>
    <w:p>
      <w:pPr>
        <w:spacing w:after="0" w:line="16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As of December 31, 2014 and 2015, the Group had approximately RMB14.7 billion and RMB14.7 billion cash and cash equivalents and time deposits held by its PRC subsidiaries and VIEs, representing 69.2% and 67.6% of total cash and cash equivalents and time deposits of the Group, respectively.</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December 31, 2014 and 2015, the Group had a restricted cash balance approximately RMB2,628.8 million and RMB3,392.6 million, respectively, comprising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Guarantee deposit for consulting fee payments due to Blizzard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Escrow account deposit for sales and marketing activities of Blizzard’s licensed games</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276.1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 of Wangyibao accounts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Pledge deposits for short-term bank borrowings — Current</w:t>
            </w:r>
          </w:p>
        </w:tc>
        <w:tc>
          <w:tcPr>
            <w:tcW w:w="1360" w:type="dxa"/>
            <w:vAlign w:val="bottom"/>
          </w:tcPr>
          <w:p>
            <w:pPr>
              <w:jc w:val="right"/>
              <w:spacing w:after="0"/>
              <w:rPr>
                <w:sz w:val="20"/>
                <w:szCs w:val="20"/>
                <w:color w:val="auto"/>
              </w:rPr>
            </w:pPr>
            <w:r>
              <w:rPr>
                <w:rFonts w:ascii="Arial" w:cs="Arial" w:eastAsia="Arial" w:hAnsi="Arial"/>
                <w:sz w:val="18"/>
                <w:szCs w:val="18"/>
                <w:color w:val="auto"/>
              </w:rPr>
              <w:t>1,703.4</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2,628.8</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Pledge deposits for short-term bank borrowings — Non-current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5520"/>
              <w:spacing w:after="0"/>
              <w:rPr>
                <w:sz w:val="20"/>
                <w:szCs w:val="20"/>
                <w:color w:val="auto"/>
              </w:rPr>
            </w:pPr>
            <w:r>
              <w:rPr>
                <w:rFonts w:ascii="Arial" w:cs="Arial" w:eastAsia="Arial" w:hAnsi="Arial"/>
                <w:sz w:val="18"/>
                <w:szCs w:val="18"/>
                <w:color w:val="auto"/>
              </w:rPr>
              <w:t>F-15</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Group had no other lien arrangements during 2014 and 2015.</w:t>
      </w:r>
    </w:p>
    <w:p>
      <w:pPr>
        <w:spacing w:after="0" w:line="221"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ectPr>
          <w:pgSz w:w="11900" w:h="16838" w:orient="portrait"/>
          <w:cols w:equalWidth="0" w:num="1">
            <w:col w:w="11460"/>
          </w:cols>
          <w:pgMar w:left="240" w:top="125" w:right="199" w:bottom="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Level 2 — Include other inputs that are directly or indirectly observable in the marketplace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which are supported by little or no market activity</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Group’s financial instruments include cash and cash equivalents and time deposits, accounts receivable, prepayments and other current assets, short-term investments, accounts payable, short-term loan, deferred revenue and accrued liabilities and other payables, which the carrying values approximate their fair value. Please see Note 27 for additional information.</w:t>
      </w:r>
    </w:p>
    <w:p>
      <w:pPr>
        <w:spacing w:after="0" w:line="177" w:lineRule="exact"/>
        <w:rPr>
          <w:sz w:val="20"/>
          <w:szCs w:val="20"/>
          <w:color w:val="auto"/>
        </w:rPr>
      </w:pPr>
    </w:p>
    <w:p>
      <w:pPr>
        <w:ind w:left="480" w:hanging="472"/>
        <w:spacing w:after="0"/>
        <w:tabs>
          <w:tab w:leader="none" w:pos="4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Inventories, mainly represent products for the Group’s cross-border e-commerce business, are stated at the lower of cost or market value in the consolidated balance sheets. Cost of inventory is determined using the weighted average cost method. Adjustments are recorded to write down the cost of inventory to the estimated market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p>
      <w:pPr>
        <w:spacing w:after="0" w:line="189"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Short-term investments include investments in financial instruments with a variable interest rate indexed to performance of underlying assets and investments that the Group has positive intent and ability to hold to maturity, all of which are with an original maturities of less than 12 months.</w:t>
      </w:r>
    </w:p>
    <w:p>
      <w:pPr>
        <w:spacing w:after="0" w:line="14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 /(expense). Fair value is estimated based on quoted prices of similar products provided by banks at the end of each period. The Group classifies the valuation techniques that use these inputs as Level 2 of fair value measurements. Please see Note 6 and Note 27 for additional information.</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investments that the Group has positive intent and ability to hold to maturity are classified as held-to-maturity investments and stated at amortized cost. For individual investment classified as held-to-maturity investments, the Group evaluates whether a decline in fair value below the amortized cost basis is other than temporary in accordance with the Group’s policy and ASC 320-10. If the Group concludes that, it does not intend or is not required to sell an impaired debt investment before the recovery of its amortized cost basis, the impairment is considered temporary and the held-to-maturity investments continue to be recognized at the amortized cost.</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Investments not classified as trading or as held-to-maturity are classified as available-for-sale securities. An available-for-sale investment is reported at fair value, with unrealized gains and losses recorded in accumulated other comprehensive income (loss). Realized gains or losses are charged to earnings during the period in which the gain or loss is realized. An impairment loss on the available-for-sale debt securities would be recognized in the consolidated statements of comprehensive income when the decline in value is determined to be other-than-temporary. Investments with maturities of greater than 12 months are recorded in other long-term assets.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investments in an investee over which the Group does not have significant influence and which do not have readily determinable fair value, the Group carries the investment at cost and only adjusts for other-than-temporary declines in fair value and distributions of earnings that exceed the Group’s share of earnings since its investment. Management regularly evaluates the impairment of the cost method investments based on performance and financial position of the investee as well as other evidence of market value. Such evaluation includes, but is not limited to, reviewing the investee’s cash position, recent financing, projected and historical financial performance, cash flow forecasts and financing needs. An impairment loss is recognized in earnings equal to the excess of the investment’s cost over its fair value at the balance sheet date of the reporting period for which the assessment is made. The fair value would then become the new cost basis of investment.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80" w:hanging="672"/>
        <w:spacing w:after="0"/>
        <w:tabs>
          <w:tab w:leader="none" w:pos="6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associated companies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Investments in associated companies in which the Group is in a position to exercise significant influence by participating in, but not controlling or jointly controlling, the financial and operating policies are accounted for using the equity method and are reported under other long-term assets in the consolidated balance sheets.</w:t>
      </w:r>
    </w:p>
    <w:p>
      <w:pPr>
        <w:spacing w:after="0" w:line="177" w:lineRule="exact"/>
        <w:rPr>
          <w:sz w:val="20"/>
          <w:szCs w:val="20"/>
          <w:color w:val="auto"/>
        </w:rPr>
      </w:pPr>
    </w:p>
    <w:p>
      <w:pPr>
        <w:ind w:left="480" w:hanging="472"/>
        <w:spacing w:after="0"/>
        <w:tabs>
          <w:tab w:leader="none" w:pos="4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Property, equipment and software are stated at cost less accumulated depreciation. Depreciation is calculated on the straight-line basis over the following estimated useful lives, taking into account any estimated residual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76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20 years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Decoration</w:t>
            </w:r>
          </w:p>
        </w:tc>
        <w:tc>
          <w:tcPr>
            <w:tcW w:w="7600" w:type="dxa"/>
            <w:vAlign w:val="bottom"/>
          </w:tcPr>
          <w:p>
            <w:pPr>
              <w:ind w:left="940"/>
              <w:spacing w:after="0"/>
              <w:rPr>
                <w:sz w:val="20"/>
                <w:szCs w:val="20"/>
                <w:color w:val="auto"/>
              </w:rPr>
            </w:pPr>
            <w:r>
              <w:rPr>
                <w:rFonts w:ascii="Arial" w:cs="Arial" w:eastAsia="Arial" w:hAnsi="Arial"/>
                <w:sz w:val="18"/>
                <w:szCs w:val="18"/>
                <w:color w:val="auto"/>
              </w:rPr>
              <w:t>5 years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6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lesser of the term of the lease and the estimated useful lives of the assets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7600" w:type="dxa"/>
            <w:vAlign w:val="bottom"/>
          </w:tcPr>
          <w:p>
            <w:pPr>
              <w:ind w:left="940"/>
              <w:spacing w:after="0"/>
              <w:rPr>
                <w:sz w:val="20"/>
                <w:szCs w:val="20"/>
                <w:color w:val="auto"/>
              </w:rPr>
            </w:pPr>
            <w:r>
              <w:rPr>
                <w:rFonts w:ascii="Arial" w:cs="Arial" w:eastAsia="Arial" w:hAnsi="Arial"/>
                <w:sz w:val="18"/>
                <w:szCs w:val="18"/>
                <w:color w:val="auto"/>
              </w:rPr>
              <w:t>5-10 years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76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5 years</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Servers and computers</w:t>
            </w:r>
          </w:p>
        </w:tc>
        <w:tc>
          <w:tcPr>
            <w:tcW w:w="7600" w:type="dxa"/>
            <w:vAlign w:val="bottom"/>
          </w:tcPr>
          <w:p>
            <w:pPr>
              <w:ind w:left="940"/>
              <w:spacing w:after="0"/>
              <w:rPr>
                <w:sz w:val="20"/>
                <w:szCs w:val="20"/>
                <w:color w:val="auto"/>
              </w:rPr>
            </w:pPr>
            <w:r>
              <w:rPr>
                <w:rFonts w:ascii="Arial" w:cs="Arial" w:eastAsia="Arial" w:hAnsi="Arial"/>
                <w:sz w:val="18"/>
                <w:szCs w:val="18"/>
                <w:color w:val="auto"/>
              </w:rPr>
              <w:t>3 years</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76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 years</w:t>
            </w: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Repairs and maintenance expenditures, which are not considered improvements and do not extend the useful life of the property and equipment, are expensed as incurred. When the Group retires or disposes its property, equipment and software, it records any gain or loss arising from the retirement or disposal under Other, net in its consolidated statements of operations and comprehensive income.</w:t>
      </w:r>
    </w:p>
    <w:p>
      <w:pPr>
        <w:spacing w:after="0" w:line="177"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ectPr>
          <w:pgSz w:w="11900" w:h="16838" w:orient="portrait"/>
          <w:cols w:equalWidth="0" w:num="1">
            <w:col w:w="11420"/>
          </w:cols>
          <w:pgMar w:left="240" w:top="125" w:right="239" w:bottom="0" w:gutter="0" w:footer="0" w:header="0"/>
        </w:sectPr>
      </w:pPr>
    </w:p>
    <w:bookmarkStart w:id="97" w:name="page98"/>
    <w:bookmarkEnd w:id="97"/>
    <w:p>
      <w:pPr>
        <w:ind w:right="60"/>
        <w:spacing w:after="0" w:line="277" w:lineRule="auto"/>
        <w:rPr>
          <w:sz w:val="20"/>
          <w:szCs w:val="20"/>
          <w:color w:val="auto"/>
        </w:rPr>
      </w:pPr>
      <w:r>
        <w:rPr>
          <w:rFonts w:ascii="Arial" w:cs="Arial" w:eastAsia="Arial" w:hAnsi="Arial"/>
          <w:sz w:val="18"/>
          <w:szCs w:val="18"/>
          <w:color w:val="auto"/>
        </w:rPr>
        <w:t>Finite-lived intangible assets are tested for impairment if impairment indicators arise. The Group amortizes its finite-lived intangible assets using the straight-line method: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w:t>
            </w:r>
          </w:p>
        </w:tc>
        <w:tc>
          <w:tcPr>
            <w:tcW w:w="85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over the remaining term of the land use right period</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License right</w:t>
            </w:r>
          </w:p>
        </w:tc>
        <w:tc>
          <w:tcPr>
            <w:tcW w:w="8500" w:type="dxa"/>
            <w:vAlign w:val="bottom"/>
          </w:tcPr>
          <w:p>
            <w:pPr>
              <w:ind w:left="1860"/>
              <w:spacing w:after="0"/>
              <w:rPr>
                <w:sz w:val="20"/>
                <w:szCs w:val="20"/>
                <w:color w:val="auto"/>
              </w:rPr>
            </w:pPr>
            <w:r>
              <w:rPr>
                <w:rFonts w:ascii="Arial" w:cs="Arial" w:eastAsia="Arial" w:hAnsi="Arial"/>
                <w:sz w:val="18"/>
                <w:szCs w:val="18"/>
                <w:color w:val="auto"/>
              </w:rPr>
              <w:t>over the license period</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850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10 years</w:t>
            </w:r>
          </w:p>
        </w:tc>
      </w:tr>
    </w:tbl>
    <w:p>
      <w:pPr>
        <w:spacing w:after="0" w:line="198"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Advertising expenses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Group expenses advertising costs as incurred and reports these costs under selling and marketing expense. Advertising expenses totaled approximately RMB370.9 million, RMB466.6 million and RMB697.9 million for the years ended December 31, 2013, 2014 and 2015, respectively.</w:t>
      </w:r>
    </w:p>
    <w:p>
      <w:pPr>
        <w:spacing w:after="0" w:line="143" w:lineRule="exact"/>
        <w:rPr>
          <w:sz w:val="20"/>
          <w:szCs w:val="20"/>
          <w:color w:val="auto"/>
        </w:rPr>
      </w:pPr>
    </w:p>
    <w:p>
      <w:pPr>
        <w:ind w:left="480" w:hanging="472"/>
        <w:spacing w:after="0"/>
        <w:tabs>
          <w:tab w:leader="none" w:pos="4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functional currency of the entities within the Group is RMB, which is also the Company’s reporting currency. Transactions denominated in currencies other than RMB are translated into RMB at the exchange rates quoted by the People’s Bank of China (the “PBOC”) prevailing at the dates of the transactions. Monetary assets and liabilities denominated in foreign currencies are translated into RMB using the applicable exchange rates quoted by the PBOC at the balance sheet dates. The resulting exchange differences are included in the consolidated statements of operations and comprehensive income.</w:t>
      </w:r>
    </w:p>
    <w:p>
      <w:pPr>
        <w:spacing w:after="0" w:line="154"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color w:val="auto"/>
        </w:rPr>
        <w:t>Translations of amounts from RMB into United States dollars for the convenience of the reader were calculated at the noon buying rate of US$1.00 = RMB6.4778 on the last trading day of 2015 (December 31, 2015) as set forth in the H.10 statistical release of the U.S. Federal Reserve Board. No representation is made that the RMB amounts could have been, or could be, converted into United States dollars at such rate.</w:t>
      </w:r>
    </w:p>
    <w:p>
      <w:pPr>
        <w:spacing w:after="0" w:line="143"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measures the cost of employee services received in exchange for stock options at the grant date fair value of the award under its 2000 Stock Incentive Plan (see Note 20(a)). The Company recognizes the share-based compensation costs, net of a forfeiture rate, on a straight-line basis of 25% a year over a vesting term of four years. The Company adopts the Black-Scholes option pricing model to determine the fair value of stock options and account for share-based compensation cost using an estimated forfeiture rate at the time of grant and revised, if necessary, in subsequent periods if actual forfeitures differ from those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its 2009 Restricted Share Unit Plan (see Note 20(b)),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records share-based compensation to the consolidated statements of operations and comprehensive income with the corresponding credit to the additional paid-in-capital for share options and RSUs to the extent that such awards are to be settled only in stock. On the other hand, for RSUs which will either be settled in stock or cash as discussed above, the Company continues to mark to market such awards and, in accordance with the vesting schedules of such awards, record the resulting potential liabilities under other long-term payables and accrued liabilities which totaled RMB84.8 million and RMB155.6 million, respectively, as of December 31, 2015. There were no significant cash payments for share-based liabilities for the years ended December 31, 2013, 2014 and 2015.</w:t>
      </w:r>
    </w:p>
    <w:p>
      <w:pPr>
        <w:spacing w:after="0" w:line="19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Lede Inc. and certain other subsidiaries of the Company granted options exercisable for ordinary shares to certain of the Group’s employees. The options expire five or six years from the date of grant and either vest or have a vesting commencement date upon certain conditions being met (“Vesting Commencement Date”). The Group adopts the binomial option pricing model to determine the fair value of stock options and accounts for share-based compensation cost using an estimated forfeiture rate.</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Forfeitures were estimated based on the Group’s weighted average historical forfeiture rate of the past five years. Differences between actual and estimated forfeitures are expensed in the period that the differences occur. See Note 20 for further information regarding share-based compensation assumptions and expense.</w:t>
      </w:r>
    </w:p>
    <w:p>
      <w:pPr>
        <w:spacing w:after="0" w:line="177" w:lineRule="exact"/>
        <w:rPr>
          <w:sz w:val="20"/>
          <w:szCs w:val="20"/>
          <w:color w:val="auto"/>
        </w:rPr>
      </w:pPr>
    </w:p>
    <w:p>
      <w:pPr>
        <w:ind w:left="480" w:hanging="472"/>
        <w:spacing w:after="0"/>
        <w:tabs>
          <w:tab w:leader="none" w:pos="4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 deferred income tax asset or liability is computed for the expected future impact of differences between the financial reporting and tax bases of assets and liabilities as well as the expected future tax benefit to be derived from tax loss and tax credit carry forwards. The Group classifies deferred tax assets and liabilities into current and non-current based on the classification of the related asset or liability for financial reporting. A deferred tax liability or asset that is not related to an asset or liability for financial reporting, including deferred tax assets related to tax loss carry forwards, is classified according to the expected reversal date of the temporary difference.</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Valuation allowances are established, when necessary, to reduce deferred tax assets to the amount “more likely than not” to be realized in future tax returns. The valuation allowance for a particular tax jurisdiction is allocated between current and non-current deferred tax assets for that tax jurisdiction on a pro rata basis.</w:t>
      </w:r>
    </w:p>
    <w:p>
      <w:pPr>
        <w:sectPr>
          <w:pgSz w:w="11900" w:h="16838" w:orient="portrait"/>
          <w:cols w:equalWidth="0" w:num="1">
            <w:col w:w="11420"/>
          </w:cols>
          <w:pgMar w:left="240" w:top="341" w:right="239" w:bottom="0" w:gutter="0" w:footer="0" w:header="0"/>
        </w:sectPr>
      </w:pPr>
    </w:p>
    <w:bookmarkStart w:id="98" w:name="page99"/>
    <w:bookmarkEnd w:id="98"/>
    <w:p>
      <w:pPr>
        <w:jc w:val="both"/>
        <w:ind w:right="140"/>
        <w:spacing w:after="0" w:line="312" w:lineRule="auto"/>
        <w:rPr>
          <w:sz w:val="20"/>
          <w:szCs w:val="20"/>
          <w:color w:val="auto"/>
        </w:rPr>
      </w:pPr>
      <w:r>
        <w:rPr>
          <w:rFonts w:ascii="Arial" w:cs="Arial" w:eastAsia="Arial" w:hAnsi="Arial"/>
          <w:sz w:val="16"/>
          <w:szCs w:val="16"/>
          <w:color w:val="auto"/>
        </w:rPr>
        <w:t>For a particular tax-paying component of an enterprise and within a particular tax jurisdiction, (a) all current deferred tax assets and liabilities are offset and presented as a single amount and (b) all non-current deferred tax assets and liabilities are offset and presented as a single amount. The Group does not offset deferred tax assets and liabilities attributable to different tax-paying components of the enterprise or to different tax jurisdictions.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2013, 2014 and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have any significant unrecognized uncertain tax positions as of December 31, 2014 and 2015.</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hanging="472"/>
        <w:spacing w:after="0"/>
        <w:tabs>
          <w:tab w:leader="none" w:pos="4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Net earnings per share (“EPS”) and per American Depositary Share (“ADS”)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Basic earnings per share are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spacing w:after="0" w:line="183"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subsidiaries and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Company’s VIEs, in accordance with the China Company Laws, must make appropriations from their after-tax profit as reported in their PRC statutory accounts to non-distributable statutory reserves including (i) statutory 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and enterprise expansion fund can be used to offset accumulated losses or to increase capital.</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staff bonus and welfare fund is a liability in nature. The other statutory reserves are not transferable to the Company in the form of cash dividends, loans or advances, and therefore are not available for distribution except in liquidation.</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the Group’s appropriations to general reserve funds and statutory surplus funds for the years ended December 31, 2013, 2014 and 2015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3560" w:type="dxa"/>
            <w:vAlign w:val="bottom"/>
            <w:tcBorders>
              <w:bottom w:val="single" w:sz="8" w:color="auto"/>
            </w:tcBorders>
            <w:gridSpan w:val="5"/>
          </w:tcPr>
          <w:p>
            <w:pPr>
              <w:jc w:val="center"/>
              <w:ind w:left="1004"/>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136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182"/>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Appropriations to general reserve funds and statutory surplus funds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244,358</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58,816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73,635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NetEase Beijing and Boguan did not make appropriations to statutory reserves for the years ended December 31, 2013, 2014 and 2015, and Netease Hangzhou did not make appropriations to statutory reserves for the years ended December 31, 2014 and 2015, as their cumulative appropriations in the past have already reached the statutory limit, namely 50% of the registered capital of the respective companies.</w:t>
      </w:r>
    </w:p>
    <w:p>
      <w:pPr>
        <w:spacing w:after="0" w:line="177"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and Mezzanine classified noncontrolling interests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Noncontrolling interests are recognized to reflect the portion of the equity of majority-owned subsidiaries and VIEs which is not attributable, directly or indirectly, to the controlling shareholder.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noncontrolling interest will continue to be attributed its share of losses even if that attribution results in a deficit noncontrolling interest balance.</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Mezzanine classified noncontrolling interests represent Series A convertible redeemable preferred shares (“preferred shares”) issued by Lede Inc. to certain investors (see Note 17), and have been classified as mezzanine classified noncontrolling interests in the consolidated financial statements as these preferred shares are contingently redeemable upon the occurrence of a conditional event, which is not solely within the control of the Company. All the preferred shares have been repurchased by Lede Inc. by the end of 2015.</w:t>
      </w:r>
    </w:p>
    <w:p>
      <w:pPr>
        <w:spacing w:after="0" w:line="183" w:lineRule="exact"/>
        <w:rPr>
          <w:sz w:val="20"/>
          <w:szCs w:val="20"/>
          <w:color w:val="auto"/>
        </w:rPr>
      </w:pPr>
    </w:p>
    <w:p>
      <w:pPr>
        <w:ind w:left="480" w:hanging="472"/>
        <w:spacing w:after="0"/>
        <w:tabs>
          <w:tab w:leader="none" w:pos="4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ectPr>
          <w:pgSz w:w="11900" w:h="16838" w:orient="portrait"/>
          <w:cols w:equalWidth="0" w:num="1">
            <w:col w:w="11400"/>
          </w:cols>
          <w:pgMar w:left="240" w:top="125" w:right="259" w:bottom="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hanging="472"/>
        <w:spacing w:after="0"/>
        <w:tabs>
          <w:tab w:leader="none" w:pos="4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Comprehensive income is defined as the change in equity of the Group during a period arising from transactions and other events and circumstances excluding transactions resulting from investments by shareholders and distributions to shareholders.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Comprehensive income for the periods presented includes net income and change in unrealized gains (losses) on marketable securities classified as available-for-sale securities (net of tax).</w:t>
      </w:r>
    </w:p>
    <w:p>
      <w:pPr>
        <w:spacing w:after="0" w:line="166"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Group’s internal organizational structure as well as information about geographical areas, business segments and major customers in financial statements is set out in detail under Note 26.</w:t>
      </w:r>
    </w:p>
    <w:p>
      <w:pPr>
        <w:spacing w:after="0" w:line="166" w:lineRule="exact"/>
        <w:rPr>
          <w:sz w:val="20"/>
          <w:szCs w:val="20"/>
          <w:color w:val="auto"/>
        </w:rPr>
      </w:pPr>
    </w:p>
    <w:p>
      <w:pPr>
        <w:ind w:left="480" w:hanging="472"/>
        <w:spacing w:after="0"/>
        <w:tabs>
          <w:tab w:leader="none" w:pos="4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 of the Company are recognized when declared.</w:t>
      </w:r>
    </w:p>
    <w:p>
      <w:pPr>
        <w:spacing w:after="0" w:line="221"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May 2014, the FASB issued ASU No. 2014-09, ‘‘Revenue from Contracts with Customers (Topic 606).’’ This guidance supersedes current guidance on revenue recognition in Topic 605, ‘‘Revenue Recognition.’’ In addition, there are disclosure requirements related to the nature, amount, timing, and uncertainty of revenue recognition. In August 2015, the FASB issued ASU No.2015-14 to defer the effective date of ASU No. 2014-09 for all entities by one year. For public entities that follow U.S. GAAP, the deferral results in the new revenue standard are being effective for fiscal years, and interim periods within those fiscal years, beginning after December 15, 2017. The FASB decided to allow earlier adoption of the new revenue standard. However, entities reporting under U.S. GAAP are not permitted to adopt the standard earlier than the original effective date for public entities (that is, no earlier than 2017 for calendar year-end entities). The Group is currently evaluating the impact of this guidance.</w:t>
      </w:r>
    </w:p>
    <w:p>
      <w:pPr>
        <w:spacing w:after="0" w:line="17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February 2015, the FASB issued Consolidation (Topic 810) —Amendments to the Consolidation Analysis. The amendments in Topic 810 respond to stakeholders’ concerns about the current accounting for consolidation of variable interest entities, by changing aspects of the analysis that a reporting entity must perform to determine whether it should consolidate such entities. Under the amendments, all reporting entities are within the scope of Subtopic 810-10, Consolidation—Overall, including limited partnerships and similar legal entities, unless a scope exception applies. The amendments are intended to be an improvement to current U.S. GAAP, as they simplify the codification of FASB Statement No. 167, Amendments to FASB Interpretation No. 46(R), with changes including reducing the number of consolidation models through the elimination of the indefinite deferral of Statement 167 and placing more emphasis on risk of loss when determining a controlling financial interest. The amendments are effective for publicly-traded companies for fiscal years beginning after December 15, 2015, and for interim periods within those fiscal years. Earlier adoption is permitted. The implementation of this update is not expected to have any material impact on the Group’s consolidated financial statements.</w:t>
      </w:r>
    </w:p>
    <w:p>
      <w:pPr>
        <w:spacing w:after="0" w:line="18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July 2015, the FASB issued ASU 2015-11 “Simplifying the Measurement of Inventory” to reduce the complexity and cost of the subsequent measurement of inventory, in particular when using the first-in, first-out (FIFO) or average cost methods. The provisions of ASU 2015-11 specifically exclude inventory that is measured using the last-in, first-out (LIFO) or the retail inventory method. Entities should measure inventory within the scope of ASU 2015-11 at the lower of cost and net realizable value. ASU 2015-11 is effective for fiscal years and interim periods beginning after December 15, 2016. Early adoption is permitted. The Group is currently assessing the impact of ASU 2015-10 on its consolidated financial statements.</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which simplifies the presentation of deferred income taxes by requiring deferred tax assets and liabilities be classified as noncurrent on the balance sheet. The amendments in this update are effective for financial statements issued for annual periods beginning after December 15, 2016, and interim periods within those annual periods. All short-term deferred tax assets and liabilities will be reclassified to long-term assets and liabilities upon adoption of this update.</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2016, the FASB issued Accounting Standards Update No. 2016-01 (ASU 2016-01) “Financial Instruments-Overall (Subtopic 825-10): Recognition and Measurement of Financial Assets and Financial Liabilities.” ASU 2016-01 amends various aspects of the recognition, measurement, presentation, and disclosure for financial instruments. With respect to our consolidated financial statements, the most significant impact relates to the accounting for equity investments. It will impact the disclosure and presentation of financial assets and liabilities. ASU 2016-01 is effective for annual reporting periods, and interim periods within those years beginning after December 15, 2017. Early adoption by public entities is permitted only for certain provisions. The Group is currently in the process of evaluating the impact of the adoption of this standard on its consolidated financial statements.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February 2016, the FASB issued ASU 2016-02 “Leases” to increase transparency and comparability among organizations by recognizing lease assets and lease liabilities on the balance sheet and disclosing key information about leasing arrangements. ASU 2016-02 creates a new Accounting Standards Codification Topic 842 “Leases” to replace the previous Topic 840 “Leases.” ASU 2016-02 affects both lessees and lessors, although for the latter the provisions are similar to the previous model, but updated to align with certain changes to the lessee model and also the new revenue recognition provisions contained in ASU 2014-09 (see above). ASU 2016-02 is effective for fiscal years and interim periods beginning after December 15, 2018. Early adoption is permitted. The Group is currently assessing the impact of ASU 2016-02 on its consolidated financial statements.</w:t>
      </w:r>
    </w:p>
    <w:p>
      <w:pPr>
        <w:spacing w:after="0" w:line="174"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Beginning from January 1, 2015, the Group made a reclassification of certain revenue and cost of revenue items from the advertising services segment to the e-mail, e-commerce and others segment. The reclassification of these segments reflects changes in the way the Group evaluates its business performance and manages its operations. Accordingly, reclassifications have been made in the consolidated statements of operations and segment information for the fiscal</w:t>
      </w:r>
    </w:p>
    <w:p>
      <w:pPr>
        <w:sectPr>
          <w:pgSz w:w="11900" w:h="16838" w:orient="portrait"/>
          <w:cols w:equalWidth="0" w:num="1">
            <w:col w:w="11400"/>
          </w:cols>
          <w:pgMar w:left="240" w:top="125" w:right="259" w:bottom="0" w:gutter="0" w:footer="0" w:header="0"/>
        </w:sectPr>
      </w:pPr>
    </w:p>
    <w:bookmarkStart w:id="100" w:name="page101"/>
    <w:bookmarkEnd w:id="100"/>
    <w:p>
      <w:pPr>
        <w:spacing w:after="0" w:line="6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year ended December 31, 2014 as set out below in order to conform to the presentation for the year ended December 31, 2015. There are no changes from the reclassification to the Group’s consolidated balance sheets, consolidated statements of shareholders’ equity and consolidated statements of cash flows.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Before</w:t>
            </w: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Reclassification</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16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For the year ended December 31, 2014</w:t>
            </w:r>
          </w:p>
        </w:tc>
        <w:tc>
          <w:tcPr>
            <w:tcW w:w="36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Net revenues: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Advertising services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1,397,069</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(52,240)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E-mail, e-commerce and others</w:t>
            </w:r>
          </w:p>
        </w:tc>
        <w:tc>
          <w:tcPr>
            <w:tcW w:w="1380" w:type="dxa"/>
            <w:vAlign w:val="bottom"/>
          </w:tcPr>
          <w:p>
            <w:pPr>
              <w:jc w:val="right"/>
              <w:spacing w:after="0"/>
              <w:rPr>
                <w:sz w:val="20"/>
                <w:szCs w:val="20"/>
                <w:color w:val="auto"/>
              </w:rPr>
            </w:pPr>
            <w:r>
              <w:rPr>
                <w:rFonts w:ascii="Arial" w:cs="Arial" w:eastAsia="Arial" w:hAnsi="Arial"/>
                <w:sz w:val="18"/>
                <w:szCs w:val="18"/>
                <w:color w:val="auto"/>
              </w:rPr>
              <w:t>1,049,607</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52,240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1,101,847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Advertising services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(528,665)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9,974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(518,691)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E-mail, e-commerce and others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(621,178)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(631,152)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1,296,833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1,296,833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2"/>
              </w:rPr>
              <w:t>3.</w:t>
            </w:r>
          </w:p>
        </w:tc>
        <w:tc>
          <w:tcPr>
            <w:tcW w:w="648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Concentrations and Risks</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gridSpan w:val="2"/>
            <w:vMerge w:val="continue"/>
          </w:tcPr>
          <w:p>
            <w:pPr>
              <w:spacing w:after="0"/>
              <w:rPr>
                <w:sz w:val="24"/>
                <w:szCs w:val="24"/>
                <w:color w:val="auto"/>
              </w:rPr>
            </w:pPr>
          </w:p>
        </w:tc>
        <w:tc>
          <w:tcPr>
            <w:tcW w:w="648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80" w:hanging="472"/>
        <w:spacing w:after="0"/>
        <w:tabs>
          <w:tab w:leader="none" w:pos="4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Bandwidth and server custody service provider</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Group relied on telecommunications service providers and their affiliates for bandwidth and server custody service to support its operations during fiscal years 2013, 2014 and 2015 as follows:</w:t>
      </w:r>
    </w:p>
    <w:p>
      <w:pPr>
        <w:spacing w:after="0" w:line="162"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820" w:type="dxa"/>
            <w:vAlign w:val="bottom"/>
          </w:tcPr>
          <w:p>
            <w:pPr>
              <w:spacing w:after="0"/>
              <w:rPr>
                <w:sz w:val="12"/>
                <w:szCs w:val="12"/>
                <w:color w:val="auto"/>
              </w:rPr>
            </w:pPr>
          </w:p>
        </w:tc>
        <w:tc>
          <w:tcPr>
            <w:tcW w:w="9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2013</w:t>
            </w:r>
          </w:p>
        </w:tc>
        <w:tc>
          <w:tcPr>
            <w:tcW w:w="164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number of telecommunications service providers</w:t>
            </w: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r>
      <w:tr>
        <w:trPr>
          <w:trHeight w:val="202"/>
        </w:trPr>
        <w:tc>
          <w:tcPr>
            <w:tcW w:w="6760" w:type="dxa"/>
            <w:vAlign w:val="bottom"/>
            <w:gridSpan w:val="2"/>
          </w:tcPr>
          <w:p>
            <w:pPr>
              <w:spacing w:after="0" w:line="201" w:lineRule="exact"/>
              <w:rPr>
                <w:sz w:val="20"/>
                <w:szCs w:val="20"/>
                <w:color w:val="auto"/>
              </w:rPr>
            </w:pPr>
            <w:r>
              <w:rPr>
                <w:rFonts w:ascii="Arial" w:cs="Arial" w:eastAsia="Arial" w:hAnsi="Arial"/>
                <w:sz w:val="18"/>
                <w:szCs w:val="18"/>
                <w:color w:val="auto"/>
              </w:rPr>
              <w:t>Number of service providers provided by 10% or more of the Group’s</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bandwidth and server custody expenditure</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94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02"/>
        </w:trPr>
        <w:tc>
          <w:tcPr>
            <w:tcW w:w="6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 of the Group’s bandwidth and server custody expenditure provided</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by 10% or greater service providers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91.9%</w:t>
            </w:r>
          </w:p>
        </w:tc>
        <w:tc>
          <w:tcPr>
            <w:tcW w:w="9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r>
    </w:tbl>
    <w:p>
      <w:pPr>
        <w:spacing w:after="0" w:line="198" w:lineRule="exact"/>
        <w:rPr>
          <w:sz w:val="20"/>
          <w:szCs w:val="20"/>
          <w:color w:val="auto"/>
        </w:rPr>
      </w:pPr>
    </w:p>
    <w:p>
      <w:pPr>
        <w:ind w:left="480" w:hanging="472"/>
        <w:spacing w:after="0"/>
        <w:tabs>
          <w:tab w:leader="none" w:pos="4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Financial instruments that potentially subject the Group to significant concentrations of credit risk consist primarily of cash and cash equivalents, time deposits, restricted cash, accounts receivable and short-term investments. As of December 31, 2014 and 2015, substantially all of the Group’s cash equivalents, time deposits and restricted cash were held in major financial institutions located in the PRC or Hong Kong, which management consider being of high credit quality. Accounts receivable are typically unsecured and are generally derived from revenue earned from mobile games services (mainly related to remittances from distribution channels) and advertising services. No single distribution channel or advertising customer had a receivable balance exceeding 10% of the total accounts receivable balance for the year ended December 31, 2014 and one distribution channel had a receivable balance exceeding 10% of the total accounts receivable balance for the year ended December 31, 2015,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5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Distribution channel A</w:t>
            </w:r>
          </w:p>
        </w:tc>
        <w:tc>
          <w:tcPr>
            <w:tcW w:w="13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Below 10%</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60" w:type="dxa"/>
            <w:vAlign w:val="bottom"/>
            <w:gridSpan w:val="2"/>
          </w:tcPr>
          <w:p>
            <w:pPr>
              <w:ind w:left="320"/>
              <w:spacing w:after="0"/>
              <w:rPr>
                <w:sz w:val="20"/>
                <w:szCs w:val="20"/>
                <w:color w:val="auto"/>
              </w:rPr>
            </w:pPr>
            <w:r>
              <w:rPr>
                <w:rFonts w:ascii="Arial" w:cs="Arial" w:eastAsia="Arial" w:hAnsi="Arial"/>
                <w:sz w:val="18"/>
                <w:szCs w:val="18"/>
                <w:color w:val="auto"/>
              </w:rPr>
              <w:t>Not applicable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Not applicable</w:t>
            </w:r>
          </w:p>
        </w:tc>
      </w:tr>
    </w:tbl>
    <w:p>
      <w:pPr>
        <w:spacing w:after="0" w:line="18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Short-term investments consist of the held-to-maturity investment of fixed-rate corporate bonds of well-known Chinese companies and other short-term investments of financial products issued by commercial banks in China with a variable interest rate indexed to performance of underlying assets, both have a maturity date within one year as of the purchase date. The held-to-maturity investments have a credit rating of Aa or Aaa by Moody’s Investors Service, or</w:t>
      </w:r>
    </w:p>
    <w:p>
      <w:pPr>
        <w:ind w:right="60" w:firstLine="8"/>
        <w:spacing w:after="0" w:line="254" w:lineRule="auto"/>
        <w:tabs>
          <w:tab w:leader="none" w:pos="3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or AAA by Standard &amp; Poor’s Corp., or an equivalent rating by another reputable PRC licensed rating service agency. The effective yields of the held-to-maturity investments and other short-term investments range from 2.60% to 5.30% per annum.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p>
      <w:pPr>
        <w:spacing w:after="0" w:line="186" w:lineRule="exact"/>
        <w:rPr>
          <w:sz w:val="20"/>
          <w:szCs w:val="20"/>
          <w:color w:val="auto"/>
        </w:rPr>
      </w:pPr>
    </w:p>
    <w:p>
      <w:pPr>
        <w:ind w:left="480" w:hanging="472"/>
        <w:spacing w:after="0"/>
        <w:tabs>
          <w:tab w:leader="none" w:pos="4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10% or more of the Group’s total revenues for the years ended December 31, 2013, 2014 and 2015.</w:t>
      </w:r>
    </w:p>
    <w:p>
      <w:pPr>
        <w:spacing w:after="0" w:line="221" w:lineRule="exact"/>
        <w:rPr>
          <w:sz w:val="20"/>
          <w:szCs w:val="20"/>
          <w:color w:val="auto"/>
        </w:rPr>
      </w:pPr>
    </w:p>
    <w:p>
      <w:pPr>
        <w:ind w:left="480" w:hanging="472"/>
        <w:spacing w:after="0"/>
        <w:tabs>
          <w:tab w:leader="none" w:pos="4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Online Games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The Group derived a combined total of 90.9%, 91.4% and 91.1% of its total net game revenues for the years ended December 31, 2013, 2014 and 2015, respectively, from several of the Group’s self-developed massively multi-player online role-playing games, including Fantasy Westward Journey II (a comprehensive upgrade from Fantasy Westward Journey), New Westward Journey Online II (a comprehensive upgrade from Westward Journey Online II), new Ghost (a new version of Ghost II), Revelation, Tianxia III and Heroes of Tang Dynasty Zero (a comprehensive upgrade from Heroes of Tang Dynasty II), and mobile games including the Fantasy Westward Journey mobile game, the Westward Journey Online mobile game and Battle to the West, as well as World of Warcraft</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Hearthstone</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Heroes of Warcraft™ and Diablo III</w:t>
      </w:r>
      <w:r>
        <w:rPr>
          <w:rFonts w:ascii="Arial" w:cs="Arial" w:eastAsia="Arial" w:hAnsi="Arial"/>
          <w:sz w:val="22"/>
          <w:szCs w:val="22"/>
          <w:i w:val="1"/>
          <w:iCs w:val="1"/>
          <w:color w:val="auto"/>
          <w:vertAlign w:val="superscript"/>
        </w:rPr>
        <w:t>®</w:t>
      </w:r>
      <w:r>
        <w:rPr>
          <w:rFonts w:ascii="Arial" w:cs="Arial" w:eastAsia="Arial" w:hAnsi="Arial"/>
          <w:sz w:val="17"/>
          <w:szCs w:val="17"/>
          <w:color w:val="auto"/>
        </w:rPr>
        <w:t>, games developed by and licensed from Blizzard.</w:t>
      </w:r>
    </w:p>
    <w:p>
      <w:pPr>
        <w:spacing w:after="0" w:line="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nil, 8.0% and 45.7% of the Group’s total net game revenues were generated from mobile games for the years ended December 31, 2013, 2014 and 2015, respectively.</w:t>
      </w:r>
    </w:p>
    <w:p>
      <w:pPr>
        <w:spacing w:after="0" w:line="166" w:lineRule="exact"/>
        <w:rPr>
          <w:sz w:val="20"/>
          <w:szCs w:val="20"/>
          <w:color w:val="auto"/>
        </w:rPr>
      </w:pPr>
    </w:p>
    <w:p>
      <w:pPr>
        <w:ind w:left="480" w:hanging="472"/>
        <w:spacing w:after="0"/>
        <w:tabs>
          <w:tab w:leader="none" w:pos="4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Chinese Regulations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Chinese market in which the Group operates exposes the Company to certain macro-economic and regulatory risks and uncertainties. These uncertainties extend to the ability of the Group to provide Internet services through contractual arrangements in China as this industry remains highly regulated. The</w:t>
      </w:r>
    </w:p>
    <w:p>
      <w:pPr>
        <w:sectPr>
          <w:pgSz w:w="11900" w:h="16908" w:orient="portrait"/>
          <w:cols w:equalWidth="0" w:num="1">
            <w:col w:w="11420"/>
          </w:cols>
          <w:pgMar w:left="240" w:top="125" w:right="239" w:bottom="0" w:gutter="0" w:footer="0" w:header="0"/>
        </w:sectPr>
      </w:pPr>
    </w:p>
    <w:bookmarkStart w:id="101" w:name="page102"/>
    <w:bookmarkEnd w:id="101"/>
    <w:p>
      <w:pPr>
        <w:spacing w:after="0" w:line="268" w:lineRule="auto"/>
        <w:rPr>
          <w:sz w:val="20"/>
          <w:szCs w:val="20"/>
          <w:color w:val="auto"/>
        </w:rPr>
      </w:pPr>
      <w:r>
        <w:rPr>
          <w:rFonts w:ascii="Arial" w:cs="Arial" w:eastAsia="Arial" w:hAnsi="Arial"/>
          <w:sz w:val="17"/>
          <w:szCs w:val="17"/>
          <w:color w:val="auto"/>
        </w:rPr>
        <w:t>Chinese government may issue from time to time new laws or new interpretations on existing laws to regulate this industry. In January 2015, the Ministry of Commerce published a discussion draft of the proposed Foreign Investment Law. Among other things, the draft Foreign Investment Law expands the definition of foreign investment and introduces the principle of ‘‘actual control’’ in determining whether a company is considered a foreign-invested enterprise. If the actual controlling person(s) is/are of foreign nationalities, then the variable interest entities will be treated as foreign-invested enterprises and any operation in the industry category on the ‘‘negative list’’ without market entry clearance may be considered as illegal. It is uncertain whether the Company would be considered as ultimately controlled by Chinese parties under the draft Foreign Investment Law. Moreover, the draft Foreign Investment Law has not taken a position on what actions will be taken with respect to the existing companies with a VIE structure. Further, it is uncertain when or if the draft Foreign Investment Law will be passed and if it is, when it will become effective. In addition, it is uncertain whether the industries of online games, portal and other virtual products, in which the Company’s VIEs operate, will be subject to the foreign investment restrictions or prohibitions set forth in the ‘‘negative list’’ that is to be issued. If the enacted version of the Foreign Investment Law and the final ‘‘negative list’’ mandate further actions, such as market entry clearance or certain restructuring of the Group’s corporate structure and operations, to be completed by companies with existing VIE structures, there may be substantial uncertainties as to whether the Group can complete these actions in a timely manner, or at all, and the Group’s business and financial condition may be materially and adversely affected.</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Regulatory risk also encompasses the interpretation by the tax authorities of current tax laws, the status of properties leased for the Group’s operations, its legal structure and scope of operations in China, which could be subject to further restrictions resulting in limitations on the Group’s ability to conduct business in China.</w:t>
      </w:r>
    </w:p>
    <w:p>
      <w:pPr>
        <w:spacing w:after="0" w:line="177"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Group closely monitors the collection of its accounts receivables and records a reserve for doubtful accounts against aged accounts and for specifically identified non-recoverable amounts. If the economic situation and the financial condition of the customer deteriorate resulting in an impairment of the customer’s ability to make payments, additional allowances might be required.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Receivable balances are written off when they are determined to be uncollectible. The following table sets out the movements of the allowance for doubtful accounts for the years ended December 31, 2013, 2014 and 2015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Charged to (write-</w:t>
            </w:r>
          </w:p>
        </w:tc>
        <w:tc>
          <w:tcPr>
            <w:tcW w:w="240" w:type="dxa"/>
            <w:vAlign w:val="bottom"/>
          </w:tcPr>
          <w:p>
            <w:pPr>
              <w:spacing w:after="0"/>
              <w:rPr>
                <w:sz w:val="14"/>
                <w:szCs w:val="14"/>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Write-off of</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Balance at</w:t>
            </w:r>
          </w:p>
        </w:tc>
        <w:tc>
          <w:tcPr>
            <w:tcW w:w="1640" w:type="dxa"/>
            <w:vAlign w:val="bottom"/>
            <w:gridSpan w:val="2"/>
            <w:vMerge w:val="continue"/>
          </w:tcPr>
          <w:p>
            <w:pPr>
              <w:spacing w:after="0"/>
              <w:rPr>
                <w:sz w:val="12"/>
                <w:szCs w:val="12"/>
                <w:color w:val="auto"/>
              </w:rPr>
            </w:pPr>
          </w:p>
        </w:tc>
        <w:tc>
          <w:tcPr>
            <w:tcW w:w="16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receivable balances</w:t>
            </w:r>
          </w:p>
        </w:tc>
        <w:tc>
          <w:tcPr>
            <w:tcW w:w="260" w:type="dxa"/>
            <w:vAlign w:val="bottom"/>
          </w:tcPr>
          <w:p>
            <w:pPr>
              <w:spacing w:after="0"/>
              <w:rPr>
                <w:sz w:val="12"/>
                <w:szCs w:val="12"/>
                <w:color w:val="auto"/>
              </w:rPr>
            </w:pPr>
          </w:p>
        </w:tc>
        <w:tc>
          <w:tcPr>
            <w:tcW w:w="144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back against) cost</w:t>
            </w:r>
          </w:p>
        </w:tc>
        <w:tc>
          <w:tcPr>
            <w:tcW w:w="16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and corresponding</w:t>
            </w:r>
          </w:p>
        </w:tc>
        <w:tc>
          <w:tcPr>
            <w:tcW w:w="260" w:type="dxa"/>
            <w:vAlign w:val="bottom"/>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w:t>
            </w: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and expenses</w:t>
            </w:r>
          </w:p>
        </w:tc>
        <w:tc>
          <w:tcPr>
            <w:tcW w:w="240" w:type="dxa"/>
            <w:vAlign w:val="bottom"/>
          </w:tcPr>
          <w:p>
            <w:pPr>
              <w:spacing w:after="0"/>
              <w:rPr>
                <w:sz w:val="14"/>
                <w:szCs w:val="14"/>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provisions</w:t>
            </w:r>
          </w:p>
        </w:tc>
        <w:tc>
          <w:tcPr>
            <w:tcW w:w="260" w:type="dxa"/>
            <w:vAlign w:val="bottom"/>
          </w:tcPr>
          <w:p>
            <w:pPr>
              <w:spacing w:after="0"/>
              <w:rPr>
                <w:sz w:val="14"/>
                <w:szCs w:val="14"/>
                <w:color w:val="auto"/>
              </w:rPr>
            </w:pPr>
          </w:p>
        </w:tc>
        <w:tc>
          <w:tcPr>
            <w:tcW w:w="14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85"/>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ind w:right="185"/>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00" w:type="dxa"/>
            <w:vAlign w:val="bottom"/>
            <w:shd w:val="clear" w:color="auto" w:fill="CCEEFF"/>
          </w:tcPr>
          <w:p>
            <w:pPr>
              <w:jc w:val="right"/>
              <w:ind w:right="2850"/>
              <w:spacing w:after="0"/>
              <w:rPr>
                <w:sz w:val="20"/>
                <w:szCs w:val="20"/>
                <w:color w:val="auto"/>
              </w:rPr>
            </w:pPr>
            <w:r>
              <w:rPr>
                <w:rFonts w:ascii="Arial" w:cs="Arial" w:eastAsia="Arial" w:hAnsi="Arial"/>
                <w:sz w:val="18"/>
                <w:szCs w:val="18"/>
                <w:color w:val="auto"/>
                <w:w w:val="84"/>
              </w:rPr>
              <w:t>2013</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10,392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(2,007)</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00" w:type="dxa"/>
            <w:vAlign w:val="bottom"/>
          </w:tcPr>
          <w:p>
            <w:pPr>
              <w:jc w:val="right"/>
              <w:ind w:right="2850"/>
              <w:spacing w:after="0"/>
              <w:rPr>
                <w:sz w:val="20"/>
                <w:szCs w:val="20"/>
                <w:color w:val="auto"/>
              </w:rPr>
            </w:pPr>
            <w:r>
              <w:rPr>
                <w:rFonts w:ascii="Arial" w:cs="Arial" w:eastAsia="Arial" w:hAnsi="Arial"/>
                <w:sz w:val="18"/>
                <w:szCs w:val="18"/>
                <w:color w:val="auto"/>
                <w:w w:val="84"/>
              </w:rPr>
              <w:t>2014</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8,275</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3,765</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11,162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00" w:type="dxa"/>
            <w:vAlign w:val="bottom"/>
            <w:shd w:val="clear" w:color="auto" w:fill="CCEEFF"/>
          </w:tcPr>
          <w:p>
            <w:pPr>
              <w:jc w:val="right"/>
              <w:ind w:right="2850"/>
              <w:spacing w:after="0"/>
              <w:rPr>
                <w:sz w:val="20"/>
                <w:szCs w:val="20"/>
                <w:color w:val="auto"/>
              </w:rPr>
            </w:pPr>
            <w:r>
              <w:rPr>
                <w:rFonts w:ascii="Arial" w:cs="Arial" w:eastAsia="Arial" w:hAnsi="Arial"/>
                <w:sz w:val="18"/>
                <w:szCs w:val="18"/>
                <w:color w:val="auto"/>
                <w:w w:val="84"/>
              </w:rPr>
              <w:t>2015</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11,162</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4,041</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(1,018)</w:t>
            </w:r>
          </w:p>
        </w:tc>
        <w:tc>
          <w:tcPr>
            <w:tcW w:w="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5.</w:t>
            </w:r>
          </w:p>
        </w:tc>
        <w:tc>
          <w:tcPr>
            <w:tcW w:w="38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9"/>
              </w:rPr>
              <w:t>Prepayments and Other Current Assets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7"/>
          </w:tcPr>
          <w:p>
            <w:pPr>
              <w:spacing w:after="0"/>
              <w:rPr>
                <w:sz w:val="20"/>
                <w:szCs w:val="20"/>
                <w:color w:val="auto"/>
              </w:rPr>
            </w:pPr>
            <w:r>
              <w:rPr>
                <w:rFonts w:ascii="Arial" w:cs="Arial" w:eastAsia="Arial" w:hAnsi="Arial"/>
                <w:sz w:val="18"/>
                <w:szCs w:val="18"/>
                <w:color w:val="auto"/>
              </w:rPr>
              <w:t>The following is a summary of prepayments and other current assets (in thousands):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24"/>
                <w:szCs w:val="24"/>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left="27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2"/>
          </w:tcPr>
          <w:p>
            <w:pPr>
              <w:jc w:val="center"/>
              <w:ind w:left="31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Guarantee payment made to Blizzard - royalty fees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313,342</w:t>
            </w:r>
          </w:p>
        </w:tc>
        <w:tc>
          <w:tcPr>
            <w:tcW w:w="1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441,115</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Prepayment for royalties, revenue sharing cost</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8"/>
                <w:szCs w:val="18"/>
                <w:color w:val="auto"/>
              </w:rPr>
              <w:t>360,499</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1,304,827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305,063</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257,636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5"/>
          </w:tcPr>
          <w:p>
            <w:pPr>
              <w:spacing w:after="0"/>
              <w:rPr>
                <w:sz w:val="20"/>
                <w:szCs w:val="20"/>
                <w:color w:val="auto"/>
              </w:rPr>
            </w:pPr>
            <w:r>
              <w:rPr>
                <w:rFonts w:ascii="Arial" w:cs="Arial" w:eastAsia="Arial" w:hAnsi="Arial"/>
                <w:sz w:val="18"/>
                <w:szCs w:val="18"/>
                <w:color w:val="auto"/>
                <w:w w:val="92"/>
              </w:rPr>
              <w:t>Prepayments of content and marketing cost and other operational expenses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8"/>
                <w:szCs w:val="18"/>
                <w:color w:val="auto"/>
              </w:rPr>
              <w:t>113,294</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158,314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Prepayment for sales tax</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105,096</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w w:val="94"/>
              </w:rPr>
              <w:t>Bridge loans in connection with ongoing investments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8"/>
                <w:szCs w:val="18"/>
                <w:color w:val="auto"/>
              </w:rPr>
              <w:t>57,168</w:t>
            </w:r>
          </w:p>
        </w:tc>
        <w:tc>
          <w:tcPr>
            <w:tcW w:w="1700" w:type="dxa"/>
            <w:vAlign w:val="bottom"/>
            <w:gridSpan w:val="5"/>
          </w:tcPr>
          <w:p>
            <w:pPr>
              <w:jc w:val="right"/>
              <w:ind w:right="100"/>
              <w:spacing w:after="0"/>
              <w:rPr>
                <w:sz w:val="20"/>
                <w:szCs w:val="20"/>
                <w:color w:val="auto"/>
              </w:rPr>
            </w:pPr>
            <w:r>
              <w:rPr>
                <w:rFonts w:ascii="Arial" w:cs="Arial" w:eastAsia="Arial" w:hAnsi="Arial"/>
                <w:sz w:val="18"/>
                <w:szCs w:val="18"/>
                <w:color w:val="auto"/>
              </w:rPr>
              <w:t>35,510</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 to vendors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69,961</w:t>
            </w:r>
          </w:p>
        </w:tc>
        <w:tc>
          <w:tcPr>
            <w:tcW w:w="1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34,894</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Employee advances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8"/>
                <w:szCs w:val="18"/>
                <w:color w:val="auto"/>
              </w:rPr>
              <w:t>27,118</w:t>
            </w:r>
          </w:p>
        </w:tc>
        <w:tc>
          <w:tcPr>
            <w:tcW w:w="1700" w:type="dxa"/>
            <w:vAlign w:val="bottom"/>
            <w:gridSpan w:val="5"/>
          </w:tcPr>
          <w:p>
            <w:pPr>
              <w:jc w:val="right"/>
              <w:ind w:right="100"/>
              <w:spacing w:after="0"/>
              <w:rPr>
                <w:sz w:val="20"/>
                <w:szCs w:val="20"/>
                <w:color w:val="auto"/>
              </w:rPr>
            </w:pPr>
            <w:r>
              <w:rPr>
                <w:rFonts w:ascii="Arial" w:cs="Arial" w:eastAsia="Arial" w:hAnsi="Arial"/>
                <w:sz w:val="18"/>
                <w:szCs w:val="18"/>
                <w:color w:val="auto"/>
              </w:rPr>
              <w:t>38,363</w:t>
            </w:r>
          </w:p>
        </w:tc>
        <w:tc>
          <w:tcPr>
            <w:tcW w:w="0" w:type="dxa"/>
            <w:vAlign w:val="bottom"/>
          </w:tcPr>
          <w:p>
            <w:pPr>
              <w:spacing w:after="0"/>
              <w:rPr>
                <w:sz w:val="1"/>
                <w:szCs w:val="1"/>
                <w:color w:val="auto"/>
              </w:rPr>
            </w:pPr>
          </w:p>
        </w:tc>
      </w:tr>
      <w:tr>
        <w:trPr>
          <w:trHeight w:val="202"/>
        </w:trPr>
        <w:tc>
          <w:tcPr>
            <w:tcW w:w="726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Wangyibao operating funds held by third party online payment platform settlement service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CCEEFF"/>
          </w:tcPr>
          <w:p>
            <w:pPr>
              <w:spacing w:after="0"/>
              <w:rPr>
                <w:sz w:val="20"/>
                <w:szCs w:val="20"/>
                <w:color w:val="auto"/>
              </w:rPr>
            </w:pPr>
          </w:p>
        </w:tc>
        <w:tc>
          <w:tcPr>
            <w:tcW w:w="3800" w:type="dxa"/>
            <w:vAlign w:val="bottom"/>
            <w:gridSpan w:val="2"/>
            <w:shd w:val="clear" w:color="auto" w:fill="CCEEFF"/>
          </w:tcPr>
          <w:p>
            <w:pPr>
              <w:jc w:val="right"/>
              <w:ind w:right="3010"/>
              <w:spacing w:after="0"/>
              <w:rPr>
                <w:sz w:val="20"/>
                <w:szCs w:val="20"/>
                <w:color w:val="auto"/>
              </w:rPr>
            </w:pPr>
            <w:r>
              <w:rPr>
                <w:rFonts w:ascii="Arial" w:cs="Arial" w:eastAsia="Arial" w:hAnsi="Arial"/>
                <w:sz w:val="18"/>
                <w:szCs w:val="18"/>
                <w:color w:val="auto"/>
                <w:w w:val="91"/>
              </w:rPr>
              <w:t>providers</w:t>
            </w:r>
          </w:p>
        </w:tc>
        <w:tc>
          <w:tcPr>
            <w:tcW w:w="1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22,777</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Advance to suppliers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8"/>
                <w:szCs w:val="18"/>
                <w:color w:val="auto"/>
              </w:rPr>
              <w:t>3,900</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179,390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Others</w:t>
            </w: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45,450</w:t>
            </w:r>
          </w:p>
        </w:tc>
        <w:tc>
          <w:tcPr>
            <w:tcW w:w="17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114,198</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1,423,668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2,695,510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6"/>
          <w:szCs w:val="16"/>
          <w:color w:val="auto"/>
        </w:rPr>
        <w:t>In accordance with the license agreements of World of Warcraft, StarCraft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 Wings of Liberty</w:t>
      </w:r>
      <w:r>
        <w:rPr>
          <w:rFonts w:ascii="Arial" w:cs="Arial" w:eastAsia="Arial" w:hAnsi="Arial"/>
          <w:sz w:val="20"/>
          <w:szCs w:val="20"/>
          <w:color w:val="auto"/>
          <w:vertAlign w:val="superscript"/>
        </w:rPr>
        <w:t>®</w:t>
      </w:r>
      <w:r>
        <w:rPr>
          <w:rFonts w:ascii="Arial" w:cs="Arial" w:eastAsia="Arial" w:hAnsi="Arial"/>
          <w:sz w:val="16"/>
          <w:szCs w:val="16"/>
          <w:color w:val="auto"/>
        </w:rPr>
        <w:t>, Hearthstone: Heroes of Warcraft, Heroes of the Storm™ and Diablo III, the Group made certain guarantee payments to Blizzard on behalf of Shanghai EaseNet for the minimum guaranteed royalties as of December 31, 2014 and 2015. The guarantee amounts will be released to the Group when actual royalties are paid by Shanghai EaseNet to Blizzard.</w:t>
      </w:r>
    </w:p>
    <w:p>
      <w:pPr>
        <w:spacing w:after="0" w:line="1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2014 and 2015, prepayments for royalties and revenue sharing cost representing prepaid royalties or revenue sharing cost related to operations of licensed PC and mobile games.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February 2009, the Group launched its Wangyibao online payment platform, through which game players registered for Wangyibao online payment services can deposit money in their accounts and use the accounts to pay for game point cards and other fee-based services and products rendered by the Group. Account holders may also withdraw money from their accounts at any time, such as to pay for items purchased from other players or when they want the return of their money. The Group engages certain third party online payment settlement service providers to collect payments from and process withdrawals by customers. As of December 31, 2014 and 2015, the Group had operating funds held by its third party online payment settlement service providers as shown above.</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amount of employee advances listed above included staff housing loan balances of RMB24.7 million and RMB34.1 million repayable within 12 months from December 31, 2014 and 2015, respectively (see Note 10). No advances were made directly or indirectly to the Group’s executive officers for their personal benefit for the years ended December 31, 2014 and 2015.</w:t>
      </w:r>
    </w:p>
    <w:p>
      <w:pPr>
        <w:sectPr>
          <w:pgSz w:w="11900" w:h="16838" w:orient="portrait"/>
          <w:cols w:equalWidth="0" w:num="1">
            <w:col w:w="11380"/>
          </w:cols>
          <w:pgMar w:left="240" w:top="125" w:right="279" w:bottom="0" w:gutter="0" w:footer="0" w:header="0"/>
        </w:sectPr>
      </w:pPr>
    </w:p>
    <w:bookmarkStart w:id="102" w:name="page103"/>
    <w:bookmarkEnd w:id="102"/>
    <w:p>
      <w:pPr>
        <w:spacing w:after="0" w:line="18"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2014 and 2015, the Group’s short-term investments mainly consisted of held-to-maturity investments which are fixed-rate corporate bonds and financial products issued by commercial banks in China with a variable interest rate indexed to the performance of underlying assets and a maturity date within one year when purchased. As of December 31, 2015, the effective yields of short-term investments ranged from 2.60% to 5.30% per annum (2014: 3.05% to 5.18% per annum).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short-term investments (in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2014</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6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Unrecognized</w:t>
            </w: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Gains/(Losses)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 - fixed rate investments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350,528</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short-term investments</w:t>
            </w:r>
          </w:p>
        </w:tc>
        <w:tc>
          <w:tcPr>
            <w:tcW w:w="1360" w:type="dxa"/>
            <w:vAlign w:val="bottom"/>
          </w:tcPr>
          <w:p>
            <w:pPr>
              <w:jc w:val="right"/>
              <w:spacing w:after="0"/>
              <w:rPr>
                <w:sz w:val="20"/>
                <w:szCs w:val="20"/>
                <w:color w:val="auto"/>
              </w:rPr>
            </w:pPr>
            <w:r>
              <w:rPr>
                <w:rFonts w:ascii="Arial" w:cs="Arial" w:eastAsia="Arial" w:hAnsi="Arial"/>
                <w:sz w:val="18"/>
                <w:szCs w:val="18"/>
                <w:color w:val="auto"/>
              </w:rPr>
              <w:t>1,708,024</w:t>
            </w:r>
          </w:p>
        </w:tc>
        <w:tc>
          <w:tcPr>
            <w:tcW w:w="300" w:type="dxa"/>
            <w:vAlign w:val="bottom"/>
          </w:tcPr>
          <w:p>
            <w:pPr>
              <w:spacing w:after="0"/>
              <w:rPr>
                <w:sz w:val="18"/>
                <w:szCs w:val="18"/>
                <w:color w:val="auto"/>
              </w:rPr>
            </w:pP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1,708,024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2,058,552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2,058,552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6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2015</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6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Unrecognized</w:t>
            </w: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Gains/(Losses)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 - fixed rate investments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153,522</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short-term investments</w:t>
            </w:r>
          </w:p>
        </w:tc>
        <w:tc>
          <w:tcPr>
            <w:tcW w:w="1360" w:type="dxa"/>
            <w:vAlign w:val="bottom"/>
          </w:tcPr>
          <w:p>
            <w:pPr>
              <w:jc w:val="right"/>
              <w:spacing w:after="0"/>
              <w:rPr>
                <w:sz w:val="20"/>
                <w:szCs w:val="20"/>
                <w:color w:val="auto"/>
              </w:rPr>
            </w:pPr>
            <w:r>
              <w:rPr>
                <w:rFonts w:ascii="Arial" w:cs="Arial" w:eastAsia="Arial" w:hAnsi="Arial"/>
                <w:sz w:val="18"/>
                <w:szCs w:val="18"/>
                <w:color w:val="auto"/>
              </w:rPr>
              <w:t>4,859,977</w:t>
            </w:r>
          </w:p>
        </w:tc>
        <w:tc>
          <w:tcPr>
            <w:tcW w:w="300" w:type="dxa"/>
            <w:vAlign w:val="bottom"/>
          </w:tcPr>
          <w:p>
            <w:pPr>
              <w:spacing w:after="0"/>
              <w:rPr>
                <w:sz w:val="18"/>
                <w:szCs w:val="18"/>
                <w:color w:val="auto"/>
              </w:rPr>
            </w:pP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4,859,977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5,013,499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5,013,499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During the years ended December 31, 2013, 2014 and 2015, the Group recorded investment income related to short-term investments of RMB35.8 million, RMB64.2 million and RMB143.1 million in the consolidated statements of operations and comprehensive income, respectively.</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as of December 31, 2014, the Group had a loan from an offshore bank in the principal amount of US$90.0 million (RMB550.7 million) that were secured by RMB deposits of the Group in an onshore branch of this bank in the amount of RMB614.2 million, which was recognized as a short-term investment. (See Note 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6860" w:type="dxa"/>
            <w:vAlign w:val="bottom"/>
          </w:tcPr>
          <w:p>
            <w:pPr>
              <w:ind w:left="160"/>
              <w:spacing w:after="0"/>
              <w:rPr>
                <w:sz w:val="20"/>
                <w:szCs w:val="20"/>
                <w:color w:val="auto"/>
              </w:rPr>
            </w:pPr>
            <w:r>
              <w:rPr>
                <w:rFonts w:ascii="Arial" w:cs="Arial" w:eastAsia="Arial" w:hAnsi="Arial"/>
                <w:sz w:val="18"/>
                <w:szCs w:val="18"/>
                <w:b w:val="1"/>
                <w:bCs w:val="1"/>
                <w:color w:val="auto"/>
              </w:rPr>
              <w:t>Property, Equipment and Software</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60" w:type="dxa"/>
            <w:vAlign w:val="bottom"/>
            <w:gridSpan w:val="3"/>
          </w:tcPr>
          <w:p>
            <w:pPr>
              <w:spacing w:after="0"/>
              <w:rPr>
                <w:sz w:val="20"/>
                <w:szCs w:val="20"/>
                <w:color w:val="auto"/>
              </w:rPr>
            </w:pPr>
            <w:r>
              <w:rPr>
                <w:rFonts w:ascii="Arial" w:cs="Arial" w:eastAsia="Arial" w:hAnsi="Arial"/>
                <w:sz w:val="18"/>
                <w:szCs w:val="18"/>
                <w:color w:val="auto"/>
              </w:rPr>
              <w:t>The following is a summary of property, equipment and software (in thousands):</w:t>
            </w: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and decoration</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569,911</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40,790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24,691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63,946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23,627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Servers and computers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931,024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45,356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49,633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574,932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8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2,249,586</w:t>
            </w:r>
          </w:p>
        </w:tc>
        <w:tc>
          <w:tcPr>
            <w:tcW w:w="2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3,210,461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(968,361)</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(1,118,415)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Net book value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1,281,225</w:t>
            </w:r>
          </w:p>
        </w:tc>
        <w:tc>
          <w:tcPr>
            <w:tcW w:w="1380" w:type="dxa"/>
            <w:vAlign w:val="bottom"/>
          </w:tcPr>
          <w:p>
            <w:pPr>
              <w:jc w:val="right"/>
              <w:spacing w:after="0"/>
              <w:rPr>
                <w:sz w:val="20"/>
                <w:szCs w:val="20"/>
                <w:color w:val="auto"/>
              </w:rPr>
            </w:pPr>
            <w:r>
              <w:rPr>
                <w:rFonts w:ascii="Arial" w:cs="Arial" w:eastAsia="Arial" w:hAnsi="Arial"/>
                <w:sz w:val="18"/>
                <w:szCs w:val="18"/>
                <w:color w:val="auto"/>
              </w:rPr>
              <w:t>2,092,046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Depreciation expense was RMB158.0 million, RMB172.4 million and RMB178.9 million for the years ended December 31, 2013, 2014 and 2015, respectively.</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As of December 31, 2014 and 2015, the construction in progress balance mainly represented a prepayment of RMB571.7 million and RMB1,075.0 million, respectively, for the construction of office buildings in Beijing, Hangzhou, Zhoushan and Guangzhou. All the related cost is capitalized in construction in progress to the extent it is incurred for the purposes of bringing the construction development to a usable state.</w:t>
      </w:r>
    </w:p>
    <w:p>
      <w:pPr>
        <w:spacing w:after="0" w:line="162"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Land Use Right</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Land use right represents the land acquired for the purpose of constructing offices and warehouses. In 2015, the Group acquired land use rights in Ningbo for warehouse construction. Amortization of the land use right is made over the remaining term of the land use right period from the date when the Group first obtained the land use right certificate from the local authorities. The land use right is summarized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300" w:type="dxa"/>
            <w:vAlign w:val="bottom"/>
          </w:tcPr>
          <w:p>
            <w:pPr>
              <w:spacing w:after="0"/>
              <w:rPr>
                <w:sz w:val="14"/>
                <w:szCs w:val="14"/>
                <w:color w:val="auto"/>
              </w:rPr>
            </w:pPr>
          </w:p>
        </w:tc>
        <w:tc>
          <w:tcPr>
            <w:tcW w:w="3080" w:type="dxa"/>
            <w:vAlign w:val="bottom"/>
            <w:gridSpan w:val="2"/>
          </w:tcPr>
          <w:p>
            <w:pPr>
              <w:jc w:val="center"/>
              <w:ind w:left="1634"/>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94,736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258,734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Incentive payment from local government</w:t>
            </w:r>
          </w:p>
        </w:tc>
        <w:tc>
          <w:tcPr>
            <w:tcW w:w="3360" w:type="dxa"/>
            <w:vAlign w:val="bottom"/>
            <w:gridSpan w:val="3"/>
          </w:tcPr>
          <w:p>
            <w:pPr>
              <w:jc w:val="right"/>
              <w:ind w:right="220"/>
              <w:spacing w:after="0"/>
              <w:rPr>
                <w:sz w:val="20"/>
                <w:szCs w:val="20"/>
                <w:color w:val="auto"/>
              </w:rPr>
            </w:pPr>
            <w:r>
              <w:rPr>
                <w:rFonts w:ascii="Arial" w:cs="Arial" w:eastAsia="Arial" w:hAnsi="Arial"/>
                <w:sz w:val="18"/>
                <w:szCs w:val="18"/>
                <w:color w:val="auto"/>
              </w:rPr>
              <w:t>(15,000)</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(2,088)</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(4,856)</w:t>
            </w: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Land use right, net</w:t>
            </w:r>
          </w:p>
        </w:tc>
        <w:tc>
          <w:tcPr>
            <w:tcW w:w="17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77,648</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238,878</w:t>
            </w:r>
          </w:p>
        </w:tc>
        <w:tc>
          <w:tcPr>
            <w:tcW w:w="12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4300" w:type="dxa"/>
            <w:vAlign w:val="bottom"/>
          </w:tcPr>
          <w:p>
            <w:pPr>
              <w:spacing w:after="0"/>
              <w:rPr>
                <w:sz w:val="24"/>
                <w:szCs w:val="24"/>
                <w:color w:val="auto"/>
              </w:rPr>
            </w:pPr>
          </w:p>
        </w:tc>
        <w:tc>
          <w:tcPr>
            <w:tcW w:w="3360" w:type="dxa"/>
            <w:vAlign w:val="bottom"/>
            <w:gridSpan w:val="3"/>
          </w:tcPr>
          <w:p>
            <w:pPr>
              <w:jc w:val="right"/>
              <w:ind w:right="1780"/>
              <w:spacing w:after="0"/>
              <w:rPr>
                <w:sz w:val="20"/>
                <w:szCs w:val="20"/>
                <w:color w:val="auto"/>
              </w:rPr>
            </w:pPr>
            <w:r>
              <w:rPr>
                <w:rFonts w:ascii="Arial" w:cs="Arial" w:eastAsia="Arial" w:hAnsi="Arial"/>
                <w:sz w:val="18"/>
                <w:szCs w:val="18"/>
                <w:color w:val="auto"/>
              </w:rPr>
              <w:t>F-24</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57" w:orient="portrait"/>
          <w:cols w:equalWidth="0" w:num="1">
            <w:col w:w="11420"/>
          </w:cols>
          <w:pgMar w:left="240" w:top="337" w:right="239" w:bottom="0" w:gutter="0" w:footer="0" w:header="0"/>
        </w:sectPr>
      </w:pPr>
    </w:p>
    <w:bookmarkStart w:id="103" w:name="page104"/>
    <w:bookmarkEnd w:id="103"/>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The total amortization expense for each of the years ended December 31, 2013, 2014 and 2015 amounted to approximately RMB258,000, RMB580,000, and RMB2,768,000,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9.</w:t>
            </w:r>
          </w:p>
        </w:tc>
        <w:tc>
          <w:tcPr>
            <w:tcW w:w="640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2"/>
        </w:trPr>
        <w:tc>
          <w:tcPr>
            <w:tcW w:w="3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3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gridSpan w:val="2"/>
          </w:tcPr>
          <w:p>
            <w:pPr>
              <w:spacing w:after="0"/>
              <w:rPr>
                <w:sz w:val="12"/>
                <w:szCs w:val="12"/>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associated companies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207,492</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318,888</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169,986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309,691</w:t>
            </w:r>
          </w:p>
        </w:tc>
        <w:tc>
          <w:tcPr>
            <w:tcW w:w="10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1,136,073</w:t>
            </w:r>
          </w:p>
        </w:tc>
        <w:tc>
          <w:tcPr>
            <w:tcW w:w="100" w:type="dxa"/>
            <w:vAlign w:val="bottom"/>
            <w:shd w:val="clear" w:color="auto" w:fill="CCEEFF"/>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377,478</w:t>
            </w:r>
          </w:p>
        </w:tc>
        <w:tc>
          <w:tcPr>
            <w:tcW w:w="2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1,764,652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color w:val="auto"/>
        </w:rPr>
        <w:t>Investments in associated companies</w:t>
      </w:r>
    </w:p>
    <w:p>
      <w:pPr>
        <w:spacing w:after="0" w:line="225" w:lineRule="exact"/>
        <w:rPr>
          <w:sz w:val="20"/>
          <w:szCs w:val="20"/>
          <w:color w:val="auto"/>
        </w:rPr>
      </w:pPr>
    </w:p>
    <w:p>
      <w:pPr>
        <w:jc w:val="both"/>
        <w:ind w:left="340" w:right="20"/>
        <w:spacing w:after="0" w:line="286" w:lineRule="auto"/>
        <w:rPr>
          <w:sz w:val="20"/>
          <w:szCs w:val="20"/>
          <w:color w:val="auto"/>
        </w:rPr>
      </w:pPr>
      <w:r>
        <w:rPr>
          <w:rFonts w:ascii="Arial" w:cs="Arial" w:eastAsia="Arial" w:hAnsi="Arial"/>
          <w:sz w:val="17"/>
          <w:szCs w:val="17"/>
          <w:color w:val="auto"/>
        </w:rPr>
        <w:t>The Group recorded equity share of loss of RMB5.3 million, RMB33.6 million and RMB76.1 million for the years ended December 31, 2013, 2014 and 2015, respectively, which was included in “investment income, net” in the consolidated statements of comprehensive income. The Group received cash dividends for each of the years ended December 31, 2013, 2014 and 2015 of nil, RMB15.3 million and nil, respectively.</w:t>
      </w:r>
    </w:p>
    <w:p>
      <w:pPr>
        <w:spacing w:after="0" w:line="166" w:lineRule="exact"/>
        <w:rPr>
          <w:sz w:val="20"/>
          <w:szCs w:val="20"/>
          <w:color w:val="auto"/>
        </w:rPr>
      </w:pPr>
    </w:p>
    <w:p>
      <w:pPr>
        <w:ind w:left="340" w:right="60" w:hanging="332"/>
        <w:spacing w:after="0" w:line="259" w:lineRule="auto"/>
        <w:tabs>
          <w:tab w:leader="none" w:pos="3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August 2008, the Group acquired a 38.5% equity interest in SunEase, Inc., a provider of e-mail integration solution and corporate email post office operation services, sales of domain names and search engine marketing, for a consideration of approximately RMB31.0 million in cash. The investment was accounted for under the equity method of accounting with allocation of the purchase price to tangible assets, intangible assets, goodwill and liabilities.</w:t>
      </w:r>
    </w:p>
    <w:p>
      <w:pPr>
        <w:spacing w:after="0" w:line="186" w:lineRule="exact"/>
        <w:rPr>
          <w:rFonts w:ascii="Arial" w:cs="Arial" w:eastAsia="Arial" w:hAnsi="Arial"/>
          <w:sz w:val="18"/>
          <w:szCs w:val="18"/>
          <w:color w:val="auto"/>
        </w:rPr>
      </w:pPr>
    </w:p>
    <w:p>
      <w:pPr>
        <w:ind w:left="340" w:right="260" w:hanging="332"/>
        <w:spacing w:after="0" w:line="264" w:lineRule="auto"/>
        <w:tabs>
          <w:tab w:leader="none" w:pos="34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August 2013, the Group established a joint venture with China Telecom Corp. Ltd. (“China Telecom”), Hangzhou Yixin Technology Co., Ltd. (“Yixin”) to launch “YiChat”, a proprietary social instant messaging application for smart phones. The Group contributed RMB200.0 million cash in exchange for a 27.0% equity interest in Yixin.</w:t>
      </w:r>
    </w:p>
    <w:p>
      <w:pPr>
        <w:spacing w:after="0" w:line="18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investment was accounted for under the equity method of accounting with allocation of the investment cost as follows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RMB</w:t>
            </w:r>
          </w:p>
        </w:tc>
      </w:tr>
      <w:tr>
        <w:trPr>
          <w:trHeight w:val="210"/>
        </w:trPr>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Intangible assets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15,876</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(3,969)</w:t>
            </w:r>
          </w:p>
        </w:tc>
      </w:tr>
      <w:tr>
        <w:trPr>
          <w:trHeight w:val="210"/>
        </w:trPr>
        <w:tc>
          <w:tcPr>
            <w:tcW w:w="83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In July 2015, the Group increased its equity shares in Yixin to 35.0% with a cash consideration of approximately RMB127.5 million. The allocation of the purchase price of the assets acquired and liabilities assumed based on their fair values was as follows (in thousands):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RMB</w:t>
            </w:r>
          </w:p>
        </w:tc>
      </w:tr>
      <w:tr>
        <w:trPr>
          <w:trHeight w:val="210"/>
        </w:trPr>
        <w:tc>
          <w:tcPr>
            <w:tcW w:w="8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Tangible assets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Intangible assets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15,564</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107,280</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(3,891)</w:t>
            </w:r>
          </w:p>
        </w:tc>
      </w:tr>
      <w:tr>
        <w:trPr>
          <w:trHeight w:val="210"/>
        </w:trPr>
        <w:tc>
          <w:tcPr>
            <w:tcW w:w="83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20" w:hanging="332"/>
        <w:spacing w:after="0" w:line="277" w:lineRule="auto"/>
        <w:tabs>
          <w:tab w:leader="none" w:pos="34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September 2014, the Group established a joint venture with several individuals to launch an e-commerce related business. The Group contributed RMB20.0 million cash in exchange for a 40.0% equity interest.</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340" w:hanging="332"/>
        <w:spacing w:after="0" w:line="308" w:lineRule="auto"/>
        <w:tabs>
          <w:tab w:leader="none" w:pos="347"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In 2015, the Group also established two joint ventures with other shareholders to operate internet finance related businesses. The Group contributed RMB30.0 million cash to each of the two joint ventures in exchange for a 30.0% equity interest in each joint venture.</w:t>
      </w:r>
    </w:p>
    <w:p>
      <w:pPr>
        <w:spacing w:after="0" w:line="147" w:lineRule="exact"/>
        <w:rPr>
          <w:sz w:val="20"/>
          <w:szCs w:val="20"/>
          <w:color w:val="auto"/>
        </w:rPr>
      </w:pPr>
    </w:p>
    <w:p>
      <w:pPr>
        <w:ind w:left="340" w:hanging="332"/>
        <w:spacing w:after="0"/>
        <w:tabs>
          <w:tab w:leader="none" w:pos="340"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Equity investments</w:t>
      </w:r>
    </w:p>
    <w:p>
      <w:pPr>
        <w:spacing w:after="0" w:line="225" w:lineRule="exact"/>
        <w:rPr>
          <w:rFonts w:ascii="Arial" w:cs="Arial" w:eastAsia="Arial" w:hAnsi="Arial"/>
          <w:sz w:val="18"/>
          <w:szCs w:val="18"/>
          <w:b w:val="1"/>
          <w:bCs w:val="1"/>
          <w:color w:val="auto"/>
        </w:rPr>
      </w:pPr>
    </w:p>
    <w:p>
      <w:pPr>
        <w:ind w:left="3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Equity investments represent investments in privately held companies. The Group carries the investment at cost as the Group does not have significant influence and the investments do not have readily determinable fair value.</w:t>
      </w:r>
    </w:p>
    <w:p>
      <w:pPr>
        <w:spacing w:after="0" w:line="170" w:lineRule="exact"/>
        <w:rPr>
          <w:rFonts w:ascii="Arial" w:cs="Arial" w:eastAsia="Arial" w:hAnsi="Arial"/>
          <w:sz w:val="18"/>
          <w:szCs w:val="18"/>
          <w:b w:val="1"/>
          <w:bCs w:val="1"/>
          <w:color w:val="auto"/>
        </w:rPr>
      </w:pPr>
    </w:p>
    <w:p>
      <w:pPr>
        <w:jc w:val="both"/>
        <w:ind w:left="34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Impairment provision of RMB24.0 million and RMB12.0 million related to certain of the equity investments were recognized as “investment income, net” in the consolidated statements of comprehensive income for the years ended December 31, 2014 and 2015, respectively, as the Group determined that the decline in its fair value is determined to be other-than-temporary.</w:t>
      </w:r>
    </w:p>
    <w:p>
      <w:pPr>
        <w:spacing w:after="0" w:line="181" w:lineRule="exact"/>
        <w:rPr>
          <w:rFonts w:ascii="Arial" w:cs="Arial" w:eastAsia="Arial" w:hAnsi="Arial"/>
          <w:sz w:val="18"/>
          <w:szCs w:val="18"/>
          <w:b w:val="1"/>
          <w:bCs w:val="1"/>
          <w:color w:val="auto"/>
        </w:rPr>
      </w:pPr>
    </w:p>
    <w:p>
      <w:pPr>
        <w:ind w:left="340" w:hanging="332"/>
        <w:spacing w:after="0"/>
        <w:tabs>
          <w:tab w:leader="none" w:pos="340" w:val="left"/>
        </w:tabs>
        <w:numPr>
          <w:ilvl w:val="0"/>
          <w:numId w:val="151"/>
        </w:numPr>
        <w:rPr>
          <w:rFonts w:ascii="Arial" w:cs="Arial" w:eastAsia="Arial" w:hAnsi="Arial"/>
          <w:sz w:val="18"/>
          <w:szCs w:val="18"/>
          <w:b w:val="1"/>
          <w:bCs w:val="1"/>
          <w:color w:val="auto"/>
        </w:rPr>
      </w:pPr>
      <w:r>
        <w:rPr>
          <w:rFonts w:ascii="Arial" w:cs="Arial" w:eastAsia="Arial" w:hAnsi="Arial"/>
          <w:sz w:val="18"/>
          <w:szCs w:val="18"/>
          <w:color w:val="auto"/>
        </w:rPr>
        <w:t>Available-for-sale securities</w:t>
      </w:r>
    </w:p>
    <w:p>
      <w:pPr>
        <w:spacing w:after="0" w:line="225" w:lineRule="exact"/>
        <w:rPr>
          <w:rFonts w:ascii="Arial" w:cs="Arial" w:eastAsia="Arial" w:hAnsi="Arial"/>
          <w:sz w:val="18"/>
          <w:szCs w:val="18"/>
          <w:b w:val="1"/>
          <w:bCs w:val="1"/>
          <w:color w:val="auto"/>
        </w:rPr>
      </w:pPr>
    </w:p>
    <w:p>
      <w:pPr>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December 31, 2015, available-for-sale securities included RMB710.3 million invested in shares of Huatai Securities Company Limited (“Huatai”) and RMB425.7 million invested in shares of Caissa Touristic Group (“Caissa”). Total net unrealized gains (net of tax of RMB81.4 million) as of December 31, 2015 were RMB27.5 million and recorded in other comprehensive income.</w:t>
      </w:r>
    </w:p>
    <w:p>
      <w:pPr>
        <w:spacing w:after="0" w:line="173"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6350</wp:posOffset>
            </wp:positionV>
            <wp:extent cx="29502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tbl>
      <w:tblPr>
        <w:tblLayout w:type="fixed"/>
        <w:tblInd w:w="6400" w:type="dxa"/>
        <w:tblCellMar>
          <w:top w:w="0" w:type="dxa"/>
          <w:left w:w="0" w:type="dxa"/>
          <w:bottom w:w="0" w:type="dxa"/>
          <w:right w:w="0" w:type="dxa"/>
        </w:tblCellMar>
      </w:tblPr>
      <w:tr>
        <w:trPr>
          <w:trHeight w:val="150"/>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rPr>
              <w:t>Cost</w:t>
            </w:r>
          </w:p>
        </w:tc>
        <w:tc>
          <w:tcPr>
            <w:tcW w:w="1860" w:type="dxa"/>
            <w:vAlign w:val="bottom"/>
          </w:tcPr>
          <w:p>
            <w:pPr>
              <w:jc w:val="center"/>
              <w:ind w:left="8"/>
              <w:spacing w:after="0" w:line="150" w:lineRule="exact"/>
              <w:rPr>
                <w:sz w:val="20"/>
                <w:szCs w:val="20"/>
                <w:color w:val="auto"/>
              </w:rPr>
            </w:pPr>
            <w:r>
              <w:rPr>
                <w:rFonts w:ascii="Arial" w:cs="Arial" w:eastAsia="Arial" w:hAnsi="Arial"/>
                <w:sz w:val="14"/>
                <w:szCs w:val="14"/>
                <w:b w:val="1"/>
                <w:bCs w:val="1"/>
                <w:color w:val="auto"/>
                <w:w w:val="93"/>
              </w:rPr>
              <w:t>Unrealized</w:t>
            </w:r>
          </w:p>
        </w:tc>
        <w:tc>
          <w:tcPr>
            <w:tcW w:w="106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86"/>
        </w:trPr>
        <w:tc>
          <w:tcPr>
            <w:tcW w:w="820" w:type="dxa"/>
            <w:vAlign w:val="bottom"/>
            <w:vMerge w:val="continue"/>
          </w:tcPr>
          <w:p>
            <w:pPr>
              <w:spacing w:after="0"/>
              <w:rPr>
                <w:sz w:val="16"/>
                <w:szCs w:val="16"/>
                <w:color w:val="auto"/>
              </w:rPr>
            </w:pPr>
          </w:p>
        </w:tc>
        <w:tc>
          <w:tcPr>
            <w:tcW w:w="186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Gains/(Losses)</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12" w:orient="portrait"/>
          <w:cols w:equalWidth="0" w:num="1">
            <w:col w:w="11320"/>
          </w:cols>
          <w:pgMar w:left="240" w:top="733" w:right="339" w:bottom="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660" w:type="dxa"/>
            <w:vAlign w:val="bottom"/>
            <w:gridSpan w:val="2"/>
          </w:tcPr>
          <w:p>
            <w:pPr>
              <w:ind w:left="500"/>
              <w:spacing w:after="0"/>
              <w:rPr>
                <w:sz w:val="20"/>
                <w:szCs w:val="20"/>
                <w:color w:val="auto"/>
              </w:rPr>
            </w:pPr>
            <w:r>
              <w:rPr>
                <w:rFonts w:ascii="Arial" w:cs="Arial" w:eastAsia="Arial" w:hAnsi="Arial"/>
                <w:sz w:val="14"/>
                <w:szCs w:val="14"/>
                <w:b w:val="1"/>
                <w:bCs w:val="1"/>
                <w:color w:val="auto"/>
              </w:rPr>
              <w:t>RMB</w:t>
            </w: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RMB</w:t>
            </w: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RMB</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Huatai</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927,188</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(216,851)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710,337</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Caissa</w:t>
            </w: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325,736</w:t>
            </w:r>
          </w:p>
        </w:tc>
        <w:tc>
          <w:tcPr>
            <w:tcW w:w="1340" w:type="dxa"/>
            <w:vAlign w:val="bottom"/>
          </w:tcPr>
          <w:p>
            <w:pPr>
              <w:jc w:val="right"/>
              <w:spacing w:after="0"/>
              <w:rPr>
                <w:sz w:val="20"/>
                <w:szCs w:val="20"/>
                <w:color w:val="auto"/>
              </w:rPr>
            </w:pPr>
            <w:r>
              <w:rPr>
                <w:rFonts w:ascii="Arial" w:cs="Arial" w:eastAsia="Arial" w:hAnsi="Arial"/>
                <w:sz w:val="18"/>
                <w:szCs w:val="18"/>
                <w:color w:val="auto"/>
              </w:rPr>
              <w:t>425,736</w:t>
            </w:r>
          </w:p>
        </w:tc>
        <w:tc>
          <w:tcPr>
            <w:tcW w:w="100" w:type="dxa"/>
            <w:vAlign w:val="bottom"/>
          </w:tcPr>
          <w:p>
            <w:pPr>
              <w:spacing w:after="0"/>
              <w:rPr>
                <w:sz w:val="18"/>
                <w:szCs w:val="18"/>
                <w:color w:val="auto"/>
              </w:rPr>
            </w:pPr>
          </w:p>
        </w:tc>
      </w:tr>
      <w:tr>
        <w:trPr>
          <w:trHeight w:val="210"/>
        </w:trPr>
        <w:tc>
          <w:tcPr>
            <w:tcW w:w="58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1,027,188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108,885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1,136,073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The Group reviews its available-for-sale investments regularly to determine if an investment is other-than-temporarily impaired due to changes in quoted market price or other impairment indicators. Changes in market conditions and other facts and circumstances may change the business prospects of these issuers. The assessment that these investments are not other-than-temporarily impaired included a review of the business and financial outlook, the financial condition, the severity and duration of the drop in share price compared to the carrying value, as well as the Group’s ability and current intent to hold these securities until the prices recover. For the year ended December 31, 2015, no impairment provision was recorded in the consolidated statements of comprehensive income.</w:t>
      </w:r>
    </w:p>
    <w:p>
      <w:pPr>
        <w:spacing w:after="0" w:line="1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Other Long-term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long-term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7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Copyrights, licenses and domain names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108,102</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190,983</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Staff housing loans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63,006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77,962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Non-current deposits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8,479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25,040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12,051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24,260</w:t>
            </w:r>
          </w:p>
        </w:tc>
      </w:tr>
      <w:tr>
        <w:trPr>
          <w:trHeight w:val="210"/>
        </w:trPr>
        <w:tc>
          <w:tcPr>
            <w:tcW w:w="67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191,638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318,245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Group made housing loans to its employees (excluding executive officers) for house purchases via a third-party commercial bank in China. Each individual staff housing loan is collateralized either by the property for which the loan is extended or by approved personal guarantees for the loan amount granted. The repayment term is five years from the date of drawdown. The interest rate is fixed varying from 1.5% to 3.5% per annum for the years ended December 31, 2014 and 2015, respectively. The outstanding portion of the staff housing loans repayable within 12 months as of December 31, 2014 and 2015 amounted to approximately RMB24.7 million and RMB34.1 million, respectively, and are reported under prepayments and other current assets in the consolidated balance sheets (see Note 5).</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5" w:lineRule="exact"/>
        <w:rPr>
          <w:sz w:val="20"/>
          <w:szCs w:val="20"/>
          <w:color w:val="auto"/>
        </w:rPr>
      </w:pPr>
    </w:p>
    <w:p>
      <w:pPr>
        <w:ind w:left="480" w:hanging="472"/>
        <w:spacing w:after="0"/>
        <w:tabs>
          <w:tab w:leader="none" w:pos="48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British Virgin Islands (“BVI”)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Subsidiaries in the BVI are exempted from income tax on its foreign-derived income in the BVI. There are no withholding taxes in the BVI.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Subsidiaries in Hong Kong are subject to 16.5% income tax for 2013, 2014 and 2015 on their taxable income generated from operations in Hong Kong. The payments of dividends by these companies to their shareholders are not subject to any Hong Kong withholding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March 16, 2007, the National People’s Congress of PRC enacted the Enterprise Income Tax Law, under which Foreign Invested Enterprises (“FIEs”) and domestic companies would be subject to enterprise income tax (“EIT”) at a uniform rate of 25%. Preferential tax treatments will continue to be granted to FIEs or domestic companies which conduct businesses in certain encouraged sectors and to entities otherwise classified as “Software Enterprises”, “Key Software Enterprises” and/or “High and New Technology Enterprises” (“HNTEs”). The Enterprise Income Tax Law became effective on January 1, 2008.</w:t>
      </w:r>
    </w:p>
    <w:p>
      <w:pPr>
        <w:spacing w:after="0" w:line="15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2013, each of NetEase Beijing, Boguan and NetEase Hangzhou was approved as a Key Software Enterprise and enjoyed a preferential tax rate of 10% from 2011 to 2014. The related tax benefit from 2011 to 2013 was recorded in 2013. These three entities were qualified as HNTEs in 2014 and enjoyed a preferential tax rate of 15% from 2015 to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2014, Media Beijing was qualified as a HNTE and enjoyed a preferential tax rate of 15% from 2014 to 2016.</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Hangzhou Langhe was recognized as a Software Enterprise in 2010. It was exempt from EIT for 2010 and 2011 and subject to a 50% reduction in its EIT rate from 2012 to 2014. Hangzhou Langhe was also qualified as a HNTE in 2014 and enjoyed a preferential tax rate of 15% from 2015 to 2016.</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Wangyibao was recognized as a Software Enterprise in 2011. Accordingly it was exempt from EIT for 2011 and 2012 and subject to a 50% reduction in its EIT rate from 2013 to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preferential tax rates are subject to annual review by the relevant tax authorities in China.</w:t>
      </w:r>
    </w:p>
    <w:p>
      <w:pPr>
        <w:spacing w:after="0" w:line="20" w:lineRule="exact"/>
        <w:rPr>
          <w:sz w:val="20"/>
          <w:szCs w:val="20"/>
          <w:color w:val="auto"/>
        </w:rPr>
      </w:pPr>
    </w:p>
    <w:p>
      <w:pPr>
        <w:sectPr>
          <w:pgSz w:w="11900" w:h="16838" w:orient="portrait"/>
          <w:cols w:equalWidth="0" w:num="1">
            <w:col w:w="11380"/>
          </w:cols>
          <w:pgMar w:left="240" w:top="118" w:right="279" w:bottom="32" w:gutter="0" w:footer="0" w:header="0"/>
        </w:sectPr>
      </w:pPr>
    </w:p>
    <w:bookmarkStart w:id="105" w:name="page106"/>
    <w:bookmarkEnd w:id="105"/>
    <w:p>
      <w:pPr>
        <w:ind w:right="240"/>
        <w:spacing w:after="0" w:line="277" w:lineRule="auto"/>
        <w:rPr>
          <w:sz w:val="20"/>
          <w:szCs w:val="20"/>
          <w:color w:val="auto"/>
        </w:rPr>
      </w:pPr>
      <w:r>
        <w:rPr>
          <w:rFonts w:ascii="Arial" w:cs="Arial" w:eastAsia="Arial" w:hAnsi="Arial"/>
          <w:sz w:val="18"/>
          <w:szCs w:val="18"/>
          <w:color w:val="auto"/>
        </w:rPr>
        <w:t>The following table presents the combined effects of EIT exemptions and tax rate reductions enjoyed by the Group for the years ended December 31, 2013, 2014 and 2015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3560" w:type="dxa"/>
            <w:vAlign w:val="bottom"/>
            <w:tcBorders>
              <w:bottom w:val="single" w:sz="8" w:color="auto"/>
            </w:tcBorders>
            <w:gridSpan w:val="5"/>
          </w:tcPr>
          <w:p>
            <w:pPr>
              <w:jc w:val="center"/>
              <w:ind w:left="999"/>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360" w:type="dxa"/>
            <w:vAlign w:val="bottom"/>
          </w:tcPr>
          <w:p>
            <w:pPr>
              <w:jc w:val="right"/>
              <w:ind w:right="439"/>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41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Aggregate amount of EIT exemptions and tax rate reductions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818,056</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824,007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 effect, basic</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300" w:type="dxa"/>
            <w:vAlign w:val="bottom"/>
            <w:tcBorders>
              <w:bottom w:val="single" w:sz="8" w:color="CCEEFF"/>
            </w:tcBorders>
            <w:vMerge w:val="continue"/>
          </w:tcPr>
          <w:p>
            <w:pPr>
              <w:spacing w:after="0"/>
              <w:rPr>
                <w:sz w:val="20"/>
                <w:szCs w:val="20"/>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3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Earnings per share effect, diluted</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3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 of income tax expenses of the Group for the years ended December 31, 2013, 2014 and 2015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60" w:type="dxa"/>
            <w:vAlign w:val="bottom"/>
            <w:tcBorders>
              <w:bottom w:val="single" w:sz="8" w:color="auto"/>
            </w:tcBorders>
            <w:gridSpan w:val="5"/>
          </w:tcPr>
          <w:p>
            <w:pPr>
              <w:jc w:val="center"/>
              <w:ind w:left="1004"/>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2"/>
        </w:trPr>
        <w:tc>
          <w:tcPr>
            <w:tcW w:w="3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6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2"/>
        </w:trPr>
        <w:tc>
          <w:tcPr>
            <w:tcW w:w="38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360" w:type="dxa"/>
            <w:vAlign w:val="bottom"/>
          </w:tcPr>
          <w:p>
            <w:pPr>
              <w:jc w:val="right"/>
              <w:ind w:right="444"/>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41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388,320</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780,077</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1,420,693</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Deferred tax expense (benefit)</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142,283</w:t>
            </w:r>
          </w:p>
        </w:tc>
        <w:tc>
          <w:tcPr>
            <w:tcW w:w="30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(117,342)</w:t>
            </w: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(147,285)</w:t>
            </w:r>
          </w:p>
        </w:tc>
        <w:tc>
          <w:tcPr>
            <w:tcW w:w="860" w:type="dxa"/>
            <w:vAlign w:val="bottom"/>
          </w:tcPr>
          <w:p>
            <w:pPr>
              <w:spacing w:after="0"/>
              <w:rPr>
                <w:sz w:val="18"/>
                <w:szCs w:val="18"/>
                <w:color w:val="auto"/>
              </w:rPr>
            </w:pPr>
          </w:p>
        </w:tc>
      </w:tr>
      <w:tr>
        <w:trPr>
          <w:trHeight w:val="21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530,603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662,735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3880" w:type="dxa"/>
            <w:vAlign w:val="bottom"/>
          </w:tcPr>
          <w:p>
            <w:pPr>
              <w:spacing w:after="0"/>
              <w:rPr>
                <w:sz w:val="24"/>
                <w:szCs w:val="24"/>
                <w:color w:val="auto"/>
              </w:rPr>
            </w:pPr>
          </w:p>
        </w:tc>
        <w:tc>
          <w:tcPr>
            <w:tcW w:w="3640" w:type="dxa"/>
            <w:vAlign w:val="bottom"/>
            <w:gridSpan w:val="3"/>
          </w:tcPr>
          <w:p>
            <w:pPr>
              <w:ind w:left="1660"/>
              <w:spacing w:after="0"/>
              <w:rPr>
                <w:sz w:val="20"/>
                <w:szCs w:val="20"/>
                <w:color w:val="auto"/>
              </w:rPr>
            </w:pPr>
            <w:r>
              <w:rPr>
                <w:rFonts w:ascii="Arial" w:cs="Arial" w:eastAsia="Arial" w:hAnsi="Arial"/>
                <w:sz w:val="18"/>
                <w:szCs w:val="18"/>
                <w:color w:val="auto"/>
              </w:rPr>
              <w:t>F-27</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2"/>
        </w:trPr>
        <w:tc>
          <w:tcPr>
            <w:tcW w:w="388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a reconciliation of the differences between the statutory income tax rate and the Group’s effective income tax rate for the years ended December 31, 2013, 2014 and 2015:</w:t>
      </w:r>
    </w:p>
    <w:p>
      <w:pPr>
        <w:spacing w:after="0" w:line="162" w:lineRule="exact"/>
        <w:rPr>
          <w:sz w:val="20"/>
          <w:szCs w:val="20"/>
          <w:color w:val="auto"/>
        </w:rPr>
      </w:pPr>
    </w:p>
    <w:p>
      <w:pPr>
        <w:ind w:left="682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500" w:type="dxa"/>
            <w:vAlign w:val="bottom"/>
          </w:tcPr>
          <w:p>
            <w:pPr>
              <w:spacing w:after="0"/>
              <w:rPr>
                <w:sz w:val="12"/>
                <w:szCs w:val="12"/>
                <w:color w:val="auto"/>
              </w:rPr>
            </w:pPr>
          </w:p>
        </w:tc>
        <w:tc>
          <w:tcPr>
            <w:tcW w:w="92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2013</w:t>
            </w:r>
          </w:p>
        </w:tc>
        <w:tc>
          <w:tcPr>
            <w:tcW w:w="1640" w:type="dxa"/>
            <w:vAlign w:val="bottom"/>
            <w:tcBorders>
              <w:top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9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Permanent differences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9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due to overseas tax-exempt entities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02"/>
        </w:trPr>
        <w:tc>
          <w:tcPr>
            <w:tcW w:w="6420" w:type="dxa"/>
            <w:vAlign w:val="bottom"/>
            <w:gridSpan w:val="2"/>
          </w:tcPr>
          <w:p>
            <w:pPr>
              <w:spacing w:after="0" w:line="201" w:lineRule="exact"/>
              <w:rPr>
                <w:sz w:val="20"/>
                <w:szCs w:val="20"/>
                <w:color w:val="auto"/>
              </w:rPr>
            </w:pPr>
            <w:r>
              <w:rPr>
                <w:rFonts w:ascii="Arial" w:cs="Arial" w:eastAsia="Arial" w:hAnsi="Arial"/>
                <w:sz w:val="18"/>
                <w:szCs w:val="18"/>
                <w:color w:val="auto"/>
              </w:rPr>
              <w:t>Effect of lower tax rate applicable to Software Enterprises, Key</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Software Enterprise and HNTEs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(16.4)</w:t>
            </w:r>
          </w:p>
        </w:tc>
        <w:tc>
          <w:tcPr>
            <w:tcW w:w="9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(15.0)</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Income tax refund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withholding income tax</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9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certain entities of the Group had net operating tax loss carry forwards as follows (in thousands):</w:t>
      </w:r>
    </w:p>
    <w:p>
      <w:pPr>
        <w:sectPr>
          <w:pgSz w:w="11900" w:h="16838" w:orient="portrait"/>
          <w:cols w:equalWidth="0" w:num="1">
            <w:col w:w="11460"/>
          </w:cols>
          <w:pgMar w:left="240" w:top="125" w:right="199" w:bottom="181" w:gutter="0" w:footer="0" w:header="0"/>
        </w:sectPr>
      </w:pPr>
    </w:p>
    <w:p>
      <w:pPr>
        <w:spacing w:after="0" w:line="37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Loss expiring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-107315</wp:posOffset>
            </wp:positionV>
            <wp:extent cx="579755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Loss expiring in 2017</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Loss expiring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-116205</wp:posOffset>
            </wp:positionV>
            <wp:extent cx="579755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Loss expiring in 2019</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Loss expiring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-116205</wp:posOffset>
            </wp:positionV>
            <wp:extent cx="579755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RMB</w:t>
      </w:r>
    </w:p>
    <w:p>
      <w:pPr>
        <w:spacing w:after="0" w:line="25"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92,767</w:t>
      </w:r>
    </w:p>
    <w:p>
      <w:pPr>
        <w:spacing w:after="0" w:line="8"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152,352</w:t>
      </w:r>
    </w:p>
    <w:p>
      <w:pPr>
        <w:spacing w:after="0" w:line="9"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142,616</w:t>
      </w:r>
    </w:p>
    <w:p>
      <w:pPr>
        <w:spacing w:after="0" w:line="9"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147,584</w:t>
      </w:r>
    </w:p>
    <w:p>
      <w:pPr>
        <w:spacing w:after="0" w:line="9"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113,392</w:t>
      </w:r>
    </w:p>
    <w:p>
      <w:pPr>
        <w:spacing w:after="0" w:line="9"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648,711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86614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31750</wp:posOffset>
            </wp:positionV>
            <wp:extent cx="8661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-130810</wp:posOffset>
            </wp:positionV>
            <wp:extent cx="8661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40" w:space="720"/>
            <w:col w:w="2300"/>
          </w:cols>
          <w:pgMar w:left="240" w:top="125" w:right="199" w:bottom="181" w:gutter="0" w:footer="0" w:header="0"/>
          <w:type w:val="continuous"/>
        </w:sectPr>
      </w:pPr>
    </w:p>
    <w:p>
      <w:pPr>
        <w:spacing w:after="0" w:line="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Full valuation allowance was provided on the related deferred tax assets as the Group’s management does not believe that sufficient positive evidence exists to conclude that recoverability of such deferred tax assets is more likely than not to be realized.</w:t>
      </w:r>
    </w:p>
    <w:p>
      <w:pPr>
        <w:spacing w:after="0" w:line="166" w:lineRule="exact"/>
        <w:rPr>
          <w:sz w:val="20"/>
          <w:szCs w:val="20"/>
          <w:color w:val="auto"/>
        </w:rPr>
      </w:pPr>
    </w:p>
    <w:p>
      <w:pPr>
        <w:ind w:left="480" w:hanging="472"/>
        <w:spacing w:after="0"/>
        <w:tabs>
          <w:tab w:leader="none" w:pos="48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Sales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tax includes business tax and value added tax.</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China, business taxes are imposed by the government on the revenues reported by the selling entities for the provision of taxable services in China, transfer of intangible assets and the sale of immovable properties in China. The business tax rate varies depending on the nature of the revenues. The applicable business tax rate for the Group’s revenues generally ranges from 3% to 5%. The Group is also subject to cultural development fee on the provision of advertising services in China. The applicable tax rate is 3% of the advertising services revenue.</w:t>
      </w:r>
    </w:p>
    <w:p>
      <w:pPr>
        <w:spacing w:after="0" w:line="18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Pursuant to the provision regulation of the PRC on value added tax and its implementation rules, all entities engaged in the sale of goods in China are generally required to pay value added tax at a rate of 17.0% or other applicable value added tax rate implemented by the provision regulation of the gross sales proceeds received, less any creditable value added tax already paid or borne by the taxpayer.</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Since 2012, a pilot program transitioning specified industries from being subject to Business Tax (“BT”) to Value Added Tax (“VAT”) formally commenced in certain provinces (“Pilot Program”) and subsequently expanded nationwide in 2013. According to the implementation circulars, the Company’s subsidiaries and VIEs which are in the Pilot Program were subject to VAT at a rate of 6%, as compared to the BT rate of 5%.</w:t>
      </w:r>
    </w:p>
    <w:p>
      <w:pPr>
        <w:spacing w:after="0" w:line="162" w:lineRule="exact"/>
        <w:rPr>
          <w:sz w:val="20"/>
          <w:szCs w:val="20"/>
          <w:color w:val="auto"/>
        </w:rPr>
      </w:pPr>
    </w:p>
    <w:p>
      <w:pPr>
        <w:ind w:left="460" w:hanging="452"/>
        <w:spacing w:after="0"/>
        <w:tabs>
          <w:tab w:leader="none" w:pos="4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 and liabilities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the tax impact of significant temporary differences that give rise to the deferred tax assets and liabilities as of December 31, 2014 and 2015 (in thousands):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81"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 Current:</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Deferred revenue, primarily for advanced payments from online games customers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96,223</w:t>
            </w:r>
          </w:p>
        </w:tc>
        <w:tc>
          <w:tcPr>
            <w:tcW w:w="1340" w:type="dxa"/>
            <w:vAlign w:val="bottom"/>
          </w:tcPr>
          <w:p>
            <w:pPr>
              <w:jc w:val="right"/>
              <w:spacing w:after="0"/>
              <w:rPr>
                <w:sz w:val="20"/>
                <w:szCs w:val="20"/>
                <w:color w:val="auto"/>
              </w:rPr>
            </w:pPr>
            <w:r>
              <w:rPr>
                <w:rFonts w:ascii="Arial" w:cs="Arial" w:eastAsia="Arial" w:hAnsi="Arial"/>
                <w:sz w:val="18"/>
                <w:szCs w:val="18"/>
                <w:color w:val="auto"/>
              </w:rPr>
              <w:t>202,352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Accruals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124,418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220,641</w:t>
            </w:r>
          </w:p>
        </w:tc>
        <w:tc>
          <w:tcPr>
            <w:tcW w:w="3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(18,601)</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202,040</w:t>
            </w:r>
          </w:p>
        </w:tc>
        <w:tc>
          <w:tcPr>
            <w:tcW w:w="30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410,589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Deferred tax assets - Non-current:</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of fixed assets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2,151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Net operating tax loss carry forward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190,726</w:t>
            </w:r>
          </w:p>
        </w:tc>
        <w:tc>
          <w:tcPr>
            <w:tcW w:w="1340" w:type="dxa"/>
            <w:vAlign w:val="bottom"/>
          </w:tcPr>
          <w:p>
            <w:pPr>
              <w:jc w:val="right"/>
              <w:spacing w:after="0"/>
              <w:rPr>
                <w:sz w:val="20"/>
                <w:szCs w:val="20"/>
                <w:color w:val="auto"/>
              </w:rPr>
            </w:pPr>
            <w:r>
              <w:rPr>
                <w:rFonts w:ascii="Arial" w:cs="Arial" w:eastAsia="Arial" w:hAnsi="Arial"/>
                <w:sz w:val="18"/>
                <w:szCs w:val="18"/>
                <w:color w:val="auto"/>
              </w:rPr>
              <w:t>206,024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19,009</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211,886</w:t>
            </w:r>
          </w:p>
        </w:tc>
        <w:tc>
          <w:tcPr>
            <w:tcW w:w="3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valuation allowance</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(190,726)</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21,160</w:t>
            </w:r>
          </w:p>
        </w:tc>
        <w:tc>
          <w:tcPr>
            <w:tcW w:w="3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 Current: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101,997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Deferred tax liabilities - Non-current: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81,434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spacing w:after="0" w:line="1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Provision/(reversal)</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at</w:t>
            </w:r>
          </w:p>
        </w:tc>
      </w:tr>
      <w:tr>
        <w:trPr>
          <w:trHeight w:val="171"/>
        </w:trPr>
        <w:tc>
          <w:tcPr>
            <w:tcW w:w="4160" w:type="dxa"/>
            <w:vAlign w:val="bottom"/>
          </w:tcPr>
          <w:p>
            <w:pPr>
              <w:spacing w:after="0"/>
              <w:rPr>
                <w:sz w:val="14"/>
                <w:szCs w:val="1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January 1</w:t>
            </w: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for the year</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w:t>
            </w:r>
          </w:p>
        </w:tc>
      </w:tr>
      <w:tr>
        <w:trPr>
          <w:trHeight w:val="142"/>
        </w:trPr>
        <w:tc>
          <w:tcPr>
            <w:tcW w:w="4160" w:type="dxa"/>
            <w:vAlign w:val="bottom"/>
          </w:tcPr>
          <w:p>
            <w:pPr>
              <w:spacing w:after="0"/>
              <w:rPr>
                <w:sz w:val="12"/>
                <w:szCs w:val="12"/>
                <w:color w:val="auto"/>
              </w:rPr>
            </w:pPr>
          </w:p>
        </w:tc>
        <w:tc>
          <w:tcPr>
            <w:tcW w:w="1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4160" w:type="dxa"/>
            <w:vAlign w:val="bottom"/>
            <w:shd w:val="clear" w:color="auto" w:fill="CCEEFF"/>
          </w:tcPr>
          <w:p>
            <w:pPr>
              <w:jc w:val="right"/>
              <w:ind w:right="3710"/>
              <w:spacing w:after="0"/>
              <w:rPr>
                <w:sz w:val="20"/>
                <w:szCs w:val="20"/>
                <w:color w:val="auto"/>
              </w:rPr>
            </w:pPr>
            <w:r>
              <w:rPr>
                <w:rFonts w:ascii="Arial" w:cs="Arial" w:eastAsia="Arial" w:hAnsi="Arial"/>
                <w:sz w:val="18"/>
                <w:szCs w:val="18"/>
                <w:color w:val="auto"/>
                <w:w w:val="84"/>
              </w:rPr>
              <w:t>2013</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157,306</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32,557</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189,863</w:t>
            </w:r>
          </w:p>
        </w:tc>
      </w:tr>
      <w:tr>
        <w:trPr>
          <w:trHeight w:val="216"/>
        </w:trPr>
        <w:tc>
          <w:tcPr>
            <w:tcW w:w="4160" w:type="dxa"/>
            <w:vAlign w:val="bottom"/>
          </w:tcPr>
          <w:p>
            <w:pPr>
              <w:jc w:val="right"/>
              <w:ind w:right="3710"/>
              <w:spacing w:after="0"/>
              <w:rPr>
                <w:sz w:val="20"/>
                <w:szCs w:val="20"/>
                <w:color w:val="auto"/>
              </w:rPr>
            </w:pPr>
            <w:r>
              <w:rPr>
                <w:rFonts w:ascii="Arial" w:cs="Arial" w:eastAsia="Arial" w:hAnsi="Arial"/>
                <w:sz w:val="18"/>
                <w:szCs w:val="18"/>
                <w:color w:val="auto"/>
                <w:w w:val="84"/>
              </w:rPr>
              <w:t>2014</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189,863</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19,464</w:t>
            </w: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209,327</w:t>
            </w:r>
          </w:p>
        </w:tc>
      </w:tr>
      <w:tr>
        <w:trPr>
          <w:trHeight w:val="216"/>
        </w:trPr>
        <w:tc>
          <w:tcPr>
            <w:tcW w:w="4160" w:type="dxa"/>
            <w:vAlign w:val="bottom"/>
            <w:shd w:val="clear" w:color="auto" w:fill="CCEEFF"/>
          </w:tcPr>
          <w:p>
            <w:pPr>
              <w:jc w:val="right"/>
              <w:ind w:right="3710"/>
              <w:spacing w:after="0"/>
              <w:rPr>
                <w:sz w:val="20"/>
                <w:szCs w:val="20"/>
                <w:color w:val="auto"/>
              </w:rPr>
            </w:pPr>
            <w:r>
              <w:rPr>
                <w:rFonts w:ascii="Arial" w:cs="Arial" w:eastAsia="Arial" w:hAnsi="Arial"/>
                <w:sz w:val="18"/>
                <w:szCs w:val="18"/>
                <w:color w:val="auto"/>
                <w:w w:val="84"/>
              </w:rPr>
              <w:t>2015</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209,327</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14,317</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223,644</w:t>
            </w:r>
          </w:p>
        </w:tc>
      </w:tr>
    </w:tbl>
    <w:p>
      <w:pPr>
        <w:spacing w:after="0" w:line="198" w:lineRule="exact"/>
        <w:rPr>
          <w:sz w:val="20"/>
          <w:szCs w:val="20"/>
          <w:color w:val="auto"/>
        </w:rPr>
      </w:pPr>
    </w:p>
    <w:p>
      <w:pPr>
        <w:ind w:left="480" w:hanging="472"/>
        <w:spacing w:after="0"/>
        <w:tabs>
          <w:tab w:leader="none" w:pos="48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income tax</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Enterprise Income Tax Law also imposes a withholding income tax of 10% on dividends distributed by a FIE to its immediate holding company outside of China. A lower withholding income tax rate of 5% is applied if the FIE’s immediate holding company is registered in Hong Kong or other jurisdictions that have a tax treaty arrangement with China. Such withholding income tax was exempted under the previous income tax law. On February 22, 2008, the Ministry of Finance and State Administration of Taxation jointly issued a circular which stated that for FIEs, all profits accumulated up to December 31, 2007 are exempted from withholding tax when they are distributed to foreign investors. Based on the interpretation of the current tax laws, management believes that the Company and all its non-PRC subsidiaries are not considered as a “resident enterprise” in China for corporate income tax purposes, but it cannot be certain that the relevant PRC tax authorities will agree with this determination. Except for the foregoing withholding taxes, the Company’s non-PRC subsidiaries, which are currently all incorporated in Hong Kong, the British Virgin Islands or Cayman Islands are not subject to taxation on dividends they receive from the Company’s PRC subsidiaries.</w:t>
      </w:r>
    </w:p>
    <w:p>
      <w:pPr>
        <w:spacing w:after="0" w:line="18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2013, the Group accrued RMB344.7 million of withholding tax liabilities, of which RMB55.6 million was associated with its 2013 annual dividend and RMB289.1 million was associated with cash expected to be distributed from its PRC subsidiaries to overseas for general corporate purposes.</w:t>
      </w:r>
    </w:p>
    <w:p>
      <w:pPr>
        <w:spacing w:after="0" w:line="14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 2014 and 2015, the Group accrued RMB125.1 million and RMB180.7 million (US$27.9 million) of withholding tax liabilities, respectively, associated with its quarterly dividend and cash expected to be distributed from its PRC subsidiaries to overseas for general corporate purposes.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Aside from the above distributions, the Group intends to indefinitely reinvest all remaining undistributed earnings as of December 31, 2015 in its PRC subsidiaries. Accordingly, no other withholding tax is expected to be incurred, and the unrecognized deferred tax liabilities as of December 31, 2014 and 2015 were approximately RMB734.6 million and RMB1,160.6 million (US$179.2 million),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12.</w:t>
            </w:r>
          </w:p>
        </w:tc>
        <w:tc>
          <w:tcPr>
            <w:tcW w:w="7160" w:type="dxa"/>
            <w:vAlign w:val="bottom"/>
          </w:tcPr>
          <w:p>
            <w:pPr>
              <w:ind w:left="100"/>
              <w:spacing w:after="0"/>
              <w:rPr>
                <w:sz w:val="20"/>
                <w:szCs w:val="20"/>
                <w:color w:val="auto"/>
              </w:rPr>
            </w:pPr>
            <w:r>
              <w:rPr>
                <w:rFonts w:ascii="Arial" w:cs="Arial" w:eastAsia="Arial" w:hAnsi="Arial"/>
                <w:sz w:val="18"/>
                <w:szCs w:val="18"/>
                <w:b w:val="1"/>
                <w:bCs w:val="1"/>
                <w:color w:val="auto"/>
              </w:rPr>
              <w:t>Taxes Payable</w:t>
            </w: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spacing w:after="0"/>
              <w:rPr>
                <w:sz w:val="20"/>
                <w:szCs w:val="20"/>
                <w:color w:val="auto"/>
              </w:rPr>
            </w:pPr>
            <w:r>
              <w:rPr>
                <w:rFonts w:ascii="Arial" w:cs="Arial" w:eastAsia="Arial" w:hAnsi="Arial"/>
                <w:sz w:val="18"/>
                <w:szCs w:val="18"/>
                <w:color w:val="auto"/>
                <w:w w:val="97"/>
              </w:rPr>
              <w:t>The following is a summary of taxes payable as of December 31, 2014 and 2015 (in thousands):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160" w:type="dxa"/>
            <w:vAlign w:val="bottom"/>
          </w:tcPr>
          <w:p>
            <w:pPr>
              <w:ind w:left="5200"/>
              <w:spacing w:after="0"/>
              <w:rPr>
                <w:sz w:val="20"/>
                <w:szCs w:val="20"/>
                <w:color w:val="auto"/>
              </w:rPr>
            </w:pPr>
            <w:r>
              <w:rPr>
                <w:rFonts w:ascii="Arial" w:cs="Arial" w:eastAsia="Arial" w:hAnsi="Arial"/>
                <w:sz w:val="18"/>
                <w:szCs w:val="18"/>
                <w:color w:val="auto"/>
              </w:rPr>
              <w:t>F-29</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71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3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30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tax</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20,445</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60,631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Withholding individual income taxes for employees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46,963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88,548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income taxes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241,008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531,788</w:t>
            </w: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Others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25,874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55,247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71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334,290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736,214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8"/>
                <w:szCs w:val="18"/>
                <w:b w:val="1"/>
                <w:bCs w:val="1"/>
                <w:color w:val="auto"/>
              </w:rPr>
              <w:t>13.</w:t>
            </w:r>
          </w:p>
        </w:tc>
        <w:tc>
          <w:tcPr>
            <w:tcW w:w="71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Short-term Loan</w:t>
            </w: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vMerge w:val="continue"/>
          </w:tcPr>
          <w:p>
            <w:pPr>
              <w:spacing w:after="0"/>
              <w:rPr>
                <w:sz w:val="24"/>
                <w:szCs w:val="24"/>
                <w:color w:val="auto"/>
              </w:rPr>
            </w:pPr>
          </w:p>
        </w:tc>
        <w:tc>
          <w:tcPr>
            <w:tcW w:w="71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-1673860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-1673860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0" w:right="199" w:bottom="0" w:gutter="0" w:footer="0" w:header="0"/>
        </w:sectPr>
      </w:pPr>
    </w:p>
    <w:bookmarkStart w:id="107" w:name="page108"/>
    <w:bookmarkEnd w:id="107"/>
    <w:p>
      <w:pPr>
        <w:ind w:right="40"/>
        <w:spacing w:after="0" w:line="273" w:lineRule="auto"/>
        <w:rPr>
          <w:sz w:val="20"/>
          <w:szCs w:val="20"/>
          <w:color w:val="auto"/>
        </w:rPr>
      </w:pPr>
      <w:r>
        <w:rPr>
          <w:rFonts w:ascii="Arial" w:cs="Arial" w:eastAsia="Arial" w:hAnsi="Arial"/>
          <w:sz w:val="17"/>
          <w:szCs w:val="17"/>
          <w:color w:val="auto"/>
        </w:rPr>
        <w:t>As of December 31, 2014, the short-term loan balances represent short-term loan arrangements with the JPMorgan Chase &amp; Co and the Hong Kong and Shanghai Banking Corporation (“HSBC”). The commitment of the loan from JPMorgan Chase &amp; Co amounted to RMB550.7 million (US$90.0 million), with a fixed interest rate of 0.96% per annum and a maturity term of twelve months. The loan was secured by RMB deposits of the Group in an onshore branch of this bank in the amount of RMB614.2 million, which was recognized as a short-term investment (see Note 6). The commitments of the loans from HSBC were RMB673.1 million (US$110.0 million), RMB550.7 million (US$90.0 million), and RMB275.4 million (US$45.0 million), with a fixed interest rate of 1.15%, 1.15%, and 0.96% per annum and a maturity term of twelve months, twelve months, and three months, respectively.</w:t>
      </w:r>
    </w:p>
    <w:p>
      <w:pPr>
        <w:spacing w:after="0" w:line="17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of December 31, 2015, the short-term loan balances represent short-term loan arrangements with HSBC. The commitments of the loans from HSBC were RMB714.3 million (US$110.0 million), RMB584.4 million (US$90.0 million), and RMB974.0 million (US$150.0 million), with a fixed interest rate of</w:t>
      </w:r>
    </w:p>
    <w:p>
      <w:pPr>
        <w:jc w:val="both"/>
        <w:ind w:right="200"/>
        <w:spacing w:after="0" w:line="255" w:lineRule="auto"/>
        <w:rPr>
          <w:sz w:val="20"/>
          <w:szCs w:val="20"/>
          <w:color w:val="auto"/>
        </w:rPr>
      </w:pPr>
      <w:r>
        <w:rPr>
          <w:rFonts w:ascii="Arial" w:cs="Arial" w:eastAsia="Arial" w:hAnsi="Arial"/>
          <w:sz w:val="18"/>
          <w:szCs w:val="18"/>
          <w:color w:val="auto"/>
        </w:rPr>
        <w:t>1.00%, 0.96%, and 0.93% per annum, respectively, and all with a maturity term of three months. As of December 31, 2015, the loans were secured by RMB deposits of the Group in an onshore branch of this bank in the amount of RMB2,427.6 million (US$374.8 million), which was recognized as restricted cash (see Note 2(f)).</w:t>
      </w:r>
    </w:p>
    <w:p>
      <w:pPr>
        <w:spacing w:after="0" w:line="186" w:lineRule="exact"/>
        <w:rPr>
          <w:sz w:val="20"/>
          <w:szCs w:val="20"/>
          <w:color w:val="auto"/>
        </w:rPr>
      </w:pPr>
    </w:p>
    <w:p>
      <w:pPr>
        <w:ind w:left="440" w:hanging="432"/>
        <w:spacing w:after="0"/>
        <w:tabs>
          <w:tab w:leader="none" w:pos="4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Payables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accrued liabilities and other payables as of December 31, 2014 and 2015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5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r>
      <w:tr>
        <w:trPr>
          <w:trHeight w:val="142"/>
        </w:trPr>
        <w:tc>
          <w:tcPr>
            <w:tcW w:w="75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on Wangyibao accounts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622,021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756,433</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Marketing expenses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294,401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587,118</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RSU payables (see Note 2(o))</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137,033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155,624</w:t>
            </w: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Accrued fixed assets related payables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80,942</w:t>
            </w:r>
          </w:p>
        </w:tc>
        <w:tc>
          <w:tcPr>
            <w:tcW w:w="1340" w:type="dxa"/>
            <w:vAlign w:val="bottom"/>
          </w:tcPr>
          <w:p>
            <w:pPr>
              <w:jc w:val="right"/>
              <w:spacing w:after="0"/>
              <w:rPr>
                <w:sz w:val="20"/>
                <w:szCs w:val="20"/>
                <w:color w:val="auto"/>
              </w:rPr>
            </w:pPr>
            <w:r>
              <w:rPr>
                <w:rFonts w:ascii="Arial" w:cs="Arial" w:eastAsia="Arial" w:hAnsi="Arial"/>
                <w:sz w:val="18"/>
                <w:szCs w:val="18"/>
                <w:color w:val="auto"/>
              </w:rPr>
              <w:t>171,733</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Server custody fees and telecommunication charges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64,614</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91,861</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Accrued revenue sharing</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27,838</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56,720</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staff related cost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23,203</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26,793</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Content cost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13,354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82,998</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11,939</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16,594</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Accrued freight and warehousing charge</w:t>
            </w:r>
          </w:p>
        </w:tc>
        <w:tc>
          <w:tcPr>
            <w:tcW w:w="136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86,817</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81,825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185,639</w:t>
            </w:r>
          </w:p>
        </w:tc>
        <w:tc>
          <w:tcPr>
            <w:tcW w:w="100" w:type="dxa"/>
            <w:vAlign w:val="bottom"/>
            <w:shd w:val="clear" w:color="auto" w:fill="CCEEFF"/>
          </w:tcPr>
          <w:p>
            <w:pPr>
              <w:spacing w:after="0"/>
              <w:rPr>
                <w:sz w:val="18"/>
                <w:szCs w:val="18"/>
                <w:color w:val="auto"/>
              </w:rPr>
            </w:pPr>
          </w:p>
        </w:tc>
      </w:tr>
      <w:tr>
        <w:trPr>
          <w:trHeight w:val="210"/>
        </w:trPr>
        <w:tc>
          <w:tcPr>
            <w:tcW w:w="75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1,357,228</w:t>
            </w:r>
          </w:p>
        </w:tc>
        <w:tc>
          <w:tcPr>
            <w:tcW w:w="3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2,218,330</w:t>
            </w:r>
          </w:p>
        </w:tc>
        <w:tc>
          <w:tcPr>
            <w:tcW w:w="10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hanging="432"/>
        <w:spacing w:after="0"/>
        <w:tabs>
          <w:tab w:leader="none" w:pos="4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revenue represents sales proceeds from prepaid point cards, online points sold, unamortized mobile game in-game spending and prepaid subscription fees for Internet value-added services for which services are yet to be provided as of the balance sheet dates.</w:t>
      </w:r>
    </w:p>
    <w:p>
      <w:pPr>
        <w:spacing w:after="0" w:line="166" w:lineRule="exact"/>
        <w:rPr>
          <w:sz w:val="20"/>
          <w:szCs w:val="20"/>
          <w:color w:val="auto"/>
        </w:rPr>
      </w:pPr>
    </w:p>
    <w:p>
      <w:pPr>
        <w:ind w:left="440" w:hanging="432"/>
        <w:spacing w:after="0"/>
        <w:tabs>
          <w:tab w:leader="none" w:pos="4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long-term payables as of December 31, 2014 and 2015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spacing w:after="0"/>
              <w:rPr>
                <w:sz w:val="14"/>
                <w:szCs w:val="14"/>
                <w:color w:val="auto"/>
              </w:rPr>
            </w:pPr>
          </w:p>
        </w:tc>
      </w:tr>
      <w:tr>
        <w:trPr>
          <w:trHeight w:val="171"/>
        </w:trPr>
        <w:tc>
          <w:tcPr>
            <w:tcW w:w="4200" w:type="dxa"/>
            <w:vAlign w:val="bottom"/>
          </w:tcPr>
          <w:p>
            <w:pPr>
              <w:spacing w:after="0"/>
              <w:rPr>
                <w:sz w:val="14"/>
                <w:szCs w:val="14"/>
                <w:color w:val="auto"/>
              </w:rPr>
            </w:pPr>
          </w:p>
        </w:tc>
        <w:tc>
          <w:tcPr>
            <w:tcW w:w="4660" w:type="dxa"/>
            <w:vAlign w:val="bottom"/>
            <w:gridSpan w:val="2"/>
          </w:tcPr>
          <w:p>
            <w:pPr>
              <w:jc w:val="center"/>
              <w:ind w:left="3214"/>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RSU long-term payable (see Note 2(o))</w:t>
            </w:r>
          </w:p>
        </w:tc>
        <w:tc>
          <w:tcPr>
            <w:tcW w:w="4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106,230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84,774</w:t>
            </w:r>
          </w:p>
        </w:tc>
        <w:tc>
          <w:tcPr>
            <w:tcW w:w="86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4960" w:type="dxa"/>
            <w:vAlign w:val="bottom"/>
            <w:gridSpan w:val="3"/>
          </w:tcPr>
          <w:p>
            <w:pPr>
              <w:jc w:val="right"/>
              <w:ind w:right="300"/>
              <w:spacing w:after="0"/>
              <w:rPr>
                <w:sz w:val="20"/>
                <w:szCs w:val="20"/>
                <w:color w:val="auto"/>
              </w:rPr>
            </w:pPr>
            <w:r>
              <w:rPr>
                <w:rFonts w:ascii="Arial" w:cs="Arial" w:eastAsia="Arial" w:hAnsi="Arial"/>
                <w:sz w:val="18"/>
                <w:szCs w:val="18"/>
                <w:color w:val="auto"/>
              </w:rPr>
              <w:t>200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860" w:type="dxa"/>
            <w:vAlign w:val="bottom"/>
          </w:tcPr>
          <w:p>
            <w:pPr>
              <w:spacing w:after="0"/>
              <w:rPr>
                <w:sz w:val="18"/>
                <w:szCs w:val="18"/>
                <w:color w:val="auto"/>
              </w:rPr>
            </w:pPr>
          </w:p>
        </w:tc>
      </w:tr>
      <w:tr>
        <w:trPr>
          <w:trHeight w:val="210"/>
        </w:trPr>
        <w:tc>
          <w:tcPr>
            <w:tcW w:w="4200" w:type="dxa"/>
            <w:vAlign w:val="bottom"/>
            <w:tcBorders>
              <w:top w:val="single" w:sz="8" w:color="CCEEFF"/>
              <w:bottom w:val="single" w:sz="8" w:color="CCEEFF"/>
            </w:tcBorders>
            <w:shd w:val="clear" w:color="auto" w:fill="CCEEFF"/>
          </w:tcPr>
          <w:p>
            <w:pPr>
              <w:spacing w:after="0"/>
              <w:rPr>
                <w:sz w:val="18"/>
                <w:szCs w:val="18"/>
                <w:color w:val="auto"/>
              </w:rPr>
            </w:pPr>
          </w:p>
        </w:tc>
        <w:tc>
          <w:tcPr>
            <w:tcW w:w="3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106,430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4960" w:type="dxa"/>
            <w:vAlign w:val="bottom"/>
            <w:gridSpan w:val="3"/>
          </w:tcPr>
          <w:p>
            <w:pPr>
              <w:jc w:val="right"/>
              <w:ind w:right="3280"/>
              <w:spacing w:after="0"/>
              <w:rPr>
                <w:sz w:val="20"/>
                <w:szCs w:val="20"/>
                <w:color w:val="auto"/>
              </w:rPr>
            </w:pPr>
            <w:r>
              <w:rPr>
                <w:rFonts w:ascii="Arial" w:cs="Arial" w:eastAsia="Arial" w:hAnsi="Arial"/>
                <w:sz w:val="18"/>
                <w:szCs w:val="18"/>
                <w:color w:val="auto"/>
              </w:rPr>
              <w:t>F-30</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2"/>
        </w:trPr>
        <w:tc>
          <w:tcPr>
            <w:tcW w:w="4200" w:type="dxa"/>
            <w:vAlign w:val="bottom"/>
            <w:tcBorders>
              <w:bottom w:val="single" w:sz="8" w:color="808080"/>
            </w:tcBorders>
          </w:tcPr>
          <w:p>
            <w:pPr>
              <w:spacing w:after="0"/>
              <w:rPr>
                <w:sz w:val="11"/>
                <w:szCs w:val="11"/>
                <w:color w:val="auto"/>
              </w:rPr>
            </w:pPr>
          </w:p>
        </w:tc>
        <w:tc>
          <w:tcPr>
            <w:tcW w:w="3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440" w:hanging="432"/>
        <w:spacing w:after="0"/>
        <w:tabs>
          <w:tab w:leader="none" w:pos="4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Mezzanine Classified Noncontrolling Interests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November 2014, one of the Company’s subsidiaries Lede Inc., issued 5,673,796 of Series A convertible redeemable preferred shares (‘‘preferred shares’’) to certain investors, including LNT Investment Holdings (PTC) Limited (‘‘LNT Holdings’’), Shining Globe International Limited (‘‘Shining Globe’’) and two Directors of the Company, for US$3.74 per share in exchange of a total consideration of US$21.2 million. LNT Holdings is a private trust company incorporated under the laws of the British Virgin Islands, controlled by a group of employees of the Group (other than the employees of Lede). Shining Globe is a private company incorporated under the laws of the British Virgin Islands, controlled by William Lei Ding, the Company’s Chief Executive Officer, director and major shareholder. As of December 31, 2014, the preferred shares are recognized as mezzanine classified noncontrolling interest in the consolidated balance sheet as the preferred shares are contingently redeemable upon the occurrence of a conditional event, which is not solely within the control of the Company.</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November 2015, Lede Inc. repurchased all the preferred shares from LNT Holdings, Shining Globe and two Directors of the Company at the price of US$3.74 per shares for a total consideration of US$21.2 million (RMB134.7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share-based compensation cost was recognized as the subscription price paid by investors was the fair value of the preferred shares.</w:t>
      </w:r>
    </w:p>
    <w:p>
      <w:pPr>
        <w:spacing w:after="0" w:line="221" w:lineRule="exact"/>
        <w:rPr>
          <w:sz w:val="20"/>
          <w:szCs w:val="20"/>
          <w:color w:val="auto"/>
        </w:rPr>
      </w:pPr>
    </w:p>
    <w:p>
      <w:pPr>
        <w:ind w:left="440" w:hanging="432"/>
        <w:spacing w:after="0"/>
        <w:tabs>
          <w:tab w:leader="none" w:pos="4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77" w:lineRule="exact"/>
        <w:rPr>
          <w:sz w:val="20"/>
          <w:szCs w:val="20"/>
          <w:color w:val="auto"/>
        </w:rPr>
      </w:pPr>
    </w:p>
    <w:p>
      <w:pPr>
        <w:ind w:left="440" w:hanging="432"/>
        <w:spacing w:after="0"/>
        <w:tabs>
          <w:tab w:leader="none" w:pos="4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ectPr>
          <w:pgSz w:w="11900" w:h="16838" w:orient="portrait"/>
          <w:cols w:equalWidth="0" w:num="1">
            <w:col w:w="11460"/>
          </w:cols>
          <w:pgMar w:left="240" w:top="125" w:right="199" w:bottom="0" w:gutter="0" w:footer="0" w:header="0"/>
        </w:sectPr>
      </w:pPr>
    </w:p>
    <w:bookmarkStart w:id="108" w:name="page109"/>
    <w:bookmarkEnd w:id="108"/>
    <w:p>
      <w:pPr>
        <w:ind w:right="280"/>
        <w:spacing w:after="0" w:line="255" w:lineRule="auto"/>
        <w:rPr>
          <w:sz w:val="20"/>
          <w:szCs w:val="20"/>
          <w:color w:val="auto"/>
        </w:rPr>
      </w:pPr>
      <w:r>
        <w:rPr>
          <w:rFonts w:ascii="Arial" w:cs="Arial" w:eastAsia="Arial" w:hAnsi="Arial"/>
          <w:sz w:val="18"/>
          <w:szCs w:val="18"/>
          <w:color w:val="auto"/>
        </w:rPr>
        <w:t>The Company’s subsidiaries and VIEs incorporated in China participate in a government-mandated multi-employer defined contribution plan under which certain retirement, medical, housing and other welfare benefits are provided to employees. Chinese labor regulations require the Company’s Chinese subsidiaries and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for the years ended December 31, 2013, 2014 and 2015 (in millions):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3560" w:type="dxa"/>
            <w:vAlign w:val="bottom"/>
            <w:tcBorders>
              <w:bottom w:val="single" w:sz="8" w:color="auto"/>
            </w:tcBorders>
            <w:gridSpan w:val="5"/>
          </w:tcPr>
          <w:p>
            <w:pPr>
              <w:jc w:val="center"/>
              <w:ind w:left="999"/>
              <w:spacing w:after="0"/>
              <w:rPr>
                <w:sz w:val="20"/>
                <w:szCs w:val="20"/>
                <w:color w:val="auto"/>
              </w:rPr>
            </w:pPr>
            <w:r>
              <w:rPr>
                <w:rFonts w:ascii="Arial" w:cs="Arial" w:eastAsia="Arial" w:hAnsi="Arial"/>
                <w:sz w:val="14"/>
                <w:szCs w:val="14"/>
                <w:b w:val="1"/>
                <w:bCs w:val="1"/>
                <w:color w:val="auto"/>
                <w:w w:val="92"/>
              </w:rPr>
              <w:t>For the year ended December 31</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1360" w:type="dxa"/>
            <w:vAlign w:val="bottom"/>
            <w:tcBorders>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584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right="177"/>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medical and pension schemes</w:t>
            </w:r>
          </w:p>
        </w:tc>
        <w:tc>
          <w:tcPr>
            <w:tcW w:w="16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205.0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366.4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Other employee benefits</w:t>
            </w:r>
          </w:p>
        </w:tc>
        <w:tc>
          <w:tcPr>
            <w:tcW w:w="1660" w:type="dxa"/>
            <w:vAlign w:val="bottom"/>
            <w:gridSpan w:val="2"/>
          </w:tcPr>
          <w:p>
            <w:pPr>
              <w:ind w:left="960"/>
              <w:spacing w:after="0"/>
              <w:rPr>
                <w:sz w:val="20"/>
                <w:szCs w:val="20"/>
                <w:color w:val="auto"/>
              </w:rPr>
            </w:pPr>
            <w:r>
              <w:rPr>
                <w:rFonts w:ascii="Arial" w:cs="Arial" w:eastAsia="Arial" w:hAnsi="Arial"/>
                <w:sz w:val="18"/>
                <w:szCs w:val="18"/>
                <w:color w:val="auto"/>
              </w:rPr>
              <w:t>123.0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159.2</w:t>
            </w:r>
          </w:p>
        </w:tc>
        <w:tc>
          <w:tcPr>
            <w:tcW w:w="26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235.5</w:t>
            </w:r>
          </w:p>
        </w:tc>
      </w:tr>
      <w:tr>
        <w:trPr>
          <w:trHeight w:val="210"/>
        </w:trPr>
        <w:tc>
          <w:tcPr>
            <w:tcW w:w="58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4"/>
              </w:rPr>
              <w:t>328.0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4"/>
              </w:rPr>
              <w:t>601.9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hanging="432"/>
        <w:spacing w:after="0"/>
        <w:tabs>
          <w:tab w:leader="none" w:pos="4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5" w:lineRule="exact"/>
        <w:rPr>
          <w:sz w:val="20"/>
          <w:szCs w:val="20"/>
          <w:color w:val="auto"/>
        </w:rPr>
      </w:pPr>
    </w:p>
    <w:p>
      <w:pPr>
        <w:ind w:left="460" w:hanging="452"/>
        <w:spacing w:after="0"/>
        <w:tabs>
          <w:tab w:leader="none" w:pos="4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stock option plan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 to a resolution of the board of directors of the Company in 2000, the Company adopted its 2000 Stock Incentive Plan which was amended and restated in 2001 (the “2000 Stock Incentive Plan”).</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According to resolutions of the board of directors and the shareholders of the Company in 2001, the 2000 Stock Incentive Plan was amended and restated. Under the amended plan, the number of ordinary shares available for issuance was increased to 323,715,000. The amended plan also included a mechanism for the automatic increase in the number of ordinary shares available for future issuance. This mechanism, which is known as “Evergreen Provision”, provided for a periodic increase so that the number of ordinary shares available under the plan would automatically increase by 3% each year up to a maximum at any given time of 17.5% of the Company’s total outstanding ordinary shares, on a fully-diluted basis. These increases would occur on June 1 of 2001 and January 1 of each year thereafter. The “Evergreen Provision” was suspended following a resolution of the board of directors dated March 25, 2002. The 2000 Stock Incentive Plan expired in February 2010.</w:t>
      </w:r>
    </w:p>
    <w:p>
      <w:pPr>
        <w:spacing w:after="0" w:line="174" w:lineRule="exact"/>
        <w:rPr>
          <w:sz w:val="20"/>
          <w:szCs w:val="20"/>
          <w:color w:val="auto"/>
        </w:rPr>
      </w:pPr>
    </w:p>
    <w:p>
      <w:pPr>
        <w:ind w:left="480" w:hanging="472"/>
        <w:spacing w:after="0"/>
        <w:tabs>
          <w:tab w:leader="none" w:pos="4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 units plan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November 2009, the Company adopted a restricted share units plan for the Company’s employees, directors and consultants (the “2009 RSU Plan”). The Company has reserved 323,694,050 ordinary shares for issuance under the plan. The 2009 RSU Plan was adopted by a resolution of the board of directors on November 17, 2009 and became effective for a term of ten years unless sooner terminated.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expense</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Group recognizes share-based compensation cost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a summary of the Group’s share-based compensation cost for the years ended December 31, 2013, 2014 and 2015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580" w:type="dxa"/>
            <w:vAlign w:val="bottom"/>
            <w:tcBorders>
              <w:bottom w:val="single" w:sz="8" w:color="auto"/>
            </w:tcBorders>
            <w:gridSpan w:val="5"/>
          </w:tcPr>
          <w:p>
            <w:pPr>
              <w:jc w:val="center"/>
              <w:ind w:left="1017"/>
              <w:spacing w:after="0"/>
              <w:rPr>
                <w:sz w:val="20"/>
                <w:szCs w:val="20"/>
                <w:color w:val="auto"/>
              </w:rPr>
            </w:pPr>
            <w:r>
              <w:rPr>
                <w:rFonts w:ascii="Arial" w:cs="Arial" w:eastAsia="Arial" w:hAnsi="Arial"/>
                <w:sz w:val="14"/>
                <w:szCs w:val="14"/>
                <w:b w:val="1"/>
                <w:bCs w:val="1"/>
                <w:color w:val="auto"/>
                <w:w w:val="92"/>
              </w:rPr>
              <w:t>For the year ended 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138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138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165,708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169,621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328,480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17,967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23,253</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36,023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48,350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51,475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120,925</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74,283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104,928</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199,039</w:t>
            </w:r>
          </w:p>
        </w:tc>
      </w:tr>
      <w:tr>
        <w:trPr>
          <w:trHeight w:val="210"/>
        </w:trPr>
        <w:tc>
          <w:tcPr>
            <w:tcW w:w="664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December 31, 2015, there was no unrecognized compensation cost under the 2000 Stock Incentive Plan as the options granted thereunder were fully vested.</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December 31, 2015, total unrecognized compensation cost related to unvested awards under the 2009 RSU Plan, adjusted for estimated forfeitures, was US$274.4 million (RMB1,777.5 million) and is expected to be recognized through the remaining vesting period of each grant. As of December 31, 2015, the weighted average remaining vesting period was 3.52 years.</w:t>
      </w:r>
    </w:p>
    <w:p>
      <w:pPr>
        <w:spacing w:after="0" w:line="177" w:lineRule="exact"/>
        <w:rPr>
          <w:sz w:val="20"/>
          <w:szCs w:val="20"/>
          <w:color w:val="auto"/>
        </w:rPr>
      </w:pPr>
    </w:p>
    <w:p>
      <w:pPr>
        <w:ind w:left="480" w:hanging="472"/>
        <w:spacing w:after="0"/>
        <w:tabs>
          <w:tab w:leader="none" w:pos="4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assumptions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uses the Black-Scholes option pricing model to determine the fair value of stock options. The Company did not grant any stock options in 2013, 2014 and 2015. Refer to Note 2(o) for the description of the bases the Company follows in the valuation of RSUs.</w:t>
      </w:r>
    </w:p>
    <w:p>
      <w:pPr>
        <w:spacing w:after="0" w:line="166"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 and restricted share units award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Company’s stock options and RSUs award activities for the years ended December 31, 2013, 2014 and 2015:</w:t>
      </w:r>
    </w:p>
    <w:p>
      <w:pPr>
        <w:spacing w:after="0" w:line="227" w:lineRule="exact"/>
        <w:rPr>
          <w:sz w:val="20"/>
          <w:szCs w:val="20"/>
          <w:color w:val="auto"/>
        </w:rPr>
      </w:pPr>
    </w:p>
    <w:tbl>
      <w:tblPr>
        <w:tblLayout w:type="fixed"/>
        <w:tblInd w:w="4020" w:type="dxa"/>
        <w:tblCellMar>
          <w:top w:w="0" w:type="dxa"/>
          <w:left w:w="0" w:type="dxa"/>
          <w:bottom w:w="0" w:type="dxa"/>
          <w:right w:w="0" w:type="dxa"/>
        </w:tblCellMar>
      </w:tblPr>
      <w:tr>
        <w:trPr>
          <w:trHeight w:val="161"/>
        </w:trPr>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Employees</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Senior</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Director and</w:t>
            </w: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1420" w:type="dxa"/>
            <w:vAlign w:val="bottom"/>
            <w:gridSpan w:val="2"/>
            <w:vMerge w:val="continue"/>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Management</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Consultants</w:t>
            </w:r>
          </w:p>
        </w:tc>
        <w:tc>
          <w:tcPr>
            <w:tcW w:w="1420" w:type="dxa"/>
            <w:vAlign w:val="bottom"/>
            <w:gridSpan w:val="2"/>
            <w:vMerge w:val="continue"/>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80"/>
        </w:trPr>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US$</w:t>
            </w: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1">
            <w:col w:w="11420"/>
          </w:cols>
          <w:pgMar w:left="240" w:top="125" w:right="239" w:bottom="0" w:gutter="0" w:footer="0" w:header="0"/>
        </w:sectPr>
      </w:pPr>
    </w:p>
    <w:p>
      <w:pPr>
        <w:ind w:left="340"/>
        <w:spacing w:after="0"/>
        <w:rPr>
          <w:sz w:val="20"/>
          <w:szCs w:val="20"/>
          <w:color w:val="auto"/>
        </w:rPr>
      </w:pPr>
      <w:r>
        <w:rPr>
          <w:rFonts w:ascii="Arial" w:cs="Arial" w:eastAsia="Arial" w:hAnsi="Arial"/>
          <w:sz w:val="16"/>
          <w:szCs w:val="16"/>
          <w:b w:val="1"/>
          <w:bCs w:val="1"/>
          <w:color w:val="auto"/>
        </w:rPr>
        <w:t>Number of ordinary shares issuable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-104775</wp:posOffset>
            </wp:positionV>
            <wp:extent cx="6732270" cy="274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2270" cy="274320"/>
                    </a:xfrm>
                    <a:prstGeom prst="rect">
                      <a:avLst/>
                    </a:prstGeom>
                    <a:noFill/>
                  </pic:spPr>
                </pic:pic>
              </a:graphicData>
            </a:graphic>
          </wp:anchor>
        </w:drawing>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exercise of stock options:</w:t>
      </w:r>
    </w:p>
    <w:p>
      <w:pPr>
        <w:sectPr>
          <w:pgSz w:w="11900" w:h="16838" w:orient="portrait"/>
          <w:cols w:equalWidth="0" w:num="1">
            <w:col w:w="11420"/>
          </w:cols>
          <w:pgMar w:left="240" w:top="125" w:right="239" w:bottom="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2013</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Exercised during the year</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Exercised during the year</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(285)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1.659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1660" w:type="dxa"/>
            <w:vAlign w:val="bottom"/>
            <w:gridSpan w:val="4"/>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Exercised during the year</w:t>
            </w:r>
          </w:p>
        </w:tc>
        <w:tc>
          <w:tcPr>
            <w:tcW w:w="1660" w:type="dxa"/>
            <w:vAlign w:val="bottom"/>
            <w:gridSpan w:val="4"/>
          </w:tcPr>
          <w:p>
            <w:pPr>
              <w:jc w:val="right"/>
              <w:ind w:right="10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F-32</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gridSpan w:val="2"/>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690"/>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6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Employees</w:t>
            </w:r>
          </w:p>
        </w:tc>
        <w:tc>
          <w:tcPr>
            <w:tcW w:w="38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Senior</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4"/>
              </w:rPr>
              <w:t>Director and</w:t>
            </w: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1140" w:type="dxa"/>
            <w:vAlign w:val="bottom"/>
            <w:gridSpan w:val="3"/>
          </w:tcPr>
          <w:p>
            <w:pPr>
              <w:jc w:val="center"/>
              <w:ind w:left="133"/>
              <w:spacing w:after="0"/>
              <w:rPr>
                <w:sz w:val="20"/>
                <w:szCs w:val="20"/>
                <w:color w:val="auto"/>
              </w:rPr>
            </w:pPr>
            <w:r>
              <w:rPr>
                <w:rFonts w:ascii="Arial" w:cs="Arial" w:eastAsia="Arial" w:hAnsi="Arial"/>
                <w:sz w:val="14"/>
                <w:szCs w:val="14"/>
                <w:b w:val="1"/>
                <w:bCs w:val="1"/>
                <w:color w:val="auto"/>
                <w:w w:val="93"/>
              </w:rPr>
              <w:t>Management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1"/>
              </w:rPr>
              <w:t>Consultants</w:t>
            </w:r>
          </w:p>
        </w:tc>
        <w:tc>
          <w:tcPr>
            <w:tcW w:w="124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60" w:type="dxa"/>
            <w:vAlign w:val="bottom"/>
            <w:tcBorders>
              <w:top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140" w:type="dxa"/>
            <w:vAlign w:val="bottom"/>
            <w:tcBorders>
              <w:top w:val="single" w:sz="8" w:color="auto"/>
            </w:tcBorders>
            <w:gridSpan w:val="3"/>
          </w:tcPr>
          <w:p>
            <w:pPr>
              <w:jc w:val="center"/>
              <w:ind w:left="133"/>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5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gridSpan w:val="2"/>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420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42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Number of ordinary shares issuable upon vesting</w:t>
            </w: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2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of restricted share units:</w:t>
            </w: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Outstanding at January 1, 2013</w:t>
            </w:r>
          </w:p>
        </w:tc>
        <w:tc>
          <w:tcPr>
            <w:tcW w:w="1660" w:type="dxa"/>
            <w:vAlign w:val="bottom"/>
            <w:gridSpan w:val="4"/>
          </w:tcPr>
          <w:p>
            <w:pPr>
              <w:jc w:val="right"/>
              <w:ind w:right="300"/>
              <w:spacing w:after="0"/>
              <w:rPr>
                <w:sz w:val="20"/>
                <w:szCs w:val="20"/>
                <w:color w:val="auto"/>
              </w:rPr>
            </w:pPr>
            <w:r>
              <w:rPr>
                <w:rFonts w:ascii="Arial" w:cs="Arial" w:eastAsia="Arial" w:hAnsi="Arial"/>
                <w:sz w:val="18"/>
                <w:szCs w:val="18"/>
                <w:color w:val="auto"/>
              </w:rPr>
              <w:t>20,460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1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20,725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18,371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18,658</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4"/>
          </w:tcPr>
          <w:p>
            <w:pPr>
              <w:jc w:val="right"/>
              <w:ind w:right="240"/>
              <w:spacing w:after="0"/>
              <w:rPr>
                <w:sz w:val="20"/>
                <w:szCs w:val="20"/>
                <w:color w:val="auto"/>
              </w:rPr>
            </w:pPr>
            <w:r>
              <w:rPr>
                <w:rFonts w:ascii="Arial" w:cs="Arial" w:eastAsia="Arial" w:hAnsi="Arial"/>
                <w:sz w:val="18"/>
                <w:szCs w:val="18"/>
                <w:color w:val="auto"/>
              </w:rPr>
              <w:t>(12,818)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5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(13,083)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(861)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at December 31, 2013</w:t>
            </w: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25,152</w:t>
            </w:r>
          </w:p>
        </w:tc>
        <w:tc>
          <w:tcPr>
            <w:tcW w:w="3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25,439</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Outstanding at January 1, 2014</w:t>
            </w:r>
          </w:p>
        </w:tc>
        <w:tc>
          <w:tcPr>
            <w:tcW w:w="1660" w:type="dxa"/>
            <w:vAlign w:val="bottom"/>
            <w:gridSpan w:val="4"/>
          </w:tcPr>
          <w:p>
            <w:pPr>
              <w:jc w:val="right"/>
              <w:ind w:right="300"/>
              <w:spacing w:after="0"/>
              <w:rPr>
                <w:sz w:val="20"/>
                <w:szCs w:val="20"/>
                <w:color w:val="auto"/>
              </w:rPr>
            </w:pPr>
            <w:r>
              <w:rPr>
                <w:rFonts w:ascii="Arial" w:cs="Arial" w:eastAsia="Arial" w:hAnsi="Arial"/>
                <w:sz w:val="18"/>
                <w:szCs w:val="18"/>
                <w:color w:val="auto"/>
              </w:rPr>
              <w:t>25,152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1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25,439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30,429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30,624</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4"/>
          </w:tcPr>
          <w:p>
            <w:pPr>
              <w:jc w:val="right"/>
              <w:ind w:right="240"/>
              <w:spacing w:after="0"/>
              <w:rPr>
                <w:sz w:val="20"/>
                <w:szCs w:val="20"/>
                <w:color w:val="auto"/>
              </w:rPr>
            </w:pPr>
            <w:r>
              <w:rPr>
                <w:rFonts w:ascii="Arial" w:cs="Arial" w:eastAsia="Arial" w:hAnsi="Arial"/>
                <w:sz w:val="18"/>
                <w:szCs w:val="18"/>
                <w:color w:val="auto"/>
              </w:rPr>
              <w:t>(17,200)</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5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(17,450)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(1,539)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(1,539)</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at December 31, 2014</w:t>
            </w: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36,842</w:t>
            </w:r>
          </w:p>
        </w:tc>
        <w:tc>
          <w:tcPr>
            <w:tcW w:w="3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37,074</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Outstanding at January 1, 2015</w:t>
            </w:r>
          </w:p>
        </w:tc>
        <w:tc>
          <w:tcPr>
            <w:tcW w:w="1660" w:type="dxa"/>
            <w:vAlign w:val="bottom"/>
            <w:gridSpan w:val="4"/>
          </w:tcPr>
          <w:p>
            <w:pPr>
              <w:jc w:val="right"/>
              <w:ind w:right="300"/>
              <w:spacing w:after="0"/>
              <w:rPr>
                <w:sz w:val="20"/>
                <w:szCs w:val="20"/>
                <w:color w:val="auto"/>
              </w:rPr>
            </w:pPr>
            <w:r>
              <w:rPr>
                <w:rFonts w:ascii="Arial" w:cs="Arial" w:eastAsia="Arial" w:hAnsi="Arial"/>
                <w:sz w:val="18"/>
                <w:szCs w:val="18"/>
                <w:color w:val="auto"/>
              </w:rPr>
              <w:t>36,842</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1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37,074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27,968</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28,100</w:t>
            </w:r>
          </w:p>
        </w:tc>
        <w:tc>
          <w:tcPr>
            <w:tcW w:w="1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660" w:type="dxa"/>
            <w:vAlign w:val="bottom"/>
            <w:gridSpan w:val="4"/>
          </w:tcPr>
          <w:p>
            <w:pPr>
              <w:jc w:val="right"/>
              <w:ind w:right="240"/>
              <w:spacing w:after="0"/>
              <w:rPr>
                <w:sz w:val="20"/>
                <w:szCs w:val="20"/>
                <w:color w:val="auto"/>
              </w:rPr>
            </w:pPr>
            <w:r>
              <w:rPr>
                <w:rFonts w:ascii="Arial" w:cs="Arial" w:eastAsia="Arial" w:hAnsi="Arial"/>
                <w:sz w:val="18"/>
                <w:szCs w:val="18"/>
                <w:color w:val="auto"/>
              </w:rPr>
              <w:t>(23,339)</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50"/>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(23,541)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(1,848)</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(1,848)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Outstanding at December 31, 2015</w:t>
            </w: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39,623</w:t>
            </w:r>
          </w:p>
        </w:tc>
        <w:tc>
          <w:tcPr>
            <w:tcW w:w="3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39,785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-3526155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-3526155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total intrinsic value of options exercised and the total fair value of RSUs on vesting dates for the years ended December 31, 2013, 2014 and 2015,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196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4"/>
                <w:szCs w:val="14"/>
                <w:b w:val="1"/>
                <w:bCs w:val="1"/>
                <w:color w:val="auto"/>
                <w:w w:val="90"/>
              </w:rPr>
              <w:t>Stock Options</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960" w:type="dxa"/>
            <w:vAlign w:val="bottom"/>
            <w:gridSpan w:val="3"/>
          </w:tcPr>
          <w:p>
            <w:pPr>
              <w:jc w:val="center"/>
              <w:ind w:right="580"/>
              <w:spacing w:after="0" w:line="142" w:lineRule="exact"/>
              <w:rPr>
                <w:sz w:val="20"/>
                <w:szCs w:val="20"/>
                <w:color w:val="auto"/>
              </w:rPr>
            </w:pPr>
            <w:r>
              <w:rPr>
                <w:rFonts w:ascii="Arial" w:cs="Arial" w:eastAsia="Arial" w:hAnsi="Arial"/>
                <w:sz w:val="14"/>
                <w:szCs w:val="14"/>
                <w:b w:val="1"/>
                <w:bCs w:val="1"/>
                <w:color w:val="auto"/>
                <w:w w:val="95"/>
              </w:rPr>
              <w:t>US$</w:t>
            </w:r>
          </w:p>
        </w:tc>
        <w:tc>
          <w:tcPr>
            <w:tcW w:w="1060" w:type="dxa"/>
            <w:vAlign w:val="bottom"/>
          </w:tcPr>
          <w:p>
            <w:pPr>
              <w:jc w:val="center"/>
              <w:ind w:right="23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142"/>
        </w:trPr>
        <w:tc>
          <w:tcPr>
            <w:tcW w:w="8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237"/>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exercised:</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jc w:val="right"/>
              <w:ind w:right="210"/>
              <w:spacing w:after="0"/>
              <w:rPr>
                <w:sz w:val="20"/>
                <w:szCs w:val="20"/>
                <w:color w:val="auto"/>
              </w:rPr>
            </w:pPr>
            <w:r>
              <w:rPr>
                <w:rFonts w:ascii="Arial" w:cs="Arial" w:eastAsia="Arial" w:hAnsi="Arial"/>
                <w:sz w:val="18"/>
                <w:szCs w:val="18"/>
                <w:color w:val="auto"/>
              </w:rPr>
              <w:t>2013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8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30"/>
        </w:trPr>
        <w:tc>
          <w:tcPr>
            <w:tcW w:w="830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19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50"/>
        </w:trPr>
        <w:tc>
          <w:tcPr>
            <w:tcW w:w="8300" w:type="dxa"/>
            <w:vAlign w:val="bottom"/>
          </w:tcPr>
          <w:p>
            <w:pPr>
              <w:spacing w:after="0"/>
              <w:rPr>
                <w:sz w:val="24"/>
                <w:szCs w:val="24"/>
                <w:color w:val="auto"/>
              </w:rPr>
            </w:pPr>
          </w:p>
        </w:tc>
        <w:tc>
          <w:tcPr>
            <w:tcW w:w="196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4"/>
                <w:szCs w:val="14"/>
                <w:b w:val="1"/>
                <w:bCs w:val="1"/>
                <w:color w:val="auto"/>
              </w:rPr>
              <w:t>RSU</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8300" w:type="dxa"/>
            <w:vAlign w:val="bottom"/>
          </w:tcPr>
          <w:p>
            <w:pPr>
              <w:spacing w:after="0"/>
              <w:rPr>
                <w:sz w:val="12"/>
                <w:szCs w:val="12"/>
                <w:color w:val="auto"/>
              </w:rPr>
            </w:pPr>
          </w:p>
        </w:tc>
        <w:tc>
          <w:tcPr>
            <w:tcW w:w="1960" w:type="dxa"/>
            <w:vAlign w:val="bottom"/>
            <w:gridSpan w:val="3"/>
          </w:tcPr>
          <w:p>
            <w:pPr>
              <w:jc w:val="center"/>
              <w:ind w:right="580"/>
              <w:spacing w:after="0" w:line="142" w:lineRule="exact"/>
              <w:rPr>
                <w:sz w:val="20"/>
                <w:szCs w:val="20"/>
                <w:color w:val="auto"/>
              </w:rPr>
            </w:pPr>
            <w:r>
              <w:rPr>
                <w:rFonts w:ascii="Arial" w:cs="Arial" w:eastAsia="Arial" w:hAnsi="Arial"/>
                <w:sz w:val="14"/>
                <w:szCs w:val="14"/>
                <w:b w:val="1"/>
                <w:bCs w:val="1"/>
                <w:color w:val="auto"/>
                <w:w w:val="95"/>
              </w:rPr>
              <w:t>US$</w:t>
            </w:r>
          </w:p>
        </w:tc>
        <w:tc>
          <w:tcPr>
            <w:tcW w:w="1060" w:type="dxa"/>
            <w:vAlign w:val="bottom"/>
          </w:tcPr>
          <w:p>
            <w:pPr>
              <w:jc w:val="center"/>
              <w:ind w:right="23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r>
      <w:tr>
        <w:trPr>
          <w:trHeight w:val="142"/>
        </w:trPr>
        <w:tc>
          <w:tcPr>
            <w:tcW w:w="830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237"/>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vested:</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jc w:val="right"/>
              <w:ind w:right="210"/>
              <w:spacing w:after="0"/>
              <w:rPr>
                <w:sz w:val="20"/>
                <w:szCs w:val="20"/>
                <w:color w:val="auto"/>
              </w:rPr>
            </w:pPr>
            <w:r>
              <w:rPr>
                <w:rFonts w:ascii="Arial" w:cs="Arial" w:eastAsia="Arial" w:hAnsi="Arial"/>
                <w:sz w:val="18"/>
                <w:szCs w:val="18"/>
                <w:color w:val="auto"/>
              </w:rPr>
              <w:t>2013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165.3</w:t>
            </w:r>
          </w:p>
        </w:tc>
      </w:tr>
      <w:tr>
        <w:trPr>
          <w:trHeight w:val="216"/>
        </w:trPr>
        <w:tc>
          <w:tcPr>
            <w:tcW w:w="8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2014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r>
      <w:tr>
        <w:trPr>
          <w:trHeight w:val="230"/>
        </w:trPr>
        <w:tc>
          <w:tcPr>
            <w:tcW w:w="8300" w:type="dxa"/>
            <w:vAlign w:val="bottom"/>
          </w:tcPr>
          <w:p>
            <w:pPr>
              <w:jc w:val="right"/>
              <w:ind w:right="210"/>
              <w:spacing w:after="0"/>
              <w:rPr>
                <w:sz w:val="20"/>
                <w:szCs w:val="20"/>
                <w:color w:val="auto"/>
              </w:rPr>
            </w:pPr>
            <w:r>
              <w:rPr>
                <w:rFonts w:ascii="Arial" w:cs="Arial" w:eastAsia="Arial" w:hAnsi="Arial"/>
                <w:sz w:val="18"/>
                <w:szCs w:val="18"/>
                <w:color w:val="auto"/>
              </w:rPr>
              <w:t>2015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99.0</w:t>
            </w:r>
          </w:p>
        </w:tc>
        <w:tc>
          <w:tcPr>
            <w:tcW w:w="3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641.3</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remaining contractual life for the RSUs outstanding as of December 31,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Exercisable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Life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2"/>
        </w:trPr>
        <w:tc>
          <w:tcPr>
            <w:tcW w:w="3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Years</w:t>
            </w:r>
          </w:p>
        </w:tc>
        <w:tc>
          <w:tcPr>
            <w:tcW w:w="2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Restricted Share Units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Performance-based settled in stock</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9,543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2.83</w:t>
            </w:r>
          </w:p>
        </w:tc>
        <w:tc>
          <w:tcPr>
            <w:tcW w:w="1460" w:type="dxa"/>
            <w:vAlign w:val="bottom"/>
            <w:gridSpan w:val="2"/>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Time-based-settled in stock/cash</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61,443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w:t>
            </w:r>
          </w:p>
        </w:tc>
        <w:tc>
          <w:tcPr>
            <w:tcW w:w="14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Time-based-settled in stock</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17,325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2.29</w:t>
            </w:r>
          </w:p>
        </w:tc>
        <w:tc>
          <w:tcPr>
            <w:tcW w:w="1460" w:type="dxa"/>
            <w:vAlign w:val="bottom"/>
            <w:gridSpan w:val="2"/>
          </w:tcPr>
          <w:p>
            <w:pPr>
              <w:ind w:left="1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88,311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79"/>
              </w:rPr>
              <w:t>n/a</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color w:val="auto"/>
        </w:rPr>
        <w:t>The aggregate intrinsic value of RSUs outstanding as of December 31, 2015 was US$628.4 million. The intrinsic value was calculated based on the Company’s closing stock price of US$181.24 per ADS, or US$7.2496 per ordinary share as of December 31, 2015.</w:t>
      </w:r>
    </w:p>
    <w:p>
      <w:pPr>
        <w:sectPr>
          <w:pgSz w:w="11900" w:h="16838" w:orient="portrait"/>
          <w:cols w:equalWidth="0" w:num="1">
            <w:col w:w="11460"/>
          </w:cols>
          <w:pgMar w:left="240" w:top="356" w:right="199" w:bottom="143" w:gutter="0" w:footer="0" w:header="0"/>
        </w:sectPr>
      </w:pPr>
    </w:p>
    <w:bookmarkStart w:id="110" w:name="page111"/>
    <w:bookmarkEnd w:id="110"/>
    <w:p>
      <w:pPr>
        <w:spacing w:after="0" w:line="8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It is the Company’s policy to issue new shares upon share option exercises and vesting of RSUs. The number of shares available for future grant under the Company’s 2009 RSU Plan was 166,594,350 as of December 31,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Other Option Plan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Certain of the Company’s subsidiaries, including Lede Inc., have adopted stock option plans, which allow the related subsidiaries to grant options to certain employees of the Group. The options expire in five or six years from the date of grant and either vest or have a vesting commencement date upon certain conditions being met (“Vesting Commencement Date”). The award can become 100% vested on the Vesting Commencement Date, or vests in two, four or five substantially equal annual installments with the first installment vesting on the Vesting Commencement Date.</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Group has used the binomial model to estimate the fair value of the options granted. While all share options granted will become vested or commence vesting beginning on the Vesting Commencement Date, the effectiveness of the conditions is not within the control of the Group and is not deemed probable to occur for accounting purposes until the Vesting Commencement Date. Therefore, for the years ended December 31, 2014 and 2015, no compensation expenses were recorded for the share options granted.</w:t>
      </w:r>
    </w:p>
    <w:p>
      <w:pPr>
        <w:spacing w:after="0" w:line="183" w:lineRule="exact"/>
        <w:rPr>
          <w:sz w:val="20"/>
          <w:szCs w:val="20"/>
          <w:color w:val="auto"/>
        </w:rPr>
      </w:pPr>
    </w:p>
    <w:p>
      <w:pPr>
        <w:ind w:left="440" w:hanging="432"/>
        <w:spacing w:after="0"/>
        <w:tabs>
          <w:tab w:leader="none" w:pos="4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share for the years ended December 31, 2013, 2014 and 2015:</w:t>
      </w:r>
    </w:p>
    <w:p>
      <w:pPr>
        <w:sectPr>
          <w:pgSz w:w="11900" w:h="16919"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Numerator (RMB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right="380" w:hanging="181"/>
        <w:spacing w:after="0" w:line="245" w:lineRule="auto"/>
        <w:rPr>
          <w:sz w:val="20"/>
          <w:szCs w:val="20"/>
          <w:color w:val="auto"/>
        </w:rPr>
      </w:pPr>
      <w:r>
        <w:rPr>
          <w:rFonts w:ascii="Arial" w:cs="Arial" w:eastAsia="Arial" w:hAnsi="Arial"/>
          <w:sz w:val="18"/>
          <w:szCs w:val="18"/>
          <w:color w:val="auto"/>
        </w:rPr>
        <w:t>Net income attributable to NetEase, Inc.’s shareholders for basic/dilutive net income per share calculation</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6350</wp:posOffset>
            </wp:positionV>
            <wp:extent cx="29673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tabs>
          <w:tab w:leader="none" w:pos="1640" w:val="left"/>
          <w:tab w:leader="none" w:pos="328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2015</w:t>
      </w:r>
    </w:p>
    <w:p>
      <w:pPr>
        <w:spacing w:after="0" w:line="399" w:lineRule="exact"/>
        <w:rPr>
          <w:sz w:val="20"/>
          <w:szCs w:val="20"/>
          <w:color w:val="auto"/>
        </w:rPr>
      </w:pPr>
    </w:p>
    <w:p>
      <w:pPr>
        <w:ind w:left="120"/>
        <w:spacing w:after="0"/>
        <w:tabs>
          <w:tab w:leader="none" w:pos="1740" w:val="left"/>
          <w:tab w:leader="none" w:pos="3400" w:val="left"/>
        </w:tabs>
        <w:rPr>
          <w:sz w:val="20"/>
          <w:szCs w:val="20"/>
          <w:color w:val="auto"/>
        </w:rPr>
      </w:pPr>
      <w:r>
        <w:rPr>
          <w:rFonts w:ascii="Arial" w:cs="Arial" w:eastAsia="Arial" w:hAnsi="Arial"/>
          <w:sz w:val="18"/>
          <w:szCs w:val="18"/>
          <w:color w:val="auto"/>
        </w:rPr>
        <w:t>4,443,910</w:t>
      </w:r>
      <w:r>
        <w:rPr>
          <w:sz w:val="20"/>
          <w:szCs w:val="20"/>
          <w:color w:val="auto"/>
        </w:rPr>
        <w:tab/>
      </w:r>
      <w:r>
        <w:rPr>
          <w:rFonts w:ascii="Arial" w:cs="Arial" w:eastAsia="Arial" w:hAnsi="Arial"/>
          <w:sz w:val="18"/>
          <w:szCs w:val="18"/>
          <w:color w:val="auto"/>
        </w:rPr>
        <w:t>4,756,623</w:t>
      </w:r>
      <w:r>
        <w:rPr>
          <w:sz w:val="20"/>
          <w:szCs w:val="20"/>
          <w:color w:val="auto"/>
        </w:rPr>
        <w:tab/>
      </w:r>
      <w:r>
        <w:rPr>
          <w:rFonts w:ascii="Arial" w:cs="Arial" w:eastAsia="Arial" w:hAnsi="Arial"/>
          <w:sz w:val="16"/>
          <w:szCs w:val="16"/>
          <w:color w:val="auto"/>
        </w:rPr>
        <w:t>6,735,108</w:t>
      </w:r>
    </w:p>
    <w:p>
      <w:pPr>
        <w:spacing w:after="0" w:line="28" w:lineRule="exact"/>
        <w:rPr>
          <w:sz w:val="20"/>
          <w:szCs w:val="20"/>
          <w:color w:val="auto"/>
        </w:rPr>
      </w:pPr>
    </w:p>
    <w:p>
      <w:pPr>
        <w:sectPr>
          <w:pgSz w:w="11900" w:h="16919" w:orient="portrait"/>
          <w:cols w:equalWidth="0" w:num="2">
            <w:col w:w="6460" w:space="720"/>
            <w:col w:w="424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664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Denominator (No. of shares in thousands):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ordinary shares outstanding, basic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3,247,874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3,264,450</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3,284,382</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Dilutive effect of employee stock options and restricted share units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8,423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12,599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20,831</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ordinary shares outstanding, diluted</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3,256,297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3,277,049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3,305,213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Net income per share, basic (RMB)</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w:t>
            </w:r>
          </w:p>
        </w:tc>
        <w:tc>
          <w:tcPr>
            <w:tcW w:w="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income per share, diluted (RMB)</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2013, 2014 and 2015, options to purchase ordinary shares and RSUs that were anti-dilutive and excluded from the calculation of diluted net income per share totaled approximately 2.9 million shares, 3.2 million shares and 2.1 million shares, respectively.</w:t>
      </w:r>
    </w:p>
    <w:p>
      <w:pPr>
        <w:spacing w:after="0" w:line="167" w:lineRule="exact"/>
        <w:rPr>
          <w:sz w:val="20"/>
          <w:szCs w:val="20"/>
          <w:color w:val="auto"/>
        </w:rPr>
      </w:pPr>
    </w:p>
    <w:p>
      <w:pPr>
        <w:ind w:left="440" w:hanging="432"/>
        <w:spacing w:after="0"/>
        <w:tabs>
          <w:tab w:leader="none" w:pos="44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Group leases office space, staff quarters and certain equipment under non-cancelable operating lease agreements, which expire at various dates through December 2022. As of December 31, 2015, future minimum lease under non-cancelable operating lease agreements, capital commitments and other commitment related to content and services purchases were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Server Custody</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Office</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Rental</w:t>
            </w:r>
          </w:p>
        </w:tc>
        <w:tc>
          <w:tcPr>
            <w:tcW w:w="1600" w:type="dxa"/>
            <w:vAlign w:val="bottom"/>
            <w:gridSpan w:val="2"/>
            <w:vMerge w:val="continue"/>
          </w:tcPr>
          <w:p>
            <w:pPr>
              <w:spacing w:after="0"/>
              <w:rPr>
                <w:sz w:val="12"/>
                <w:szCs w:val="12"/>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Machines and</w:t>
            </w: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Fee</w:t>
            </w:r>
          </w:p>
        </w:tc>
        <w:tc>
          <w:tcPr>
            <w:tcW w:w="1600" w:type="dxa"/>
            <w:vAlign w:val="bottom"/>
            <w:gridSpan w:val="2"/>
            <w:vMerge w:val="continue"/>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48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Commitments</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Commitments</w:t>
            </w: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Commitments</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Commitments</w:t>
            </w: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360" w:type="dxa"/>
            <w:vAlign w:val="bottom"/>
            <w:tcBorders>
              <w:top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105,095</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27,672</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719,424</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65,960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2017</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90,505</w:t>
            </w:r>
          </w:p>
        </w:tc>
        <w:tc>
          <w:tcPr>
            <w:tcW w:w="1380" w:type="dxa"/>
            <w:vAlign w:val="bottom"/>
          </w:tcPr>
          <w:p>
            <w:pPr>
              <w:jc w:val="right"/>
              <w:spacing w:after="0"/>
              <w:rPr>
                <w:sz w:val="20"/>
                <w:szCs w:val="20"/>
                <w:color w:val="auto"/>
              </w:rPr>
            </w:pPr>
            <w:r>
              <w:rPr>
                <w:rFonts w:ascii="Arial" w:cs="Arial" w:eastAsia="Arial" w:hAnsi="Arial"/>
                <w:sz w:val="18"/>
                <w:szCs w:val="18"/>
                <w:color w:val="auto"/>
              </w:rPr>
              <w:t>6,071</w:t>
            </w:r>
          </w:p>
        </w:tc>
        <w:tc>
          <w:tcPr>
            <w:tcW w:w="22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456,236</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15,340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568,152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60,411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16,612</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10,010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90,633</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2019</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7,887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4,700</w:t>
            </w: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12,587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Beyond 2019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12,047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4,528</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16,575</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275,945</w:t>
            </w:r>
          </w:p>
        </w:tc>
        <w:tc>
          <w:tcPr>
            <w:tcW w:w="2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37,343</w:t>
            </w:r>
          </w:p>
        </w:tc>
        <w:tc>
          <w:tcPr>
            <w:tcW w:w="22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1,192,272</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100,538</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1,606,098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years ended December 31, 2013, 2014 and 2015, the Group incurred rental expenses in the amounts of approximately RMB59.6 million, RMB79.4 million and RMB139.4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Additionally, in August 2008, Blizzard agreed to license to Shanghai EaseNet on an exclusive basis in China three personal computer strategy games and its Battle.net platform. The term of the license will be three years, with an additional one year extension upon agreement of the parties, commencing from the commercial release of StarCraft II: Wings of Liberty in China in April 2011. In April 2014, Blizzard and Shanghai EaseNet agreed to extend the term of the StarCraft II series license agreement for another additional three years commencing from April 2014. In April 2009, Blizzard and the Group announced that Blizzard’s World of Warcraft would also be licensed to Shanghai EaseNet in the PRC for a term of three years following the expiration of its previous license agreement on June 5, 2009 with another game operator. In March 2012, Blizzard and Shanghai EaseNet renewed the license agreement of World of Warcraft, and extended the license period for a three-year period commencing from September 2012. In May 2015, Blizzard and Shanghai EaseNet both agreed to extend the license period of World of Warcraft to January 2017. In July 2013, Shanghai EaseNet obtained the right to operate Hearthstone: Heroes of Warcraft in China from Blizzard. The term of the license is three years, with an additional one year extension upon agreement of the parties, commencing from</w:t>
      </w:r>
    </w:p>
    <w:p>
      <w:pPr>
        <w:sectPr>
          <w:pgSz w:w="11900" w:h="16919" w:orient="portrait"/>
          <w:cols w:equalWidth="0" w:num="1">
            <w:col w:w="11420"/>
          </w:cols>
          <w:pgMar w:left="240" w:top="125" w:right="239" w:bottom="0" w:gutter="0" w:footer="0" w:header="0"/>
          <w:type w:val="continuous"/>
        </w:sectPr>
      </w:pPr>
    </w:p>
    <w:bookmarkStart w:id="111" w:name="page112"/>
    <w:bookmarkEnd w:id="111"/>
    <w:p>
      <w:pPr>
        <w:ind w:right="140"/>
        <w:spacing w:after="0" w:line="280" w:lineRule="auto"/>
        <w:rPr>
          <w:sz w:val="20"/>
          <w:szCs w:val="20"/>
          <w:color w:val="auto"/>
        </w:rPr>
      </w:pPr>
      <w:r>
        <w:rPr>
          <w:rFonts w:ascii="Arial" w:cs="Arial" w:eastAsia="Arial" w:hAnsi="Arial"/>
          <w:sz w:val="16"/>
          <w:szCs w:val="16"/>
          <w:color w:val="auto"/>
        </w:rPr>
        <w:t>January 2014. In November 2012, Blizzard agreed to license to Shanghai EaseNet the exclusive right to operate Heroes of the Storm in the PRC for a period of three years commencing from June 2015. Additionally, in June 2014, Blizzard and Shanghai EaseNet entered into a license agreement, which allows Shanghai EaseNet to obtain the exclusive right to operate Diablo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III in the PRC for a period of two years commencing from May 2015. Under these license agreements, Shanghai EaseNet is required to pay license fees (except Hearthstone: Heroes of the Warcraft, Heroes of the Storm and Diablo III for which no license fee is required to be paid), royalties and consultancy fees (except Hearthstone: Heroes of the Warcraft, Heroes of the Storm and Diablo III for which no consultancy fee is required to be paid) to Blizzard for the games, and it also has a minimum marketing expenditure commitment. In accordance with the above-mentioned license agreements, the Group has incurred an overall commitment totaling approximately RMB5.6 billion. As of December 31, 2015, the Group’s outstanding commitments under these license agreements totaled RMB0.9 billion which can be summarized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RMB</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2017</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r>
      <w:tr>
        <w:trPr>
          <w:trHeight w:val="210"/>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Furthermore, under a license agreement entered into in May 2015, Blizzard agreed to license to Shanghai EaseNet the exclusive right to operate OverWatch</w:t>
      </w:r>
    </w:p>
    <w:p>
      <w:pPr>
        <w:spacing w:after="0" w:line="46" w:lineRule="exact"/>
        <w:rPr>
          <w:sz w:val="20"/>
          <w:szCs w:val="20"/>
          <w:color w:val="auto"/>
        </w:rPr>
      </w:pPr>
    </w:p>
    <w:p>
      <w:pPr>
        <w:ind w:right="40" w:firstLine="8"/>
        <w:spacing w:after="0" w:line="255" w:lineRule="auto"/>
        <w:tabs>
          <w:tab w:leader="none" w:pos="22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PRC for a period of three years commencing from the game’s commercial release. The Group expects to incur a commitment totaling approximately RMB666.8 million (US$102.9 million), including royalty to Blizzard and minimum marketing expenditure for the game. As of December 31, 2015, OverWatch has not been commercially launched in the PRC.</w:t>
      </w:r>
    </w:p>
    <w:p>
      <w:pPr>
        <w:spacing w:after="0" w:line="19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Shanghai EaseNet is also obligated to purchase or lease certain prescribed hardware and then make such prescribed hardware available to fulfill its obligations under the license agreements with Blizzard in the aggregate amount of up to approximately RMB203.5 million over the remaining term of licenses as of December 31, 2015. This amount represents the maximum expenditure Shanghai EaseNet would have to make for the prescribed hardware, but it may not be required to spend this amount in order to satisfy its obligations with respect to such hardware.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above commitment table related to Blizzard licensed games, the Group has guaranteed the foregoing amounts if and to the extent Shanghai EaseNet has insufficient funds to make such payments. The Group will be entitled to reimbursement of any amounts paid for the marketing of the games and for hardware support to operate the games under the guarantee from any net profits subsequently generated by Shanghai EaseNet, after the deduction of, among other things, various fees and expenses payable to Blizzard, the Group and the joint venture with Blizzard which provides technical services to Shanghai EaseNet.</w:t>
      </w:r>
    </w:p>
    <w:p>
      <w:pPr>
        <w:spacing w:after="0" w:line="184" w:lineRule="exact"/>
        <w:rPr>
          <w:sz w:val="20"/>
          <w:szCs w:val="20"/>
          <w:color w:val="auto"/>
        </w:rPr>
      </w:pPr>
    </w:p>
    <w:p>
      <w:pPr>
        <w:ind w:left="480" w:hanging="472"/>
        <w:spacing w:after="0"/>
        <w:tabs>
          <w:tab w:leader="none" w:pos="4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w:t>
      </w:r>
    </w:p>
    <w:p>
      <w:pPr>
        <w:spacing w:after="0" w:line="154" w:lineRule="exact"/>
        <w:rPr>
          <w:sz w:val="20"/>
          <w:szCs w:val="20"/>
          <w:color w:val="auto"/>
        </w:rPr>
      </w:pPr>
    </w:p>
    <w:p>
      <w:pPr>
        <w:ind w:right="10100" w:firstLine="8"/>
        <w:spacing w:after="0" w:line="566" w:lineRule="auto"/>
        <w:tabs>
          <w:tab w:leader="none" w:pos="441"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Annual Dividend</w:t>
      </w:r>
    </w:p>
    <w:p>
      <w:pPr>
        <w:spacing w:after="0" w:line="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February 11, 2014, the Company’s board of directors approved an annual cash dividend with respect to fiscal year 2013 in the amount of US$1.41 per ADS, amounting to an aggregate of RMB1,109.7 million (US$183.3 million). Such dividend was payable to shareholders of record as of February 26, 2014 and was paid on March 7,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Policy</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May 2014, the Company’s board of directors approved a new quarterly dividend policy. Under this policy, the Company intends to make quarterly cash dividend distributions at an amount equivalent to approximately 25% of the Group’s anticipated net income after tax in each fiscal quarter. Dividends are recognized when declared. There is no dividend payable as of December 31, 2014 and 2015 respectively. The cash dividend declared and paid with respect to fiscal year 2014 and fiscal year 2015 was RMB1,177.2 million and RMB1,708.3 million (US$263.7 million) in total, respectively.</w:t>
      </w:r>
    </w:p>
    <w:p>
      <w:pPr>
        <w:spacing w:after="0" w:line="1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w:t>
      </w:r>
    </w:p>
    <w:p>
      <w:pPr>
        <w:spacing w:after="0" w:line="167" w:lineRule="exact"/>
        <w:rPr>
          <w:sz w:val="20"/>
          <w:szCs w:val="20"/>
          <w:color w:val="auto"/>
        </w:rPr>
      </w:pPr>
    </w:p>
    <w:p>
      <w:pPr>
        <w:ind w:left="440" w:hanging="432"/>
        <w:spacing w:after="0"/>
        <w:tabs>
          <w:tab w:leader="none" w:pos="4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November 2012, the Company’s Board approved a share repurchase program authorizing management to repurchase up to US$100 million of the Company’s ordinary shares to enhance shareholder value for a period not to exceed twelve months. The timing and actual number of shares subject to repurchase were at the discretion of the Company’s management and contingent on a number of factors and limitations, including the price of the Company’s stock, corporate and regulatory requirements, alternative investment opportunities and other market conditions. The share repurchase program specified a maximum dollar value of shares subject to repurchase and had an expiration date and could have been limited or terminated at any time without prior notice. Such share repurchase program expired on November 20, 2013, and the Company repurchased 2.02 million ADSs (equivalent to 48.6 million ordinary shares) for consideration amounting to approximately US$83.0 million under this program.</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w:t>
      </w:r>
    </w:p>
    <w:p>
      <w:pPr>
        <w:sectPr>
          <w:pgSz w:w="11900" w:h="16838" w:orient="portrait"/>
          <w:cols w:equalWidth="0" w:num="1">
            <w:col w:w="11420"/>
          </w:cols>
          <w:pgMar w:left="240" w:top="125" w:right="239" w:bottom="0" w:gutter="0" w:footer="0" w:header="0"/>
        </w:sectPr>
      </w:pPr>
    </w:p>
    <w:bookmarkStart w:id="112" w:name="page113"/>
    <w:bookmarkEnd w:id="112"/>
    <w:p>
      <w:pPr>
        <w:spacing w:after="0" w:line="5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February 2014, the Company’s board of directors approved a new share repurchase program authorizing management to repurchase up to US$100 million of the Company’s ordinary shares to enhance shareholder value for a period not to exceed twelve months. The timing and actual number of shares subject to repurchase are at the discretion of the Company’s management and contingent on a number of factors and limitations, including the price of the Company’s stock, corporate and regulatory requirements, alternative investment opportunities and other market conditions. The share repurchase program specifies a maximum dollar value of shares subject to repurchase and has an expiration date and can be limited or terminated at any time without prior notice. As of the expiration date of the program, no ADSs had been repurchased under this program.</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September 2015, the Company announced that its board of directors approved a new share repurchase program of up to US$500 million of the Company’s outstanding ADSs for a period not to exceed 12 months. As of December 31, 2015, the Company has repurchased approximately 0.19 million ADSs for approximately US$20.7 million under this program.</w:t>
      </w:r>
    </w:p>
    <w:p>
      <w:pPr>
        <w:spacing w:after="0" w:line="177" w:lineRule="exact"/>
        <w:rPr>
          <w:sz w:val="20"/>
          <w:szCs w:val="20"/>
          <w:color w:val="auto"/>
        </w:rPr>
      </w:pPr>
    </w:p>
    <w:p>
      <w:pPr>
        <w:ind w:left="440" w:hanging="432"/>
        <w:spacing w:after="0"/>
        <w:tabs>
          <w:tab w:leader="none" w:pos="4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November, 2014, one of the Company’s subsidiaries, Lede Inc., issued 5,673,796 preferred shares to certain investors, including LNT Holdings, Shining Globe and two Directors of the Company, for US$3.74 per share in exchange of a total consideration of US$21.2 million. LNT Holdings is a private trust company incorporated under the laws of the British Virgin Islands, controlled by a group of employees of the Group (other than the employees of Lede). Shining Globe is a private company incorporated under the laws of the British Virgin Islands, controlled by William Lei Ding, the Company’s Chief Executive Officer and a director of the Company.</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November 2015, Lede Inc. repurchased all the preferred shares from LNT Holdings, Shining Globe and the two Directors of the Company at the price of US$3.74 per shares for a total consideration of US$21.2 million (RMB134.7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the above issuance and repurchase of preferred shares, the Group had no material transactions with related parties for the year ended December 31, 2013, 2014 and 2015, and no material related parties’ balances as of December 31, 2015.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hanging="432"/>
        <w:spacing w:after="0"/>
        <w:tabs>
          <w:tab w:leader="none" w:pos="4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ind w:left="460" w:hanging="452"/>
        <w:spacing w:after="0"/>
        <w:tabs>
          <w:tab w:leader="none" w:pos="46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segments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 The Group has determined that its operations are organized into three reportable segments: 1) Online Game Services; 2) Advertising Services; and 3) E-mail, E-commerce and Others.</w:t>
      </w:r>
    </w:p>
    <w:p>
      <w:pPr>
        <w:spacing w:after="0" w:line="167" w:lineRule="exact"/>
        <w:rPr>
          <w:sz w:val="20"/>
          <w:szCs w:val="20"/>
          <w:color w:val="auto"/>
        </w:rPr>
      </w:pPr>
    </w:p>
    <w:p>
      <w:pPr>
        <w:ind w:left="480" w:hanging="472"/>
        <w:spacing w:after="0"/>
        <w:tabs>
          <w:tab w:leader="none" w:pos="4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table below provides a summary of the Group’s operating segment results for the years ended December 31, 2013, 2014 and 2015.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2013, 2014 and 2015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560" w:type="dxa"/>
            <w:vAlign w:val="bottom"/>
            <w:tcBorders>
              <w:bottom w:val="single" w:sz="8" w:color="auto"/>
            </w:tcBorders>
            <w:gridSpan w:val="5"/>
          </w:tcPr>
          <w:p>
            <w:pPr>
              <w:jc w:val="center"/>
              <w:ind w:left="994"/>
              <w:spacing w:after="0"/>
              <w:rPr>
                <w:sz w:val="20"/>
                <w:szCs w:val="20"/>
                <w:color w:val="auto"/>
              </w:rPr>
            </w:pPr>
            <w:r>
              <w:rPr>
                <w:rFonts w:ascii="Arial" w:cs="Arial" w:eastAsia="Arial" w:hAnsi="Arial"/>
                <w:sz w:val="14"/>
                <w:szCs w:val="14"/>
                <w:b w:val="1"/>
                <w:bCs w:val="1"/>
                <w:color w:val="auto"/>
                <w:w w:val="92"/>
              </w:rPr>
              <w:t>For the year ended 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2"/>
                <w:szCs w:val="12"/>
                <w:color w:val="auto"/>
              </w:rPr>
            </w:pPr>
          </w:p>
        </w:tc>
        <w:tc>
          <w:tcPr>
            <w:tcW w:w="1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60" w:type="dxa"/>
            <w:vAlign w:val="bottom"/>
          </w:tcPr>
          <w:p>
            <w:pPr>
              <w:jc w:val="right"/>
              <w:ind w:right="434"/>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3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13"/>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Online game services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7,864,464</w:t>
            </w:r>
          </w:p>
        </w:tc>
        <w:tc>
          <w:tcPr>
            <w:tcW w:w="1380" w:type="dxa"/>
            <w:vAlign w:val="bottom"/>
          </w:tcPr>
          <w:p>
            <w:pPr>
              <w:jc w:val="right"/>
              <w:spacing w:after="0"/>
              <w:rPr>
                <w:sz w:val="20"/>
                <w:szCs w:val="20"/>
                <w:color w:val="auto"/>
              </w:rPr>
            </w:pPr>
            <w:r>
              <w:rPr>
                <w:rFonts w:ascii="Arial" w:cs="Arial" w:eastAsia="Arial" w:hAnsi="Arial"/>
                <w:sz w:val="18"/>
                <w:szCs w:val="18"/>
                <w:color w:val="auto"/>
              </w:rPr>
              <w:t>9,266,158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17,314,148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987,467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1,344,829</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344,244</w:t>
            </w:r>
          </w:p>
        </w:tc>
        <w:tc>
          <w:tcPr>
            <w:tcW w:w="1380" w:type="dxa"/>
            <w:vAlign w:val="bottom"/>
          </w:tcPr>
          <w:p>
            <w:pPr>
              <w:jc w:val="right"/>
              <w:spacing w:after="0"/>
              <w:rPr>
                <w:sz w:val="20"/>
                <w:szCs w:val="20"/>
                <w:color w:val="auto"/>
              </w:rPr>
            </w:pPr>
            <w:r>
              <w:rPr>
                <w:rFonts w:ascii="Arial" w:cs="Arial" w:eastAsia="Arial" w:hAnsi="Arial"/>
                <w:sz w:val="18"/>
                <w:szCs w:val="18"/>
                <w:color w:val="auto"/>
              </w:rPr>
              <w:t>1,101,847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3,699,370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9,196,175</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11,712,834</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22,802,895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Online game services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(1,649,803)</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(2,111,701)</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(5,393,555)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(461,286)</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(518,691)</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(367,427)</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(631,152)</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(3,406,673)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(2,478,516)</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(3,261,544)</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(9,399,260)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Online game services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6,214,661</w:t>
            </w:r>
          </w:p>
        </w:tc>
        <w:tc>
          <w:tcPr>
            <w:tcW w:w="1380" w:type="dxa"/>
            <w:vAlign w:val="bottom"/>
          </w:tcPr>
          <w:p>
            <w:pPr>
              <w:jc w:val="right"/>
              <w:spacing w:after="0"/>
              <w:rPr>
                <w:sz w:val="20"/>
                <w:szCs w:val="20"/>
                <w:color w:val="auto"/>
              </w:rPr>
            </w:pPr>
            <w:r>
              <w:rPr>
                <w:rFonts w:ascii="Arial" w:cs="Arial" w:eastAsia="Arial" w:hAnsi="Arial"/>
                <w:sz w:val="18"/>
                <w:szCs w:val="18"/>
                <w:color w:val="auto"/>
              </w:rPr>
              <w:t>7,154,457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11,920,593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526,181</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826,138</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E-mail, e-commerce and others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(23,183)</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470,695</w:t>
            </w: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292,697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6,717,659</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8,451,290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13,403,635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All revenues of the Group’s reportable segments are derived from China based on the geographical locations where services are provided to customers.</w:t>
      </w:r>
    </w:p>
    <w:p>
      <w:pPr>
        <w:spacing w:after="0" w:line="244" w:lineRule="exact"/>
        <w:rPr>
          <w:sz w:val="20"/>
          <w:szCs w:val="20"/>
          <w:color w:val="auto"/>
        </w:rPr>
      </w:pPr>
    </w:p>
    <w:p>
      <w:pPr>
        <w:ind w:left="440" w:hanging="432"/>
        <w:spacing w:after="0"/>
        <w:tabs>
          <w:tab w:leader="none" w:pos="4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sets forth the financial instruments, measured at fair value, by level within the fair value hierarchy as of December 31, 2014 (in thousands):</w:t>
      </w:r>
    </w:p>
    <w:p>
      <w:pPr>
        <w:sectPr>
          <w:pgSz w:w="11900" w:h="16889" w:orient="portrait"/>
          <w:cols w:equalWidth="0" w:num="1">
            <w:col w:w="11400"/>
          </w:cols>
          <w:pgMar w:left="240" w:top="125" w:right="259" w:bottom="0" w:gutter="0" w:footer="0" w:header="0"/>
        </w:sectPr>
      </w:pPr>
    </w:p>
    <w:p>
      <w:pPr>
        <w:spacing w:after="0" w:line="162" w:lineRule="exact"/>
        <w:rPr>
          <w:sz w:val="20"/>
          <w:szCs w:val="20"/>
          <w:color w:val="auto"/>
        </w:rPr>
      </w:pPr>
    </w:p>
    <w:p>
      <w:pPr>
        <w:ind w:left="8180"/>
        <w:spacing w:after="0"/>
        <w:rPr>
          <w:sz w:val="20"/>
          <w:szCs w:val="20"/>
          <w:color w:val="auto"/>
        </w:rPr>
      </w:pPr>
      <w:r>
        <w:rPr>
          <w:rFonts w:ascii="Arial" w:cs="Arial" w:eastAsia="Arial" w:hAnsi="Arial"/>
          <w:sz w:val="13"/>
          <w:szCs w:val="13"/>
          <w:b w:val="1"/>
          <w:bCs w:val="1"/>
          <w:color w:val="auto"/>
        </w:rPr>
        <w:t>Fair Value Measurements</w:t>
      </w:r>
    </w:p>
    <w:p>
      <w:pPr>
        <w:sectPr>
          <w:pgSz w:w="11900" w:h="16889" w:orient="portrait"/>
          <w:cols w:equalWidth="0" w:num="1">
            <w:col w:w="11400"/>
          </w:cols>
          <w:pgMar w:left="240" w:top="125" w:right="259" w:bottom="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(RMB)</w:t>
            </w: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Significant 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Active Market</w:t>
            </w:r>
          </w:p>
        </w:tc>
        <w:tc>
          <w:tcPr>
            <w:tcW w:w="14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Time deposits-short term</w:t>
            </w:r>
          </w:p>
        </w:tc>
        <w:tc>
          <w:tcPr>
            <w:tcW w:w="3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18,496,574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18,496,574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Time deposits-long term</w:t>
            </w:r>
          </w:p>
        </w:tc>
        <w:tc>
          <w:tcPr>
            <w:tcW w:w="3720" w:type="dxa"/>
            <w:vAlign w:val="bottom"/>
            <w:gridSpan w:val="3"/>
          </w:tcPr>
          <w:p>
            <w:pPr>
              <w:jc w:val="right"/>
              <w:ind w:right="280"/>
              <w:spacing w:after="0"/>
              <w:rPr>
                <w:sz w:val="20"/>
                <w:szCs w:val="20"/>
                <w:color w:val="auto"/>
              </w:rPr>
            </w:pPr>
            <w:r>
              <w:rPr>
                <w:rFonts w:ascii="Arial" w:cs="Arial" w:eastAsia="Arial" w:hAnsi="Arial"/>
                <w:sz w:val="18"/>
                <w:szCs w:val="18"/>
                <w:color w:val="auto"/>
              </w:rPr>
              <w:t>673,000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673,000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securities-fixed rate investments</w:t>
            </w:r>
          </w:p>
        </w:tc>
        <w:tc>
          <w:tcPr>
            <w:tcW w:w="37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350,528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350,528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short-term investments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1,708,024</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1,708,024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21,228,126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19,169,574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2,058,552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720" w:type="dxa"/>
            <w:vAlign w:val="bottom"/>
            <w:gridSpan w:val="3"/>
          </w:tcPr>
          <w:p>
            <w:pPr>
              <w:ind w:left="960"/>
              <w:spacing w:after="0"/>
              <w:rPr>
                <w:sz w:val="20"/>
                <w:szCs w:val="20"/>
                <w:color w:val="auto"/>
              </w:rPr>
            </w:pPr>
            <w:r>
              <w:rPr>
                <w:rFonts w:ascii="Arial" w:cs="Arial" w:eastAsia="Arial" w:hAnsi="Arial"/>
                <w:sz w:val="18"/>
                <w:szCs w:val="18"/>
                <w:color w:val="auto"/>
              </w:rPr>
              <w:t>F-37</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table sets forth the financial instruments, measured at fair value, by level within the fair value hierarchy as of December 31, 2015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Measurements</w:t>
            </w:r>
          </w:p>
        </w:tc>
        <w:tc>
          <w:tcPr>
            <w:tcW w:w="1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(RMB)</w:t>
            </w: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Active Market</w:t>
            </w: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Time deposits-short term</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14,593,291</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14,593,291</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Time deposits-long term</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1,110,000</w:t>
            </w: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1,110,000</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1,136,073</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1,136,073</w:t>
            </w:r>
          </w:p>
        </w:tc>
        <w:tc>
          <w:tcPr>
            <w:tcW w:w="2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Held-to-maturity securities-fixed rate investments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153,522</w:t>
            </w:r>
          </w:p>
        </w:tc>
        <w:tc>
          <w:tcPr>
            <w:tcW w:w="2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153,522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short-term investments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4,859,977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4,859,977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21,852,863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16,839,364</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5,013,499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2014 and 2015, certain cost method investments (Note 9) were measured using significant unobservable inputs (Level 3) and written down from their respective carrying value to fair value, with impairment charges of RMB24.0 million and RMB12.0 million incurred and recorded in earnings for the years then ended.</w:t>
      </w:r>
    </w:p>
    <w:p>
      <w:pPr>
        <w:spacing w:after="0" w:line="189" w:lineRule="exact"/>
        <w:rPr>
          <w:sz w:val="20"/>
          <w:szCs w:val="20"/>
          <w:color w:val="auto"/>
        </w:rPr>
      </w:pPr>
    </w:p>
    <w:p>
      <w:pPr>
        <w:ind w:left="440" w:hanging="432"/>
        <w:spacing w:after="0"/>
        <w:tabs>
          <w:tab w:leader="none" w:pos="4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Relevant PRC laws and regulations permit PRC companies to pay dividends only out of their retained earnings, if any, as determined in accordance with PRC accounting standards and regulations. Additionally, the Company’s PRC subsidiaries and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VIEs are restricted in their ability to transfer a portion of their net assets to the Company either in the form of dividends, loans or advances, which restricted portion amounted to approximately RMB4.5 billion, or 15% of the Company’s total consolidated net assets, as of December 31, 2015. Even though the Company currently does not require any such dividends, loans or advances from the PRC subsidiaries and VIEs for working capital and other funding purposes, the Company may in the future require additional cash resources from its PRC subsidiaries and VIEs due to changes in business conditions, to fund future acquisitions and developments, or merely declare and pay dividends to or distributions to the Company’s shareholders.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114" w:name="page115"/>
    <w:bookmarkEnd w:id="114"/>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VOTING RIGHT TRUST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Shareholder Voting Right Trust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November 30, 2015 between the following two parties in Beijing.</w:t>
      </w:r>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NetEase Media Technology (Beijing) Co., Ltd., a wholly foreign-owned enterprise registered in Beijing, People’s Republic of China (“</w:t>
      </w:r>
      <w:r>
        <w:rPr>
          <w:rFonts w:ascii="Arial" w:cs="Arial" w:eastAsia="Arial" w:hAnsi="Arial"/>
          <w:sz w:val="18"/>
          <w:szCs w:val="18"/>
          <w:b w:val="1"/>
          <w:bCs w:val="1"/>
          <w:color w:val="auto"/>
        </w:rPr>
        <w:t>PRC</w:t>
      </w:r>
      <w:r>
        <w:rPr>
          <w:rFonts w:ascii="Arial" w:cs="Arial" w:eastAsia="Arial" w:hAnsi="Arial"/>
          <w:sz w:val="18"/>
          <w:szCs w:val="18"/>
          <w:color w:val="auto"/>
        </w:rPr>
        <w: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PRC</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William Lei Ding (ID Number: 330224197110180074), a PRC citizen with his address at Room 6-401, A90, Shuguang Road, Jiangdong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Ningbo, Zhejiang Province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right="500" w:hanging="652"/>
        <w:spacing w:after="0" w:line="308" w:lineRule="auto"/>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Party B and Li Li (ID Number: 110103197411191529) jointly comprise all the shareholders of Beijing Guangyitong Advertising Co., Ltd. (the “</w:t>
      </w:r>
      <w:r>
        <w:rPr>
          <w:rFonts w:ascii="Arial" w:cs="Arial" w:eastAsia="Arial" w:hAnsi="Arial"/>
          <w:sz w:val="17"/>
          <w:szCs w:val="17"/>
          <w:b w:val="1"/>
          <w:bCs w:val="1"/>
          <w:color w:val="auto"/>
        </w:rPr>
        <w:t>Company</w:t>
      </w:r>
      <w:r>
        <w:rPr>
          <w:rFonts w:ascii="Arial" w:cs="Arial" w:eastAsia="Arial" w:hAnsi="Arial"/>
          <w:sz w:val="17"/>
          <w:szCs w:val="17"/>
          <w:color w:val="auto"/>
        </w:rPr>
        <w:t>”) on November 30, 2015, in which Party B owns 99% of the equity interests and Li Li owns 1% of the equity interests.</w:t>
      </w:r>
    </w:p>
    <w:p>
      <w:pPr>
        <w:spacing w:after="0" w:line="146" w:lineRule="exact"/>
        <w:rPr>
          <w:rFonts w:ascii="Arial" w:cs="Arial" w:eastAsia="Arial" w:hAnsi="Arial"/>
          <w:sz w:val="17"/>
          <w:szCs w:val="17"/>
          <w:color w:val="auto"/>
        </w:rPr>
      </w:pPr>
    </w:p>
    <w:p>
      <w:pPr>
        <w:ind w:left="660" w:right="360" w:hanging="652"/>
        <w:spacing w:after="0" w:line="277"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Party B is willing to entrust the person designated by Party A with full authority to exercise his/her shareholder’s voting rights at the Company’s shareholders’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100" w:hanging="652"/>
        <w:spacing w:after="0" w:line="259"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Party B hereby agrees to irrevocably entrust the person designated by Party A to exercise on his/her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w:t>
      </w:r>
    </w:p>
    <w:p>
      <w:pPr>
        <w:spacing w:after="0" w:line="18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Party A agrees to designate a person to accept the entrustment by Party B pursuant to Article 1 of this Agreement, and such person shall represent Party B in the exercise of Party B’s shareholder’s voting rights and other shareholder’s rights pursuant to this Agreement.</w:t>
      </w:r>
    </w:p>
    <w:p>
      <w:pPr>
        <w:spacing w:after="0" w:line="146" w:lineRule="exact"/>
        <w:rPr>
          <w:rFonts w:ascii="Arial" w:cs="Arial" w:eastAsia="Arial" w:hAnsi="Arial"/>
          <w:sz w:val="17"/>
          <w:szCs w:val="17"/>
          <w:color w:val="auto"/>
        </w:rPr>
      </w:pPr>
    </w:p>
    <w:p>
      <w:pPr>
        <w:ind w:left="660" w:right="80" w:hanging="652"/>
        <w:spacing w:after="0" w:line="270" w:lineRule="auto"/>
        <w:tabs>
          <w:tab w:leader="none" w:pos="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Party B hereby acknowledges that, regardless how his/her equity interests in the Company will change, he/she shall entrust the person designated by Party A with all of his/her shareholder’s voting rights and other shareholder’s rights. If Party B transfers his/her equity interests in the Company to any individual or company, other than Party A or the individuals or entities designated by Party A (each, a “</w:t>
      </w:r>
      <w:r>
        <w:rPr>
          <w:rFonts w:ascii="Arial" w:cs="Arial" w:eastAsia="Arial" w:hAnsi="Arial"/>
          <w:sz w:val="17"/>
          <w:szCs w:val="17"/>
          <w:b w:val="1"/>
          <w:bCs w:val="1"/>
          <w:color w:val="auto"/>
        </w:rPr>
        <w:t>Transferee</w:t>
      </w:r>
      <w:r>
        <w:rPr>
          <w:rFonts w:ascii="Arial" w:cs="Arial" w:eastAsia="Arial" w:hAnsi="Arial"/>
          <w:sz w:val="17"/>
          <w:szCs w:val="17"/>
          <w:color w:val="auto"/>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380" w:hanging="652"/>
        <w:spacing w:after="0" w:line="312" w:lineRule="auto"/>
        <w:tabs>
          <w:tab w:leader="none" w:pos="6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Party B hereby acknowledges that if Party A withdraws the appointment of the relevant person to whom Party B has entrusted his shareholder’s voting rights and other shareholder’s rights, he/she will withdraw his/her authorization for this person and authorize other persons designated by Party A to exercise his/her shareholder’s voting rights and other shareholder’s rights at the shareholders’ meeting of the Company.</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This Agreement shall become effective as of the date it is duly executed by the Parties’ authorized representatives.</w:t>
      </w:r>
    </w:p>
    <w:p>
      <w:pPr>
        <w:spacing w:after="0" w:line="225"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Notwithstanding Article 5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23" w:lineRule="exact"/>
        <w:rPr>
          <w:rFonts w:ascii="Arial" w:cs="Arial" w:eastAsia="Arial" w:hAnsi="Arial"/>
          <w:sz w:val="16"/>
          <w:szCs w:val="16"/>
          <w:color w:val="auto"/>
        </w:rPr>
      </w:pPr>
    </w:p>
    <w:p>
      <w:pPr>
        <w:ind w:left="660" w:right="300" w:hanging="652"/>
        <w:spacing w:after="0" w:line="342" w:lineRule="auto"/>
        <w:tabs>
          <w:tab w:leader="none" w:pos="6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This Agreement shall remain effective for as long as Party B is a shareholder of the Company unless this Agreement is unilaterally terminated by Party A at its sole and absolute discretion by giving thirty (30) days prior written notice to Party B of its intention to terminate this Agreement.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amendment to, and/or cancellation of, this Agreement shall be agreed by the Parties in writing.</w:t>
      </w:r>
    </w:p>
    <w:p>
      <w:pPr>
        <w:spacing w:after="0" w:line="225" w:lineRule="exact"/>
        <w:rPr>
          <w:rFonts w:ascii="Arial" w:cs="Arial" w:eastAsia="Arial" w:hAnsi="Arial"/>
          <w:sz w:val="18"/>
          <w:szCs w:val="18"/>
          <w:color w:val="auto"/>
        </w:rPr>
      </w:pPr>
    </w:p>
    <w:p>
      <w:pPr>
        <w:ind w:left="660" w:right="20" w:hanging="652"/>
        <w:spacing w:after="0" w:line="290" w:lineRule="auto"/>
        <w:tabs>
          <w:tab w:leader="none" w:pos="6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9. Any disclosure of confidential information by the personnel of any Party or by the institutions engaged by such Party shall be deemed as a disclosure by such Party, and such Party shall be liable for the breach under this Agreement. Both Parties agree that this Article 9 shall survive the invalidity, cancellation, termination or unenforceability of this Agreement.</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Applicable Laws and Dispute Resolution</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29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w:t>
      </w:r>
    </w:p>
    <w:p>
      <w:pPr>
        <w:spacing w:after="0" w:line="170" w:lineRule="exact"/>
        <w:rPr>
          <w:rFonts w:ascii="Arial" w:cs="Arial" w:eastAsia="Arial" w:hAnsi="Arial"/>
          <w:sz w:val="18"/>
          <w:szCs w:val="18"/>
          <w:color w:val="auto"/>
        </w:rPr>
      </w:pPr>
    </w:p>
    <w:p>
      <w:pPr>
        <w:ind w:left="1300" w:right="80" w:hanging="320"/>
        <w:spacing w:after="0" w:line="342" w:lineRule="auto"/>
        <w:tabs>
          <w:tab w:leader="none" w:pos="130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w:t>
      </w:r>
    </w:p>
    <w:p>
      <w:pPr>
        <w:sectPr>
          <w:pgSz w:w="11900" w:h="16908" w:orient="portrait"/>
          <w:cols w:equalWidth="0" w:num="1">
            <w:col w:w="11420"/>
          </w:cols>
          <w:pgMar w:left="240" w:top="121" w:right="239" w:bottom="0" w:gutter="0" w:footer="0" w:header="0"/>
        </w:sectPr>
      </w:pPr>
    </w:p>
    <w:bookmarkStart w:id="115" w:name="page116"/>
    <w:bookmarkEnd w:id="115"/>
    <w:p>
      <w:pPr>
        <w:ind w:left="1300"/>
        <w:spacing w:after="0" w:line="269" w:lineRule="auto"/>
        <w:rPr>
          <w:sz w:val="20"/>
          <w:szCs w:val="20"/>
          <w:color w:val="auto"/>
        </w:rPr>
      </w:pPr>
      <w:r>
        <w:rPr>
          <w:rFonts w:ascii="Arial" w:cs="Arial" w:eastAsia="Arial" w:hAnsi="Arial"/>
          <w:sz w:val="17"/>
          <w:szCs w:val="17"/>
          <w:color w:val="auto"/>
        </w:rPr>
        <w:t>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r>
        <w:rPr>
          <w:rFonts w:ascii="Arial" w:cs="Arial" w:eastAsia="Arial" w:hAnsi="Arial"/>
          <w:sz w:val="18"/>
          <w:szCs w:val="18"/>
          <w:color w:val="auto"/>
        </w:rPr>
        <w:t>: NetEase Media Technology (Beijing)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r>
        <w:rPr>
          <w:rFonts w:ascii="Arial" w:cs="Arial" w:eastAsia="Arial" w:hAnsi="Arial"/>
          <w:sz w:val="18"/>
          <w:szCs w:val="18"/>
          <w:color w:val="auto"/>
        </w:rPr>
        <w:t>: William Lei Ding</w:t>
      </w:r>
    </w:p>
    <w:p>
      <w:pPr>
        <w:spacing w:after="0" w:line="2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9584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Guangyitong Advertising Co.,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3300" w:type="dxa"/>
            <w:vAlign w:val="bottom"/>
            <w:gridSpan w:val="2"/>
          </w:tcPr>
          <w:p>
            <w:pPr>
              <w:ind w:left="80"/>
              <w:spacing w:after="0"/>
              <w:rPr>
                <w:sz w:val="20"/>
                <w:szCs w:val="20"/>
                <w:color w:val="auto"/>
              </w:rPr>
            </w:pPr>
            <w:r>
              <w:rPr>
                <w:rFonts w:ascii="Arial" w:cs="Arial" w:eastAsia="Arial" w:hAnsi="Arial"/>
                <w:sz w:val="18"/>
                <w:szCs w:val="18"/>
                <w:color w:val="auto"/>
              </w:rPr>
              <w:t>/s/ William Lei Ding</w:t>
            </w:r>
          </w:p>
        </w:tc>
      </w:tr>
      <w:tr>
        <w:trPr>
          <w:trHeight w:val="182"/>
        </w:trPr>
        <w:tc>
          <w:tcPr>
            <w:tcW w:w="2420" w:type="dxa"/>
            <w:vAlign w:val="bottom"/>
          </w:tcPr>
          <w:p>
            <w:pPr>
              <w:spacing w:after="0" w:line="182" w:lineRule="exact"/>
              <w:rPr>
                <w:sz w:val="20"/>
                <w:szCs w:val="20"/>
                <w:color w:val="auto"/>
              </w:rPr>
            </w:pPr>
            <w:r>
              <w:rPr>
                <w:rFonts w:ascii="Arial" w:cs="Arial" w:eastAsia="Arial" w:hAnsi="Arial"/>
                <w:sz w:val="18"/>
                <w:szCs w:val="18"/>
                <w:color w:val="auto"/>
              </w:rPr>
              <w:t>Name: William Lei Ding</w:t>
            </w:r>
          </w:p>
        </w:tc>
        <w:tc>
          <w:tcPr>
            <w:tcW w:w="80" w:type="dxa"/>
            <w:vAlign w:val="bottom"/>
          </w:tcPr>
          <w:p>
            <w:pPr>
              <w:spacing w:after="0"/>
              <w:rPr>
                <w:sz w:val="15"/>
                <w:szCs w:val="15"/>
                <w:color w:val="auto"/>
              </w:rPr>
            </w:pPr>
          </w:p>
        </w:tc>
        <w:tc>
          <w:tcPr>
            <w:tcW w:w="3220" w:type="dxa"/>
            <w:vAlign w:val="bottom"/>
            <w:tcBorders>
              <w:top w:val="single" w:sz="8" w:color="auto"/>
            </w:tcBorders>
          </w:tcPr>
          <w:p>
            <w:pPr>
              <w:spacing w:after="0"/>
              <w:rPr>
                <w:sz w:val="15"/>
                <w:szCs w:val="15"/>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w w:val="93"/>
              </w:rPr>
              <w:t>Title: Authorized Representative</w:t>
            </w:r>
          </w:p>
        </w:tc>
        <w:tc>
          <w:tcPr>
            <w:tcW w:w="80" w:type="dxa"/>
            <w:vAlign w:val="bottom"/>
          </w:tcPr>
          <w:p>
            <w:pPr>
              <w:spacing w:after="0"/>
              <w:rPr>
                <w:sz w:val="20"/>
                <w:szCs w:val="20"/>
                <w:color w:val="auto"/>
              </w:rPr>
            </w:pPr>
          </w:p>
        </w:tc>
        <w:tc>
          <w:tcPr>
            <w:tcW w:w="3220" w:type="dxa"/>
            <w:vAlign w:val="bottom"/>
          </w:tcPr>
          <w:p>
            <w:pPr>
              <w:spacing w:after="0"/>
              <w:rPr>
                <w:sz w:val="20"/>
                <w:szCs w:val="20"/>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VOTING RIGHT TRUST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Shareholder Voting Right Trust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as of November 30, 2015 between the following two parties in Beijing.</w:t>
      </w:r>
    </w:p>
    <w:p>
      <w:pPr>
        <w:spacing w:after="0" w:line="24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NetEase Media Technology (Beijing) Co., Ltd., a wholly foreign-owned enterprise registered in Beijing, People’s Republic of China (“</w:t>
      </w:r>
      <w:r>
        <w:rPr>
          <w:rFonts w:ascii="Arial" w:cs="Arial" w:eastAsia="Arial" w:hAnsi="Arial"/>
          <w:sz w:val="18"/>
          <w:szCs w:val="18"/>
          <w:b w:val="1"/>
          <w:bCs w:val="1"/>
          <w:color w:val="auto"/>
        </w:rPr>
        <w:t>PRC</w:t>
      </w:r>
      <w:r>
        <w:rPr>
          <w:rFonts w:ascii="Arial" w:cs="Arial" w:eastAsia="Arial" w:hAnsi="Arial"/>
          <w:sz w:val="18"/>
          <w:szCs w:val="18"/>
          <w:color w:val="auto"/>
        </w:rPr>
        <w: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the PRC</w:t>
      </w:r>
    </w:p>
    <w:p>
      <w:pPr>
        <w:spacing w:after="0" w:line="16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Li Li (ID Number: 110103197411191529), a PRC citizen with her address at NO.7, Unit 4, Building 16, Changqing Yuan, Chongwen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Beijing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Party B and William Lei Ding (ID Number: 330224197110180074) jointly comprise all the shareholders of Beijing Guangyitong Advertising</w:t>
      </w:r>
    </w:p>
    <w:p>
      <w:pPr>
        <w:spacing w:after="0" w:line="34" w:lineRule="exact"/>
        <w:rPr>
          <w:rFonts w:ascii="Arial" w:cs="Arial" w:eastAsia="Arial" w:hAnsi="Arial"/>
          <w:sz w:val="17"/>
          <w:szCs w:val="17"/>
          <w:color w:val="auto"/>
        </w:rPr>
      </w:pPr>
    </w:p>
    <w:p>
      <w:pPr>
        <w:ind w:left="660" w:right="80"/>
        <w:spacing w:after="0" w:line="261" w:lineRule="auto"/>
        <w:rPr>
          <w:rFonts w:ascii="Arial" w:cs="Arial" w:eastAsia="Arial" w:hAnsi="Arial"/>
          <w:sz w:val="17"/>
          <w:szCs w:val="17"/>
          <w:color w:val="auto"/>
        </w:rPr>
      </w:pPr>
      <w:r>
        <w:rPr>
          <w:rFonts w:ascii="Arial" w:cs="Arial" w:eastAsia="Arial" w:hAnsi="Arial"/>
          <w:sz w:val="18"/>
          <w:szCs w:val="18"/>
          <w:color w:val="auto"/>
        </w:rPr>
        <w:t>Co., Ltd. (the “</w:t>
      </w:r>
      <w:r>
        <w:rPr>
          <w:rFonts w:ascii="Arial" w:cs="Arial" w:eastAsia="Arial" w:hAnsi="Arial"/>
          <w:sz w:val="18"/>
          <w:szCs w:val="18"/>
          <w:b w:val="1"/>
          <w:bCs w:val="1"/>
          <w:color w:val="auto"/>
        </w:rPr>
        <w:t>Company</w:t>
      </w:r>
      <w:r>
        <w:rPr>
          <w:rFonts w:ascii="Arial" w:cs="Arial" w:eastAsia="Arial" w:hAnsi="Arial"/>
          <w:sz w:val="18"/>
          <w:szCs w:val="18"/>
          <w:color w:val="auto"/>
        </w:rPr>
        <w:t>”) on November 30, 2015, in which Party B owns 1% of the equity interests and William Lei Ding owns 99% of the equity interests.</w:t>
      </w:r>
    </w:p>
    <w:p>
      <w:pPr>
        <w:spacing w:after="0" w:line="183" w:lineRule="exact"/>
        <w:rPr>
          <w:rFonts w:ascii="Arial" w:cs="Arial" w:eastAsia="Arial" w:hAnsi="Arial"/>
          <w:sz w:val="17"/>
          <w:szCs w:val="17"/>
          <w:color w:val="auto"/>
        </w:rPr>
      </w:pPr>
    </w:p>
    <w:p>
      <w:pPr>
        <w:ind w:left="660" w:right="360" w:hanging="652"/>
        <w:spacing w:after="0" w:line="277"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Party B is willing to entrust the person designated by Party A with full authority to exercise his/her shareholder’s voting rights at the Company’s shareholders’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100" w:hanging="652"/>
        <w:spacing w:after="0" w:line="259" w:lineRule="auto"/>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Party B hereby agrees to irrevocably entrust the person designated by Party A to exercise on his/her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w:t>
      </w:r>
    </w:p>
    <w:p>
      <w:pPr>
        <w:spacing w:after="0" w:line="18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Party A agrees to designate a person to accept the entrustment by Party B pursuant to Article 1 of this Agreement, and such person shall represent Party B in the exercise of Party B’s shareholder’s voting rights and other shareholder’s rights pursuant to this Agreement.</w:t>
      </w:r>
    </w:p>
    <w:p>
      <w:pPr>
        <w:spacing w:after="0" w:line="146" w:lineRule="exact"/>
        <w:rPr>
          <w:rFonts w:ascii="Arial" w:cs="Arial" w:eastAsia="Arial" w:hAnsi="Arial"/>
          <w:sz w:val="17"/>
          <w:szCs w:val="17"/>
          <w:color w:val="auto"/>
        </w:rPr>
      </w:pPr>
    </w:p>
    <w:p>
      <w:pPr>
        <w:ind w:left="660" w:right="80" w:hanging="652"/>
        <w:spacing w:after="0" w:line="270" w:lineRule="auto"/>
        <w:tabs>
          <w:tab w:leader="none" w:pos="6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Party B hereby acknowledges that, regardless how his/her equity interests in the Company will change, he/she shall entrust the person designated by Party A with all of his/her shareholder’s voting rights and other shareholder’s rights. If Party B transfers his/her equity interests in the Company to any individual or company, other than Party A or the individuals or entities designated by Party A (each, a “</w:t>
      </w:r>
      <w:r>
        <w:rPr>
          <w:rFonts w:ascii="Arial" w:cs="Arial" w:eastAsia="Arial" w:hAnsi="Arial"/>
          <w:sz w:val="17"/>
          <w:szCs w:val="17"/>
          <w:b w:val="1"/>
          <w:bCs w:val="1"/>
          <w:color w:val="auto"/>
        </w:rPr>
        <w:t>Transferee</w:t>
      </w:r>
      <w:r>
        <w:rPr>
          <w:rFonts w:ascii="Arial" w:cs="Arial" w:eastAsia="Arial" w:hAnsi="Arial"/>
          <w:sz w:val="17"/>
          <w:szCs w:val="17"/>
          <w:color w:val="auto"/>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380" w:hanging="652"/>
        <w:spacing w:after="0" w:line="312" w:lineRule="auto"/>
        <w:tabs>
          <w:tab w:leader="none" w:pos="6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Party B hereby acknowledges that if Party A withdraws the appointment of the relevant person to whom Party B has entrusted his shareholder’s voting rights and other shareholder’s rights, he/she will withdraw his/her authorization for this person and authorize other persons designated by Party A to exercise his/her shareholder’s voting rights and other shareholder’s rights at the shareholders’ meeting of the Company.</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This Agreement shall become effective as of the date it is duly executed by the Parties’ authorized representatives.</w:t>
      </w:r>
    </w:p>
    <w:p>
      <w:pPr>
        <w:spacing w:after="0" w:line="225"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Notwithstanding Article 5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23" w:lineRule="exact"/>
        <w:rPr>
          <w:rFonts w:ascii="Arial" w:cs="Arial" w:eastAsia="Arial" w:hAnsi="Arial"/>
          <w:sz w:val="16"/>
          <w:szCs w:val="16"/>
          <w:color w:val="auto"/>
        </w:rPr>
      </w:pPr>
    </w:p>
    <w:p>
      <w:pPr>
        <w:ind w:left="660" w:right="300" w:hanging="652"/>
        <w:spacing w:after="0" w:line="342" w:lineRule="auto"/>
        <w:tabs>
          <w:tab w:leader="none" w:pos="6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This Agreement shall remain effective for as long as Party B is a shareholder of the Company unless this Agreement is unilaterally terminated by Party A at its sole and absolute discretion by giving thirty (30) days prior written notice to Party B of its intention to terminate this Agreement.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amendment to, and/or cancellation of, this Agreement shall be agreed by the Parties in writing.</w:t>
      </w:r>
    </w:p>
    <w:p>
      <w:pPr>
        <w:spacing w:after="0" w:line="225" w:lineRule="exact"/>
        <w:rPr>
          <w:rFonts w:ascii="Arial" w:cs="Arial" w:eastAsia="Arial" w:hAnsi="Arial"/>
          <w:sz w:val="18"/>
          <w:szCs w:val="18"/>
          <w:color w:val="auto"/>
        </w:rPr>
      </w:pPr>
    </w:p>
    <w:p>
      <w:pPr>
        <w:ind w:left="660" w:right="20" w:hanging="652"/>
        <w:spacing w:after="0" w:line="290" w:lineRule="auto"/>
        <w:tabs>
          <w:tab w:leader="none" w:pos="66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9. Any disclosure of confidential information by the personnel of any Party or by the institutions engaged by such Party shall be deemed as a disclosure by such Party, and such Party shall be liable for the breach under this Agreement. Both Parties agree that this Article 9 shall survive the invalidity, cancellation, termination or unenforceability of this Agreement.</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Applicable Laws and Dispute Resolution</w:t>
      </w:r>
    </w:p>
    <w:p>
      <w:pPr>
        <w:spacing w:after="0" w:line="225" w:lineRule="exact"/>
        <w:rPr>
          <w:rFonts w:ascii="Arial" w:cs="Arial" w:eastAsia="Arial" w:hAnsi="Arial"/>
          <w:sz w:val="18"/>
          <w:szCs w:val="18"/>
          <w:color w:val="auto"/>
        </w:rPr>
      </w:pPr>
    </w:p>
    <w:p>
      <w:pPr>
        <w:ind w:left="1300" w:right="60" w:hanging="324"/>
        <w:spacing w:after="0" w:line="277" w:lineRule="auto"/>
        <w:rPr>
          <w:rFonts w:ascii="Arial" w:cs="Arial" w:eastAsia="Arial" w:hAnsi="Arial"/>
          <w:sz w:val="18"/>
          <w:szCs w:val="18"/>
          <w:color w:val="auto"/>
        </w:rPr>
      </w:pPr>
      <w:r>
        <w:rPr>
          <w:rFonts w:ascii="Arial" w:cs="Arial" w:eastAsia="Arial" w:hAnsi="Arial"/>
          <w:sz w:val="18"/>
          <w:szCs w:val="18"/>
          <w:color w:val="auto"/>
        </w:rPr>
        <w:t>a. The formation, validity, interpretation and performance of and settlement of disputes under this Agreement shall be governed by the laws of the PRC.</w:t>
      </w:r>
    </w:p>
    <w:p>
      <w:pPr>
        <w:sectPr>
          <w:pgSz w:w="11900" w:h="16838" w:orient="portrait"/>
          <w:cols w:equalWidth="0" w:num="1">
            <w:col w:w="11420"/>
          </w:cols>
          <w:pgMar w:left="240" w:top="121" w:right="239" w:bottom="45" w:gutter="0" w:footer="0" w:header="0"/>
        </w:sectPr>
      </w:pPr>
    </w:p>
    <w:bookmarkStart w:id="117" w:name="page118"/>
    <w:bookmarkEnd w:id="117"/>
    <w:p>
      <w:pPr>
        <w:ind w:left="1300" w:hanging="320"/>
        <w:spacing w:after="0" w:line="268" w:lineRule="auto"/>
        <w:tabs>
          <w:tab w:leader="none" w:pos="13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r>
        <w:rPr>
          <w:rFonts w:ascii="Arial" w:cs="Arial" w:eastAsia="Arial" w:hAnsi="Arial"/>
          <w:sz w:val="18"/>
          <w:szCs w:val="18"/>
          <w:color w:val="auto"/>
        </w:rPr>
        <w:t>: NetEase Media Technology (Beijing)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r>
        <w:rPr>
          <w:rFonts w:ascii="Arial" w:cs="Arial" w:eastAsia="Arial" w:hAnsi="Arial"/>
          <w:sz w:val="18"/>
          <w:szCs w:val="18"/>
          <w:color w:val="auto"/>
        </w:rPr>
        <w:t>: Li Li</w:t>
      </w:r>
    </w:p>
    <w:p>
      <w:pPr>
        <w:spacing w:after="0" w:line="2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Li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9584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Beijing Guangyitong Advertising Co.,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Authorized Representative:</w:t>
            </w:r>
          </w:p>
        </w:tc>
        <w:tc>
          <w:tcPr>
            <w:tcW w:w="3300" w:type="dxa"/>
            <w:vAlign w:val="bottom"/>
            <w:gridSpan w:val="2"/>
          </w:tcPr>
          <w:p>
            <w:pPr>
              <w:ind w:left="80"/>
              <w:spacing w:after="0"/>
              <w:rPr>
                <w:sz w:val="20"/>
                <w:szCs w:val="20"/>
                <w:color w:val="auto"/>
              </w:rPr>
            </w:pPr>
            <w:r>
              <w:rPr>
                <w:rFonts w:ascii="Arial" w:cs="Arial" w:eastAsia="Arial" w:hAnsi="Arial"/>
                <w:sz w:val="18"/>
                <w:szCs w:val="18"/>
                <w:color w:val="auto"/>
              </w:rPr>
              <w:t>/s/ William Lei Ding</w:t>
            </w:r>
          </w:p>
        </w:tc>
      </w:tr>
      <w:tr>
        <w:trPr>
          <w:trHeight w:val="182"/>
        </w:trPr>
        <w:tc>
          <w:tcPr>
            <w:tcW w:w="2420" w:type="dxa"/>
            <w:vAlign w:val="bottom"/>
          </w:tcPr>
          <w:p>
            <w:pPr>
              <w:spacing w:after="0" w:line="182" w:lineRule="exact"/>
              <w:rPr>
                <w:sz w:val="20"/>
                <w:szCs w:val="20"/>
                <w:color w:val="auto"/>
              </w:rPr>
            </w:pPr>
            <w:r>
              <w:rPr>
                <w:rFonts w:ascii="Arial" w:cs="Arial" w:eastAsia="Arial" w:hAnsi="Arial"/>
                <w:sz w:val="18"/>
                <w:szCs w:val="18"/>
                <w:color w:val="auto"/>
              </w:rPr>
              <w:t>Name: William Lei Ding</w:t>
            </w:r>
          </w:p>
        </w:tc>
        <w:tc>
          <w:tcPr>
            <w:tcW w:w="80" w:type="dxa"/>
            <w:vAlign w:val="bottom"/>
          </w:tcPr>
          <w:p>
            <w:pPr>
              <w:spacing w:after="0"/>
              <w:rPr>
                <w:sz w:val="15"/>
                <w:szCs w:val="15"/>
                <w:color w:val="auto"/>
              </w:rPr>
            </w:pPr>
          </w:p>
        </w:tc>
        <w:tc>
          <w:tcPr>
            <w:tcW w:w="3220" w:type="dxa"/>
            <w:vAlign w:val="bottom"/>
            <w:tcBorders>
              <w:top w:val="single" w:sz="8" w:color="auto"/>
            </w:tcBorders>
          </w:tcPr>
          <w:p>
            <w:pPr>
              <w:spacing w:after="0"/>
              <w:rPr>
                <w:sz w:val="15"/>
                <w:szCs w:val="15"/>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w w:val="93"/>
              </w:rPr>
              <w:t>Title: Authorized Representative</w:t>
            </w:r>
          </w:p>
        </w:tc>
        <w:tc>
          <w:tcPr>
            <w:tcW w:w="80" w:type="dxa"/>
            <w:vAlign w:val="bottom"/>
          </w:tcPr>
          <w:p>
            <w:pPr>
              <w:spacing w:after="0"/>
              <w:rPr>
                <w:sz w:val="20"/>
                <w:szCs w:val="20"/>
                <w:color w:val="auto"/>
              </w:rPr>
            </w:pPr>
          </w:p>
        </w:tc>
        <w:tc>
          <w:tcPr>
            <w:tcW w:w="3220" w:type="dxa"/>
            <w:vAlign w:val="bottom"/>
          </w:tcPr>
          <w:p>
            <w:pPr>
              <w:spacing w:after="0"/>
              <w:rPr>
                <w:sz w:val="20"/>
                <w:szCs w:val="20"/>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SHAREHOLDER VOTING RIGHT TRUST AGREEMENT</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AMENDED AND RESTATED SHAREHOLDER VOTING RIGHT TRUST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effective as of November 30, 2015 by and among: NetEase Information Technology (Beijing) Co., Ltd. (“</w:t>
      </w:r>
      <w:r>
        <w:rPr>
          <w:rFonts w:ascii="Arial" w:cs="Arial" w:eastAsia="Arial" w:hAnsi="Arial"/>
          <w:sz w:val="18"/>
          <w:szCs w:val="18"/>
          <w:b w:val="1"/>
          <w:bCs w:val="1"/>
          <w:color w:val="auto"/>
        </w:rPr>
        <w:t>NetEase Beijing</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Beijing Guangyitong Advertising Co., Ltd. ( “</w:t>
      </w:r>
      <w:r>
        <w:rPr>
          <w:rFonts w:ascii="Arial" w:cs="Arial" w:eastAsia="Arial" w:hAnsi="Arial"/>
          <w:sz w:val="18"/>
          <w:szCs w:val="18"/>
          <w:b w:val="1"/>
          <w:bCs w:val="1"/>
          <w:color w:val="auto"/>
        </w:rPr>
        <w:t>Guangyitong</w:t>
      </w:r>
      <w:r>
        <w:rPr>
          <w:rFonts w:ascii="Arial" w:cs="Arial" w:eastAsia="Arial" w:hAnsi="Arial"/>
          <w:sz w:val="18"/>
          <w:szCs w:val="18"/>
          <w:color w:val="auto"/>
        </w:rPr>
        <w:t>”), Mr. William Lei Ding (“</w:t>
      </w:r>
      <w:r>
        <w:rPr>
          <w:rFonts w:ascii="Arial" w:cs="Arial" w:eastAsia="Arial" w:hAnsi="Arial"/>
          <w:sz w:val="18"/>
          <w:szCs w:val="18"/>
          <w:b w:val="1"/>
          <w:bCs w:val="1"/>
          <w:color w:val="auto"/>
        </w:rPr>
        <w:t>William</w:t>
      </w:r>
      <w:r>
        <w:rPr>
          <w:rFonts w:ascii="Arial" w:cs="Arial" w:eastAsia="Arial" w:hAnsi="Arial"/>
          <w:sz w:val="18"/>
          <w:szCs w:val="18"/>
          <w:color w:val="auto"/>
        </w:rPr>
        <w:t>”) and Mr. Xiaojun Hui (“</w:t>
      </w:r>
      <w:r>
        <w:rPr>
          <w:rFonts w:ascii="Arial" w:cs="Arial" w:eastAsia="Arial" w:hAnsi="Arial"/>
          <w:sz w:val="18"/>
          <w:szCs w:val="18"/>
          <w:b w:val="1"/>
          <w:bCs w:val="1"/>
          <w:color w:val="auto"/>
        </w:rPr>
        <w:t>Xiaojun</w:t>
      </w:r>
      <w:r>
        <w:rPr>
          <w:rFonts w:ascii="Arial" w:cs="Arial" w:eastAsia="Arial" w:hAnsi="Arial"/>
          <w:sz w:val="18"/>
          <w:szCs w:val="18"/>
          <w:color w:val="auto"/>
        </w:rPr>
        <w:t>”). Unless otherwise defined, capitalized terms used herein shall have the meaning assigned to them in the Original Agreement (as defined below).</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WHEREAS, NetEase Beijing, William and Bo Ding (“</w:t>
      </w:r>
      <w:r>
        <w:rPr>
          <w:rFonts w:ascii="Arial" w:cs="Arial" w:eastAsia="Arial" w:hAnsi="Arial"/>
          <w:sz w:val="18"/>
          <w:szCs w:val="18"/>
          <w:b w:val="1"/>
          <w:bCs w:val="1"/>
          <w:color w:val="auto"/>
        </w:rPr>
        <w:t>Bo</w:t>
      </w:r>
      <w:r>
        <w:rPr>
          <w:rFonts w:ascii="Arial" w:cs="Arial" w:eastAsia="Arial" w:hAnsi="Arial"/>
          <w:sz w:val="18"/>
          <w:szCs w:val="18"/>
          <w:color w:val="auto"/>
        </w:rPr>
        <w:t>”) were parties to the Shareholder Voting Right Trust Agreement, dated May 12, 2000, which was amended and novated pursuant to the Amendment and Novation of Shareholder Voting Right Trust Agreement by and among NetEase Beijing, William, Bo, Xiaojun and Guangyitong and acknowledged by Guangzhou NetEase Computer System Co., Ltd. (“</w:t>
      </w:r>
      <w:r>
        <w:rPr>
          <w:rFonts w:ascii="Arial" w:cs="Arial" w:eastAsia="Arial" w:hAnsi="Arial"/>
          <w:sz w:val="18"/>
          <w:szCs w:val="18"/>
          <w:b w:val="1"/>
          <w:bCs w:val="1"/>
          <w:color w:val="auto"/>
        </w:rPr>
        <w:t>Guangzhou NetEase</w:t>
      </w:r>
      <w:r>
        <w:rPr>
          <w:rFonts w:ascii="Arial" w:cs="Arial" w:eastAsia="Arial" w:hAnsi="Arial"/>
          <w:sz w:val="18"/>
          <w:szCs w:val="18"/>
          <w:color w:val="auto"/>
        </w:rPr>
        <w:t>”), dated May 1, 2014 (collectively,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8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WHEREAS, prior to or on the date of this Agreement, Guangzhou NetEase has transferred 79% of the equity interest in Guangyitong to William and 1% of the equity interest in Guangyitong to Ms. Li Li (collectively, the “</w:t>
      </w:r>
      <w:r>
        <w:rPr>
          <w:rFonts w:ascii="Arial" w:cs="Arial" w:eastAsia="Arial" w:hAnsi="Arial"/>
          <w:sz w:val="18"/>
          <w:szCs w:val="18"/>
          <w:b w:val="1"/>
          <w:bCs w:val="1"/>
          <w:color w:val="auto"/>
        </w:rPr>
        <w:t>Equity Transfers</w:t>
      </w:r>
      <w:r>
        <w:rPr>
          <w:rFonts w:ascii="Arial" w:cs="Arial" w:eastAsia="Arial" w:hAnsi="Arial"/>
          <w:sz w:val="18"/>
          <w:szCs w:val="18"/>
          <w:color w:val="auto"/>
        </w:rPr>
        <w:t>”), upon the completion of which Guangzhou NetEase will cease to be a shareholder of Guangyitong;</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WHEREAS, in connection with the Equity Transfers, the parties hereto have agreed that the Original Agreement will be amended and restated in its entirety with effect from the date hereof on the terms and conditions set forth below, such that the rights, obligations and liabilities under the Original Agreement will relate to William and Xiaojun, in their respective capacities as direct shareholders of Guangzhou NetEase, and not in William’s capacity as a direct shareholder of Guangyitong.</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NOW, THEREFORE, in consideration of the foregoing and for good and valuable consideration, the receipt and sufficiency of which is hereby acknowledged, the parties hereby agree as follows:</w:t>
      </w:r>
    </w:p>
    <w:p>
      <w:pPr>
        <w:spacing w:after="0" w:line="170" w:lineRule="exact"/>
        <w:rPr>
          <w:sz w:val="20"/>
          <w:szCs w:val="20"/>
          <w:color w:val="auto"/>
        </w:rPr>
      </w:pPr>
    </w:p>
    <w:p>
      <w:pPr>
        <w:ind w:firstLine="656"/>
        <w:spacing w:after="0" w:line="264" w:lineRule="auto"/>
        <w:tabs>
          <w:tab w:leader="none" w:pos="97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All rights, obligations and liabilities of Guangyitong under the Original Agreement shall be terminated from the date hereof and be of no further force and effect, including any rights and obligations which may have accrued prior to such termination, and each party expressly waives any claim it may have in respect thereof.</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Arrangements relating to Guangzhou NetEase.</w:t>
      </w:r>
    </w:p>
    <w:p>
      <w:pPr>
        <w:spacing w:after="0" w:line="225" w:lineRule="exact"/>
        <w:rPr>
          <w:rFonts w:ascii="Arial" w:cs="Arial" w:eastAsia="Arial" w:hAnsi="Arial"/>
          <w:sz w:val="18"/>
          <w:szCs w:val="18"/>
          <w:color w:val="auto"/>
        </w:rPr>
      </w:pPr>
    </w:p>
    <w:p>
      <w:pPr>
        <w:ind w:right="140" w:firstLine="1305"/>
        <w:spacing w:after="0" w:line="342" w:lineRule="auto"/>
        <w:tabs>
          <w:tab w:leader="none" w:pos="1618" w:val="left"/>
        </w:tabs>
        <w:numPr>
          <w:ilvl w:val="1"/>
          <w:numId w:val="190"/>
        </w:numPr>
        <w:rPr>
          <w:rFonts w:ascii="Arial" w:cs="Arial" w:eastAsia="Arial" w:hAnsi="Arial"/>
          <w:sz w:val="16"/>
          <w:szCs w:val="16"/>
          <w:color w:val="auto"/>
        </w:rPr>
      </w:pPr>
      <w:r>
        <w:rPr>
          <w:rFonts w:ascii="Arial" w:cs="Arial" w:eastAsia="Arial" w:hAnsi="Arial"/>
          <w:sz w:val="16"/>
          <w:szCs w:val="16"/>
          <w:color w:val="auto"/>
        </w:rPr>
        <w:t>Each of William and Xiaojun hereby irrevocably entrusts the Company to represent him to exercise all the voting rights to which he is entitled as a shareholder of Guangzhou NetEase pursuant to the applicable laws and the memorandum and articles of association of Guangzhou NetEase.</w:t>
      </w:r>
    </w:p>
    <w:p>
      <w:pPr>
        <w:spacing w:after="0" w:line="123" w:lineRule="exact"/>
        <w:rPr>
          <w:rFonts w:ascii="Arial" w:cs="Arial" w:eastAsia="Arial" w:hAnsi="Arial"/>
          <w:sz w:val="16"/>
          <w:szCs w:val="16"/>
          <w:color w:val="auto"/>
        </w:rPr>
      </w:pPr>
    </w:p>
    <w:p>
      <w:pPr>
        <w:jc w:val="both"/>
        <w:ind w:right="220" w:firstLine="1305"/>
        <w:spacing w:after="0" w:line="264" w:lineRule="auto"/>
        <w:tabs>
          <w:tab w:leader="none" w:pos="162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Company hereby accepts the respective entrustment by William and Xiaojun to represent each of them to exercise all the voting rights to which William and Xiaojun respectively is entitled as a shareholder of Guangzhou NetEase pursuant to applicable laws and the memorandum and articles of association of Guangzhou NetEase.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right="200" w:firstLine="656"/>
        <w:spacing w:after="0" w:line="277" w:lineRule="auto"/>
        <w:tabs>
          <w:tab w:leader="none" w:pos="972"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valid term of this Agreement shall be 20 years from May 12, 2010, which can be renewed upon agreement of the parties at the time of its expiration.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PRC law.</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among the parties hereto relating to the subject matters hereof.</w:t>
      </w:r>
    </w:p>
    <w:p>
      <w:pPr>
        <w:spacing w:after="0" w:line="248" w:lineRule="exact"/>
        <w:rPr>
          <w:rFonts w:ascii="Arial" w:cs="Arial" w:eastAsia="Arial" w:hAnsi="Arial"/>
          <w:sz w:val="16"/>
          <w:szCs w:val="16"/>
          <w:color w:val="auto"/>
        </w:rPr>
      </w:pPr>
    </w:p>
    <w:p>
      <w:pPr>
        <w:ind w:right="200" w:firstLine="1305"/>
        <w:spacing w:after="0" w:line="277" w:lineRule="auto"/>
        <w:tabs>
          <w:tab w:leader="none" w:pos="1631"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agreement.</w:t>
      </w:r>
    </w:p>
    <w:p>
      <w:pPr>
        <w:spacing w:after="0" w:line="170" w:lineRule="exact"/>
        <w:rPr>
          <w:rFonts w:ascii="Arial" w:cs="Arial" w:eastAsia="Arial" w:hAnsi="Arial"/>
          <w:sz w:val="18"/>
          <w:szCs w:val="18"/>
          <w:color w:val="auto"/>
        </w:rPr>
      </w:pPr>
    </w:p>
    <w:p>
      <w:pPr>
        <w:ind w:right="180" w:firstLine="1305"/>
        <w:spacing w:after="0" w:line="277" w:lineRule="auto"/>
        <w:tabs>
          <w:tab w:leader="none" w:pos="1628"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can only be amended or terminated by the written consent of all parties hereto other than Guangyitong (except with respect to Section 1 hereof, the amendment of which shall require the written consent of Guangyitong).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-2327910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Agreement has been executed by the parties effective as of the date first set forth above.</w:t>
      </w:r>
    </w:p>
    <w:p>
      <w:pPr>
        <w:spacing w:after="0" w:line="221"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NetEase Information Technology</w:t>
      </w:r>
    </w:p>
    <w:p>
      <w:pPr>
        <w:spacing w:after="0" w:line="27"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(Beijing) Co., Ltd.</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7"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Beijing Guangyitong Advertising Co.,</w:t>
      </w:r>
    </w:p>
    <w:p>
      <w:pPr>
        <w:spacing w:after="0" w:line="27"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Ltd.</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(Seal)</w:t>
      </w:r>
    </w:p>
    <w:p>
      <w:pPr>
        <w:sectPr>
          <w:pgSz w:w="11900" w:h="16838" w:orient="portrait"/>
          <w:cols w:equalWidth="0" w:num="1">
            <w:col w:w="11420"/>
          </w:cols>
          <w:pgMar w:left="240" w:top="121" w:right="239" w:bottom="0" w:gutter="0" w:footer="0" w:header="0"/>
        </w:sectPr>
      </w:pPr>
    </w:p>
    <w:bookmarkStart w:id="119" w:name="page120"/>
    <w:bookmarkEnd w:id="119"/>
    <w:p>
      <w:pPr>
        <w:ind w:left="6000"/>
        <w:spacing w:after="0"/>
        <w:rPr>
          <w:sz w:val="20"/>
          <w:szCs w:val="20"/>
          <w:color w:val="auto"/>
        </w:rPr>
      </w:pPr>
      <w:r>
        <w:rPr>
          <w:rFonts w:ascii="Arial" w:cs="Arial" w:eastAsia="Arial" w:hAnsi="Arial"/>
          <w:sz w:val="18"/>
          <w:szCs w:val="18"/>
          <w:b w:val="1"/>
          <w:bCs w:val="1"/>
          <w:color w:val="auto"/>
        </w:rPr>
        <w:t>William Lei Ding</w:t>
      </w:r>
    </w:p>
    <w:p>
      <w:pPr>
        <w:spacing w:after="0" w:line="200" w:lineRule="exact"/>
        <w:rPr>
          <w:sz w:val="20"/>
          <w:szCs w:val="20"/>
          <w:color w:val="auto"/>
        </w:rPr>
      </w:pPr>
    </w:p>
    <w:p>
      <w:pPr>
        <w:spacing w:after="0" w:line="245"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3439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Xiaojun Hui</w:t>
      </w:r>
    </w:p>
    <w:p>
      <w:pPr>
        <w:spacing w:after="0" w:line="22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Xiaojun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3439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Guangzhou NetEase Computer System Co.,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VOTING RIGHT TRUST AGREEMENT</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This Shareholder Voting Right Trust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December 1, 2015, to amend and replace in its entirety the Proxy Agreement entered into by and among the following parties (or their predecessors in interest) on April 15, 2009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NetEase (Hangzhou) Network Co., Ltd., a wholly foreign-owned enterprise registered in Beijing, PRC under the laws of the PRC</w:t>
      </w:r>
    </w:p>
    <w:p>
      <w:pPr>
        <w:spacing w:after="0" w:line="22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Hu Tianlei (ID Number: 330206198210210412), a citizen of the People’s Republic of China with his address at No. 38 Zheda Road, West Lake</w:t>
      </w:r>
      <w:r>
        <w:rPr>
          <w:rFonts w:ascii="Arial" w:cs="Arial" w:eastAsia="Arial" w:hAnsi="Arial"/>
          <w:sz w:val="18"/>
          <w:szCs w:val="18"/>
          <w:b w:val="1"/>
          <w:bCs w:val="1"/>
          <w:color w:val="auto"/>
        </w:rPr>
        <w:t xml:space="preserve"> </w:t>
      </w:r>
      <w:r>
        <w:rPr>
          <w:rFonts w:ascii="Arial" w:cs="Arial" w:eastAsia="Arial" w:hAnsi="Arial"/>
          <w:sz w:val="18"/>
          <w:szCs w:val="18"/>
          <w:color w:val="auto"/>
        </w:rPr>
        <w:t>District, Hangzhou, Zhejiang, PRC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right="240" w:hanging="652"/>
        <w:spacing w:after="0" w:line="282"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Party B and Hu Zhipeng comprise all the shareholders of Hangzhou NetEase Leihuo Network Co., Ltd. (the “</w:t>
      </w:r>
      <w:r>
        <w:rPr>
          <w:rFonts w:ascii="Arial" w:cs="Arial" w:eastAsia="Arial" w:hAnsi="Arial"/>
          <w:sz w:val="18"/>
          <w:szCs w:val="18"/>
          <w:b w:val="1"/>
          <w:bCs w:val="1"/>
          <w:color w:val="auto"/>
        </w:rPr>
        <w:t>Company</w:t>
      </w:r>
      <w:r>
        <w:rPr>
          <w:rFonts w:ascii="Arial" w:cs="Arial" w:eastAsia="Arial" w:hAnsi="Arial"/>
          <w:sz w:val="18"/>
          <w:szCs w:val="18"/>
          <w:color w:val="auto"/>
        </w:rPr>
        <w:t>”), in which Party B owns 50% of the equity interests and Hu Zhipeng owns 50% of the equity interests.</w:t>
      </w:r>
    </w:p>
    <w:p>
      <w:pPr>
        <w:spacing w:after="0" w:line="165"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Party B is willing to entrust the person designated by Party A with full authority to exercise his/her shareholder’s voting rights at the Company’s shareholders’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100" w:hanging="652"/>
        <w:spacing w:after="0" w:line="259"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Party B hereby agrees to irrevocably entrust the person designated by Party A to exercise on his/her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w:t>
      </w:r>
    </w:p>
    <w:p>
      <w:pPr>
        <w:spacing w:after="0" w:line="18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Party A agrees to designate a person to accept the entrustment by Party B pursuant to Article 1 of this Agreement, and such person shall represent Party B in the exercise of Party B’s shareholder’s voting rights and other shareholder’s rights pursuant to this Agreement.</w:t>
      </w:r>
    </w:p>
    <w:p>
      <w:pPr>
        <w:spacing w:after="0" w:line="146" w:lineRule="exact"/>
        <w:rPr>
          <w:rFonts w:ascii="Arial" w:cs="Arial" w:eastAsia="Arial" w:hAnsi="Arial"/>
          <w:sz w:val="17"/>
          <w:szCs w:val="17"/>
          <w:color w:val="auto"/>
        </w:rPr>
      </w:pPr>
    </w:p>
    <w:p>
      <w:pPr>
        <w:ind w:left="660" w:right="80" w:hanging="652"/>
        <w:spacing w:after="0" w:line="270" w:lineRule="auto"/>
        <w:tabs>
          <w:tab w:leader="none" w:pos="6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Party B hereby acknowledges that, regardless how his/her equity interests in the Company will change, he/she shall entrust the person designated by Party A with all of his/her shareholder’s voting rights and other shareholder’s rights. If Party B transfers his/her equity interests in the Company to any individual or company, other than Party A or the individuals or entities designated by Party A (each, a “</w:t>
      </w:r>
      <w:r>
        <w:rPr>
          <w:rFonts w:ascii="Arial" w:cs="Arial" w:eastAsia="Arial" w:hAnsi="Arial"/>
          <w:sz w:val="17"/>
          <w:szCs w:val="17"/>
          <w:b w:val="1"/>
          <w:bCs w:val="1"/>
          <w:color w:val="auto"/>
        </w:rPr>
        <w:t>Transferee</w:t>
      </w:r>
      <w:r>
        <w:rPr>
          <w:rFonts w:ascii="Arial" w:cs="Arial" w:eastAsia="Arial" w:hAnsi="Arial"/>
          <w:sz w:val="17"/>
          <w:szCs w:val="17"/>
          <w:color w:val="auto"/>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380" w:hanging="652"/>
        <w:spacing w:after="0" w:line="312" w:lineRule="auto"/>
        <w:tabs>
          <w:tab w:leader="none" w:pos="6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Party B hereby acknowledges that if Party A withdraws the appointment of the relevant person to whom Party B has entrusted his shareholder’s voting rights and other shareholder’s rights, he/she will withdraw his/her authorization for this person and authorize other persons designated by Party A to exercise his/her shareholder’s voting rights and other shareholder’s rights at the shareholders’ meeting of the Company.</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This Agreement shall become effective as of the date it is duly executed by the Parties’ authorized representatives.</w:t>
      </w:r>
    </w:p>
    <w:p>
      <w:pPr>
        <w:spacing w:after="0" w:line="225"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Notwithstanding Article 5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23" w:lineRule="exact"/>
        <w:rPr>
          <w:rFonts w:ascii="Arial" w:cs="Arial" w:eastAsia="Arial" w:hAnsi="Arial"/>
          <w:sz w:val="16"/>
          <w:szCs w:val="16"/>
          <w:color w:val="auto"/>
        </w:rPr>
      </w:pPr>
    </w:p>
    <w:p>
      <w:pPr>
        <w:ind w:left="660" w:right="300" w:hanging="652"/>
        <w:spacing w:after="0" w:line="342" w:lineRule="auto"/>
        <w:tabs>
          <w:tab w:leader="none" w:pos="6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This Agreement shall remain effective for as long as Party B is a shareholder of the Company unless this Agreement is unilaterally terminated by Party A at its sole and absolute discretion by giving thirty (30) days prior written notice to Party B of its intention to terminate this Agreement.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amendment to, and/or cancellation of, this Agreement shall be agreed by the Parties in writing.</w:t>
      </w:r>
    </w:p>
    <w:p>
      <w:pPr>
        <w:spacing w:after="0" w:line="225" w:lineRule="exact"/>
        <w:rPr>
          <w:rFonts w:ascii="Arial" w:cs="Arial" w:eastAsia="Arial" w:hAnsi="Arial"/>
          <w:sz w:val="18"/>
          <w:szCs w:val="18"/>
          <w:color w:val="auto"/>
        </w:rPr>
      </w:pPr>
    </w:p>
    <w:p>
      <w:pPr>
        <w:ind w:left="660" w:right="20" w:hanging="652"/>
        <w:spacing w:after="0" w:line="290" w:lineRule="auto"/>
        <w:tabs>
          <w:tab w:leader="none" w:pos="6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9. Any disclosure of confidential information by the personnel of any Party or by the institutions engaged by such Party shall be deemed as a disclosure by such Party, and such Party shall be liable for the breach under this Agreement. Both Parties agree that this Article 9 shall survive the invalidity, cancellation, termination or unenforceability of this Agreement.</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Applicable Laws and Dispute Resolution</w:t>
      </w:r>
    </w:p>
    <w:p>
      <w:pPr>
        <w:spacing w:after="0" w:line="225" w:lineRule="exact"/>
        <w:rPr>
          <w:rFonts w:ascii="Arial" w:cs="Arial" w:eastAsia="Arial" w:hAnsi="Arial"/>
          <w:sz w:val="18"/>
          <w:szCs w:val="18"/>
          <w:color w:val="auto"/>
        </w:rPr>
      </w:pPr>
    </w:p>
    <w:p>
      <w:pPr>
        <w:ind w:left="1300" w:right="60" w:hanging="324"/>
        <w:spacing w:after="0" w:line="277" w:lineRule="auto"/>
        <w:rPr>
          <w:rFonts w:ascii="Arial" w:cs="Arial" w:eastAsia="Arial" w:hAnsi="Arial"/>
          <w:sz w:val="18"/>
          <w:szCs w:val="18"/>
          <w:color w:val="auto"/>
        </w:rPr>
      </w:pPr>
      <w:r>
        <w:rPr>
          <w:rFonts w:ascii="Arial" w:cs="Arial" w:eastAsia="Arial" w:hAnsi="Arial"/>
          <w:sz w:val="18"/>
          <w:szCs w:val="18"/>
          <w:color w:val="auto"/>
        </w:rPr>
        <w:t>a. The formation, validity, interpretation and performance of and settlement of disputes under this Agreement shall be governed by the laws of the PRC.</w:t>
      </w:r>
    </w:p>
    <w:p>
      <w:pPr>
        <w:sectPr>
          <w:pgSz w:w="11900" w:h="16838" w:orient="portrait"/>
          <w:cols w:equalWidth="0" w:num="1">
            <w:col w:w="11420"/>
          </w:cols>
          <w:pgMar w:left="240" w:top="12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121" w:name="page122"/>
    <w:bookmarkEnd w:id="121"/>
    <w:p>
      <w:pPr>
        <w:ind w:left="1300" w:hanging="320"/>
        <w:spacing w:after="0" w:line="268" w:lineRule="auto"/>
        <w:tabs>
          <w:tab w:leader="none" w:pos="13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(Hangzhou)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 Tianlei</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Hu Tianlei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Hangzhou NetEase Leihuo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733" w:right="2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VOTING RIGHT TRUST AGREEMENT</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This Shareholder Voting Right Trust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December 1, 2015, to amend and replace in its entirety the Proxy Agreement entered into by and among the following parties (or their predecessors in interest) on April 15, 2009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NetEase (Hangzhou) Network Co., Ltd., a wholly foreign-owned enterprise registered in Beijing, PRC under the laws of the PRC</w:t>
      </w:r>
    </w:p>
    <w:p>
      <w:pPr>
        <w:spacing w:after="0" w:line="225" w:lineRule="exact"/>
        <w:rPr>
          <w:sz w:val="20"/>
          <w:szCs w:val="20"/>
          <w:color w:val="auto"/>
        </w:rPr>
      </w:pPr>
    </w:p>
    <w:p>
      <w:pPr>
        <w:ind w:right="1080"/>
        <w:spacing w:after="0" w:line="282" w:lineRule="auto"/>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Hu Zhipeng (ID Number: 330106197812210436), a citizen of the People’s Republic of China with his address at No. 14 South Street,</w:t>
      </w:r>
      <w:r>
        <w:rPr>
          <w:rFonts w:ascii="Arial" w:cs="Arial" w:eastAsia="Arial" w:hAnsi="Arial"/>
          <w:sz w:val="18"/>
          <w:szCs w:val="18"/>
          <w:b w:val="1"/>
          <w:bCs w:val="1"/>
          <w:color w:val="auto"/>
        </w:rPr>
        <w:t xml:space="preserve"> </w:t>
      </w:r>
      <w:r>
        <w:rPr>
          <w:rFonts w:ascii="Arial" w:cs="Arial" w:eastAsia="Arial" w:hAnsi="Arial"/>
          <w:sz w:val="18"/>
          <w:szCs w:val="18"/>
          <w:color w:val="auto"/>
        </w:rPr>
        <w:t>Chaoyangmen, FESCO, Beijing, PRC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right="340" w:hanging="652"/>
        <w:spacing w:after="0" w:line="282"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Party B and Hu Tianlei comprise all the shareholders of Hangzhou NetEase Leihuo Network Co., Ltd. (the “</w:t>
      </w:r>
      <w:r>
        <w:rPr>
          <w:rFonts w:ascii="Arial" w:cs="Arial" w:eastAsia="Arial" w:hAnsi="Arial"/>
          <w:sz w:val="18"/>
          <w:szCs w:val="18"/>
          <w:b w:val="1"/>
          <w:bCs w:val="1"/>
          <w:color w:val="auto"/>
        </w:rPr>
        <w:t>Company</w:t>
      </w:r>
      <w:r>
        <w:rPr>
          <w:rFonts w:ascii="Arial" w:cs="Arial" w:eastAsia="Arial" w:hAnsi="Arial"/>
          <w:sz w:val="18"/>
          <w:szCs w:val="18"/>
          <w:color w:val="auto"/>
        </w:rPr>
        <w:t>”), in which Party B owns 50% of the equity interests and Hu Tianlei owns 50% of the equity interests.</w:t>
      </w:r>
    </w:p>
    <w:p>
      <w:pPr>
        <w:spacing w:after="0" w:line="165" w:lineRule="exact"/>
        <w:rPr>
          <w:rFonts w:ascii="Arial" w:cs="Arial" w:eastAsia="Arial" w:hAnsi="Arial"/>
          <w:sz w:val="18"/>
          <w:szCs w:val="18"/>
          <w:color w:val="auto"/>
        </w:rPr>
      </w:pPr>
    </w:p>
    <w:p>
      <w:pPr>
        <w:ind w:left="660" w:right="360" w:hanging="652"/>
        <w:spacing w:after="0" w:line="277"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Party B is willing to entrust the person designated by Party A with full authority to exercise his/her shareholder’s voting rights at the Company’s shareholders’ meetings.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100" w:hanging="652"/>
        <w:spacing w:after="0" w:line="259"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Party B hereby agrees to irrevocably entrust the person designated by Party A to exercise on his/her behalf all shareholder’s voting rights and other shareholder’s rights at the shareholders’ meeting of the Company in accordance with PRC law and the Company’s articles of association, including, but not limited to, with respect to the sale or transfer of all or part of Party B’s equity interests in the Company and the appointment and election of the directors and chairman of the Company.</w:t>
      </w:r>
    </w:p>
    <w:p>
      <w:pPr>
        <w:spacing w:after="0" w:line="18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Party A agrees to designate a person to accept the entrustment by Party B pursuant to Article 1 of this Agreement, and such person shall represent Party B in the exercise of Party B’s shareholder’s voting rights and other shareholder’s rights pursuant to this Agreement.</w:t>
      </w:r>
    </w:p>
    <w:p>
      <w:pPr>
        <w:spacing w:after="0" w:line="146" w:lineRule="exact"/>
        <w:rPr>
          <w:rFonts w:ascii="Arial" w:cs="Arial" w:eastAsia="Arial" w:hAnsi="Arial"/>
          <w:sz w:val="17"/>
          <w:szCs w:val="17"/>
          <w:color w:val="auto"/>
        </w:rPr>
      </w:pPr>
    </w:p>
    <w:p>
      <w:pPr>
        <w:ind w:left="660" w:right="80" w:hanging="652"/>
        <w:spacing w:after="0" w:line="270" w:lineRule="auto"/>
        <w:tabs>
          <w:tab w:leader="none" w:pos="6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Party B hereby acknowledges that, regardless how his/her equity interests in the Company will change, he/she shall entrust the person designated by Party A with all of his/her shareholder’s voting rights and other shareholder’s rights. If Party B transfers his/her equity interests in the Company to any individual or company, other than Party A or the individuals or entities designated by Party A (each, a “</w:t>
      </w:r>
      <w:r>
        <w:rPr>
          <w:rFonts w:ascii="Arial" w:cs="Arial" w:eastAsia="Arial" w:hAnsi="Arial"/>
          <w:sz w:val="17"/>
          <w:szCs w:val="17"/>
          <w:b w:val="1"/>
          <w:bCs w:val="1"/>
          <w:color w:val="auto"/>
        </w:rPr>
        <w:t>Transferee</w:t>
      </w:r>
      <w:r>
        <w:rPr>
          <w:rFonts w:ascii="Arial" w:cs="Arial" w:eastAsia="Arial" w:hAnsi="Arial"/>
          <w:sz w:val="17"/>
          <w:szCs w:val="17"/>
          <w:color w:val="auto"/>
        </w:rPr>
        <w:t>”), Party B shall cause such Transferee to, concurrently with the execution of the equity transfer documents, sign an agreement with the same terms and conditions as this Agreement to entrust the person designated by Party A with the shareholder’s voting rights and other shareholder’s rights of the Transferee. In the event of Party B’s death or incapacity, the terms of this Agreement shall be binding upon the executors, administrators, heirs and successors of Party B. Any equity interests in the Company held by Party B shall not be part of Party B’s estate upon death or incapacity and shall not pass to Party B’s heirs or successors. Upon Party B’s death or incapacity, any equity interests in the Company held by Party B shall be transferred to Party A or its designated person(s).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380" w:hanging="652"/>
        <w:spacing w:after="0" w:line="312" w:lineRule="auto"/>
        <w:tabs>
          <w:tab w:leader="none" w:pos="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Party B hereby acknowledges that if Party A withdraws the appointment of the relevant person to whom Party B has entrusted his shareholder’s voting rights and other shareholder’s rights, he/she will withdraw his/her authorization for this person and authorize other persons designated by Party A to exercise his/her shareholder’s voting rights and other shareholder’s rights at the shareholders’ meeting of the Company.</w:t>
      </w:r>
    </w:p>
    <w:p>
      <w:pPr>
        <w:spacing w:after="0" w:line="146" w:lineRule="exact"/>
        <w:rPr>
          <w:rFonts w:ascii="Arial" w:cs="Arial" w:eastAsia="Arial" w:hAnsi="Arial"/>
          <w:sz w:val="16"/>
          <w:szCs w:val="16"/>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This Agreement shall become effective as of the date it is duly executed by the Parties’ authorized representatives.</w:t>
      </w:r>
    </w:p>
    <w:p>
      <w:pPr>
        <w:spacing w:after="0" w:line="225"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Notwithstanding Article 5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23" w:lineRule="exact"/>
        <w:rPr>
          <w:rFonts w:ascii="Arial" w:cs="Arial" w:eastAsia="Arial" w:hAnsi="Arial"/>
          <w:sz w:val="16"/>
          <w:szCs w:val="16"/>
          <w:color w:val="auto"/>
        </w:rPr>
      </w:pPr>
    </w:p>
    <w:p>
      <w:pPr>
        <w:ind w:left="660" w:right="300" w:hanging="652"/>
        <w:spacing w:after="0" w:line="342" w:lineRule="auto"/>
        <w:tabs>
          <w:tab w:leader="none" w:pos="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This Agreement shall remain effective for as long as Party B is a shareholder of the Company unless this Agreement is unilaterally terminated by Party A at its sole and absolute discretion by giving thirty (30) days prior written notice to Party B of its intention to terminate this Agreement.</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amendment to, and/or cancellation of, this Agreement shall be agreed by the Parties in writing.</w:t>
      </w:r>
    </w:p>
    <w:p>
      <w:pPr>
        <w:spacing w:after="0" w:line="225" w:lineRule="exact"/>
        <w:rPr>
          <w:rFonts w:ascii="Arial" w:cs="Arial" w:eastAsia="Arial" w:hAnsi="Arial"/>
          <w:sz w:val="18"/>
          <w:szCs w:val="18"/>
          <w:color w:val="auto"/>
        </w:rPr>
      </w:pPr>
    </w:p>
    <w:p>
      <w:pPr>
        <w:ind w:left="660" w:right="20" w:hanging="652"/>
        <w:spacing w:after="0" w:line="290" w:lineRule="auto"/>
        <w:tabs>
          <w:tab w:leader="none" w:pos="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Both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9. Any disclosure of confidential information by the personnel of any Party or by the institutions engaged by such Party shall be deemed as a disclosure by such Party, and such Party shall be liable for the breach under this Agreement. Both Parties agree that this Article 9 shall survive the invalidity, cancellation, termination or unenforceability of this Agreement.</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Applicable Laws and Dispute Resolution</w:t>
      </w:r>
    </w:p>
    <w:p>
      <w:pPr>
        <w:spacing w:after="0" w:line="225" w:lineRule="exact"/>
        <w:rPr>
          <w:rFonts w:ascii="Arial" w:cs="Arial" w:eastAsia="Arial" w:hAnsi="Arial"/>
          <w:sz w:val="18"/>
          <w:szCs w:val="18"/>
          <w:color w:val="auto"/>
        </w:rPr>
      </w:pPr>
    </w:p>
    <w:p>
      <w:pPr>
        <w:ind w:left="1300" w:right="60" w:hanging="324"/>
        <w:spacing w:after="0" w:line="277" w:lineRule="auto"/>
        <w:rPr>
          <w:rFonts w:ascii="Arial" w:cs="Arial" w:eastAsia="Arial" w:hAnsi="Arial"/>
          <w:sz w:val="18"/>
          <w:szCs w:val="18"/>
          <w:color w:val="auto"/>
        </w:rPr>
      </w:pPr>
      <w:r>
        <w:rPr>
          <w:rFonts w:ascii="Arial" w:cs="Arial" w:eastAsia="Arial" w:hAnsi="Arial"/>
          <w:sz w:val="18"/>
          <w:szCs w:val="18"/>
          <w:color w:val="auto"/>
        </w:rPr>
        <w:t>a. The formation, validity, interpretation and performance of and settlement of disputes under this Agreement shall be governed by the laws of the PRC.</w:t>
      </w:r>
    </w:p>
    <w:p>
      <w:pPr>
        <w:sectPr>
          <w:pgSz w:w="11900" w:h="16838" w:orient="portrait"/>
          <w:cols w:equalWidth="0" w:num="1">
            <w:col w:w="11420"/>
          </w:cols>
          <w:pgMar w:left="240" w:top="12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123" w:name="page124"/>
    <w:bookmarkEnd w:id="123"/>
    <w:p>
      <w:pPr>
        <w:ind w:left="1300" w:hanging="320"/>
        <w:spacing w:after="0" w:line="268" w:lineRule="auto"/>
        <w:tabs>
          <w:tab w:leader="none" w:pos="13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(Hangzhou)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 Zhipeng</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Hu Zhipeng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is 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Hangzhou NetEase Leihuo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733" w:right="29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4.37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Loan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November 30, 2015:</w:t>
      </w:r>
    </w:p>
    <w:p>
      <w:pPr>
        <w:spacing w:after="0" w:line="225" w:lineRule="exact"/>
        <w:rPr>
          <w:sz w:val="20"/>
          <w:szCs w:val="20"/>
          <w:color w:val="auto"/>
        </w:rPr>
      </w:pPr>
    </w:p>
    <w:p>
      <w:pPr>
        <w:ind w:left="1300" w:right="180" w:hanging="644"/>
        <w:spacing w:after="0" w:line="313" w:lineRule="auto"/>
        <w:tabs>
          <w:tab w:leader="none" w:pos="130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NetEase Media Technology (Beijing) Co., Ltd. (“</w:t>
      </w:r>
      <w:r>
        <w:rPr>
          <w:rFonts w:ascii="Arial" w:cs="Arial" w:eastAsia="Arial" w:hAnsi="Arial"/>
          <w:sz w:val="17"/>
          <w:szCs w:val="17"/>
          <w:b w:val="1"/>
          <w:bCs w:val="1"/>
          <w:color w:val="auto"/>
        </w:rPr>
        <w:t>Lender</w:t>
      </w:r>
      <w:r>
        <w:rPr>
          <w:rFonts w:ascii="Arial" w:cs="Arial" w:eastAsia="Arial" w:hAnsi="Arial"/>
          <w:sz w:val="17"/>
          <w:szCs w:val="17"/>
          <w:color w:val="auto"/>
        </w:rPr>
        <w:t>”), a wholly foreign owned enterprise registered in Beijing,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with its address at 20-22/F, Tower 8, NO.86 Zhongguancun East Road, Haidian District, Beijing; and</w:t>
      </w:r>
    </w:p>
    <w:p>
      <w:pPr>
        <w:spacing w:after="0" w:line="138" w:lineRule="exact"/>
        <w:rPr>
          <w:sz w:val="20"/>
          <w:szCs w:val="20"/>
          <w:color w:val="auto"/>
        </w:rPr>
      </w:pPr>
    </w:p>
    <w:p>
      <w:pPr>
        <w:ind w:left="1300" w:right="60" w:hanging="644"/>
        <w:spacing w:after="0" w:line="282" w:lineRule="auto"/>
        <w:tabs>
          <w:tab w:leader="none" w:pos="130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William Lei Ding (ID Number: 330224197110180074, “</w:t>
      </w:r>
      <w:r>
        <w:rPr>
          <w:rFonts w:ascii="Arial" w:cs="Arial" w:eastAsia="Arial" w:hAnsi="Arial"/>
          <w:sz w:val="18"/>
          <w:szCs w:val="18"/>
          <w:b w:val="1"/>
          <w:bCs w:val="1"/>
          <w:color w:val="auto"/>
        </w:rPr>
        <w:t>Borrower</w:t>
      </w:r>
      <w:r>
        <w:rPr>
          <w:rFonts w:ascii="Arial" w:cs="Arial" w:eastAsia="Arial" w:hAnsi="Arial"/>
          <w:sz w:val="18"/>
          <w:szCs w:val="18"/>
          <w:color w:val="auto"/>
        </w:rPr>
        <w:t>”), a PRC citizen with his address atRoom 6-401, A90, Shuguang Road, Jiangdong District, Ningbo, Zhejiang Province.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 and Borrower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5" w:lineRule="exact"/>
        <w:rPr>
          <w:sz w:val="20"/>
          <w:szCs w:val="20"/>
          <w:color w:val="auto"/>
        </w:rPr>
      </w:pPr>
    </w:p>
    <w:p>
      <w:pPr>
        <w:ind w:left="1300" w:right="40" w:hanging="644"/>
        <w:spacing w:after="0" w:line="287" w:lineRule="auto"/>
        <w:tabs>
          <w:tab w:leader="none" w:pos="132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Borrower entered into an Equity Transfer Agreement on November 30, 3015, according to which Borrower will acquire 79% (the “</w:t>
      </w:r>
      <w:r>
        <w:rPr>
          <w:rFonts w:ascii="Arial" w:cs="Arial" w:eastAsia="Arial" w:hAnsi="Arial"/>
          <w:sz w:val="16"/>
          <w:szCs w:val="16"/>
          <w:b w:val="1"/>
          <w:bCs w:val="1"/>
          <w:color w:val="auto"/>
        </w:rPr>
        <w:t>Target</w:t>
      </w:r>
      <w:r>
        <w:rPr>
          <w:rFonts w:ascii="Arial" w:cs="Arial" w:eastAsia="Arial" w:hAnsi="Arial"/>
          <w:sz w:val="16"/>
          <w:szCs w:val="16"/>
          <w:color w:val="auto"/>
        </w:rPr>
        <w:t xml:space="preserve"> </w:t>
      </w:r>
      <w:r>
        <w:rPr>
          <w:rFonts w:ascii="Arial" w:cs="Arial" w:eastAsia="Arial" w:hAnsi="Arial"/>
          <w:sz w:val="16"/>
          <w:szCs w:val="16"/>
          <w:b w:val="1"/>
          <w:bCs w:val="1"/>
          <w:color w:val="auto"/>
        </w:rPr>
        <w:t>Equity</w:t>
      </w:r>
      <w:r>
        <w:rPr>
          <w:rFonts w:ascii="Arial" w:cs="Arial" w:eastAsia="Arial" w:hAnsi="Arial"/>
          <w:sz w:val="16"/>
          <w:szCs w:val="16"/>
          <w:color w:val="auto"/>
        </w:rPr>
        <w:t>”) of the equity interests in Beijing Guangyitong Advertising Co., Ltd., a limited liability company registered in Beijing, PRC with</w:t>
      </w:r>
      <w:r>
        <w:rPr>
          <w:rFonts w:ascii="Arial" w:cs="Arial" w:eastAsia="Arial" w:hAnsi="Arial"/>
          <w:sz w:val="16"/>
          <w:szCs w:val="16"/>
          <w:b w:val="1"/>
          <w:bCs w:val="1"/>
          <w:color w:val="auto"/>
        </w:rPr>
        <w:t xml:space="preserve"> </w:t>
      </w:r>
      <w:r>
        <w:rPr>
          <w:rFonts w:ascii="Arial" w:cs="Arial" w:eastAsia="Arial" w:hAnsi="Arial"/>
          <w:sz w:val="16"/>
          <w:szCs w:val="16"/>
          <w:color w:val="auto"/>
        </w:rPr>
        <w:t>its address at Room F112,-1/F, Tower 5th, YongDingMenWai Street NO.86, Dongcheng District, Beijing (the “</w:t>
      </w:r>
      <w:r>
        <w:rPr>
          <w:rFonts w:ascii="Arial" w:cs="Arial" w:eastAsia="Arial" w:hAnsi="Arial"/>
          <w:sz w:val="16"/>
          <w:szCs w:val="16"/>
          <w:b w:val="1"/>
          <w:bCs w:val="1"/>
          <w:color w:val="auto"/>
        </w:rPr>
        <w:t>Domestic Company</w:t>
      </w:r>
      <w:r>
        <w:rPr>
          <w:rFonts w:ascii="Arial" w:cs="Arial" w:eastAsia="Arial" w:hAnsi="Arial"/>
          <w:sz w:val="16"/>
          <w:szCs w:val="16"/>
          <w:color w:val="auto"/>
        </w:rPr>
        <w:t>”), from Guangzhou NetEase Computer System Co., Ltd., a limited liability company registered in Guangzhou, PRC with its address at 702A,</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No. 59 Jianzhong Road, Tianhe District, Guangzhou in exchange for RMB 7,741,605 (the “</w:t>
      </w:r>
      <w:r>
        <w:rPr>
          <w:rFonts w:ascii="Arial" w:cs="Arial" w:eastAsia="Arial" w:hAnsi="Arial"/>
          <w:sz w:val="18"/>
          <w:szCs w:val="18"/>
          <w:b w:val="1"/>
          <w:bCs w:val="1"/>
          <w:color w:val="auto"/>
        </w:rPr>
        <w:t>Equity Transfer Price”</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300" w:right="40" w:hanging="644"/>
        <w:spacing w:after="0" w:line="286" w:lineRule="auto"/>
        <w:tabs>
          <w:tab w:leader="none" w:pos="131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Lender agrees to provide to Borrower a loan in an amount equal to the Equity Transfer Price in accordance with this Agreement in order for Borrower to have sufficient funds to acquire the Target Equity, and Lender may in its absolute discretion provide to Borrower additional loans from time to time in accordance with this Agreement in amounts as agreed to by Lender and Borrower.</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Parties desire to enter into this Agreement to clarify and confirm the rights and obligations of Lender and Borrower.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w:t>
      </w:r>
    </w:p>
    <w:p>
      <w:pPr>
        <w:spacing w:after="0" w:line="229" w:lineRule="exact"/>
        <w:rPr>
          <w:rFonts w:ascii="Arial" w:cs="Arial" w:eastAsia="Arial" w:hAnsi="Arial"/>
          <w:sz w:val="18"/>
          <w:szCs w:val="18"/>
          <w:b w:val="1"/>
          <w:bCs w:val="1"/>
          <w:color w:val="auto"/>
        </w:rPr>
      </w:pPr>
    </w:p>
    <w:p>
      <w:pPr>
        <w:ind w:left="1300" w:right="60" w:hanging="648"/>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1.1.On and subject to the terms and conditions hereof, Lender provides Borrower with a loan in an aggregate amount of RMB 7,741,605 on the date hereof (the “</w:t>
      </w:r>
      <w:r>
        <w:rPr>
          <w:rFonts w:ascii="Arial" w:cs="Arial" w:eastAsia="Arial" w:hAnsi="Arial"/>
          <w:sz w:val="18"/>
          <w:szCs w:val="18"/>
          <w:b w:val="1"/>
          <w:bCs w:val="1"/>
          <w:color w:val="auto"/>
        </w:rPr>
        <w:t>Loan</w:t>
      </w:r>
      <w:r>
        <w:rPr>
          <w:rFonts w:ascii="Arial" w:cs="Arial" w:eastAsia="Arial" w:hAnsi="Arial"/>
          <w:sz w:val="18"/>
          <w:szCs w:val="18"/>
          <w:color w:val="auto"/>
        </w:rPr>
        <w:t>”, which term shall be deemed to include Additional Loans (as defined in the following sentence), if any). Lender and Borrower further agree that Lender may in its absolute discretion provide to Borrower one or more additional loans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Loan</w:t>
      </w:r>
      <w:r>
        <w:rPr>
          <w:rFonts w:ascii="Arial" w:cs="Arial" w:eastAsia="Arial" w:hAnsi="Arial"/>
          <w:sz w:val="18"/>
          <w:szCs w:val="18"/>
          <w:color w:val="auto"/>
        </w:rPr>
        <w:t>”) from time to time in such amounts as agreed to by Lender and Borrower, provided that, for each such Additional Loan, Lender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shall execute a Supplemental Agreement to this Agreement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Both Parties agree and confirm that the Loan shall be interest-free, except as provided in Article 1.5 below. The Borrower agrees to use the Loan to pay for the Equity Transfer Price to acquire the Target Equity and, unless with the prior written consent of the Lender, will not use the Loan for any other purpose.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4" w:lineRule="exact"/>
        <w:rPr>
          <w:rFonts w:ascii="Arial" w:cs="Arial" w:eastAsia="Arial" w:hAnsi="Arial"/>
          <w:sz w:val="18"/>
          <w:szCs w:val="18"/>
          <w:b w:val="1"/>
          <w:bCs w:val="1"/>
          <w:color w:val="auto"/>
        </w:rPr>
      </w:pPr>
    </w:p>
    <w:p>
      <w:pPr>
        <w:ind w:left="1300" w:right="10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1.2.The term of this Agreement (“</w:t>
      </w:r>
      <w:r>
        <w:rPr>
          <w:rFonts w:ascii="Arial" w:cs="Arial" w:eastAsia="Arial" w:hAnsi="Arial"/>
          <w:sz w:val="18"/>
          <w:szCs w:val="18"/>
          <w:b w:val="1"/>
          <w:bCs w:val="1"/>
          <w:color w:val="auto"/>
        </w:rPr>
        <w:t>Term</w:t>
      </w:r>
      <w:r>
        <w:rPr>
          <w:rFonts w:ascii="Arial" w:cs="Arial" w:eastAsia="Arial" w:hAnsi="Arial"/>
          <w:sz w:val="18"/>
          <w:szCs w:val="18"/>
          <w:color w:val="auto"/>
        </w:rPr>
        <w:t>”) shall be ten (10) years from the date of this Agreement. Unless otherwise indicated by the Lender at any time prior to its expiration, the Term will be automatically extended for another ten (10) years, and so forth thereafter. Subject to Article 1.3, Borrower shall repay all amounts outstanding in respect of the Loan (including any penalty or interest thereon) according to Article 1.4 at the expiry or termination of the Term.</w:t>
      </w:r>
    </w:p>
    <w:p>
      <w:pPr>
        <w:spacing w:after="0" w:line="184"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1.3.Borrower shall not, without Lender’s prior written consent, which may be granted at Lender’s sole and absolute discretion on a case by case basis, make any prepayment of the Loan prior to the expiration of the Term, except that in the event that any one or more of the following circumstances occur, the entire amount of the Loan shall become immediately due and payable at the Lender’s option, without requiring any notice period on the part of the Lender, in accordance with Article 1.4:</w:t>
      </w:r>
    </w:p>
    <w:p>
      <w:pPr>
        <w:spacing w:after="0" w:line="186" w:lineRule="exact"/>
        <w:rPr>
          <w:rFonts w:ascii="Arial" w:cs="Arial" w:eastAsia="Arial" w:hAnsi="Arial"/>
          <w:sz w:val="18"/>
          <w:szCs w:val="18"/>
          <w:b w:val="1"/>
          <w:bCs w:val="1"/>
          <w:color w:val="auto"/>
        </w:rPr>
      </w:pPr>
    </w:p>
    <w:p>
      <w:pPr>
        <w:ind w:left="1940" w:hanging="635"/>
        <w:spacing w:after="0"/>
        <w:tabs>
          <w:tab w:leader="none" w:pos="194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Borrower becomes deceased, bankrupt, mentally incapacitated or is otherwise lacking in or has limitations in civil capacity;</w:t>
      </w:r>
    </w:p>
    <w:p>
      <w:pPr>
        <w:spacing w:after="0" w:line="236" w:lineRule="exact"/>
        <w:rPr>
          <w:rFonts w:ascii="Arial" w:cs="Arial" w:eastAsia="Arial" w:hAnsi="Arial"/>
          <w:sz w:val="17"/>
          <w:szCs w:val="17"/>
          <w:color w:val="auto"/>
        </w:rPr>
      </w:pPr>
    </w:p>
    <w:p>
      <w:pPr>
        <w:ind w:left="1960" w:right="140" w:hanging="655"/>
        <w:spacing w:after="0" w:line="264" w:lineRule="auto"/>
        <w:tabs>
          <w:tab w:leader="none" w:pos="1967" w:val="left"/>
        </w:tabs>
        <w:numPr>
          <w:ilvl w:val="1"/>
          <w:numId w:val="202"/>
        </w:numPr>
        <w:rPr>
          <w:rFonts w:ascii="Arial" w:cs="Arial" w:eastAsia="Arial" w:hAnsi="Arial"/>
          <w:sz w:val="18"/>
          <w:szCs w:val="18"/>
          <w:color w:val="auto"/>
        </w:rPr>
      </w:pPr>
      <w:r>
        <w:rPr>
          <w:rFonts w:ascii="Arial" w:cs="Arial" w:eastAsia="Arial" w:hAnsi="Arial"/>
          <w:sz w:val="18"/>
          <w:szCs w:val="18"/>
          <w:color w:val="auto"/>
        </w:rPr>
        <w:t>Borrower, for any reason, ceases to be the holder of equity interests in the Domestic Company or reduces his proportion of equity interests in the Domestic Company except for transfers of equity interests in the Domestic Company to which Lender has consented;</w:t>
      </w:r>
    </w:p>
    <w:p>
      <w:pPr>
        <w:spacing w:after="0" w:line="181" w:lineRule="exact"/>
        <w:rPr>
          <w:rFonts w:ascii="Arial" w:cs="Arial" w:eastAsia="Arial" w:hAnsi="Arial"/>
          <w:sz w:val="18"/>
          <w:szCs w:val="18"/>
          <w:color w:val="auto"/>
        </w:rPr>
      </w:pPr>
    </w:p>
    <w:p>
      <w:pPr>
        <w:ind w:left="1960" w:right="100" w:hanging="655"/>
        <w:spacing w:after="0" w:line="272" w:lineRule="auto"/>
        <w:tabs>
          <w:tab w:leader="none" w:pos="1971" w:val="left"/>
        </w:tabs>
        <w:numPr>
          <w:ilvl w:val="1"/>
          <w:numId w:val="202"/>
        </w:numPr>
        <w:rPr>
          <w:rFonts w:ascii="Arial" w:cs="Arial" w:eastAsia="Arial" w:hAnsi="Arial"/>
          <w:sz w:val="17"/>
          <w:szCs w:val="17"/>
          <w:color w:val="auto"/>
        </w:rPr>
      </w:pPr>
      <w:r>
        <w:rPr>
          <w:rFonts w:ascii="Arial" w:cs="Arial" w:eastAsia="Arial" w:hAnsi="Arial"/>
          <w:sz w:val="17"/>
          <w:szCs w:val="17"/>
          <w:color w:val="auto"/>
        </w:rPr>
        <w:t>Borrower (i) ceases to be employed by or to provide service to Lender or any affiliate of Lender for any reason, (ii) breaches his obligations set forth in the Equity Pledge Agreement, the Shareholder Voting Right Trust Agreement, the Exclusive Purchase Option Agreement or the Operating Agreement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or breaches his obligations set forth in this Agreement, or (iii) engages in any criminal act or is involved in any criminal activities; provided, that upon the occurrence of any of (i), (ii) or (iii) above, Borrower shall transfer his rights and obligation under this Agreement, together with his rights and obligations under the Transaction Documents, to a person designated by Lender and shall complete such transfer within 10 days after the occurrence of circumstance under this Article 1.3(c);</w:t>
      </w:r>
    </w:p>
    <w:p>
      <w:pPr>
        <w:spacing w:after="0" w:line="177" w:lineRule="exact"/>
        <w:rPr>
          <w:rFonts w:ascii="Arial" w:cs="Arial" w:eastAsia="Arial" w:hAnsi="Arial"/>
          <w:sz w:val="17"/>
          <w:szCs w:val="17"/>
          <w:color w:val="auto"/>
        </w:rPr>
      </w:pPr>
    </w:p>
    <w:p>
      <w:pPr>
        <w:ind w:left="1960" w:right="360" w:hanging="655"/>
        <w:spacing w:after="0" w:line="277" w:lineRule="auto"/>
        <w:tabs>
          <w:tab w:leader="none" w:pos="1967" w:val="left"/>
        </w:tabs>
        <w:numPr>
          <w:ilvl w:val="1"/>
          <w:numId w:val="202"/>
        </w:numPr>
        <w:rPr>
          <w:rFonts w:ascii="Arial" w:cs="Arial" w:eastAsia="Arial" w:hAnsi="Arial"/>
          <w:sz w:val="18"/>
          <w:szCs w:val="18"/>
          <w:color w:val="auto"/>
        </w:rPr>
      </w:pPr>
      <w:r>
        <w:rPr>
          <w:rFonts w:ascii="Arial" w:cs="Arial" w:eastAsia="Arial" w:hAnsi="Arial"/>
          <w:sz w:val="18"/>
          <w:szCs w:val="18"/>
          <w:color w:val="auto"/>
        </w:rPr>
        <w:t>Lender is permitted to acquire a direct equity interest in Domestic Company due to a change in PRC laws or regulations or the application or interpretation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-3974465</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2" w:gutter="0" w:footer="0" w:header="0"/>
        </w:sectPr>
      </w:pPr>
    </w:p>
    <w:bookmarkStart w:id="125" w:name="page126"/>
    <w:bookmarkEnd w:id="125"/>
    <w:p>
      <w:pPr>
        <w:ind w:left="1952" w:right="80" w:hanging="655"/>
        <w:spacing w:after="0" w:line="277" w:lineRule="auto"/>
        <w:tabs>
          <w:tab w:leader="none" w:pos="196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court or other government authority deems this Agreement or any of the Transaction Documents or a substantial portion thereof to be invalid, illegal or unenforceable.</w:t>
      </w:r>
    </w:p>
    <w:p>
      <w:pPr>
        <w:spacing w:after="0" w:line="170" w:lineRule="exact"/>
        <w:rPr>
          <w:sz w:val="20"/>
          <w:szCs w:val="20"/>
          <w:color w:val="auto"/>
        </w:rPr>
      </w:pPr>
    </w:p>
    <w:p>
      <w:pPr>
        <w:jc w:val="both"/>
        <w:ind w:left="1292" w:right="220"/>
        <w:spacing w:after="0" w:line="264" w:lineRule="auto"/>
        <w:rPr>
          <w:sz w:val="20"/>
          <w:szCs w:val="20"/>
          <w:color w:val="auto"/>
        </w:rPr>
      </w:pPr>
      <w:r>
        <w:rPr>
          <w:rFonts w:ascii="Arial" w:cs="Arial" w:eastAsia="Arial" w:hAnsi="Arial"/>
          <w:sz w:val="18"/>
          <w:szCs w:val="18"/>
          <w:color w:val="auto"/>
        </w:rPr>
        <w:t>Notwithstanding the foregoing, Lender may at any time, in its sole and absolute discretion, issue a written repayment notice to Borrower requiring the repayment of the Loan, upon the occurrence of which the entire amount of the Loan shall become due and payable upon the expiry of thirty (30) days from the date of Lender’s written notice to Borrower.</w:t>
      </w:r>
    </w:p>
    <w:p>
      <w:pPr>
        <w:spacing w:after="0" w:line="181" w:lineRule="exact"/>
        <w:rPr>
          <w:sz w:val="20"/>
          <w:szCs w:val="20"/>
          <w:color w:val="auto"/>
        </w:rPr>
      </w:pPr>
    </w:p>
    <w:p>
      <w:pPr>
        <w:jc w:val="both"/>
        <w:ind w:left="1292" w:right="20" w:hanging="647"/>
        <w:spacing w:after="0" w:line="264" w:lineRule="auto"/>
        <w:tabs>
          <w:tab w:leader="none" w:pos="12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Both Parties hereby agree and confirm that Borrower may repay the Loan only in one of the following repayment methods as determined by Lender in its sole discretion, and Borrower agrees to take all actions (including executing and delivering documents or calling shareholders’ meetings) necessary or advisable to implement either of these methods:</w:t>
      </w:r>
    </w:p>
    <w:p>
      <w:pPr>
        <w:spacing w:after="0" w:line="181" w:lineRule="exact"/>
        <w:rPr>
          <w:sz w:val="20"/>
          <w:szCs w:val="20"/>
          <w:color w:val="auto"/>
        </w:rPr>
      </w:pPr>
    </w:p>
    <w:p>
      <w:pPr>
        <w:ind w:left="1952" w:right="400" w:hanging="655"/>
        <w:spacing w:after="0" w:line="277" w:lineRule="auto"/>
        <w:tabs>
          <w:tab w:leader="none" w:pos="194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Equity Option. If selected by Lender, Borrower shall repay the Loan by transferring all of his equity interests in the Domestic Company (“</w:t>
      </w:r>
      <w:r>
        <w:rPr>
          <w:rFonts w:ascii="Arial" w:cs="Arial" w:eastAsia="Arial" w:hAnsi="Arial"/>
          <w:sz w:val="18"/>
          <w:szCs w:val="18"/>
          <w:b w:val="1"/>
          <w:bCs w:val="1"/>
          <w:color w:val="auto"/>
        </w:rPr>
        <w:t>Borrower’s Equity</w:t>
      </w:r>
      <w:r>
        <w:rPr>
          <w:rFonts w:ascii="Arial" w:cs="Arial" w:eastAsia="Arial" w:hAnsi="Arial"/>
          <w:sz w:val="18"/>
          <w:szCs w:val="18"/>
          <w:color w:val="auto"/>
        </w:rPr>
        <w:t>”) to Lender or Lender’s designated persons; or</w:t>
      </w:r>
    </w:p>
    <w:p>
      <w:pPr>
        <w:spacing w:after="0" w:line="170" w:lineRule="exact"/>
        <w:rPr>
          <w:rFonts w:ascii="Arial" w:cs="Arial" w:eastAsia="Arial" w:hAnsi="Arial"/>
          <w:sz w:val="18"/>
          <w:szCs w:val="18"/>
          <w:color w:val="auto"/>
        </w:rPr>
      </w:pPr>
    </w:p>
    <w:p>
      <w:pPr>
        <w:ind w:left="1952" w:right="60" w:hanging="655"/>
        <w:spacing w:after="0" w:line="279" w:lineRule="auto"/>
        <w:tabs>
          <w:tab w:leader="none" w:pos="1959"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Alternative Repayment. As an alternative to the repayment method specified in Article 1.4(a) above, Lender may in its sole discretion determine that the Loan shall be repaid by another method upon delivering a written notice of such decision to Borrower. In such case, Borrower shall pay to Lender the outstanding amount of the Loan (including any interest) in cash or other property, as determined by Lender, following any conditions or procedures specified by Lender.</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transfer price for Borrower’s Equity pursuant to Article 1.4(a) or the other consideration provided by Borrower pursuant to</w:t>
      </w:r>
    </w:p>
    <w:p>
      <w:pPr>
        <w:spacing w:after="0" w:line="23" w:lineRule="exact"/>
        <w:rPr>
          <w:sz w:val="20"/>
          <w:szCs w:val="20"/>
          <w:color w:val="auto"/>
        </w:rPr>
      </w:pPr>
    </w:p>
    <w:p>
      <w:pPr>
        <w:ind w:left="1292"/>
        <w:spacing w:after="0" w:line="295" w:lineRule="auto"/>
        <w:rPr>
          <w:sz w:val="20"/>
          <w:szCs w:val="20"/>
          <w:color w:val="auto"/>
        </w:rPr>
      </w:pPr>
      <w:r>
        <w:rPr>
          <w:rFonts w:ascii="Arial" w:cs="Arial" w:eastAsia="Arial" w:hAnsi="Arial"/>
          <w:sz w:val="16"/>
          <w:szCs w:val="16"/>
          <w:color w:val="auto"/>
        </w:rPr>
        <w:t>Article 1.4(b) exceeds the outstanding principal of the Loan hereunder, then such excess shall be deemed the aggregate interest accrued with respect to the Loan (calculated by the highest interest rate permitted by PRC laws) and otherwise as financing cost, each of which shall be payable by the Borrower. Borrower shall repay all interest on the Loan, together with the principal, capital utilization costs (if any), penalty (if any) and financing cost (if any), at the expiry or termination of the Term or when otherwise required hereunder.</w:t>
      </w:r>
    </w:p>
    <w:p>
      <w:pPr>
        <w:spacing w:after="0" w:line="162"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Provided Borrower repays the Loan by transferring all of Borrower’s Equity to Lender or Lender’s designated persons pursuant to</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Article 1.4(a) or provides the other required consideration pursuant to Article 1.4(b) and subject to Borrower’s indemnification obligations</w:t>
      </w:r>
    </w:p>
    <w:p>
      <w:pPr>
        <w:spacing w:after="0" w:line="32"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set forth in Article 4.2 herein, Borrower shall have no further obligation to Lender for any principal, interest or penalty (if any) under the</w:t>
      </w:r>
    </w:p>
    <w:p>
      <w:pPr>
        <w:spacing w:after="0" w:line="2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Any part or whole of the Loan repaid by Borrower may not be re-borrowed under this Agreement without Lender’s consent.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2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2.1.As of the date of this Agreement and during the Term through the date of termination or expiration of this Agreement, Lender represents and warrants to Borrower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Lender is a wholly foreign owned enterprise duly registered and existing under PRC law.</w:t>
      </w:r>
    </w:p>
    <w:p>
      <w:pPr>
        <w:spacing w:after="0" w:line="225" w:lineRule="exact"/>
        <w:rPr>
          <w:rFonts w:ascii="Arial" w:cs="Arial" w:eastAsia="Arial" w:hAnsi="Arial"/>
          <w:sz w:val="18"/>
          <w:szCs w:val="18"/>
          <w:color w:val="auto"/>
        </w:rPr>
      </w:pPr>
    </w:p>
    <w:p>
      <w:pPr>
        <w:ind w:left="1952" w:right="180" w:hanging="655"/>
        <w:spacing w:after="0" w:line="312" w:lineRule="auto"/>
        <w:tabs>
          <w:tab w:leader="none" w:pos="1959" w:val="left"/>
        </w:tabs>
        <w:numPr>
          <w:ilvl w:val="1"/>
          <w:numId w:val="205"/>
        </w:numPr>
        <w:rPr>
          <w:rFonts w:ascii="Arial" w:cs="Arial" w:eastAsia="Arial" w:hAnsi="Arial"/>
          <w:sz w:val="16"/>
          <w:szCs w:val="16"/>
          <w:color w:val="auto"/>
        </w:rPr>
      </w:pPr>
      <w:r>
        <w:rPr>
          <w:rFonts w:ascii="Arial" w:cs="Arial" w:eastAsia="Arial" w:hAnsi="Arial"/>
          <w:sz w:val="16"/>
          <w:szCs w:val="16"/>
          <w:color w:val="auto"/>
        </w:rPr>
        <w:t>Lender has the power to execute and perform its obligations under this Agreement. The execution and performance of this Agreement by Lender are in compliance with the articles of association or other organizational documents of Lender, and Lender has obtained all necessary and appropriate approvals and authorizations for the execution and performance of this Agreement.</w:t>
      </w:r>
    </w:p>
    <w:p>
      <w:pPr>
        <w:spacing w:after="0" w:line="146" w:lineRule="exact"/>
        <w:rPr>
          <w:rFonts w:ascii="Arial" w:cs="Arial" w:eastAsia="Arial" w:hAnsi="Arial"/>
          <w:sz w:val="16"/>
          <w:szCs w:val="16"/>
          <w:color w:val="auto"/>
        </w:rPr>
      </w:pPr>
    </w:p>
    <w:p>
      <w:pPr>
        <w:ind w:left="1952" w:right="300" w:hanging="655"/>
        <w:spacing w:after="0" w:line="286" w:lineRule="auto"/>
        <w:tabs>
          <w:tab w:leader="none" w:pos="1963" w:val="left"/>
        </w:tabs>
        <w:numPr>
          <w:ilvl w:val="1"/>
          <w:numId w:val="205"/>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Lender do not violate any laws and regulations or government approvals, authorizations, notices or other governmental documents having binding effect on or affecting Lender, nor do they violate any agreements between Lender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Lender upon execution.</w:t>
      </w:r>
    </w:p>
    <w:p>
      <w:pPr>
        <w:spacing w:after="0" w:line="225" w:lineRule="exact"/>
        <w:rPr>
          <w:sz w:val="20"/>
          <w:szCs w:val="20"/>
          <w:color w:val="auto"/>
        </w:rPr>
      </w:pPr>
    </w:p>
    <w:p>
      <w:pPr>
        <w:ind w:left="1292" w:right="100" w:hanging="647"/>
        <w:spacing w:after="0" w:line="277"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As of the date of this Agreement and during the Term through the date of termination or expiration of this Agreement, Borrower represents and warrants to Lender as follows:</w:t>
      </w:r>
    </w:p>
    <w:p>
      <w:pPr>
        <w:spacing w:after="0" w:line="170" w:lineRule="exact"/>
        <w:rPr>
          <w:sz w:val="20"/>
          <w:szCs w:val="20"/>
          <w:color w:val="auto"/>
        </w:rPr>
      </w:pPr>
    </w:p>
    <w:p>
      <w:pPr>
        <w:ind w:left="1952" w:right="160" w:hanging="655"/>
        <w:spacing w:after="0" w:line="277" w:lineRule="auto"/>
        <w:tabs>
          <w:tab w:leader="none" w:pos="194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Domestic Company is a limited liability company duly registered and existing under PRC law and Borrower is or will be the lawful holder of Borrower’s Equity.</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Borrower has the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120" w:hanging="655"/>
        <w:spacing w:after="0" w:line="286" w:lineRule="auto"/>
        <w:tabs>
          <w:tab w:leader="none" w:pos="1963"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Borrower do not violate any laws and regulations or government approvals, authorizations, notices or other governmental documents having binding effect on or affecting Borrower, nor do they violate any agreements between Borrower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on Borrower upon execution.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952" w:right="220" w:hanging="655"/>
        <w:spacing w:after="0" w:line="288" w:lineRule="auto"/>
        <w:tabs>
          <w:tab w:leader="none" w:pos="1963"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Except in accordance with the provisions of the Equity Pledge Agreement or otherwise agreed by relevant parties, Borrower has not (i) created any mortgage, pledge or other security interests on any whole or part of Borrower’s Equity, (ii) made any offer to any third party or accepted any offer made by any third party for the transfer of any whole or part of Borrower’s Equity, or</w:t>
      </w:r>
    </w:p>
    <w:p>
      <w:pPr>
        <w:ind w:left="1952"/>
        <w:spacing w:after="0"/>
        <w:rPr>
          <w:rFonts w:ascii="Arial" w:cs="Arial" w:eastAsia="Arial" w:hAnsi="Arial"/>
          <w:sz w:val="16"/>
          <w:szCs w:val="16"/>
          <w:color w:val="auto"/>
        </w:rPr>
      </w:pPr>
      <w:r>
        <w:rPr>
          <w:rFonts w:ascii="Arial" w:cs="Arial" w:eastAsia="Arial" w:hAnsi="Arial"/>
          <w:sz w:val="16"/>
          <w:szCs w:val="16"/>
          <w:color w:val="auto"/>
        </w:rPr>
        <w:t>(iii) entered into any agreement with any third party for the transfer of any whole or part of Borrower’s Equity unless consented by</w:t>
      </w:r>
    </w:p>
    <w:p>
      <w:pPr>
        <w:sectPr>
          <w:pgSz w:w="11900" w:h="16838" w:orient="portrait"/>
          <w:cols w:equalWidth="0" w:num="1">
            <w:col w:w="11412"/>
          </w:cols>
          <w:pgMar w:left="248" w:top="125" w:right="239" w:bottom="0" w:gutter="0" w:footer="0" w:header="0"/>
        </w:sectPr>
      </w:pPr>
    </w:p>
    <w:bookmarkStart w:id="126" w:name="page127"/>
    <w:bookmarkEnd w:id="126"/>
    <w:p>
      <w:pPr>
        <w:ind w:left="1952" w:right="720"/>
        <w:spacing w:after="0" w:line="277" w:lineRule="auto"/>
        <w:rPr>
          <w:sz w:val="20"/>
          <w:szCs w:val="20"/>
          <w:color w:val="auto"/>
        </w:rPr>
      </w:pPr>
      <w:r>
        <w:rPr>
          <w:rFonts w:ascii="Arial" w:cs="Arial" w:eastAsia="Arial" w:hAnsi="Arial"/>
          <w:sz w:val="18"/>
          <w:szCs w:val="18"/>
          <w:color w:val="auto"/>
        </w:rPr>
        <w:t>Lender. To the extent applicable, the spouse of Borrower shall not have any right to or interest in Borrower’s Equity, and Borrower’s Equity is Borrower’s individual property instead of marital property.</w:t>
      </w:r>
    </w:p>
    <w:p>
      <w:pPr>
        <w:spacing w:after="0" w:line="170" w:lineRule="exact"/>
        <w:rPr>
          <w:sz w:val="20"/>
          <w:szCs w:val="20"/>
          <w:color w:val="auto"/>
        </w:rPr>
      </w:pPr>
    </w:p>
    <w:p>
      <w:pPr>
        <w:ind w:left="1952" w:right="180" w:hanging="655"/>
        <w:spacing w:after="0" w:line="286" w:lineRule="auto"/>
        <w:tabs>
          <w:tab w:leader="none" w:pos="1956"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There are no pending disputes, litigations, arbitrations, administrative proceedings or any other legal proceedings relating to or involving Borrower and/or any of Borrower’s Equity, nor are there any potential disputes, litigations, arbitrations, administrative proceedings or any other legal proceedings relating to or involving Borrower and/or any of Borrower’s Equity.</w:t>
      </w:r>
    </w:p>
    <w:p>
      <w:pPr>
        <w:spacing w:after="0" w:line="161" w:lineRule="exact"/>
        <w:rPr>
          <w:rFonts w:ascii="Arial" w:cs="Arial" w:eastAsia="Arial" w:hAnsi="Arial"/>
          <w:sz w:val="17"/>
          <w:szCs w:val="17"/>
          <w:color w:val="auto"/>
        </w:rPr>
      </w:pPr>
    </w:p>
    <w:p>
      <w:pPr>
        <w:ind w:left="652" w:hanging="652"/>
        <w:spacing w:after="0"/>
        <w:tabs>
          <w:tab w:leader="none" w:pos="652"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Borrower’s Undertakings</w:t>
      </w:r>
    </w:p>
    <w:p>
      <w:pPr>
        <w:spacing w:after="0" w:line="229" w:lineRule="exact"/>
        <w:rPr>
          <w:rFonts w:ascii="Arial" w:cs="Arial" w:eastAsia="Arial" w:hAnsi="Arial"/>
          <w:sz w:val="18"/>
          <w:szCs w:val="18"/>
          <w:b w:val="1"/>
          <w:bCs w:val="1"/>
          <w:color w:val="auto"/>
        </w:rPr>
      </w:pPr>
    </w:p>
    <w:p>
      <w:pPr>
        <w:ind w:left="1292" w:right="9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3.1.Borrower undertakes in his capacity as a shareholder of the Domestic Company that Borrower will, and together with the other shareholder(s) of the Domestic Company will cause the Domestic Company to (as applicable):</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209"/>
        </w:numPr>
        <w:rPr>
          <w:rFonts w:ascii="Arial" w:cs="Arial" w:eastAsia="Arial" w:hAnsi="Arial"/>
          <w:sz w:val="17"/>
          <w:szCs w:val="17"/>
          <w:color w:val="auto"/>
        </w:rPr>
      </w:pPr>
      <w:r>
        <w:rPr>
          <w:rFonts w:ascii="Arial" w:cs="Arial" w:eastAsia="Arial" w:hAnsi="Arial"/>
          <w:sz w:val="17"/>
          <w:szCs w:val="17"/>
          <w:color w:val="auto"/>
        </w:rPr>
        <w:t>enter into the Transaction Documents in the same form and substance as set forth in Appendices I, II, III and IV hereto.</w:t>
      </w:r>
    </w:p>
    <w:p>
      <w:pPr>
        <w:spacing w:after="0" w:line="236" w:lineRule="exact"/>
        <w:rPr>
          <w:rFonts w:ascii="Arial" w:cs="Arial" w:eastAsia="Arial" w:hAnsi="Arial"/>
          <w:sz w:val="17"/>
          <w:szCs w:val="17"/>
          <w:color w:val="auto"/>
        </w:rPr>
      </w:pPr>
    </w:p>
    <w:p>
      <w:pPr>
        <w:ind w:left="1952" w:right="220" w:hanging="655"/>
        <w:spacing w:after="0" w:line="264" w:lineRule="auto"/>
        <w:tabs>
          <w:tab w:leader="none" w:pos="195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not without the prior written consent of Lender, supplement, amend or modify the business scope or organizational documents (including the articles of association) of the Domestic Company, or increase or reduce or in any form change the structure of the registered capital of the Domestic Company.</w:t>
      </w:r>
    </w:p>
    <w:p>
      <w:pPr>
        <w:spacing w:after="0" w:line="181" w:lineRule="exact"/>
        <w:rPr>
          <w:rFonts w:ascii="Arial" w:cs="Arial" w:eastAsia="Arial" w:hAnsi="Arial"/>
          <w:sz w:val="18"/>
          <w:szCs w:val="18"/>
          <w:color w:val="auto"/>
        </w:rPr>
      </w:pPr>
    </w:p>
    <w:p>
      <w:pPr>
        <w:ind w:left="1952" w:right="80" w:hanging="655"/>
        <w:spacing w:after="0" w:line="264" w:lineRule="auto"/>
        <w:tabs>
          <w:tab w:leader="none" w:pos="1963"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not without the prior written consent of Lender, sell, transfer, mortgage or otherwise dispose of any legal or beneficial rights and interests in the Domestic Company or any of its assets, businesses or revenues, or permit or create any encumbrance or other third party right thereon;</w:t>
      </w:r>
    </w:p>
    <w:p>
      <w:pPr>
        <w:spacing w:after="0" w:line="181" w:lineRule="exact"/>
        <w:rPr>
          <w:rFonts w:ascii="Arial" w:cs="Arial" w:eastAsia="Arial" w:hAnsi="Arial"/>
          <w:sz w:val="18"/>
          <w:szCs w:val="18"/>
          <w:color w:val="auto"/>
        </w:rPr>
      </w:pPr>
    </w:p>
    <w:p>
      <w:pPr>
        <w:ind w:left="1952" w:right="80" w:hanging="655"/>
        <w:spacing w:after="0" w:line="264" w:lineRule="auto"/>
        <w:tabs>
          <w:tab w:leader="none" w:pos="195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not without the prior written consent of Lender, incur, succeed to, guarantee or permit the existence of any debts except (i) debts incurred in the ordinary course of business and (ii) debts which have been disclosed to Lender and for which prior written consent has been obtained from Lender;</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1"/>
          <w:numId w:val="209"/>
        </w:numPr>
        <w:rPr>
          <w:rFonts w:ascii="Arial" w:cs="Arial" w:eastAsia="Arial" w:hAnsi="Arial"/>
          <w:sz w:val="18"/>
          <w:szCs w:val="18"/>
          <w:color w:val="auto"/>
        </w:rPr>
      </w:pPr>
      <w:r>
        <w:rPr>
          <w:rFonts w:ascii="Arial" w:cs="Arial" w:eastAsia="Arial" w:hAnsi="Arial"/>
          <w:sz w:val="18"/>
          <w:szCs w:val="18"/>
          <w:color w:val="auto"/>
        </w:rPr>
        <w:t>not without the prior written consent of Lender, grant any loan or credit to any person;</w:t>
      </w:r>
    </w:p>
    <w:p>
      <w:pPr>
        <w:spacing w:after="0" w:line="225" w:lineRule="exact"/>
        <w:rPr>
          <w:rFonts w:ascii="Arial" w:cs="Arial" w:eastAsia="Arial" w:hAnsi="Arial"/>
          <w:sz w:val="18"/>
          <w:szCs w:val="18"/>
          <w:color w:val="auto"/>
        </w:rPr>
      </w:pPr>
    </w:p>
    <w:p>
      <w:pPr>
        <w:ind w:left="1952" w:right="280" w:hanging="655"/>
        <w:spacing w:after="0" w:line="277" w:lineRule="auto"/>
        <w:tabs>
          <w:tab w:leader="none" w:pos="195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upon Lender’s request, provide to Lender all the information with respect to the operations and financial status of the Domestic Company;</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340" w:hanging="655"/>
        <w:spacing w:after="0" w:line="277" w:lineRule="auto"/>
        <w:tabs>
          <w:tab w:leader="none" w:pos="197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not without the prior written consent of Lender, merge or amalgamate with or form any alliance with any person, or acquire or invest in any person;</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its assets, businesses and revenues;</w:t>
      </w:r>
    </w:p>
    <w:p>
      <w:pPr>
        <w:spacing w:after="0" w:line="170" w:lineRule="exact"/>
        <w:rPr>
          <w:rFonts w:ascii="Arial" w:cs="Arial" w:eastAsia="Arial" w:hAnsi="Arial"/>
          <w:sz w:val="18"/>
          <w:szCs w:val="18"/>
          <w:color w:val="auto"/>
        </w:rPr>
      </w:pPr>
    </w:p>
    <w:p>
      <w:pPr>
        <w:ind w:left="1952" w:right="520" w:hanging="655"/>
        <w:spacing w:after="0" w:line="264" w:lineRule="auto"/>
        <w:tabs>
          <w:tab w:leader="none" w:pos="197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the extent necessary to maintain its ownership of all its assets, execute all necessary or appropriate documents, take all necessary or appropriate actions and file all necessary or appropriate complaints or raise necessary and appropriate defenses against all claims;</w:t>
      </w:r>
    </w:p>
    <w:p>
      <w:pPr>
        <w:spacing w:after="0" w:line="181" w:lineRule="exact"/>
        <w:rPr>
          <w:rFonts w:ascii="Arial" w:cs="Arial" w:eastAsia="Arial" w:hAnsi="Arial"/>
          <w:sz w:val="18"/>
          <w:szCs w:val="18"/>
          <w:color w:val="auto"/>
        </w:rPr>
      </w:pPr>
    </w:p>
    <w:p>
      <w:pPr>
        <w:ind w:left="1952" w:right="160" w:hanging="655"/>
        <w:spacing w:after="0" w:line="308" w:lineRule="auto"/>
        <w:tabs>
          <w:tab w:leader="none" w:pos="19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not without the prior written consent of Lender, declare or distribute any profit or dividend to shareholders in any form, but upon request of Lender, to immediately declare and distribute all the distributable profits to its respective shareholders;</w:t>
      </w:r>
    </w:p>
    <w:p>
      <w:pPr>
        <w:spacing w:after="0" w:line="146" w:lineRule="exact"/>
        <w:rPr>
          <w:rFonts w:ascii="Arial" w:cs="Arial" w:eastAsia="Arial" w:hAnsi="Arial"/>
          <w:sz w:val="17"/>
          <w:szCs w:val="17"/>
          <w:color w:val="auto"/>
        </w:rPr>
      </w:pPr>
    </w:p>
    <w:p>
      <w:pPr>
        <w:ind w:left="1952" w:hanging="655"/>
        <w:spacing w:after="0"/>
        <w:tabs>
          <w:tab w:leader="none" w:pos="1952"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at the request of Lender, appoint the persons designated by Lender as directors and senior officers of the Domestic Company; and</w:t>
      </w:r>
    </w:p>
    <w:p>
      <w:pPr>
        <w:spacing w:after="0" w:line="248" w:lineRule="exact"/>
        <w:rPr>
          <w:rFonts w:ascii="Arial" w:cs="Arial" w:eastAsia="Arial" w:hAnsi="Arial"/>
          <w:sz w:val="16"/>
          <w:szCs w:val="16"/>
          <w:color w:val="auto"/>
        </w:rPr>
      </w:pPr>
    </w:p>
    <w:p>
      <w:pPr>
        <w:ind w:left="1952" w:right="260" w:hanging="655"/>
        <w:spacing w:after="0" w:line="308" w:lineRule="auto"/>
        <w:tabs>
          <w:tab w:leader="none" w:pos="1973" w:val="left"/>
        </w:tabs>
        <w:numPr>
          <w:ilvl w:val="0"/>
          <w:numId w:val="210"/>
        </w:numPr>
        <w:rPr>
          <w:rFonts w:ascii="Arial" w:cs="Arial" w:eastAsia="Arial" w:hAnsi="Arial"/>
          <w:sz w:val="17"/>
          <w:szCs w:val="17"/>
          <w:color w:val="auto"/>
        </w:rPr>
      </w:pPr>
      <w:r>
        <w:rPr>
          <w:rFonts w:ascii="Arial" w:cs="Arial" w:eastAsia="Arial" w:hAnsi="Arial"/>
          <w:sz w:val="17"/>
          <w:szCs w:val="17"/>
          <w:color w:val="auto"/>
        </w:rPr>
        <w:t>strictly comply with the provisions under any agreements to which Borrower and Lender are parties and not take any actions or omit to take any actions that may adversely affect the effectiveness and enforceability of such agreements.</w:t>
      </w:r>
    </w:p>
    <w:p>
      <w:pPr>
        <w:spacing w:after="0" w:line="14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Borrower undertakes that during the Term, he shall:</w:t>
      </w:r>
    </w:p>
    <w:p>
      <w:pPr>
        <w:spacing w:after="0" w:line="225" w:lineRule="exact"/>
        <w:rPr>
          <w:sz w:val="20"/>
          <w:szCs w:val="20"/>
          <w:color w:val="auto"/>
        </w:rPr>
      </w:pPr>
    </w:p>
    <w:p>
      <w:pPr>
        <w:jc w:val="both"/>
        <w:ind w:left="1952" w:hanging="655"/>
        <w:spacing w:after="0" w:line="264" w:lineRule="auto"/>
        <w:tabs>
          <w:tab w:leader="none" w:pos="194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except in accordance with the Equity Pledge Agreement, not sell, transfer, mortgage or otherwise dispose of the legal or beneficial rights and interests on Borrower’s Equity or permit or create any other security interest thereon without the prior written consent of Lender;</w:t>
      </w:r>
    </w:p>
    <w:p>
      <w:pPr>
        <w:spacing w:after="0" w:line="181" w:lineRule="exact"/>
        <w:rPr>
          <w:rFonts w:ascii="Arial" w:cs="Arial" w:eastAsia="Arial" w:hAnsi="Arial"/>
          <w:sz w:val="18"/>
          <w:szCs w:val="18"/>
          <w:color w:val="auto"/>
        </w:rPr>
      </w:pPr>
    </w:p>
    <w:p>
      <w:pPr>
        <w:ind w:left="1952" w:right="40" w:hanging="655"/>
        <w:spacing w:after="0" w:line="286" w:lineRule="auto"/>
        <w:tabs>
          <w:tab w:leader="none" w:pos="195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cause the shareholders’ meeting of the Domestic Company not to approve the sale, transfer, mortgage or disposal in any other way of the legal or beneficial rights and interests in Borrower’s Equity or permit the creation of any other security interest thereon without the prior written consent of Lender except in favor of Lender or Lender’s designated person;</w:t>
      </w:r>
    </w:p>
    <w:p>
      <w:pPr>
        <w:spacing w:after="0" w:line="165" w:lineRule="exact"/>
        <w:rPr>
          <w:rFonts w:ascii="Arial" w:cs="Arial" w:eastAsia="Arial" w:hAnsi="Arial"/>
          <w:sz w:val="17"/>
          <w:szCs w:val="17"/>
          <w:color w:val="auto"/>
        </w:rPr>
      </w:pPr>
    </w:p>
    <w:p>
      <w:pPr>
        <w:ind w:left="1952" w:right="80" w:hanging="655"/>
        <w:spacing w:after="0" w:line="277" w:lineRule="auto"/>
        <w:tabs>
          <w:tab w:leader="none" w:pos="196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cause the shareholders’ meeting of the Domestic Company not to approve the merger or alliance with any person or acquisition or investment in any person without the prior written consent of Lender;</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Borrower’s Equity;</w:t>
      </w:r>
    </w:p>
    <w:p>
      <w:pPr>
        <w:spacing w:after="0" w:line="170" w:lineRule="exact"/>
        <w:rPr>
          <w:rFonts w:ascii="Arial" w:cs="Arial" w:eastAsia="Arial" w:hAnsi="Arial"/>
          <w:sz w:val="18"/>
          <w:szCs w:val="18"/>
          <w:color w:val="auto"/>
        </w:rPr>
      </w:pPr>
    </w:p>
    <w:p>
      <w:pPr>
        <w:ind w:left="1952" w:right="220" w:hanging="655"/>
        <w:spacing w:after="0" w:line="264" w:lineRule="auto"/>
        <w:tabs>
          <w:tab w:leader="none" w:pos="196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the extent necessary to maintain his ownership of Borrower’s Equity, execute all necessary or appropriate documents, take all necessary or appropriate actions and file all necessary or appropriate complaints or raise all necessary and appropriate defenses against all claims;</w:t>
      </w:r>
    </w:p>
    <w:p>
      <w:pPr>
        <w:sectPr>
          <w:pgSz w:w="11900" w:h="16838" w:orient="portrait"/>
          <w:cols w:equalWidth="0" w:num="1">
            <w:col w:w="11392"/>
          </w:cols>
          <w:pgMar w:left="248" w:top="125" w:right="259" w:bottom="111" w:gutter="0" w:footer="0" w:header="0"/>
        </w:sectPr>
      </w:pP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25" w:right="259" w:bottom="111" w:gutter="0" w:footer="0" w:header="0"/>
          <w:type w:val="continuous"/>
        </w:sectPr>
      </w:pPr>
    </w:p>
    <w:bookmarkStart w:id="127" w:name="page128"/>
    <w:bookmarkEnd w:id="127"/>
    <w:p>
      <w:pPr>
        <w:ind w:left="1952" w:right="480" w:hanging="655"/>
        <w:spacing w:after="0" w:line="277" w:lineRule="auto"/>
        <w:tabs>
          <w:tab w:leader="none" w:pos="1956" w:val="left"/>
        </w:tabs>
        <w:numPr>
          <w:ilvl w:val="1"/>
          <w:numId w:val="212"/>
        </w:numPr>
        <w:rPr>
          <w:rFonts w:ascii="Arial" w:cs="Arial" w:eastAsia="Arial" w:hAnsi="Arial"/>
          <w:sz w:val="18"/>
          <w:szCs w:val="18"/>
          <w:color w:val="auto"/>
        </w:rPr>
      </w:pPr>
      <w:r>
        <w:rPr>
          <w:rFonts w:ascii="Arial" w:cs="Arial" w:eastAsia="Arial" w:hAnsi="Arial"/>
          <w:sz w:val="18"/>
          <w:szCs w:val="18"/>
          <w:color w:val="auto"/>
        </w:rPr>
        <w:t>refrain from taking any action that may have a material adverse impact on the assets, business and liabilities of the Domestic Company;</w:t>
      </w:r>
    </w:p>
    <w:p>
      <w:pPr>
        <w:spacing w:after="0" w:line="170" w:lineRule="exact"/>
        <w:rPr>
          <w:rFonts w:ascii="Arial" w:cs="Arial" w:eastAsia="Arial" w:hAnsi="Arial"/>
          <w:sz w:val="18"/>
          <w:szCs w:val="18"/>
          <w:color w:val="auto"/>
        </w:rPr>
      </w:pPr>
    </w:p>
    <w:p>
      <w:pPr>
        <w:ind w:left="1952" w:hanging="655"/>
        <w:spacing w:after="0" w:line="277" w:lineRule="auto"/>
        <w:tabs>
          <w:tab w:leader="none" w:pos="197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at the request of Lender, appoint the persons designated by Lender as directors of the Domestic Company (unless otherwise agreed by the Parties);</w:t>
      </w:r>
    </w:p>
    <w:p>
      <w:pPr>
        <w:spacing w:after="0" w:line="170" w:lineRule="exact"/>
        <w:rPr>
          <w:rFonts w:ascii="Arial" w:cs="Arial" w:eastAsia="Arial" w:hAnsi="Arial"/>
          <w:sz w:val="18"/>
          <w:szCs w:val="18"/>
          <w:color w:val="auto"/>
        </w:rPr>
      </w:pPr>
    </w:p>
    <w:p>
      <w:pPr>
        <w:ind w:left="1952" w:right="420" w:hanging="655"/>
        <w:spacing w:after="0" w:line="277" w:lineRule="auto"/>
        <w:tabs>
          <w:tab w:leader="none" w:pos="195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to the extent permitted by PRC laws, at the request of Lender at any time, promptly and unconditionally transfer all or part of Borrower’s Equity to Lender or Lender’s designated person(s) at any time;</w:t>
      </w:r>
    </w:p>
    <w:p>
      <w:pPr>
        <w:spacing w:after="0" w:line="170" w:lineRule="exact"/>
        <w:rPr>
          <w:rFonts w:ascii="Arial" w:cs="Arial" w:eastAsia="Arial" w:hAnsi="Arial"/>
          <w:sz w:val="18"/>
          <w:szCs w:val="18"/>
          <w:color w:val="auto"/>
        </w:rPr>
      </w:pPr>
    </w:p>
    <w:p>
      <w:pPr>
        <w:ind w:left="1952" w:right="20" w:hanging="655"/>
        <w:spacing w:after="0" w:line="259" w:lineRule="auto"/>
        <w:tabs>
          <w:tab w:leader="none" w:pos="1973" w:val="left"/>
        </w:tabs>
        <w:numPr>
          <w:ilvl w:val="1"/>
          <w:numId w:val="212"/>
        </w:numPr>
        <w:rPr>
          <w:rFonts w:ascii="Arial" w:cs="Arial" w:eastAsia="Arial" w:hAnsi="Arial"/>
          <w:sz w:val="18"/>
          <w:szCs w:val="18"/>
          <w:color w:val="auto"/>
        </w:rPr>
      </w:pPr>
      <w:r>
        <w:rPr>
          <w:rFonts w:ascii="Arial" w:cs="Arial" w:eastAsia="Arial" w:hAnsi="Arial"/>
          <w:sz w:val="18"/>
          <w:szCs w:val="18"/>
          <w:color w:val="auto"/>
        </w:rPr>
        <w:t>strictly abide by the provisions of this Agreement, the Transaction Documents and any other agreement to which Borrower and Lender are parties, perform his obligations under this Agreement, the Transaction Documents and any such other agreement, and refrain from taking any action or omit to take any action that may affect the effectiveness and enforceability of this Agreement, the Transaction Documents and any such other agreement; and</w:t>
      </w:r>
    </w:p>
    <w:p>
      <w:pPr>
        <w:spacing w:after="0" w:line="186" w:lineRule="exact"/>
        <w:rPr>
          <w:rFonts w:ascii="Arial" w:cs="Arial" w:eastAsia="Arial" w:hAnsi="Arial"/>
          <w:sz w:val="18"/>
          <w:szCs w:val="18"/>
          <w:color w:val="auto"/>
        </w:rPr>
      </w:pPr>
    </w:p>
    <w:p>
      <w:pPr>
        <w:ind w:left="1952" w:right="720" w:hanging="655"/>
        <w:spacing w:after="0" w:line="277" w:lineRule="auto"/>
        <w:tabs>
          <w:tab w:leader="none" w:pos="19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deliver to Lender the Spousal Consent Letter executed by Borrower’s spouse,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Default</w:t>
      </w:r>
    </w:p>
    <w:p>
      <w:pPr>
        <w:spacing w:after="0" w:line="229" w:lineRule="exact"/>
        <w:rPr>
          <w:rFonts w:ascii="Arial" w:cs="Arial" w:eastAsia="Arial" w:hAnsi="Arial"/>
          <w:sz w:val="18"/>
          <w:szCs w:val="18"/>
          <w:b w:val="1"/>
          <w:bCs w:val="1"/>
          <w:color w:val="auto"/>
        </w:rPr>
      </w:pPr>
    </w:p>
    <w:p>
      <w:pPr>
        <w:ind w:left="1292" w:right="1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4.1.In the event that Borrower fails to repay the outstanding amount of the Loan when due and payable, Borrower shall be liable to pay default interest of 0.01% per day on the outstanding payment, until the date on which Borrower repays the outstanding amount of the Loan in full, together with interest thereon and any other amounts due and payable.</w:t>
      </w:r>
    </w:p>
    <w:p>
      <w:pPr>
        <w:spacing w:after="0" w:line="181" w:lineRule="exact"/>
        <w:rPr>
          <w:rFonts w:ascii="Arial" w:cs="Arial" w:eastAsia="Arial" w:hAnsi="Arial"/>
          <w:sz w:val="18"/>
          <w:szCs w:val="18"/>
          <w:b w:val="1"/>
          <w:bCs w:val="1"/>
          <w:color w:val="auto"/>
        </w:rPr>
      </w:pPr>
    </w:p>
    <w:p>
      <w:pPr>
        <w:ind w:left="1292" w:right="30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7"/>
          <w:szCs w:val="17"/>
          <w:color w:val="auto"/>
        </w:rPr>
        <w:t>Borrower hereby covenants that he will indemnify and hold harmless Lender against any action, charge, claim, cost, harm, demand, fee, liability, loss and procedure incurred by Lender arising out of Borrower’s breach of any of his obligations hereunder.</w:t>
      </w:r>
    </w:p>
    <w:p>
      <w:pPr>
        <w:spacing w:after="0" w:line="142" w:lineRule="exact"/>
        <w:rPr>
          <w:rFonts w:ascii="Arial" w:cs="Arial" w:eastAsia="Arial" w:hAnsi="Arial"/>
          <w:sz w:val="18"/>
          <w:szCs w:val="18"/>
          <w:b w:val="1"/>
          <w:bCs w:val="1"/>
          <w:color w:val="auto"/>
        </w:rPr>
      </w:pPr>
    </w:p>
    <w:p>
      <w:pPr>
        <w:ind w:left="652" w:hanging="652"/>
        <w:spacing w:after="0"/>
        <w:tabs>
          <w:tab w:leader="none" w:pos="652"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If to Lender: NetEase Media Technology (Beijing) Co., Ltd.</w:t>
      </w:r>
    </w:p>
    <w:p>
      <w:pPr>
        <w:sectPr>
          <w:pgSz w:w="11900" w:h="16838" w:orient="portrait"/>
          <w:cols w:equalWidth="0" w:num="1">
            <w:col w:w="11392"/>
          </w:cols>
          <w:pgMar w:left="248" w:top="341" w:right="259" w:bottom="316" w:gutter="0" w:footer="0" w:header="0"/>
        </w:sectPr>
      </w:pP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860"/>
        <w:spacing w:after="0" w:line="277" w:lineRule="auto"/>
        <w:rPr>
          <w:sz w:val="20"/>
          <w:szCs w:val="20"/>
          <w:color w:val="auto"/>
        </w:rPr>
      </w:pPr>
      <w:r>
        <w:rPr>
          <w:rFonts w:ascii="Arial" w:cs="Arial" w:eastAsia="Arial" w:hAnsi="Arial"/>
          <w:sz w:val="18"/>
          <w:szCs w:val="18"/>
          <w:color w:val="auto"/>
        </w:rPr>
        <w:t>Building No. 7, West Zone, Zhongguancun Software Park (Phase II), No.10 Xibeiwang East Road, Haidian District, Beijing, China</w:t>
      </w:r>
    </w:p>
    <w:p>
      <w:pPr>
        <w:spacing w:after="0" w:line="170"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ind w:left="129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(86) 010-82625163</w:t>
      </w:r>
    </w:p>
    <w:p>
      <w:pPr>
        <w:spacing w:after="0" w:line="200"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spacing w:after="0" w:line="48"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ochoi@corp.netease.com</w:t>
      </w:r>
    </w:p>
    <w:p>
      <w:pPr>
        <w:spacing w:after="0" w:line="222"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spacing w:after="0" w:line="37"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Onward Choi</w:t>
      </w:r>
    </w:p>
    <w:p>
      <w:pPr>
        <w:spacing w:after="0" w:line="211"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spacing w:after="0" w:line="33" w:lineRule="exact"/>
        <w:rPr>
          <w:sz w:val="20"/>
          <w:szCs w:val="20"/>
          <w:color w:val="auto"/>
        </w:rPr>
      </w:pPr>
    </w:p>
    <w:p>
      <w:pPr>
        <w:ind w:left="652"/>
        <w:spacing w:after="0"/>
        <w:rPr>
          <w:sz w:val="20"/>
          <w:szCs w:val="20"/>
          <w:color w:val="auto"/>
        </w:rPr>
      </w:pPr>
      <w:r>
        <w:rPr>
          <w:rFonts w:ascii="Arial" w:cs="Arial" w:eastAsia="Arial" w:hAnsi="Arial"/>
          <w:sz w:val="17"/>
          <w:szCs w:val="17"/>
          <w:b w:val="1"/>
          <w:bCs w:val="1"/>
          <w:color w:val="auto"/>
        </w:rPr>
        <w:t>If to Borrower: William Lei Ding</w:t>
      </w:r>
    </w:p>
    <w:p>
      <w:pPr>
        <w:sectPr>
          <w:pgSz w:w="11900" w:h="16838" w:orient="portrait"/>
          <w:cols w:equalWidth="0" w:num="1">
            <w:col w:w="11392"/>
          </w:cols>
          <w:pgMar w:left="248" w:top="341" w:right="259" w:bottom="316" w:gutter="0" w:footer="0" w:header="0"/>
          <w:type w:val="continuous"/>
        </w:sectPr>
      </w:pPr>
    </w:p>
    <w:p>
      <w:pPr>
        <w:spacing w:after="0" w:line="241"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2020"/>
        <w:spacing w:after="0" w:line="277" w:lineRule="auto"/>
        <w:rPr>
          <w:sz w:val="20"/>
          <w:szCs w:val="20"/>
          <w:color w:val="auto"/>
        </w:rPr>
      </w:pPr>
      <w:r>
        <w:rPr>
          <w:rFonts w:ascii="Arial" w:cs="Arial" w:eastAsia="Arial" w:hAnsi="Arial"/>
          <w:sz w:val="18"/>
          <w:szCs w:val="18"/>
          <w:color w:val="auto"/>
        </w:rPr>
        <w:t>Room 6-401, A90, Shuguang Road, Jiangdong District, Ningbo, Zhejiang Province</w:t>
      </w:r>
    </w:p>
    <w:p>
      <w:pPr>
        <w:spacing w:after="0" w:line="170"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ind w:left="129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0571-89852163</w:t>
      </w:r>
    </w:p>
    <w:p>
      <w:pPr>
        <w:spacing w:after="0" w:line="200"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spacing w:after="0" w:line="48"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wding@corp.netease.com</w:t>
      </w:r>
    </w:p>
    <w:p>
      <w:pPr>
        <w:spacing w:after="0" w:line="211"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spacing w:after="0" w:line="33" w:lineRule="exact"/>
        <w:rPr>
          <w:sz w:val="20"/>
          <w:szCs w:val="20"/>
          <w:color w:val="auto"/>
        </w:rPr>
      </w:pPr>
    </w:p>
    <w:p>
      <w:pPr>
        <w:ind w:left="652" w:hanging="652"/>
        <w:spacing w:after="0"/>
        <w:tabs>
          <w:tab w:leader="none" w:pos="652"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52"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316" w:gutter="0" w:footer="0" w:header="0"/>
          <w:type w:val="continuous"/>
        </w:sectPr>
      </w:pPr>
    </w:p>
    <w:bookmarkStart w:id="128" w:name="page129"/>
    <w:bookmarkEnd w:id="128"/>
    <w:p>
      <w:pPr>
        <w:ind w:left="660" w:hanging="652"/>
        <w:spacing w:after="0"/>
        <w:tabs>
          <w:tab w:leader="none" w:pos="6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300" w:right="2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7.1.The formation, effect, interpretation, performance, amendment, termination and dispute resolution of this Agreement shall be governed by PRC law.</w:t>
      </w:r>
    </w:p>
    <w:p>
      <w:pPr>
        <w:spacing w:after="0" w:line="170" w:lineRule="exact"/>
        <w:rPr>
          <w:rFonts w:ascii="Arial" w:cs="Arial" w:eastAsia="Arial" w:hAnsi="Arial"/>
          <w:sz w:val="18"/>
          <w:szCs w:val="18"/>
          <w:b w:val="1"/>
          <w:bCs w:val="1"/>
          <w:color w:val="auto"/>
        </w:rPr>
      </w:pPr>
    </w:p>
    <w:p>
      <w:pPr>
        <w:ind w:left="1300" w:right="80" w:hanging="648"/>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6"/>
          <w:szCs w:val="16"/>
          <w:color w:val="auto"/>
        </w:rPr>
        <w:t>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Lender.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68" w:lineRule="exact"/>
        <w:rPr>
          <w:rFonts w:ascii="Arial" w:cs="Arial" w:eastAsia="Arial" w:hAnsi="Arial"/>
          <w:sz w:val="18"/>
          <w:szCs w:val="18"/>
          <w:b w:val="1"/>
          <w:bCs w:val="1"/>
          <w:color w:val="auto"/>
        </w:rPr>
      </w:pPr>
    </w:p>
    <w:p>
      <w:pPr>
        <w:ind w:left="1300" w:right="56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7.3.</w:t>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300" w:right="7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8.1.This Agreement shall become effective on the date hereof, and shall expire upon the date of full performance by the Parties of their respective obligations under this Agreement.</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8.2.</w:t>
      </w:r>
      <w:r>
        <w:rPr>
          <w:rFonts w:ascii="Arial" w:cs="Arial" w:eastAsia="Arial" w:hAnsi="Arial"/>
          <w:sz w:val="16"/>
          <w:szCs w:val="16"/>
          <w:color w:val="auto"/>
        </w:rPr>
        <w:t>This Agreement may not be amended or modified in any manner except by an instrument in writing signed by the Parties hereto.</w:t>
      </w:r>
    </w:p>
    <w:p>
      <w:pPr>
        <w:spacing w:after="0" w:line="225" w:lineRule="exact"/>
        <w:rPr>
          <w:rFonts w:ascii="Arial" w:cs="Arial" w:eastAsia="Arial" w:hAnsi="Arial"/>
          <w:sz w:val="18"/>
          <w:szCs w:val="18"/>
          <w:b w:val="1"/>
          <w:bCs w:val="1"/>
          <w:color w:val="auto"/>
        </w:rPr>
      </w:pPr>
    </w:p>
    <w:p>
      <w:pPr>
        <w:ind w:left="1300" w:right="80" w:hanging="648"/>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8.3.</w:t>
      </w:r>
      <w:r>
        <w:rPr>
          <w:rFonts w:ascii="Arial" w:cs="Arial" w:eastAsia="Arial" w:hAnsi="Arial"/>
          <w:sz w:val="16"/>
          <w:szCs w:val="16"/>
          <w:color w:val="auto"/>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hanging="647"/>
        <w:spacing w:after="0" w:line="312" w:lineRule="auto"/>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w:t>
      </w:r>
    </w:p>
    <w:p>
      <w:pPr>
        <w:spacing w:after="0" w:line="147" w:lineRule="exact"/>
        <w:rPr>
          <w:sz w:val="20"/>
          <w:szCs w:val="20"/>
          <w:color w:val="auto"/>
        </w:rPr>
      </w:pPr>
    </w:p>
    <w:p>
      <w:pPr>
        <w:ind w:left="1300" w:right="140" w:hanging="647"/>
        <w:spacing w:after="0" w:line="255" w:lineRule="auto"/>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If required under any applicable law, regulations or listing rules or required or deemed desirable by any stock exchange, government or other regulatory authority having competent jurisdiction over the Parties and their affiliates (the “</w:t>
      </w:r>
      <w:r>
        <w:rPr>
          <w:rFonts w:ascii="Arial" w:cs="Arial" w:eastAsia="Arial" w:hAnsi="Arial"/>
          <w:sz w:val="18"/>
          <w:szCs w:val="18"/>
          <w:b w:val="1"/>
          <w:bCs w:val="1"/>
          <w:color w:val="auto"/>
        </w:rPr>
        <w:t>Applicable Requirements</w:t>
      </w:r>
      <w:r>
        <w:rPr>
          <w:rFonts w:ascii="Arial" w:cs="Arial" w:eastAsia="Arial" w:hAnsi="Arial"/>
          <w:sz w:val="18"/>
          <w:szCs w:val="18"/>
          <w:color w:val="auto"/>
        </w:rPr>
        <w:t>”), Borrower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Lender.</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ind w:left="5740"/>
              <w:spacing w:after="0"/>
              <w:rPr>
                <w:sz w:val="20"/>
                <w:szCs w:val="20"/>
                <w:color w:val="auto"/>
              </w:rPr>
            </w:pPr>
            <w:r>
              <w:rPr>
                <w:rFonts w:ascii="Arial" w:cs="Arial" w:eastAsia="Arial" w:hAnsi="Arial"/>
                <w:sz w:val="18"/>
                <w:szCs w:val="18"/>
                <w:b w:val="1"/>
                <w:bCs w:val="1"/>
                <w:color w:val="auto"/>
              </w:rPr>
              <w:t>Lender:</w:t>
            </w:r>
          </w:p>
        </w:tc>
        <w:tc>
          <w:tcPr>
            <w:tcW w:w="4360" w:type="dxa"/>
            <w:vAlign w:val="bottom"/>
          </w:tcPr>
          <w:p>
            <w:pPr>
              <w:spacing w:after="0"/>
              <w:rPr>
                <w:sz w:val="20"/>
                <w:szCs w:val="20"/>
                <w:color w:val="auto"/>
              </w:rPr>
            </w:pPr>
            <w:r>
              <w:rPr>
                <w:rFonts w:ascii="Arial" w:cs="Arial" w:eastAsia="Arial" w:hAnsi="Arial"/>
                <w:sz w:val="18"/>
                <w:szCs w:val="18"/>
                <w:b w:val="1"/>
                <w:bCs w:val="1"/>
                <w:color w:val="auto"/>
              </w:rPr>
              <w:t>NetEase Media Technology (Beijing) Co.,</w:t>
            </w:r>
          </w:p>
        </w:tc>
        <w:tc>
          <w:tcPr>
            <w:tcW w:w="40" w:type="dxa"/>
            <w:vAlign w:val="bottom"/>
          </w:tcPr>
          <w:p>
            <w:pPr>
              <w:spacing w:after="0"/>
              <w:rPr>
                <w:sz w:val="18"/>
                <w:szCs w:val="18"/>
                <w:color w:val="auto"/>
              </w:rPr>
            </w:pPr>
          </w:p>
        </w:tc>
      </w:tr>
      <w:tr>
        <w:trPr>
          <w:trHeight w:val="234"/>
        </w:trPr>
        <w:tc>
          <w:tcPr>
            <w:tcW w:w="70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Ltd.</w:t>
            </w:r>
          </w:p>
        </w:tc>
        <w:tc>
          <w:tcPr>
            <w:tcW w:w="40" w:type="dxa"/>
            <w:vAlign w:val="bottom"/>
          </w:tcPr>
          <w:p>
            <w:pPr>
              <w:spacing w:after="0"/>
              <w:rPr>
                <w:sz w:val="20"/>
                <w:szCs w:val="20"/>
                <w:color w:val="auto"/>
              </w:rPr>
            </w:pPr>
          </w:p>
        </w:tc>
      </w:tr>
      <w:tr>
        <w:trPr>
          <w:trHeight w:val="432"/>
        </w:trPr>
        <w:tc>
          <w:tcPr>
            <w:tcW w:w="706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(Seal)</w:t>
            </w:r>
          </w:p>
        </w:tc>
        <w:tc>
          <w:tcPr>
            <w:tcW w:w="40" w:type="dxa"/>
            <w:vAlign w:val="bottom"/>
          </w:tcPr>
          <w:p>
            <w:pPr>
              <w:spacing w:after="0"/>
              <w:rPr>
                <w:sz w:val="24"/>
                <w:szCs w:val="24"/>
                <w:color w:val="auto"/>
              </w:rPr>
            </w:pPr>
          </w:p>
        </w:tc>
      </w:tr>
      <w:tr>
        <w:trPr>
          <w:trHeight w:val="432"/>
        </w:trPr>
        <w:tc>
          <w:tcPr>
            <w:tcW w:w="7060" w:type="dxa"/>
            <w:vAlign w:val="bottom"/>
          </w:tcPr>
          <w:p>
            <w:pPr>
              <w:ind w:left="5740"/>
              <w:spacing w:after="0"/>
              <w:rPr>
                <w:sz w:val="20"/>
                <w:szCs w:val="20"/>
                <w:color w:val="auto"/>
              </w:rPr>
            </w:pPr>
            <w:r>
              <w:rPr>
                <w:rFonts w:ascii="Arial" w:cs="Arial" w:eastAsia="Arial" w:hAnsi="Arial"/>
                <w:sz w:val="18"/>
                <w:szCs w:val="18"/>
                <w:b w:val="1"/>
                <w:bCs w:val="1"/>
                <w:color w:val="auto"/>
              </w:rPr>
              <w:t>Borrower:</w:t>
            </w:r>
          </w:p>
        </w:tc>
        <w:tc>
          <w:tcPr>
            <w:tcW w:w="4360" w:type="dxa"/>
            <w:vAlign w:val="bottom"/>
          </w:tcPr>
          <w:p>
            <w:pPr>
              <w:spacing w:after="0"/>
              <w:rPr>
                <w:sz w:val="20"/>
                <w:szCs w:val="20"/>
                <w:color w:val="auto"/>
              </w:rPr>
            </w:pPr>
            <w:r>
              <w:rPr>
                <w:rFonts w:ascii="Arial" w:cs="Arial" w:eastAsia="Arial" w:hAnsi="Arial"/>
                <w:sz w:val="18"/>
                <w:szCs w:val="18"/>
                <w:b w:val="1"/>
                <w:bCs w:val="1"/>
                <w:color w:val="auto"/>
              </w:rPr>
              <w:t>William Lei Ding</w:t>
            </w:r>
          </w:p>
        </w:tc>
        <w:tc>
          <w:tcPr>
            <w:tcW w:w="40" w:type="dxa"/>
            <w:vAlign w:val="bottom"/>
          </w:tcPr>
          <w:p>
            <w:pPr>
              <w:spacing w:after="0"/>
              <w:rPr>
                <w:sz w:val="24"/>
                <w:szCs w:val="24"/>
                <w:color w:val="auto"/>
              </w:rPr>
            </w:pPr>
          </w:p>
        </w:tc>
      </w:tr>
      <w:tr>
        <w:trPr>
          <w:trHeight w:val="432"/>
        </w:trPr>
        <w:tc>
          <w:tcPr>
            <w:tcW w:w="706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40" w:type="dxa"/>
            <w:vAlign w:val="bottom"/>
          </w:tcPr>
          <w:p>
            <w:pPr>
              <w:spacing w:after="0"/>
              <w:rPr>
                <w:sz w:val="24"/>
                <w:szCs w:val="24"/>
                <w:color w:val="auto"/>
              </w:rPr>
            </w:pPr>
          </w:p>
        </w:tc>
      </w:tr>
      <w:tr>
        <w:trPr>
          <w:trHeight w:val="341"/>
        </w:trPr>
        <w:tc>
          <w:tcPr>
            <w:tcW w:w="706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Appendix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Equity Pledge Agreement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67"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Appendix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Shareholder Voting Right Trust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Exclusive Purchase Option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Operating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A</w:t>
            </w:r>
          </w:p>
        </w:tc>
      </w:tr>
      <w:tr>
        <w:trPr>
          <w:trHeight w:val="453"/>
        </w:trPr>
        <w:tc>
          <w:tcPr>
            <w:tcW w:w="8840" w:type="dxa"/>
            <w:vAlign w:val="bottom"/>
            <w:gridSpan w:val="2"/>
          </w:tcPr>
          <w:p>
            <w:pPr>
              <w:ind w:left="3320"/>
              <w:spacing w:after="0"/>
              <w:rPr>
                <w:sz w:val="20"/>
                <w:szCs w:val="20"/>
                <w:color w:val="auto"/>
              </w:rPr>
            </w:pPr>
            <w:r>
              <w:rPr>
                <w:rFonts w:ascii="Arial" w:cs="Arial" w:eastAsia="Arial" w:hAnsi="Arial"/>
                <w:sz w:val="18"/>
                <w:szCs w:val="18"/>
                <w:b w:val="1"/>
                <w:bCs w:val="1"/>
                <w:color w:val="auto"/>
              </w:rPr>
              <w:t>SUPPLEMENTAL AGREEMENT TO LOAN AGREEMENT</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4"/>
        </w:trPr>
        <w:tc>
          <w:tcPr>
            <w:tcW w:w="8840" w:type="dxa"/>
            <w:vAlign w:val="bottom"/>
            <w:gridSpan w:val="2"/>
          </w:tcPr>
          <w:p>
            <w:pPr>
              <w:spacing w:after="0"/>
              <w:rPr>
                <w:sz w:val="20"/>
                <w:szCs w:val="20"/>
                <w:color w:val="auto"/>
              </w:rPr>
            </w:pPr>
            <w:r>
              <w:rPr>
                <w:rFonts w:ascii="Arial" w:cs="Arial" w:eastAsia="Arial" w:hAnsi="Arial"/>
                <w:sz w:val="18"/>
                <w:szCs w:val="18"/>
                <w:color w:val="auto"/>
                <w:w w:val="99"/>
              </w:rPr>
              <w:t xml:space="preserve">This </w:t>
            </w:r>
            <w:r>
              <w:rPr>
                <w:rFonts w:ascii="Arial" w:cs="Arial" w:eastAsia="Arial" w:hAnsi="Arial"/>
                <w:sz w:val="18"/>
                <w:szCs w:val="18"/>
                <w:b w:val="1"/>
                <w:bCs w:val="1"/>
                <w:color w:val="auto"/>
                <w:w w:val="99"/>
              </w:rPr>
              <w:t>SUPPLEMENTAL AGREEMENT</w:t>
            </w:r>
            <w:r>
              <w:rPr>
                <w:rFonts w:ascii="Arial" w:cs="Arial" w:eastAsia="Arial" w:hAnsi="Arial"/>
                <w:sz w:val="18"/>
                <w:szCs w:val="18"/>
                <w:color w:val="auto"/>
                <w:w w:val="99"/>
              </w:rPr>
              <w:t xml:space="preserve"> (this “</w:t>
            </w:r>
            <w:r>
              <w:rPr>
                <w:rFonts w:ascii="Arial" w:cs="Arial" w:eastAsia="Arial" w:hAnsi="Arial"/>
                <w:sz w:val="18"/>
                <w:szCs w:val="18"/>
                <w:b w:val="1"/>
                <w:bCs w:val="1"/>
                <w:color w:val="auto"/>
                <w:w w:val="99"/>
              </w:rPr>
              <w:t>Supplemental Agreement</w:t>
            </w:r>
            <w:r>
              <w:rPr>
                <w:rFonts w:ascii="Arial" w:cs="Arial" w:eastAsia="Arial" w:hAnsi="Arial"/>
                <w:sz w:val="18"/>
                <w:szCs w:val="18"/>
                <w:color w:val="auto"/>
                <w:w w:val="99"/>
              </w:rPr>
              <w:t>”) to that certain Loan Agreement dated</w:t>
            </w:r>
          </w:p>
        </w:tc>
        <w:tc>
          <w:tcPr>
            <w:tcW w:w="2580" w:type="dxa"/>
            <w:vAlign w:val="bottom"/>
            <w:gridSpan w:val="2"/>
          </w:tcPr>
          <w:p>
            <w:pPr>
              <w:ind w:left="480"/>
              <w:spacing w:after="0"/>
              <w:rPr>
                <w:sz w:val="20"/>
                <w:szCs w:val="20"/>
                <w:color w:val="auto"/>
              </w:rPr>
            </w:pPr>
            <w:r>
              <w:rPr>
                <w:rFonts w:ascii="Arial" w:cs="Arial" w:eastAsia="Arial" w:hAnsi="Arial"/>
                <w:sz w:val="18"/>
                <w:szCs w:val="18"/>
                <w:color w:val="auto"/>
              </w:rPr>
              <w:t>(as the same may be</w:t>
            </w:r>
          </w:p>
        </w:tc>
      </w:tr>
      <w:tr>
        <w:trPr>
          <w:trHeight w:val="234"/>
        </w:trPr>
        <w:tc>
          <w:tcPr>
            <w:tcW w:w="6660" w:type="dxa"/>
            <w:vAlign w:val="bottom"/>
          </w:tcPr>
          <w:p>
            <w:pPr>
              <w:spacing w:after="0"/>
              <w:rPr>
                <w:sz w:val="20"/>
                <w:szCs w:val="20"/>
                <w:color w:val="auto"/>
              </w:rPr>
            </w:pPr>
            <w:r>
              <w:rPr>
                <w:rFonts w:ascii="Arial" w:cs="Arial" w:eastAsia="Arial" w:hAnsi="Arial"/>
                <w:sz w:val="18"/>
                <w:szCs w:val="18"/>
                <w:color w:val="auto"/>
                <w:w w:val="97"/>
              </w:rPr>
              <w:t>amended and supplemented from time to time, the “</w:t>
            </w:r>
            <w:r>
              <w:rPr>
                <w:rFonts w:ascii="Arial" w:cs="Arial" w:eastAsia="Arial" w:hAnsi="Arial"/>
                <w:sz w:val="18"/>
                <w:szCs w:val="18"/>
                <w:b w:val="1"/>
                <w:bCs w:val="1"/>
                <w:color w:val="auto"/>
                <w:w w:val="97"/>
              </w:rPr>
              <w:t>Agreement</w:t>
            </w:r>
            <w:r>
              <w:rPr>
                <w:rFonts w:ascii="Arial" w:cs="Arial" w:eastAsia="Arial" w:hAnsi="Arial"/>
                <w:sz w:val="18"/>
                <w:szCs w:val="18"/>
                <w:color w:val="auto"/>
                <w:w w:val="97"/>
              </w:rPr>
              <w:t>”) is entered into as of</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by and between NetEase Media Technology (Beijing)</w:t>
            </w:r>
          </w:p>
        </w:tc>
      </w:tr>
    </w:tbl>
    <w:p>
      <w:pPr>
        <w:spacing w:after="0"/>
        <w:rPr>
          <w:sz w:val="20"/>
          <w:szCs w:val="20"/>
          <w:color w:val="auto"/>
        </w:rPr>
      </w:pPr>
      <w:r>
        <w:rPr>
          <w:rFonts w:ascii="Arial" w:cs="Arial" w:eastAsia="Arial" w:hAnsi="Arial"/>
          <w:sz w:val="17"/>
          <w:szCs w:val="17"/>
          <w:color w:val="auto"/>
        </w:rPr>
        <w:t>Co., Ltd. (“</w:t>
      </w:r>
      <w:r>
        <w:rPr>
          <w:rFonts w:ascii="Arial" w:cs="Arial" w:eastAsia="Arial" w:hAnsi="Arial"/>
          <w:sz w:val="17"/>
          <w:szCs w:val="17"/>
          <w:b w:val="1"/>
          <w:bCs w:val="1"/>
          <w:color w:val="auto"/>
        </w:rPr>
        <w:t>Lender</w:t>
      </w:r>
      <w:r>
        <w:rPr>
          <w:rFonts w:ascii="Arial" w:cs="Arial" w:eastAsia="Arial" w:hAnsi="Arial"/>
          <w:sz w:val="17"/>
          <w:szCs w:val="17"/>
          <w:color w:val="auto"/>
        </w:rPr>
        <w:t>”), a wholly foreign-owned enterprise incorporated in the People’s Republic of China (the “</w:t>
      </w:r>
      <w:r>
        <w:rPr>
          <w:rFonts w:ascii="Arial" w:cs="Arial" w:eastAsia="Arial" w:hAnsi="Arial"/>
          <w:sz w:val="17"/>
          <w:szCs w:val="17"/>
          <w:b w:val="1"/>
          <w:bCs w:val="1"/>
          <w:color w:val="auto"/>
        </w:rPr>
        <w:t>PRC</w:t>
      </w:r>
      <w:r>
        <w:rPr>
          <w:rFonts w:ascii="Arial" w:cs="Arial" w:eastAsia="Arial" w:hAnsi="Arial"/>
          <w:sz w:val="17"/>
          <w:szCs w:val="17"/>
          <w:color w:val="auto"/>
        </w:rPr>
        <w:t>”), and William Lei Ding (ID Number: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330224197110180074, “</w:t>
      </w:r>
      <w:r>
        <w:rPr>
          <w:rFonts w:ascii="Arial" w:cs="Arial" w:eastAsia="Arial" w:hAnsi="Arial"/>
          <w:sz w:val="17"/>
          <w:szCs w:val="17"/>
          <w:b w:val="1"/>
          <w:bCs w:val="1"/>
          <w:color w:val="auto"/>
        </w:rPr>
        <w:t>Borrower</w:t>
      </w:r>
      <w:r>
        <w:rPr>
          <w:rFonts w:ascii="Arial" w:cs="Arial" w:eastAsia="Arial" w:hAnsi="Arial"/>
          <w:sz w:val="17"/>
          <w:szCs w:val="17"/>
          <w:color w:val="auto"/>
        </w:rPr>
        <w:t>”), a citizen of the PRC and owner of 99% of the equity interests of Beijing Guangyitong Advertising Co., Ltd.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Company</w:t>
      </w:r>
      <w:r>
        <w:rPr>
          <w:rFonts w:ascii="Arial" w:cs="Arial" w:eastAsia="Arial" w:hAnsi="Arial"/>
          <w:sz w:val="16"/>
          <w:szCs w:val="16"/>
          <w:color w:val="auto"/>
        </w:rPr>
        <w:t>”). Lender and Borrower are hereinafter collectively referred to as the “</w:t>
      </w:r>
      <w:r>
        <w:rPr>
          <w:rFonts w:ascii="Arial" w:cs="Arial" w:eastAsia="Arial" w:hAnsi="Arial"/>
          <w:sz w:val="16"/>
          <w:szCs w:val="16"/>
          <w:b w:val="1"/>
          <w:bCs w:val="1"/>
          <w:color w:val="auto"/>
        </w:rPr>
        <w:t>Parties</w:t>
      </w:r>
      <w:r>
        <w:rPr>
          <w:rFonts w:ascii="Arial" w:cs="Arial" w:eastAsia="Arial" w:hAnsi="Arial"/>
          <w:sz w:val="16"/>
          <w:szCs w:val="16"/>
          <w:color w:val="auto"/>
        </w:rPr>
        <w:t>” and each individually as a “</w:t>
      </w:r>
      <w:r>
        <w:rPr>
          <w:rFonts w:ascii="Arial" w:cs="Arial" w:eastAsia="Arial" w:hAnsi="Arial"/>
          <w:sz w:val="16"/>
          <w:szCs w:val="16"/>
          <w:b w:val="1"/>
          <w:bCs w:val="1"/>
          <w:color w:val="auto"/>
        </w:rPr>
        <w:t>Party</w:t>
      </w:r>
      <w:r>
        <w:rPr>
          <w:rFonts w:ascii="Arial" w:cs="Arial" w:eastAsia="Arial" w:hAnsi="Arial"/>
          <w:sz w:val="16"/>
          <w:szCs w:val="16"/>
          <w:color w:val="auto"/>
        </w:rPr>
        <w:t>.” Capitalized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herein and not otherwise defined shall have the respective meanings assigned to them in the Agreement.</w:t>
      </w: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supplement the Agreement in connection with the extension of a new loan from Lender to Borrower in connection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Company’s registered capital, as herein provided.</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contained herein and subject to the terms and conditions herein set forth, the Parties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Agreement is hereby amended and supplemented as follows:</w:t>
      </w:r>
    </w:p>
    <w:p>
      <w:pPr>
        <w:spacing w:after="0" w:line="162" w:lineRule="exact"/>
        <w:rPr>
          <w:sz w:val="20"/>
          <w:szCs w:val="20"/>
          <w:color w:val="auto"/>
        </w:rPr>
      </w:pPr>
    </w:p>
    <w:p>
      <w:pPr>
        <w:ind w:left="660" w:right="120" w:hanging="652"/>
        <w:spacing w:after="0" w:line="313" w:lineRule="auto"/>
        <w:tabs>
          <w:tab w:leader="none" w:pos="6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Lender agrees to provide an additional loan to Borrower with an aggregate principal amount of RMB [8,910,000] (the “</w:t>
      </w:r>
      <w:r>
        <w:rPr>
          <w:rFonts w:ascii="Arial" w:cs="Arial" w:eastAsia="Arial" w:hAnsi="Arial"/>
          <w:sz w:val="17"/>
          <w:szCs w:val="17"/>
          <w:b w:val="1"/>
          <w:bCs w:val="1"/>
          <w:color w:val="auto"/>
        </w:rPr>
        <w:t>Additional Loan</w:t>
      </w:r>
      <w:r>
        <w:rPr>
          <w:rFonts w:ascii="Arial" w:cs="Arial" w:eastAsia="Arial" w:hAnsi="Arial"/>
          <w:sz w:val="17"/>
          <w:szCs w:val="17"/>
          <w:i w:val="1"/>
          <w:iCs w:val="1"/>
          <w:color w:val="auto"/>
        </w:rPr>
        <w:t>”</w:t>
      </w:r>
      <w:r>
        <w:rPr>
          <w:rFonts w:ascii="Arial" w:cs="Arial" w:eastAsia="Arial" w:hAnsi="Arial"/>
          <w:sz w:val="17"/>
          <w:szCs w:val="17"/>
          <w:color w:val="auto"/>
        </w:rPr>
        <w:t>) in order for Borrower to use the Additional Loan to invest into the Domestic Company as an additional capital contribution (the “</w:t>
      </w:r>
      <w:r>
        <w:rPr>
          <w:rFonts w:ascii="Arial" w:cs="Arial" w:eastAsia="Arial" w:hAnsi="Arial"/>
          <w:sz w:val="17"/>
          <w:szCs w:val="17"/>
          <w:b w:val="1"/>
          <w:bCs w:val="1"/>
          <w:color w:val="auto"/>
        </w:rPr>
        <w:t>Purpose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660" w:right="160" w:hanging="652"/>
        <w:spacing w:after="0" w:line="342" w:lineRule="auto"/>
        <w:tabs>
          <w:tab w:leader="none" w:pos="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Borrower confirms that he has received the total amount of the Additional Loan and agrees to invest it into the Domestic Company as an additional capital contribution and, unless with the prior written consent of the Lender, he will not use the Additional Loan for any other purpose.</w:t>
      </w:r>
    </w:p>
    <w:p>
      <w:pPr>
        <w:spacing w:after="0" w:line="123" w:lineRule="exact"/>
        <w:rPr>
          <w:rFonts w:ascii="Arial" w:cs="Arial" w:eastAsia="Arial" w:hAnsi="Arial"/>
          <w:sz w:val="16"/>
          <w:szCs w:val="16"/>
          <w:color w:val="auto"/>
        </w:rPr>
      </w:pPr>
    </w:p>
    <w:p>
      <w:pPr>
        <w:ind w:left="660" w:right="180" w:hanging="652"/>
        <w:spacing w:after="0" w:line="259"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definition of, and any reference to, “Loan” in the Agreement shall be deemed to include the Additional Loan, and the Additional Loan shall be subject to the same terms and conditions of the Loan as provided in the Agreement, except for the Purpose of the Additional Loan as provided in Article 1 above. For the avoidance of doubt, the term of the Additional Loan shall be the same as the term of the Loan as specified in the Agreement.</w:t>
      </w:r>
    </w:p>
    <w:p>
      <w:pPr>
        <w:spacing w:after="0" w:line="186" w:lineRule="exact"/>
        <w:rPr>
          <w:rFonts w:ascii="Arial" w:cs="Arial" w:eastAsia="Arial" w:hAnsi="Arial"/>
          <w:sz w:val="18"/>
          <w:szCs w:val="18"/>
          <w:color w:val="auto"/>
        </w:rPr>
      </w:pPr>
    </w:p>
    <w:p>
      <w:pPr>
        <w:ind w:left="660" w:right="580" w:hanging="652"/>
        <w:spacing w:after="0" w:line="342" w:lineRule="auto"/>
        <w:tabs>
          <w:tab w:leader="none" w:pos="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Each Party hereto represents and warrants to the other Party hereto that this Supplemental Agreement has been duly authorized, executed and delivered by it/he and constitutes a valid and legally binding agreement with respect to the subject matter contained herein.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660" w:hanging="652"/>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Articles 6, 7 and 8 of the Agreement are hereby incorporated into this Supplemental Agreement by this reference.</w:t>
      </w:r>
    </w:p>
    <w:p>
      <w:pPr>
        <w:spacing w:after="0" w:line="225"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This Supplemental Agreement contains the entire agreement between the Parties with respect to the subject matter of this Supplemental Agreement and supersedes and extinguishes all prior agreement and understandings, oral or written, with respect to such matter.</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As amended and supplemented hereby, the terms and conditions and all the provisions of the Agreement are and will remain in full force and effect.</w:t>
      </w:r>
    </w:p>
    <w:p>
      <w:pPr>
        <w:spacing w:after="0" w:line="248" w:lineRule="exact"/>
        <w:rPr>
          <w:rFonts w:ascii="Arial" w:cs="Arial" w:eastAsia="Arial" w:hAnsi="Arial"/>
          <w:sz w:val="16"/>
          <w:szCs w:val="16"/>
          <w:color w:val="auto"/>
        </w:rPr>
      </w:pPr>
    </w:p>
    <w:p>
      <w:pPr>
        <w:ind w:left="660" w:right="440" w:hanging="652"/>
        <w:spacing w:after="0" w:line="277" w:lineRule="auto"/>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This Supplemental Agreement may be executed in one or more counterparts, each of which shall be deemed to be an original instrument by the Parties executing such counterpart, but all of which shall be considered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-1642110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Supplemental Agreement has been signed by the Parties hereto as of the date first written above.</w:t>
      </w:r>
    </w:p>
    <w:p>
      <w:pPr>
        <w:sectPr>
          <w:pgSz w:w="11900" w:h="16838" w:orient="portrait"/>
          <w:cols w:equalWidth="0" w:num="1">
            <w:col w:w="11420"/>
          </w:cols>
          <w:pgMar w:left="240" w:top="125" w:right="239" w:bottom="1440" w:gutter="0" w:footer="0" w:header="0"/>
        </w:sect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Lender: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NetEase Media Technology (Beijing) Co., Ltd. (seal)</w:t>
      </w:r>
    </w:p>
    <w:p>
      <w:pPr>
        <w:spacing w:after="0" w:line="200" w:lineRule="exact"/>
        <w:rPr>
          <w:sz w:val="20"/>
          <w:szCs w:val="20"/>
          <w:color w:val="auto"/>
        </w:rPr>
      </w:pPr>
    </w:p>
    <w:p>
      <w:pPr>
        <w:sectPr>
          <w:pgSz w:w="11900" w:h="16838" w:orient="portrait"/>
          <w:cols w:equalWidth="0" w:num="2">
            <w:col w:w="6440" w:space="720"/>
            <w:col w:w="4260"/>
          </w:cols>
          <w:pgMar w:left="240" w:top="125" w:right="239" w:bottom="1440" w:gutter="0" w:footer="0" w:header="0"/>
          <w:type w:val="continuous"/>
        </w:sectPr>
      </w:pPr>
    </w:p>
    <w:p>
      <w:pPr>
        <w:spacing w:after="0" w:line="182"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tabs>
          <w:tab w:leader="none" w:pos="714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8"/>
          <w:szCs w:val="18"/>
          <w:b w:val="1"/>
          <w:bCs w:val="1"/>
          <w:color w:val="auto"/>
        </w:rPr>
        <w:t>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292100</wp:posOffset>
            </wp:positionV>
            <wp:extent cx="27101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B</w:t>
            </w:r>
          </w:p>
        </w:tc>
      </w:tr>
      <w:tr>
        <w:trPr>
          <w:trHeight w:val="453"/>
        </w:trPr>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40" w:type="dxa"/>
            <w:vAlign w:val="bottom"/>
            <w:gridSpan w:val="2"/>
          </w:tcPr>
          <w:p>
            <w:pPr>
              <w:ind w:left="1680"/>
              <w:spacing w:after="0"/>
              <w:rPr>
                <w:sz w:val="20"/>
                <w:szCs w:val="20"/>
                <w:color w:val="auto"/>
              </w:rPr>
            </w:pPr>
            <w:r>
              <w:rPr>
                <w:rFonts w:ascii="Arial" w:cs="Arial" w:eastAsia="Arial" w:hAnsi="Arial"/>
                <w:sz w:val="18"/>
                <w:szCs w:val="18"/>
                <w:b w:val="1"/>
                <w:bCs w:val="1"/>
                <w:color w:val="auto"/>
              </w:rPr>
              <w:t>SPOUSAL CONSENT LETTER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I,</w:t>
            </w:r>
          </w:p>
        </w:tc>
        <w:tc>
          <w:tcPr>
            <w:tcW w:w="2100" w:type="dxa"/>
            <w:vAlign w:val="bottom"/>
          </w:tcPr>
          <w:p>
            <w:pPr>
              <w:ind w:left="560"/>
              <w:spacing w:after="0"/>
              <w:rPr>
                <w:sz w:val="20"/>
                <w:szCs w:val="20"/>
                <w:color w:val="auto"/>
              </w:rPr>
            </w:pPr>
            <w:r>
              <w:rPr>
                <w:rFonts w:ascii="Arial" w:cs="Arial" w:eastAsia="Arial" w:hAnsi="Arial"/>
                <w:sz w:val="18"/>
                <w:szCs w:val="18"/>
                <w:color w:val="auto"/>
              </w:rPr>
              <w:t>(ID Card No.:</w:t>
            </w:r>
          </w:p>
        </w:tc>
        <w:tc>
          <w:tcPr>
            <w:tcW w:w="8640" w:type="dxa"/>
            <w:vAlign w:val="bottom"/>
            <w:gridSpan w:val="2"/>
          </w:tcPr>
          <w:p>
            <w:pPr>
              <w:ind w:left="540"/>
              <w:spacing w:after="0"/>
              <w:rPr>
                <w:sz w:val="20"/>
                <w:szCs w:val="20"/>
                <w:color w:val="auto"/>
              </w:rPr>
            </w:pPr>
            <w:r>
              <w:rPr>
                <w:rFonts w:ascii="Arial" w:cs="Arial" w:eastAsia="Arial" w:hAnsi="Arial"/>
                <w:sz w:val="18"/>
                <w:szCs w:val="18"/>
                <w:color w:val="auto"/>
                <w:w w:val="96"/>
              </w:rPr>
              <w:t>), am the lawful spouse of William Lei Ding (ID Card No.: 330224197110180074). I hereby unconditionally</w:t>
            </w:r>
          </w:p>
        </w:tc>
      </w:tr>
    </w:tbl>
    <w:p>
      <w:pPr>
        <w:spacing w:after="0"/>
        <w:rPr>
          <w:sz w:val="20"/>
          <w:szCs w:val="20"/>
          <w:color w:val="auto"/>
        </w:rPr>
      </w:pPr>
      <w:r>
        <w:rPr>
          <w:rFonts w:ascii="Arial" w:cs="Arial" w:eastAsia="Arial" w:hAnsi="Arial"/>
          <w:sz w:val="16"/>
          <w:szCs w:val="16"/>
          <w:color w:val="auto"/>
        </w:rPr>
        <w:t>consent and agree that the disposition of the equity interest in Beijing Guangyitong Advertising Co., Ltd. which is held by and registered under the name of</w:t>
      </w:r>
    </w:p>
    <w:p>
      <w:pPr>
        <w:spacing w:after="0" w:line="38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my spouse will be made pursuant to the arrangements under the Loan Agreement dated , the Equity Pledge Agreement dated , the Exclusive Purchase Option Agreement dated , the Shareholder Voting Right Trust Agreement dated , the Operating Agreement dated</w:t>
      </w:r>
    </w:p>
    <w:p>
      <w:pPr>
        <w:spacing w:after="0" w:line="1" w:lineRule="exact"/>
        <w:rPr>
          <w:sz w:val="20"/>
          <w:szCs w:val="20"/>
          <w:color w:val="auto"/>
        </w:rPr>
      </w:pPr>
    </w:p>
    <w:p>
      <w:pPr>
        <w:ind w:right="480" w:firstLine="773"/>
        <w:spacing w:after="0" w:line="261" w:lineRule="auto"/>
        <w:tabs>
          <w:tab w:leader="none" w:pos="85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of which were executed by my spouse as a party, and any other supplemental or related agreement(s) or amendments thereof that may be entered into by my spouse from time to time.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 further undertake not to take any action with the intent to interfere with the above mentioned arrangements, including making any claim that such equity interest constitutes the property or community property between my spouse and me. I hereby waive unconditionally and irrevocably any and all rights or entitlements whatsoever to such equity interest that may be granted to me according to any applicable laws. I further acknowledge that I have had the opportunity to receive independent legal advice with respect to the matters set forth in this spousal consent letter and the legal consequences thereof and that I am signing this spousal consent letter of my own free will.</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 understand and agree that this spousal consent letter shall be governed by, and construed and enforced in accordance with, the laws of the People’s Republic of China. I agree to execute and deliver such other documents as may be necessary to carry out the intent of this spousal consent letter.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[Name of spouse]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4.38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Loan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November 30, 3015:</w:t>
      </w:r>
    </w:p>
    <w:p>
      <w:pPr>
        <w:spacing w:after="0" w:line="225" w:lineRule="exact"/>
        <w:rPr>
          <w:sz w:val="20"/>
          <w:szCs w:val="20"/>
          <w:color w:val="auto"/>
        </w:rPr>
      </w:pPr>
    </w:p>
    <w:p>
      <w:pPr>
        <w:ind w:left="1300" w:right="180" w:hanging="644"/>
        <w:spacing w:after="0" w:line="313" w:lineRule="auto"/>
        <w:tabs>
          <w:tab w:leader="none" w:pos="130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NetEase Media Technology (Beijing) Co., Ltd. (“</w:t>
      </w:r>
      <w:r>
        <w:rPr>
          <w:rFonts w:ascii="Arial" w:cs="Arial" w:eastAsia="Arial" w:hAnsi="Arial"/>
          <w:sz w:val="17"/>
          <w:szCs w:val="17"/>
          <w:b w:val="1"/>
          <w:bCs w:val="1"/>
          <w:color w:val="auto"/>
        </w:rPr>
        <w:t>Lender</w:t>
      </w:r>
      <w:r>
        <w:rPr>
          <w:rFonts w:ascii="Arial" w:cs="Arial" w:eastAsia="Arial" w:hAnsi="Arial"/>
          <w:sz w:val="17"/>
          <w:szCs w:val="17"/>
          <w:color w:val="auto"/>
        </w:rPr>
        <w:t>”), a wholly foreign owned enterprise registered in Beijing,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with its address at 20-22/F, Tower 8, NO.86 Zhongguancun East Road, Haidian District, Beijing; and</w:t>
      </w:r>
    </w:p>
    <w:p>
      <w:pPr>
        <w:spacing w:after="0" w:line="138" w:lineRule="exact"/>
        <w:rPr>
          <w:sz w:val="20"/>
          <w:szCs w:val="20"/>
          <w:color w:val="auto"/>
        </w:rPr>
      </w:pPr>
    </w:p>
    <w:p>
      <w:pPr>
        <w:ind w:left="1300" w:right="320" w:hanging="644"/>
        <w:spacing w:after="0" w:line="282" w:lineRule="auto"/>
        <w:tabs>
          <w:tab w:leader="none" w:pos="130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Li Li (ID Number: 110103197411191529, “</w:t>
      </w:r>
      <w:r>
        <w:rPr>
          <w:rFonts w:ascii="Arial" w:cs="Arial" w:eastAsia="Arial" w:hAnsi="Arial"/>
          <w:sz w:val="18"/>
          <w:szCs w:val="18"/>
          <w:b w:val="1"/>
          <w:bCs w:val="1"/>
          <w:color w:val="auto"/>
        </w:rPr>
        <w:t>Borrower</w:t>
      </w:r>
      <w:r>
        <w:rPr>
          <w:rFonts w:ascii="Arial" w:cs="Arial" w:eastAsia="Arial" w:hAnsi="Arial"/>
          <w:sz w:val="18"/>
          <w:szCs w:val="18"/>
          <w:color w:val="auto"/>
        </w:rPr>
        <w:t>”), a PRC citizen with her address at NO.7, Unit 4, Building 16, Changqing Yuan, Chongwen District, Beijing.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 and Borrower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5" w:lineRule="exact"/>
        <w:rPr>
          <w:sz w:val="20"/>
          <w:szCs w:val="20"/>
          <w:color w:val="auto"/>
        </w:rPr>
      </w:pPr>
    </w:p>
    <w:p>
      <w:pPr>
        <w:ind w:left="1300" w:right="40" w:hanging="644"/>
        <w:spacing w:after="0" w:line="287" w:lineRule="auto"/>
        <w:tabs>
          <w:tab w:leader="none" w:pos="132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Borrower entered into an Equity Transfer Agreement on November 30, 3015, according to which Borrower will acquire 1% (the “</w:t>
      </w:r>
      <w:r>
        <w:rPr>
          <w:rFonts w:ascii="Arial" w:cs="Arial" w:eastAsia="Arial" w:hAnsi="Arial"/>
          <w:sz w:val="16"/>
          <w:szCs w:val="16"/>
          <w:b w:val="1"/>
          <w:bCs w:val="1"/>
          <w:color w:val="auto"/>
        </w:rPr>
        <w:t>Target</w:t>
      </w:r>
      <w:r>
        <w:rPr>
          <w:rFonts w:ascii="Arial" w:cs="Arial" w:eastAsia="Arial" w:hAnsi="Arial"/>
          <w:sz w:val="16"/>
          <w:szCs w:val="16"/>
          <w:color w:val="auto"/>
        </w:rPr>
        <w:t xml:space="preserve"> </w:t>
      </w:r>
      <w:r>
        <w:rPr>
          <w:rFonts w:ascii="Arial" w:cs="Arial" w:eastAsia="Arial" w:hAnsi="Arial"/>
          <w:sz w:val="16"/>
          <w:szCs w:val="16"/>
          <w:b w:val="1"/>
          <w:bCs w:val="1"/>
          <w:color w:val="auto"/>
        </w:rPr>
        <w:t>Equity</w:t>
      </w:r>
      <w:r>
        <w:rPr>
          <w:rFonts w:ascii="Arial" w:cs="Arial" w:eastAsia="Arial" w:hAnsi="Arial"/>
          <w:sz w:val="16"/>
          <w:szCs w:val="16"/>
          <w:color w:val="auto"/>
        </w:rPr>
        <w:t>”) of the equity interests in Beijing Guangyitong Advertising Co., Ltd., a limited liability company registered in Beijing, PRC with</w:t>
      </w:r>
      <w:r>
        <w:rPr>
          <w:rFonts w:ascii="Arial" w:cs="Arial" w:eastAsia="Arial" w:hAnsi="Arial"/>
          <w:sz w:val="16"/>
          <w:szCs w:val="16"/>
          <w:b w:val="1"/>
          <w:bCs w:val="1"/>
          <w:color w:val="auto"/>
        </w:rPr>
        <w:t xml:space="preserve"> </w:t>
      </w:r>
      <w:r>
        <w:rPr>
          <w:rFonts w:ascii="Arial" w:cs="Arial" w:eastAsia="Arial" w:hAnsi="Arial"/>
          <w:sz w:val="16"/>
          <w:szCs w:val="16"/>
          <w:color w:val="auto"/>
        </w:rPr>
        <w:t>its address at Room F112,-1/F, Tower 5th, YongDingMenWai Street NO.86, Dongcheng District, Beijing (the “</w:t>
      </w:r>
      <w:r>
        <w:rPr>
          <w:rFonts w:ascii="Arial" w:cs="Arial" w:eastAsia="Arial" w:hAnsi="Arial"/>
          <w:sz w:val="16"/>
          <w:szCs w:val="16"/>
          <w:b w:val="1"/>
          <w:bCs w:val="1"/>
          <w:color w:val="auto"/>
        </w:rPr>
        <w:t>Domestic Company</w:t>
      </w:r>
      <w:r>
        <w:rPr>
          <w:rFonts w:ascii="Arial" w:cs="Arial" w:eastAsia="Arial" w:hAnsi="Arial"/>
          <w:sz w:val="16"/>
          <w:szCs w:val="16"/>
          <w:color w:val="auto"/>
        </w:rPr>
        <w:t>”), from Guangzhou NetEase Computer System Co., Ltd., a limited liability company registered in Guangzhou, PRC with its address at 702A,</w:t>
      </w:r>
    </w:p>
    <w:p>
      <w:pPr>
        <w:spacing w:after="0" w:line="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No. 59 Jianzhong Road, Tianhe District, Guangzhou in exchange for RMB 97,995 (the “</w:t>
      </w:r>
      <w:r>
        <w:rPr>
          <w:rFonts w:ascii="Arial" w:cs="Arial" w:eastAsia="Arial" w:hAnsi="Arial"/>
          <w:sz w:val="18"/>
          <w:szCs w:val="18"/>
          <w:b w:val="1"/>
          <w:bCs w:val="1"/>
          <w:color w:val="auto"/>
        </w:rPr>
        <w:t>Equity Transfer Price”</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300" w:right="40" w:hanging="644"/>
        <w:spacing w:after="0" w:line="286" w:lineRule="auto"/>
        <w:tabs>
          <w:tab w:leader="none" w:pos="131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Lender agrees to provide to Borrower a loan in an amount equal to the Equity Transfer Price in accordance with this Agreement in order for Borrower to have sufficient funds to acquire the Target Equity, and Lender may in its absolute discretion provide to Borrower additional loans from time to time in accordance with this Agreement in amounts as agreed to by Lender and Borrower.</w:t>
      </w:r>
    </w:p>
    <w:p>
      <w:pPr>
        <w:spacing w:after="0" w:line="165" w:lineRule="exact"/>
        <w:rPr>
          <w:rFonts w:ascii="Arial" w:cs="Arial" w:eastAsia="Arial" w:hAnsi="Arial"/>
          <w:sz w:val="17"/>
          <w:szCs w:val="17"/>
          <w:color w:val="auto"/>
        </w:rPr>
      </w:pPr>
    </w:p>
    <w:p>
      <w:pPr>
        <w:ind w:left="1320" w:hanging="664"/>
        <w:spacing w:after="0"/>
        <w:tabs>
          <w:tab w:leader="none" w:pos="13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Parties desire to enter into this Agreement to clarify and confirm the rights and obligations of Lender and Borrower.</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w:t>
      </w:r>
    </w:p>
    <w:p>
      <w:pPr>
        <w:spacing w:after="0" w:line="229" w:lineRule="exact"/>
        <w:rPr>
          <w:rFonts w:ascii="Arial" w:cs="Arial" w:eastAsia="Arial" w:hAnsi="Arial"/>
          <w:sz w:val="18"/>
          <w:szCs w:val="18"/>
          <w:b w:val="1"/>
          <w:bCs w:val="1"/>
          <w:color w:val="auto"/>
        </w:rPr>
      </w:pPr>
    </w:p>
    <w:p>
      <w:pPr>
        <w:ind w:left="1300" w:right="60" w:hanging="648"/>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1.1.On and subject to the terms and conditions hereof, Lender provides Borrower with a loan in an aggregate amount of RMB 97,995 on the date hereof (the “</w:t>
      </w:r>
      <w:r>
        <w:rPr>
          <w:rFonts w:ascii="Arial" w:cs="Arial" w:eastAsia="Arial" w:hAnsi="Arial"/>
          <w:sz w:val="18"/>
          <w:szCs w:val="18"/>
          <w:b w:val="1"/>
          <w:bCs w:val="1"/>
          <w:color w:val="auto"/>
        </w:rPr>
        <w:t>Loan</w:t>
      </w:r>
      <w:r>
        <w:rPr>
          <w:rFonts w:ascii="Arial" w:cs="Arial" w:eastAsia="Arial" w:hAnsi="Arial"/>
          <w:sz w:val="18"/>
          <w:szCs w:val="18"/>
          <w:color w:val="auto"/>
        </w:rPr>
        <w:t>”, which term shall be deemed to include Additional Loans (as defined in the following sentence), if any). Lender and Borrower further agree that Lender may in its absolute discretion provide to Borrower one or more additional loans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Loan</w:t>
      </w:r>
      <w:r>
        <w:rPr>
          <w:rFonts w:ascii="Arial" w:cs="Arial" w:eastAsia="Arial" w:hAnsi="Arial"/>
          <w:sz w:val="18"/>
          <w:szCs w:val="18"/>
          <w:color w:val="auto"/>
        </w:rPr>
        <w:t>”) from time to time in such amounts as agreed to by Lender and Borrower, provided that, for each such Additional Loan, Lender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Borrower shall execute a Supplemental Agreement to this Agreement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Both Parties agree and confirm that the Loan shall be interest-free, except as provided in Article 1.5 below. The Borrower agrees to use the Loan to pay for the Equity Transfer Price to acquire the Target Equity and, unless with the prior written consent of the Lender, will not use the Loan for any other purpose.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4" w:lineRule="exact"/>
        <w:rPr>
          <w:rFonts w:ascii="Arial" w:cs="Arial" w:eastAsia="Arial" w:hAnsi="Arial"/>
          <w:sz w:val="18"/>
          <w:szCs w:val="18"/>
          <w:b w:val="1"/>
          <w:bCs w:val="1"/>
          <w:color w:val="auto"/>
        </w:rPr>
      </w:pPr>
    </w:p>
    <w:p>
      <w:pPr>
        <w:ind w:left="1300" w:right="10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1.2.The term of this Agreement (“</w:t>
      </w:r>
      <w:r>
        <w:rPr>
          <w:rFonts w:ascii="Arial" w:cs="Arial" w:eastAsia="Arial" w:hAnsi="Arial"/>
          <w:sz w:val="18"/>
          <w:szCs w:val="18"/>
          <w:b w:val="1"/>
          <w:bCs w:val="1"/>
          <w:color w:val="auto"/>
        </w:rPr>
        <w:t>Term</w:t>
      </w:r>
      <w:r>
        <w:rPr>
          <w:rFonts w:ascii="Arial" w:cs="Arial" w:eastAsia="Arial" w:hAnsi="Arial"/>
          <w:sz w:val="18"/>
          <w:szCs w:val="18"/>
          <w:color w:val="auto"/>
        </w:rPr>
        <w:t>”) shall be ten (10) years from the date of this Agreement. Unless otherwise indicated by the Lender at any time prior to its expiration, the Term will be automatically extended for another ten (10) years, and so forth thereafter. Subject to Article 1.3, Borrower shall repay all amounts outstanding in respect of the Loan (including any penalty or interest thereon) according to Article 1.4 at the expiry or termination of the Term.</w:t>
      </w:r>
    </w:p>
    <w:p>
      <w:pPr>
        <w:spacing w:after="0" w:line="184"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1.3.Borrower shall not, without Lender’s prior written consent, which may be granted at Lender’s sole and absolute discretion on a case by case basis, make any prepayment of the Loan prior to the expiration of the Term, except that in the event that any one or more of the following circumstances occur, the entire amount of the Loan shall become immediately due and payable at the Lender’s option, without requiring any notice period on the part of the Lender, in accordance with Article 1.4:</w:t>
      </w:r>
    </w:p>
    <w:p>
      <w:pPr>
        <w:spacing w:after="0" w:line="186" w:lineRule="exact"/>
        <w:rPr>
          <w:rFonts w:ascii="Arial" w:cs="Arial" w:eastAsia="Arial" w:hAnsi="Arial"/>
          <w:sz w:val="18"/>
          <w:szCs w:val="18"/>
          <w:b w:val="1"/>
          <w:bCs w:val="1"/>
          <w:color w:val="auto"/>
        </w:rPr>
      </w:pPr>
    </w:p>
    <w:p>
      <w:pPr>
        <w:ind w:left="1940" w:hanging="635"/>
        <w:spacing w:after="0"/>
        <w:tabs>
          <w:tab w:leader="none" w:pos="194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Borrower becomes deceased, bankrupt, mentally incapacitated or is otherwise lacking in or has limitations in civil capacity;</w:t>
      </w:r>
    </w:p>
    <w:p>
      <w:pPr>
        <w:spacing w:after="0" w:line="236" w:lineRule="exact"/>
        <w:rPr>
          <w:rFonts w:ascii="Arial" w:cs="Arial" w:eastAsia="Arial" w:hAnsi="Arial"/>
          <w:sz w:val="17"/>
          <w:szCs w:val="17"/>
          <w:color w:val="auto"/>
        </w:rPr>
      </w:pPr>
    </w:p>
    <w:p>
      <w:pPr>
        <w:ind w:left="1960" w:right="120" w:hanging="655"/>
        <w:spacing w:after="0" w:line="264" w:lineRule="auto"/>
        <w:tabs>
          <w:tab w:leader="none" w:pos="1967" w:val="left"/>
        </w:tabs>
        <w:numPr>
          <w:ilvl w:val="1"/>
          <w:numId w:val="221"/>
        </w:numPr>
        <w:rPr>
          <w:rFonts w:ascii="Arial" w:cs="Arial" w:eastAsia="Arial" w:hAnsi="Arial"/>
          <w:sz w:val="18"/>
          <w:szCs w:val="18"/>
          <w:color w:val="auto"/>
        </w:rPr>
      </w:pPr>
      <w:r>
        <w:rPr>
          <w:rFonts w:ascii="Arial" w:cs="Arial" w:eastAsia="Arial" w:hAnsi="Arial"/>
          <w:sz w:val="18"/>
          <w:szCs w:val="18"/>
          <w:color w:val="auto"/>
        </w:rPr>
        <w:t>Borrower, for any reason, ceases to be the holder of equity interests in the Domestic Company or reduces her proportion of equity interests in the Domestic Company above except for transfers of equity interests in the Domestic Company to which Lender has consented;</w:t>
      </w:r>
    </w:p>
    <w:p>
      <w:pPr>
        <w:spacing w:after="0" w:line="181" w:lineRule="exact"/>
        <w:rPr>
          <w:rFonts w:ascii="Arial" w:cs="Arial" w:eastAsia="Arial" w:hAnsi="Arial"/>
          <w:sz w:val="18"/>
          <w:szCs w:val="18"/>
          <w:color w:val="auto"/>
        </w:rPr>
      </w:pPr>
    </w:p>
    <w:p>
      <w:pPr>
        <w:ind w:left="1960" w:right="60" w:hanging="655"/>
        <w:spacing w:after="0" w:line="272" w:lineRule="auto"/>
        <w:tabs>
          <w:tab w:leader="none" w:pos="1971" w:val="left"/>
        </w:tabs>
        <w:numPr>
          <w:ilvl w:val="1"/>
          <w:numId w:val="221"/>
        </w:numPr>
        <w:rPr>
          <w:rFonts w:ascii="Arial" w:cs="Arial" w:eastAsia="Arial" w:hAnsi="Arial"/>
          <w:sz w:val="17"/>
          <w:szCs w:val="17"/>
          <w:color w:val="auto"/>
        </w:rPr>
      </w:pPr>
      <w:r>
        <w:rPr>
          <w:rFonts w:ascii="Arial" w:cs="Arial" w:eastAsia="Arial" w:hAnsi="Arial"/>
          <w:sz w:val="17"/>
          <w:szCs w:val="17"/>
          <w:color w:val="auto"/>
        </w:rPr>
        <w:t>Borrower (i) ceases to be employed by or to provide service to Lender or any affiliate of Lender for any reason, (ii) breaches her obligations set forth in the Equity Pledge Agreement, the Shareholder Voting Right Trust Agreement, the Exclusive Purchase Option Agreement or the Operating Agreement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or breaches her obligations set forth in this Agreement, or (iii) engages in any criminal act or is involved in any criminal activities; provided, that upon the occurrence of any of (i), (ii) or (iii) above, Borrower shall transfer her rights and obligation under this Agreement, together with her rights and obligations under the Transaction Documents, to a person designated by Lender and shall complete such transfer within 10 days after the occurrence of circumstance under this Article 1.3(c);</w:t>
      </w:r>
    </w:p>
    <w:p>
      <w:pPr>
        <w:spacing w:after="0" w:line="177" w:lineRule="exact"/>
        <w:rPr>
          <w:rFonts w:ascii="Arial" w:cs="Arial" w:eastAsia="Arial" w:hAnsi="Arial"/>
          <w:sz w:val="17"/>
          <w:szCs w:val="17"/>
          <w:color w:val="auto"/>
        </w:rPr>
      </w:pPr>
    </w:p>
    <w:p>
      <w:pPr>
        <w:ind w:left="1960" w:right="360" w:hanging="655"/>
        <w:spacing w:after="0" w:line="277" w:lineRule="auto"/>
        <w:tabs>
          <w:tab w:leader="none" w:pos="1967" w:val="left"/>
        </w:tabs>
        <w:numPr>
          <w:ilvl w:val="1"/>
          <w:numId w:val="221"/>
        </w:numPr>
        <w:rPr>
          <w:rFonts w:ascii="Arial" w:cs="Arial" w:eastAsia="Arial" w:hAnsi="Arial"/>
          <w:sz w:val="18"/>
          <w:szCs w:val="18"/>
          <w:color w:val="auto"/>
        </w:rPr>
      </w:pPr>
      <w:r>
        <w:rPr>
          <w:rFonts w:ascii="Arial" w:cs="Arial" w:eastAsia="Arial" w:hAnsi="Arial"/>
          <w:sz w:val="18"/>
          <w:szCs w:val="18"/>
          <w:color w:val="auto"/>
        </w:rPr>
        <w:t>Lender is permitted to acquire a direct equity interest in Domestic Company due to a change in PRC laws or regulations or the application or interpretation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-3974465</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32" w:gutter="0" w:footer="0" w:header="0"/>
        </w:sectPr>
      </w:pPr>
    </w:p>
    <w:bookmarkStart w:id="132" w:name="page133"/>
    <w:bookmarkEnd w:id="132"/>
    <w:p>
      <w:pPr>
        <w:ind w:left="1952" w:right="80" w:hanging="655"/>
        <w:spacing w:after="0" w:line="277" w:lineRule="auto"/>
        <w:tabs>
          <w:tab w:leader="none" w:pos="196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court or other government authority deems this Agreement or any of the Transaction Documents or a substantial portion thereof to be invalid, illegal or unenforceable.</w:t>
      </w:r>
    </w:p>
    <w:p>
      <w:pPr>
        <w:spacing w:after="0" w:line="170" w:lineRule="exact"/>
        <w:rPr>
          <w:sz w:val="20"/>
          <w:szCs w:val="20"/>
          <w:color w:val="auto"/>
        </w:rPr>
      </w:pPr>
    </w:p>
    <w:p>
      <w:pPr>
        <w:jc w:val="both"/>
        <w:ind w:left="1292" w:right="220"/>
        <w:spacing w:after="0" w:line="264" w:lineRule="auto"/>
        <w:rPr>
          <w:sz w:val="20"/>
          <w:szCs w:val="20"/>
          <w:color w:val="auto"/>
        </w:rPr>
      </w:pPr>
      <w:r>
        <w:rPr>
          <w:rFonts w:ascii="Arial" w:cs="Arial" w:eastAsia="Arial" w:hAnsi="Arial"/>
          <w:sz w:val="18"/>
          <w:szCs w:val="18"/>
          <w:color w:val="auto"/>
        </w:rPr>
        <w:t>Notwithstanding the foregoing, Lender may at any time, in its sole and absolute discretion, issue a written repayment notice to Borrower requiring the repayment of the Loan, upon the occurrence of which the entire amount of the Loan shall become due and payable upon the expiry of thirty (30) days from the date of Lender’s written notice to Borrower.</w:t>
      </w:r>
    </w:p>
    <w:p>
      <w:pPr>
        <w:spacing w:after="0" w:line="181" w:lineRule="exact"/>
        <w:rPr>
          <w:sz w:val="20"/>
          <w:szCs w:val="20"/>
          <w:color w:val="auto"/>
        </w:rPr>
      </w:pPr>
    </w:p>
    <w:p>
      <w:pPr>
        <w:jc w:val="both"/>
        <w:ind w:left="1292" w:right="20" w:hanging="647"/>
        <w:spacing w:after="0" w:line="264" w:lineRule="auto"/>
        <w:tabs>
          <w:tab w:leader="none" w:pos="12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Both Parties hereby agree and confirm that Borrower may repay the Loan only in one of the following repayment methods as determined by Lender in its sole discretion, and Borrower agrees to take all actions (including executing and delivering documents or calling shareholders’ meetings) necessary or advisable to implement either of these methods:</w:t>
      </w:r>
    </w:p>
    <w:p>
      <w:pPr>
        <w:spacing w:after="0" w:line="181" w:lineRule="exact"/>
        <w:rPr>
          <w:sz w:val="20"/>
          <w:szCs w:val="20"/>
          <w:color w:val="auto"/>
        </w:rPr>
      </w:pPr>
    </w:p>
    <w:p>
      <w:pPr>
        <w:ind w:left="1952" w:right="380" w:hanging="655"/>
        <w:spacing w:after="0" w:line="277" w:lineRule="auto"/>
        <w:tabs>
          <w:tab w:leader="none" w:pos="194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Equity Option. If selected by Lender, Borrower shall repay the Loan by transferring all of her equity interests in the Domestic Company (“</w:t>
      </w:r>
      <w:r>
        <w:rPr>
          <w:rFonts w:ascii="Arial" w:cs="Arial" w:eastAsia="Arial" w:hAnsi="Arial"/>
          <w:sz w:val="18"/>
          <w:szCs w:val="18"/>
          <w:b w:val="1"/>
          <w:bCs w:val="1"/>
          <w:color w:val="auto"/>
        </w:rPr>
        <w:t>Borrower’s Equity</w:t>
      </w:r>
      <w:r>
        <w:rPr>
          <w:rFonts w:ascii="Arial" w:cs="Arial" w:eastAsia="Arial" w:hAnsi="Arial"/>
          <w:sz w:val="18"/>
          <w:szCs w:val="18"/>
          <w:color w:val="auto"/>
        </w:rPr>
        <w:t>”) to Lender or Lender’s designated persons; or</w:t>
      </w:r>
    </w:p>
    <w:p>
      <w:pPr>
        <w:spacing w:after="0" w:line="170" w:lineRule="exact"/>
        <w:rPr>
          <w:rFonts w:ascii="Arial" w:cs="Arial" w:eastAsia="Arial" w:hAnsi="Arial"/>
          <w:sz w:val="18"/>
          <w:szCs w:val="18"/>
          <w:color w:val="auto"/>
        </w:rPr>
      </w:pPr>
    </w:p>
    <w:p>
      <w:pPr>
        <w:ind w:left="1952" w:right="60" w:hanging="655"/>
        <w:spacing w:after="0" w:line="279" w:lineRule="auto"/>
        <w:tabs>
          <w:tab w:leader="none" w:pos="195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Alternative Repayment. As an alternative to the repayment method specified in Article 1.4(a) above, Lender may in its sole discretion determine that the Loan shall be repaid by another method upon delivering a written notice of such decision to Borrower. In such case, Borrower shall pay to Lender the outstanding amount of the Loan (including any interest) in cash or other property, as determined by Lender, following any conditions or procedures specified by Lender.</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transfer price for Borrower’s Equity pursuant to Article 1.4(a) or the other consideration provided by Borrower pursuant to</w:t>
      </w:r>
    </w:p>
    <w:p>
      <w:pPr>
        <w:spacing w:after="0" w:line="23" w:lineRule="exact"/>
        <w:rPr>
          <w:sz w:val="20"/>
          <w:szCs w:val="20"/>
          <w:color w:val="auto"/>
        </w:rPr>
      </w:pPr>
    </w:p>
    <w:p>
      <w:pPr>
        <w:ind w:left="1292"/>
        <w:spacing w:after="0" w:line="295" w:lineRule="auto"/>
        <w:rPr>
          <w:sz w:val="20"/>
          <w:szCs w:val="20"/>
          <w:color w:val="auto"/>
        </w:rPr>
      </w:pPr>
      <w:r>
        <w:rPr>
          <w:rFonts w:ascii="Arial" w:cs="Arial" w:eastAsia="Arial" w:hAnsi="Arial"/>
          <w:sz w:val="16"/>
          <w:szCs w:val="16"/>
          <w:color w:val="auto"/>
        </w:rPr>
        <w:t>Article 1.4(b) exceeds the outstanding principal of the Loan hereunder, then such excess shall be deemed the aggregate interest accrued with respect to the Loan (calculated by the highest interest rate permitted by PRC laws) and otherwise as financing cost, each of which shall be payable by the Borrower. Borrower shall repay all interest on the Loan, together with the principal, capital utilization costs (if any), penalty (if any) and financing cost (if any), at the expiry or termination of the Term or when otherwise required hereunder.</w:t>
      </w:r>
    </w:p>
    <w:p>
      <w:pPr>
        <w:spacing w:after="0" w:line="162"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Provided Borrower repays the Loan by transferring all of Borrower’s Equity to Lender or Lender’s designated persons pursuant to</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Article 1.4(a) or provides the other required consideration pursuant to Article 1.4(b) and subject to Borrower’s indemnification obligations</w:t>
      </w:r>
    </w:p>
    <w:p>
      <w:pPr>
        <w:spacing w:after="0" w:line="32"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set forth in Article 4.2 herein, Borrower shall have no further obligation to Lender for any principal, interest or penalty (if any) under the</w:t>
      </w:r>
    </w:p>
    <w:p>
      <w:pPr>
        <w:spacing w:after="0" w:line="21"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Any part or whole of the Loan repaid by Borrower may not be re-borrowed under this Agreement without Lender’s consent.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2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2.1.As of the date of this Agreement and during the Term through the date of termination or expiration of this Agreement, Lender represents and warrants to Borrower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Lender is a wholly foreign owned enterprise duly registered and existing under PRC law.</w:t>
      </w:r>
    </w:p>
    <w:p>
      <w:pPr>
        <w:spacing w:after="0" w:line="225" w:lineRule="exact"/>
        <w:rPr>
          <w:rFonts w:ascii="Arial" w:cs="Arial" w:eastAsia="Arial" w:hAnsi="Arial"/>
          <w:sz w:val="18"/>
          <w:szCs w:val="18"/>
          <w:color w:val="auto"/>
        </w:rPr>
      </w:pPr>
    </w:p>
    <w:p>
      <w:pPr>
        <w:ind w:left="1952" w:right="180" w:hanging="655"/>
        <w:spacing w:after="0" w:line="312" w:lineRule="auto"/>
        <w:tabs>
          <w:tab w:leader="none" w:pos="1959" w:val="left"/>
        </w:tabs>
        <w:numPr>
          <w:ilvl w:val="1"/>
          <w:numId w:val="224"/>
        </w:numPr>
        <w:rPr>
          <w:rFonts w:ascii="Arial" w:cs="Arial" w:eastAsia="Arial" w:hAnsi="Arial"/>
          <w:sz w:val="16"/>
          <w:szCs w:val="16"/>
          <w:color w:val="auto"/>
        </w:rPr>
      </w:pPr>
      <w:r>
        <w:rPr>
          <w:rFonts w:ascii="Arial" w:cs="Arial" w:eastAsia="Arial" w:hAnsi="Arial"/>
          <w:sz w:val="16"/>
          <w:szCs w:val="16"/>
          <w:color w:val="auto"/>
        </w:rPr>
        <w:t>Lender has the power to execute and perform its obligations under this Agreement. The execution and performance of this Agreement by Lender are in compliance with the articles of association or other organizational documents of Lender, and Lender has obtained all necessary and appropriate approvals and authorizations for the execution and performance of this Agreement.</w:t>
      </w:r>
    </w:p>
    <w:p>
      <w:pPr>
        <w:spacing w:after="0" w:line="146" w:lineRule="exact"/>
        <w:rPr>
          <w:rFonts w:ascii="Arial" w:cs="Arial" w:eastAsia="Arial" w:hAnsi="Arial"/>
          <w:sz w:val="16"/>
          <w:szCs w:val="16"/>
          <w:color w:val="auto"/>
        </w:rPr>
      </w:pPr>
    </w:p>
    <w:p>
      <w:pPr>
        <w:ind w:left="1952" w:right="300" w:hanging="655"/>
        <w:spacing w:after="0" w:line="286" w:lineRule="auto"/>
        <w:tabs>
          <w:tab w:leader="none" w:pos="1963" w:val="left"/>
        </w:tabs>
        <w:numPr>
          <w:ilvl w:val="1"/>
          <w:numId w:val="224"/>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Lender do not violate any laws and regulations or government approvals, authorizations, notices or other governmental documents having binding effect on or affecting Lender, nor do they violate any agreements between Lender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Lender upon execution.</w:t>
      </w:r>
    </w:p>
    <w:p>
      <w:pPr>
        <w:spacing w:after="0" w:line="225" w:lineRule="exact"/>
        <w:rPr>
          <w:sz w:val="20"/>
          <w:szCs w:val="20"/>
          <w:color w:val="auto"/>
        </w:rPr>
      </w:pPr>
    </w:p>
    <w:p>
      <w:pPr>
        <w:ind w:left="1292" w:right="100" w:hanging="647"/>
        <w:spacing w:after="0" w:line="277"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As of the date of this Agreement and during the Term through the date of termination or expiration of this Agreement, Borrower represents and warrants to Lender as follows:</w:t>
      </w:r>
    </w:p>
    <w:p>
      <w:pPr>
        <w:spacing w:after="0" w:line="170" w:lineRule="exact"/>
        <w:rPr>
          <w:sz w:val="20"/>
          <w:szCs w:val="20"/>
          <w:color w:val="auto"/>
        </w:rPr>
      </w:pPr>
    </w:p>
    <w:p>
      <w:pPr>
        <w:ind w:left="1952" w:right="160" w:hanging="655"/>
        <w:spacing w:after="0" w:line="277" w:lineRule="auto"/>
        <w:tabs>
          <w:tab w:leader="none" w:pos="194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Domestic Company is a limited liability company duly registered and existing under PRC law and Borrower is or will be the lawful holder of Borrower’s Equity.</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Borrower has the power and capacity to execute and perform her obligations under this Agreement.</w:t>
      </w:r>
    </w:p>
    <w:p>
      <w:pPr>
        <w:spacing w:after="0" w:line="225" w:lineRule="exact"/>
        <w:rPr>
          <w:rFonts w:ascii="Arial" w:cs="Arial" w:eastAsia="Arial" w:hAnsi="Arial"/>
          <w:sz w:val="18"/>
          <w:szCs w:val="18"/>
          <w:color w:val="auto"/>
        </w:rPr>
      </w:pPr>
    </w:p>
    <w:p>
      <w:pPr>
        <w:ind w:left="1952" w:right="120" w:hanging="655"/>
        <w:spacing w:after="0" w:line="286" w:lineRule="auto"/>
        <w:tabs>
          <w:tab w:leader="none" w:pos="1963"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Borrower do not violate any laws and regulations or government approvals, authorizations, notices or other governmental documents having binding effect on or affecting Borrower, nor do they violate any agreements between Borrower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on Borrower upon execution.</w:t>
      </w:r>
    </w:p>
    <w:p>
      <w:pPr>
        <w:spacing w:after="0" w:line="225" w:lineRule="exact"/>
        <w:rPr>
          <w:rFonts w:ascii="Arial" w:cs="Arial" w:eastAsia="Arial" w:hAnsi="Arial"/>
          <w:sz w:val="18"/>
          <w:szCs w:val="18"/>
          <w:color w:val="auto"/>
        </w:rPr>
      </w:pPr>
    </w:p>
    <w:p>
      <w:pPr>
        <w:jc w:val="both"/>
        <w:ind w:left="1952" w:right="220" w:hanging="655"/>
        <w:spacing w:after="0" w:line="288" w:lineRule="auto"/>
        <w:tabs>
          <w:tab w:leader="none" w:pos="196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Except in accordance with the provisions of the Equity Pledge Agreement or otherwise agreed by relevant parties, Borrower has not (i) created any mortgage, pledge or other security interests on any whole or part of Borrower’s Equity, (ii) made any offer to any third party or accepted any offer made by any third party for the transfer of any whole or part of Borrower’s Equity, or</w:t>
      </w:r>
    </w:p>
    <w:p>
      <w:pPr>
        <w:ind w:left="1952" w:right="40"/>
        <w:spacing w:after="0" w:line="255" w:lineRule="auto"/>
        <w:rPr>
          <w:rFonts w:ascii="Arial" w:cs="Arial" w:eastAsia="Arial" w:hAnsi="Arial"/>
          <w:sz w:val="16"/>
          <w:szCs w:val="16"/>
          <w:color w:val="auto"/>
        </w:rPr>
      </w:pPr>
      <w:r>
        <w:rPr>
          <w:rFonts w:ascii="Arial" w:cs="Arial" w:eastAsia="Arial" w:hAnsi="Arial"/>
          <w:sz w:val="18"/>
          <w:szCs w:val="18"/>
          <w:color w:val="auto"/>
        </w:rPr>
        <w:t>(iii) entered into any agreement with any third party for the transfer of any whole or part of Borrower’s Equity unless consented by Lender. To the extent applicable, the spouse of Borrower shall not have any right to or interest in Borrower’s Equity, and Borrower’s Equity is Borrower’s individual property instead of marital property.</w:t>
      </w:r>
    </w:p>
    <w:p>
      <w:pPr>
        <w:sectPr>
          <w:pgSz w:w="11900" w:h="16838" w:orient="portrait"/>
          <w:cols w:equalWidth="0" w:num="1">
            <w:col w:w="11412"/>
          </w:cols>
          <w:pgMar w:left="248" w:top="125" w:right="239" w:bottom="0" w:gutter="0" w:footer="0" w:header="0"/>
        </w:sectPr>
      </w:pPr>
    </w:p>
    <w:p>
      <w:pPr>
        <w:spacing w:after="0" w:line="190"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25" w:right="239" w:bottom="0" w:gutter="0" w:footer="0" w:header="0"/>
          <w:type w:val="continuous"/>
        </w:sectPr>
      </w:pPr>
    </w:p>
    <w:bookmarkStart w:id="133" w:name="page134"/>
    <w:bookmarkEnd w:id="133"/>
    <w:p>
      <w:pPr>
        <w:ind w:left="1952" w:right="180" w:hanging="655"/>
        <w:spacing w:after="0" w:line="286" w:lineRule="auto"/>
        <w:tabs>
          <w:tab w:leader="none" w:pos="1956"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There are no pending disputes, litigations, arbitrations, administrative proceedings or any other legal proceedings relating to or involving Borrower and/or any of Borrower’s Equity, nor are there any potential disputes, litigations, arbitrations, administrative proceedings or any other legal proceedings relating to or involving Borrower and/or any of Borrower’s Equity.</w:t>
      </w:r>
    </w:p>
    <w:p>
      <w:pPr>
        <w:spacing w:after="0" w:line="161" w:lineRule="exact"/>
        <w:rPr>
          <w:rFonts w:ascii="Arial" w:cs="Arial" w:eastAsia="Arial" w:hAnsi="Arial"/>
          <w:sz w:val="17"/>
          <w:szCs w:val="17"/>
          <w:color w:val="auto"/>
        </w:rPr>
      </w:pPr>
    </w:p>
    <w:p>
      <w:pPr>
        <w:ind w:left="652" w:hanging="652"/>
        <w:spacing w:after="0"/>
        <w:tabs>
          <w:tab w:leader="none" w:pos="652"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Borrower’s Undertakings</w:t>
      </w:r>
    </w:p>
    <w:p>
      <w:pPr>
        <w:spacing w:after="0" w:line="229" w:lineRule="exact"/>
        <w:rPr>
          <w:rFonts w:ascii="Arial" w:cs="Arial" w:eastAsia="Arial" w:hAnsi="Arial"/>
          <w:sz w:val="18"/>
          <w:szCs w:val="18"/>
          <w:b w:val="1"/>
          <w:bCs w:val="1"/>
          <w:color w:val="auto"/>
        </w:rPr>
      </w:pPr>
    </w:p>
    <w:p>
      <w:pPr>
        <w:ind w:left="1292" w:right="92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3.1.Borrower undertakes in her capacity as a shareholder of the Domestic Company that Borrower will, and together with the other shareholder(s) of the Domestic Company will cause the Domestic Company to (as applicable):</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227"/>
        </w:numPr>
        <w:rPr>
          <w:rFonts w:ascii="Arial" w:cs="Arial" w:eastAsia="Arial" w:hAnsi="Arial"/>
          <w:sz w:val="17"/>
          <w:szCs w:val="17"/>
          <w:color w:val="auto"/>
        </w:rPr>
      </w:pPr>
      <w:r>
        <w:rPr>
          <w:rFonts w:ascii="Arial" w:cs="Arial" w:eastAsia="Arial" w:hAnsi="Arial"/>
          <w:sz w:val="17"/>
          <w:szCs w:val="17"/>
          <w:color w:val="auto"/>
        </w:rPr>
        <w:t>enter into the Transaction Documents in the same form and substance as set forth in Appendices I, II, III and IV hereto.</w:t>
      </w:r>
    </w:p>
    <w:p>
      <w:pPr>
        <w:spacing w:after="0" w:line="236" w:lineRule="exact"/>
        <w:rPr>
          <w:rFonts w:ascii="Arial" w:cs="Arial" w:eastAsia="Arial" w:hAnsi="Arial"/>
          <w:sz w:val="17"/>
          <w:szCs w:val="17"/>
          <w:color w:val="auto"/>
        </w:rPr>
      </w:pPr>
    </w:p>
    <w:p>
      <w:pPr>
        <w:ind w:left="1952" w:right="220" w:hanging="655"/>
        <w:spacing w:after="0" w:line="264" w:lineRule="auto"/>
        <w:tabs>
          <w:tab w:leader="none" w:pos="195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not without the prior written consent of Lender, supplement, amend or modify the business scope or organizational documents (including the articles of association) of the Domestic Company, or increase or reduce or in any form change the structure of the registered capital of the Domestic Company.</w:t>
      </w:r>
    </w:p>
    <w:p>
      <w:pPr>
        <w:spacing w:after="0" w:line="181" w:lineRule="exact"/>
        <w:rPr>
          <w:rFonts w:ascii="Arial" w:cs="Arial" w:eastAsia="Arial" w:hAnsi="Arial"/>
          <w:sz w:val="18"/>
          <w:szCs w:val="18"/>
          <w:color w:val="auto"/>
        </w:rPr>
      </w:pPr>
    </w:p>
    <w:p>
      <w:pPr>
        <w:ind w:left="1952" w:right="80" w:hanging="655"/>
        <w:spacing w:after="0" w:line="264" w:lineRule="auto"/>
        <w:tabs>
          <w:tab w:leader="none" w:pos="196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not without the prior written consent of Lender, sell, transfer, mortgage or otherwise dispose of any legal or beneficial rights and interests in the Domestic Company or any of its assets, businesses or revenues, or permit or create any encumbrance or other third party right thereon;</w:t>
      </w:r>
    </w:p>
    <w:p>
      <w:pPr>
        <w:spacing w:after="0" w:line="181" w:lineRule="exact"/>
        <w:rPr>
          <w:rFonts w:ascii="Arial" w:cs="Arial" w:eastAsia="Arial" w:hAnsi="Arial"/>
          <w:sz w:val="18"/>
          <w:szCs w:val="18"/>
          <w:color w:val="auto"/>
        </w:rPr>
      </w:pPr>
    </w:p>
    <w:p>
      <w:pPr>
        <w:ind w:left="1952" w:right="80" w:hanging="655"/>
        <w:spacing w:after="0" w:line="264" w:lineRule="auto"/>
        <w:tabs>
          <w:tab w:leader="none" w:pos="1959"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not without the prior written consent of Lender, incur, succeed to, guarantee or permit the existence of any debts except (i) debts incurred in the ordinary course of business and (ii) debts which have been disclosed to Lender and for which prior written consent has been obtained from Lender;</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1"/>
          <w:numId w:val="227"/>
        </w:numPr>
        <w:rPr>
          <w:rFonts w:ascii="Arial" w:cs="Arial" w:eastAsia="Arial" w:hAnsi="Arial"/>
          <w:sz w:val="18"/>
          <w:szCs w:val="18"/>
          <w:color w:val="auto"/>
        </w:rPr>
      </w:pPr>
      <w:r>
        <w:rPr>
          <w:rFonts w:ascii="Arial" w:cs="Arial" w:eastAsia="Arial" w:hAnsi="Arial"/>
          <w:sz w:val="18"/>
          <w:szCs w:val="18"/>
          <w:color w:val="auto"/>
        </w:rPr>
        <w:t>not without the prior written consent of Lender, grant any loan or credit to any person;</w:t>
      </w:r>
    </w:p>
    <w:p>
      <w:pPr>
        <w:spacing w:after="0" w:line="225" w:lineRule="exact"/>
        <w:rPr>
          <w:rFonts w:ascii="Arial" w:cs="Arial" w:eastAsia="Arial" w:hAnsi="Arial"/>
          <w:sz w:val="18"/>
          <w:szCs w:val="18"/>
          <w:color w:val="auto"/>
        </w:rPr>
      </w:pPr>
    </w:p>
    <w:p>
      <w:pPr>
        <w:ind w:left="1952" w:right="280" w:hanging="655"/>
        <w:spacing w:after="0" w:line="277" w:lineRule="auto"/>
        <w:tabs>
          <w:tab w:leader="none" w:pos="1956" w:val="left"/>
        </w:tabs>
        <w:numPr>
          <w:ilvl w:val="1"/>
          <w:numId w:val="227"/>
        </w:numPr>
        <w:rPr>
          <w:rFonts w:ascii="Arial" w:cs="Arial" w:eastAsia="Arial" w:hAnsi="Arial"/>
          <w:sz w:val="18"/>
          <w:szCs w:val="18"/>
          <w:color w:val="auto"/>
        </w:rPr>
      </w:pPr>
      <w:r>
        <w:rPr>
          <w:rFonts w:ascii="Arial" w:cs="Arial" w:eastAsia="Arial" w:hAnsi="Arial"/>
          <w:sz w:val="18"/>
          <w:szCs w:val="18"/>
          <w:color w:val="auto"/>
        </w:rPr>
        <w:t>upon Lender’s request, provide to Lender all the information with respect to the operations and financial status of the Domestic Company;</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340" w:hanging="655"/>
        <w:spacing w:after="0" w:line="277" w:lineRule="auto"/>
        <w:tabs>
          <w:tab w:leader="none" w:pos="197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 without the prior written consent of Lender, merge or amalgamate with or form any alliance with any person, or acquire or invest in any person;</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its assets, businesses and revenues;</w:t>
      </w:r>
    </w:p>
    <w:p>
      <w:pPr>
        <w:spacing w:after="0" w:line="170" w:lineRule="exact"/>
        <w:rPr>
          <w:rFonts w:ascii="Arial" w:cs="Arial" w:eastAsia="Arial" w:hAnsi="Arial"/>
          <w:sz w:val="18"/>
          <w:szCs w:val="18"/>
          <w:color w:val="auto"/>
        </w:rPr>
      </w:pPr>
    </w:p>
    <w:p>
      <w:pPr>
        <w:ind w:left="1952" w:right="520" w:hanging="655"/>
        <w:spacing w:after="0" w:line="264" w:lineRule="auto"/>
        <w:tabs>
          <w:tab w:leader="none" w:pos="197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the extent necessary to maintain its ownership of all its assets, execute all necessary or appropriate documents, take all necessary or appropriate actions and file all necessary or appropriate complaints or raise necessary and appropriate defenses against all claims;</w:t>
      </w:r>
    </w:p>
    <w:p>
      <w:pPr>
        <w:spacing w:after="0" w:line="181" w:lineRule="exact"/>
        <w:rPr>
          <w:rFonts w:ascii="Arial" w:cs="Arial" w:eastAsia="Arial" w:hAnsi="Arial"/>
          <w:sz w:val="18"/>
          <w:szCs w:val="18"/>
          <w:color w:val="auto"/>
        </w:rPr>
      </w:pPr>
    </w:p>
    <w:p>
      <w:pPr>
        <w:ind w:left="1952" w:right="160" w:hanging="655"/>
        <w:spacing w:after="0" w:line="308" w:lineRule="auto"/>
        <w:tabs>
          <w:tab w:leader="none" w:pos="19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not without the prior written consent of Lender, declare or distribute any profit or dividend to shareholders in any form, but upon request of Lender, to immediately declare and distribute all the distributable profits to its respective shareholders;</w:t>
      </w:r>
    </w:p>
    <w:p>
      <w:pPr>
        <w:spacing w:after="0" w:line="146" w:lineRule="exact"/>
        <w:rPr>
          <w:rFonts w:ascii="Arial" w:cs="Arial" w:eastAsia="Arial" w:hAnsi="Arial"/>
          <w:sz w:val="17"/>
          <w:szCs w:val="17"/>
          <w:color w:val="auto"/>
        </w:rPr>
      </w:pPr>
    </w:p>
    <w:p>
      <w:pPr>
        <w:ind w:left="1952" w:hanging="655"/>
        <w:spacing w:after="0"/>
        <w:tabs>
          <w:tab w:leader="none" w:pos="1952"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at the request of Lender, appoint the persons designated by Lender as directors and senior officers of the Domestic Company; and</w:t>
      </w:r>
    </w:p>
    <w:p>
      <w:pPr>
        <w:spacing w:after="0" w:line="248" w:lineRule="exact"/>
        <w:rPr>
          <w:rFonts w:ascii="Arial" w:cs="Arial" w:eastAsia="Arial" w:hAnsi="Arial"/>
          <w:sz w:val="16"/>
          <w:szCs w:val="16"/>
          <w:color w:val="auto"/>
        </w:rPr>
      </w:pPr>
    </w:p>
    <w:p>
      <w:pPr>
        <w:ind w:left="1952" w:right="260" w:hanging="655"/>
        <w:spacing w:after="0" w:line="308" w:lineRule="auto"/>
        <w:tabs>
          <w:tab w:leader="none" w:pos="1973" w:val="left"/>
        </w:tabs>
        <w:numPr>
          <w:ilvl w:val="0"/>
          <w:numId w:val="228"/>
        </w:numPr>
        <w:rPr>
          <w:rFonts w:ascii="Arial" w:cs="Arial" w:eastAsia="Arial" w:hAnsi="Arial"/>
          <w:sz w:val="17"/>
          <w:szCs w:val="17"/>
          <w:color w:val="auto"/>
        </w:rPr>
      </w:pPr>
      <w:r>
        <w:rPr>
          <w:rFonts w:ascii="Arial" w:cs="Arial" w:eastAsia="Arial" w:hAnsi="Arial"/>
          <w:sz w:val="17"/>
          <w:szCs w:val="17"/>
          <w:color w:val="auto"/>
        </w:rPr>
        <w:t>strictly comply with the provisions under any agreements to which Borrower and Lender are parties and not take any actions or omit to take any actions that may adversely affect the effectiveness and enforceability of such agreements.</w:t>
      </w:r>
    </w:p>
    <w:p>
      <w:pPr>
        <w:spacing w:after="0" w:line="14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Borrower undertakes that during the Term, she shall:</w:t>
      </w:r>
    </w:p>
    <w:p>
      <w:pPr>
        <w:spacing w:after="0" w:line="225" w:lineRule="exact"/>
        <w:rPr>
          <w:sz w:val="20"/>
          <w:szCs w:val="20"/>
          <w:color w:val="auto"/>
        </w:rPr>
      </w:pPr>
    </w:p>
    <w:p>
      <w:pPr>
        <w:jc w:val="both"/>
        <w:ind w:left="1952" w:hanging="655"/>
        <w:spacing w:after="0" w:line="264" w:lineRule="auto"/>
        <w:tabs>
          <w:tab w:leader="none" w:pos="194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except in accordance with the Equity Pledge Agreement, not sell, transfer, mortgage or otherwise dispose of the legal or beneficial rights and interests on Borrower’s Equity or permit or create any other security interest thereon without the prior written consent of Lender;</w:t>
      </w:r>
    </w:p>
    <w:p>
      <w:pPr>
        <w:spacing w:after="0" w:line="181" w:lineRule="exact"/>
        <w:rPr>
          <w:rFonts w:ascii="Arial" w:cs="Arial" w:eastAsia="Arial" w:hAnsi="Arial"/>
          <w:sz w:val="18"/>
          <w:szCs w:val="18"/>
          <w:color w:val="auto"/>
        </w:rPr>
      </w:pPr>
    </w:p>
    <w:p>
      <w:pPr>
        <w:ind w:left="1952" w:right="40" w:hanging="655"/>
        <w:spacing w:after="0" w:line="286" w:lineRule="auto"/>
        <w:tabs>
          <w:tab w:leader="none" w:pos="1959" w:val="left"/>
        </w:tabs>
        <w:numPr>
          <w:ilvl w:val="0"/>
          <w:numId w:val="229"/>
        </w:numPr>
        <w:rPr>
          <w:rFonts w:ascii="Arial" w:cs="Arial" w:eastAsia="Arial" w:hAnsi="Arial"/>
          <w:sz w:val="17"/>
          <w:szCs w:val="17"/>
          <w:color w:val="auto"/>
        </w:rPr>
      </w:pPr>
      <w:r>
        <w:rPr>
          <w:rFonts w:ascii="Arial" w:cs="Arial" w:eastAsia="Arial" w:hAnsi="Arial"/>
          <w:sz w:val="17"/>
          <w:szCs w:val="17"/>
          <w:color w:val="auto"/>
        </w:rPr>
        <w:t>cause the shareholders’ meeting of the Domestic Company not to approve the sale, transfer, mortgage or disposal in any other way of the legal or beneficial rights and interests in Borrower’s Equity or permit the creation of any other security interest thereon without the prior written consent of Lender except in favor of Lender or Lender’s designated person;</w:t>
      </w:r>
    </w:p>
    <w:p>
      <w:pPr>
        <w:spacing w:after="0" w:line="165" w:lineRule="exact"/>
        <w:rPr>
          <w:rFonts w:ascii="Arial" w:cs="Arial" w:eastAsia="Arial" w:hAnsi="Arial"/>
          <w:sz w:val="17"/>
          <w:szCs w:val="17"/>
          <w:color w:val="auto"/>
        </w:rPr>
      </w:pPr>
    </w:p>
    <w:p>
      <w:pPr>
        <w:ind w:left="1952" w:right="80" w:hanging="655"/>
        <w:spacing w:after="0" w:line="277" w:lineRule="auto"/>
        <w:tabs>
          <w:tab w:leader="none" w:pos="196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cause the shareholders’ meeting of the Domestic Company not to approve the merger or alliance with any person or acquisition or investment in any person without the prior written consent of Lender;</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Borrower’s Equity;</w:t>
      </w:r>
    </w:p>
    <w:p>
      <w:pPr>
        <w:spacing w:after="0" w:line="170" w:lineRule="exact"/>
        <w:rPr>
          <w:rFonts w:ascii="Arial" w:cs="Arial" w:eastAsia="Arial" w:hAnsi="Arial"/>
          <w:sz w:val="18"/>
          <w:szCs w:val="18"/>
          <w:color w:val="auto"/>
        </w:rPr>
      </w:pPr>
    </w:p>
    <w:p>
      <w:pPr>
        <w:ind w:left="1952" w:right="200" w:hanging="655"/>
        <w:spacing w:after="0" w:line="264" w:lineRule="auto"/>
        <w:tabs>
          <w:tab w:leader="none" w:pos="196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the extent necessary to maintain her ownership of Borrower’s Equity, execute all necessary or appropriate documents, take all necessary or appropriate actions and file all necessary or appropriate complaints or raise all necessary and appropriate defenses against all claims;</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584" w:right="259" w:bottom="289" w:gutter="0" w:footer="0" w:header="0"/>
        </w:sectPr>
      </w:pPr>
    </w:p>
    <w:bookmarkStart w:id="134" w:name="page135"/>
    <w:bookmarkEnd w:id="134"/>
    <w:p>
      <w:pPr>
        <w:ind w:left="1952" w:right="480" w:hanging="655"/>
        <w:spacing w:after="0" w:line="277" w:lineRule="auto"/>
        <w:tabs>
          <w:tab w:leader="none" w:pos="1956" w:val="left"/>
        </w:tabs>
        <w:numPr>
          <w:ilvl w:val="1"/>
          <w:numId w:val="230"/>
        </w:numPr>
        <w:rPr>
          <w:rFonts w:ascii="Arial" w:cs="Arial" w:eastAsia="Arial" w:hAnsi="Arial"/>
          <w:sz w:val="18"/>
          <w:szCs w:val="18"/>
          <w:color w:val="auto"/>
        </w:rPr>
      </w:pPr>
      <w:r>
        <w:rPr>
          <w:rFonts w:ascii="Arial" w:cs="Arial" w:eastAsia="Arial" w:hAnsi="Arial"/>
          <w:sz w:val="18"/>
          <w:szCs w:val="18"/>
          <w:color w:val="auto"/>
        </w:rPr>
        <w:t>refrain from taking any action that may have a material adverse impact on the assets, business and liabilities of the Domestic Company;</w:t>
      </w:r>
    </w:p>
    <w:p>
      <w:pPr>
        <w:spacing w:after="0" w:line="170" w:lineRule="exact"/>
        <w:rPr>
          <w:rFonts w:ascii="Arial" w:cs="Arial" w:eastAsia="Arial" w:hAnsi="Arial"/>
          <w:sz w:val="18"/>
          <w:szCs w:val="18"/>
          <w:color w:val="auto"/>
        </w:rPr>
      </w:pPr>
    </w:p>
    <w:p>
      <w:pPr>
        <w:ind w:left="1952" w:hanging="655"/>
        <w:spacing w:after="0" w:line="277" w:lineRule="auto"/>
        <w:tabs>
          <w:tab w:leader="none" w:pos="197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at the request of Lender, appoint the persons designated by Lender as directors of the Domestic Company (unless otherwise agreed by the Parties);</w:t>
      </w:r>
    </w:p>
    <w:p>
      <w:pPr>
        <w:spacing w:after="0" w:line="170" w:lineRule="exact"/>
        <w:rPr>
          <w:rFonts w:ascii="Arial" w:cs="Arial" w:eastAsia="Arial" w:hAnsi="Arial"/>
          <w:sz w:val="18"/>
          <w:szCs w:val="18"/>
          <w:color w:val="auto"/>
        </w:rPr>
      </w:pPr>
    </w:p>
    <w:p>
      <w:pPr>
        <w:ind w:left="1952" w:right="420" w:hanging="655"/>
        <w:spacing w:after="0" w:line="277" w:lineRule="auto"/>
        <w:tabs>
          <w:tab w:leader="none" w:pos="195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to the extent permitted by PRC laws, at the request of Lender at any time, promptly and unconditionally transfer all or part of Borrower’s Equity to Lender or Lender’s designated person(s) at any time;</w:t>
      </w:r>
    </w:p>
    <w:p>
      <w:pPr>
        <w:spacing w:after="0" w:line="170" w:lineRule="exact"/>
        <w:rPr>
          <w:rFonts w:ascii="Arial" w:cs="Arial" w:eastAsia="Arial" w:hAnsi="Arial"/>
          <w:sz w:val="18"/>
          <w:szCs w:val="18"/>
          <w:color w:val="auto"/>
        </w:rPr>
      </w:pPr>
    </w:p>
    <w:p>
      <w:pPr>
        <w:ind w:left="1952" w:right="20" w:hanging="655"/>
        <w:spacing w:after="0" w:line="259" w:lineRule="auto"/>
        <w:tabs>
          <w:tab w:leader="none" w:pos="1973"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strictly abide by the provisions of this Agreement, the Transaction Documents and any other agreement to which Borrower and Lender are parties, perform her obligations under this Agreement, the Transaction Documents and any such other agreement, and refrain from taking any action or omit to take any action that may affect the effectiveness and enforceability of this Agreement, the Transaction Documents and any such other agreement; and</w:t>
      </w:r>
    </w:p>
    <w:p>
      <w:pPr>
        <w:spacing w:after="0" w:line="186" w:lineRule="exact"/>
        <w:rPr>
          <w:rFonts w:ascii="Arial" w:cs="Arial" w:eastAsia="Arial" w:hAnsi="Arial"/>
          <w:sz w:val="18"/>
          <w:szCs w:val="18"/>
          <w:color w:val="auto"/>
        </w:rPr>
      </w:pPr>
    </w:p>
    <w:p>
      <w:pPr>
        <w:ind w:left="1952" w:right="720" w:hanging="655"/>
        <w:spacing w:after="0" w:line="277" w:lineRule="auto"/>
        <w:tabs>
          <w:tab w:leader="none" w:pos="19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deliver to Lender the Spousal Consent Letter executed by Borrower’s spouse,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652" w:hanging="652"/>
        <w:spacing w:after="0"/>
        <w:tabs>
          <w:tab w:leader="none" w:pos="652"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Default</w:t>
      </w:r>
    </w:p>
    <w:p>
      <w:pPr>
        <w:spacing w:after="0" w:line="229" w:lineRule="exact"/>
        <w:rPr>
          <w:rFonts w:ascii="Arial" w:cs="Arial" w:eastAsia="Arial" w:hAnsi="Arial"/>
          <w:sz w:val="18"/>
          <w:szCs w:val="18"/>
          <w:b w:val="1"/>
          <w:bCs w:val="1"/>
          <w:color w:val="auto"/>
        </w:rPr>
      </w:pPr>
    </w:p>
    <w:p>
      <w:pPr>
        <w:ind w:left="1292" w:right="1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4.1.In the event that Borrower fails to repay the outstanding amount of the Loan when due and payable, Borrower shall be liable to pay default interest of 0.01% per day on the outstanding payment, until the date on which Borrower repays the outstanding amount of the Loan in full, together with interest thereon and any other amounts due and payable.</w:t>
      </w:r>
    </w:p>
    <w:p>
      <w:pPr>
        <w:spacing w:after="0" w:line="181" w:lineRule="exact"/>
        <w:rPr>
          <w:rFonts w:ascii="Arial" w:cs="Arial" w:eastAsia="Arial" w:hAnsi="Arial"/>
          <w:sz w:val="18"/>
          <w:szCs w:val="18"/>
          <w:b w:val="1"/>
          <w:bCs w:val="1"/>
          <w:color w:val="auto"/>
        </w:rPr>
      </w:pPr>
    </w:p>
    <w:p>
      <w:pPr>
        <w:ind w:left="1292" w:right="30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7"/>
          <w:szCs w:val="17"/>
          <w:color w:val="auto"/>
        </w:rPr>
        <w:t>Borrower hereby covenants that he will indemnify and hold harmless Lender against any action, charge, claim, cost, harm, demand, fee, liability, loss and procedure incurred by Lender arising out of Borrower’s breach of any of her obligations hereunder.</w:t>
      </w:r>
    </w:p>
    <w:p>
      <w:pPr>
        <w:spacing w:after="0" w:line="142" w:lineRule="exact"/>
        <w:rPr>
          <w:rFonts w:ascii="Arial" w:cs="Arial" w:eastAsia="Arial" w:hAnsi="Arial"/>
          <w:sz w:val="18"/>
          <w:szCs w:val="18"/>
          <w:b w:val="1"/>
          <w:bCs w:val="1"/>
          <w:color w:val="auto"/>
        </w:rPr>
      </w:pPr>
    </w:p>
    <w:p>
      <w:pPr>
        <w:ind w:left="652" w:hanging="652"/>
        <w:spacing w:after="0"/>
        <w:tabs>
          <w:tab w:leader="none" w:pos="652"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If to Lender: NetEase Media Technology (Beijing) Co., Ltd.</w:t>
      </w:r>
    </w:p>
    <w:p>
      <w:pPr>
        <w:sectPr>
          <w:pgSz w:w="11900" w:h="16838" w:orient="portrait"/>
          <w:cols w:equalWidth="0" w:num="1">
            <w:col w:w="11392"/>
          </w:cols>
          <w:pgMar w:left="248" w:top="341" w:right="259" w:bottom="316" w:gutter="0" w:footer="0" w:header="0"/>
        </w:sectPr>
      </w:pP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860"/>
        <w:spacing w:after="0" w:line="277" w:lineRule="auto"/>
        <w:rPr>
          <w:sz w:val="20"/>
          <w:szCs w:val="20"/>
          <w:color w:val="auto"/>
        </w:rPr>
      </w:pPr>
      <w:r>
        <w:rPr>
          <w:rFonts w:ascii="Arial" w:cs="Arial" w:eastAsia="Arial" w:hAnsi="Arial"/>
          <w:sz w:val="18"/>
          <w:szCs w:val="18"/>
          <w:color w:val="auto"/>
        </w:rPr>
        <w:t>Building No. 7, West Zone, Zhongguancun Software Park (Phase II), No.10 Xibeiwang East Road, Haidian District, Beijing, China</w:t>
      </w:r>
    </w:p>
    <w:p>
      <w:pPr>
        <w:spacing w:after="0" w:line="170"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ind w:left="129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(86) 010-82625163</w:t>
      </w:r>
    </w:p>
    <w:p>
      <w:pPr>
        <w:spacing w:after="0" w:line="200"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spacing w:after="0" w:line="48"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ochoi@corp.netease.com</w:t>
      </w:r>
    </w:p>
    <w:p>
      <w:pPr>
        <w:spacing w:after="0" w:line="222"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spacing w:after="0" w:line="37"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Onward Choi</w:t>
      </w:r>
    </w:p>
    <w:p>
      <w:pPr>
        <w:spacing w:after="0" w:line="211" w:lineRule="exact"/>
        <w:rPr>
          <w:sz w:val="20"/>
          <w:szCs w:val="20"/>
          <w:color w:val="auto"/>
        </w:rPr>
      </w:pPr>
    </w:p>
    <w:p>
      <w:pPr>
        <w:sectPr>
          <w:pgSz w:w="11900" w:h="16838" w:orient="portrait"/>
          <w:cols w:equalWidth="0" w:num="2">
            <w:col w:w="3352" w:space="720"/>
            <w:col w:w="7320"/>
          </w:cols>
          <w:pgMar w:left="248" w:top="341" w:right="259" w:bottom="316" w:gutter="0" w:footer="0" w:header="0"/>
          <w:type w:val="continuous"/>
        </w:sectPr>
      </w:pPr>
    </w:p>
    <w:p>
      <w:pPr>
        <w:spacing w:after="0" w:line="33" w:lineRule="exact"/>
        <w:rPr>
          <w:sz w:val="20"/>
          <w:szCs w:val="20"/>
          <w:color w:val="auto"/>
        </w:rPr>
      </w:pPr>
    </w:p>
    <w:p>
      <w:pPr>
        <w:ind w:left="652"/>
        <w:spacing w:after="0"/>
        <w:rPr>
          <w:sz w:val="20"/>
          <w:szCs w:val="20"/>
          <w:color w:val="auto"/>
        </w:rPr>
      </w:pPr>
      <w:r>
        <w:rPr>
          <w:rFonts w:ascii="Arial" w:cs="Arial" w:eastAsia="Arial" w:hAnsi="Arial"/>
          <w:sz w:val="17"/>
          <w:szCs w:val="17"/>
          <w:b w:val="1"/>
          <w:bCs w:val="1"/>
          <w:color w:val="auto"/>
        </w:rPr>
        <w:t>If to Borrower: Li Li</w:t>
      </w:r>
    </w:p>
    <w:p>
      <w:pPr>
        <w:sectPr>
          <w:pgSz w:w="11900" w:h="16838" w:orient="portrait"/>
          <w:cols w:equalWidth="0" w:num="1">
            <w:col w:w="11392"/>
          </w:cols>
          <w:pgMar w:left="248" w:top="341" w:right="259" w:bottom="316" w:gutter="0" w:footer="0" w:header="0"/>
          <w:type w:val="continuous"/>
        </w:sectPr>
      </w:pPr>
    </w:p>
    <w:p>
      <w:pPr>
        <w:spacing w:after="0" w:line="241"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NO.7, Unit 4, Building 16, Changqing Yuan,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Chongwen District, Beijing</w:t>
      </w:r>
    </w:p>
    <w:p>
      <w:pPr>
        <w:spacing w:after="0" w:line="200" w:lineRule="exact"/>
        <w:rPr>
          <w:sz w:val="20"/>
          <w:szCs w:val="20"/>
          <w:color w:val="auto"/>
        </w:rPr>
      </w:pPr>
    </w:p>
    <w:p>
      <w:pPr>
        <w:sectPr>
          <w:pgSz w:w="11900" w:h="16838" w:orient="portrait"/>
          <w:cols w:equalWidth="0" w:num="2">
            <w:col w:w="3332" w:space="720"/>
            <w:col w:w="7340"/>
          </w:cols>
          <w:pgMar w:left="248" w:top="341" w:right="259" w:bottom="316" w:gutter="0" w:footer="0" w:header="0"/>
          <w:type w:val="continuous"/>
        </w:sectPr>
      </w:pPr>
    </w:p>
    <w:p>
      <w:pPr>
        <w:spacing w:after="0" w:line="11"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(86) 010-82625163</w:t>
      </w:r>
    </w:p>
    <w:p>
      <w:pPr>
        <w:spacing w:after="0" w:line="200" w:lineRule="exact"/>
        <w:rPr>
          <w:sz w:val="20"/>
          <w:szCs w:val="20"/>
          <w:color w:val="auto"/>
        </w:rPr>
      </w:pPr>
    </w:p>
    <w:p>
      <w:pPr>
        <w:sectPr>
          <w:pgSz w:w="11900" w:h="16838" w:orient="portrait"/>
          <w:cols w:equalWidth="0" w:num="2">
            <w:col w:w="3332" w:space="720"/>
            <w:col w:w="7340"/>
          </w:cols>
          <w:pgMar w:left="248" w:top="341" w:right="259" w:bottom="316" w:gutter="0" w:footer="0" w:header="0"/>
          <w:type w:val="continuous"/>
        </w:sectPr>
      </w:pPr>
    </w:p>
    <w:p>
      <w:pPr>
        <w:spacing w:after="0" w:line="48"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lilyli@corp.netease.com</w:t>
      </w:r>
    </w:p>
    <w:p>
      <w:pPr>
        <w:spacing w:after="0" w:line="211" w:lineRule="exact"/>
        <w:rPr>
          <w:sz w:val="20"/>
          <w:szCs w:val="20"/>
          <w:color w:val="auto"/>
        </w:rPr>
      </w:pPr>
    </w:p>
    <w:p>
      <w:pPr>
        <w:sectPr>
          <w:pgSz w:w="11900" w:h="16838" w:orient="portrait"/>
          <w:cols w:equalWidth="0" w:num="2">
            <w:col w:w="3332" w:space="720"/>
            <w:col w:w="7340"/>
          </w:cols>
          <w:pgMar w:left="248" w:top="341" w:right="259" w:bottom="316" w:gutter="0" w:footer="0" w:header="0"/>
          <w:type w:val="continuous"/>
        </w:sectPr>
      </w:pPr>
    </w:p>
    <w:p>
      <w:pPr>
        <w:spacing w:after="0" w:line="33" w:lineRule="exact"/>
        <w:rPr>
          <w:sz w:val="20"/>
          <w:szCs w:val="20"/>
          <w:color w:val="auto"/>
        </w:rPr>
      </w:pPr>
    </w:p>
    <w:p>
      <w:pPr>
        <w:ind w:left="652" w:hanging="652"/>
        <w:spacing w:after="0"/>
        <w:tabs>
          <w:tab w:leader="none" w:pos="652"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52"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316" w:gutter="0" w:footer="0" w:header="0"/>
          <w:type w:val="continuous"/>
        </w:sectPr>
      </w:pPr>
    </w:p>
    <w:bookmarkStart w:id="135" w:name="page136"/>
    <w:bookmarkEnd w:id="135"/>
    <w:p>
      <w:pPr>
        <w:ind w:left="660" w:hanging="652"/>
        <w:spacing w:after="0"/>
        <w:tabs>
          <w:tab w:leader="none" w:pos="6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300" w:right="2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7.1.The formation, effect, interpretation, performance, amendment, termination and dispute resolution of this Agreement shall be governed by PRC law.</w:t>
      </w:r>
    </w:p>
    <w:p>
      <w:pPr>
        <w:spacing w:after="0" w:line="170" w:lineRule="exact"/>
        <w:rPr>
          <w:rFonts w:ascii="Arial" w:cs="Arial" w:eastAsia="Arial" w:hAnsi="Arial"/>
          <w:sz w:val="18"/>
          <w:szCs w:val="18"/>
          <w:b w:val="1"/>
          <w:bCs w:val="1"/>
          <w:color w:val="auto"/>
        </w:rPr>
      </w:pPr>
    </w:p>
    <w:p>
      <w:pPr>
        <w:ind w:left="1300" w:right="80" w:hanging="648"/>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6"/>
          <w:szCs w:val="16"/>
          <w:color w:val="auto"/>
        </w:rPr>
        <w:t>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Lender.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68" w:lineRule="exact"/>
        <w:rPr>
          <w:rFonts w:ascii="Arial" w:cs="Arial" w:eastAsia="Arial" w:hAnsi="Arial"/>
          <w:sz w:val="18"/>
          <w:szCs w:val="18"/>
          <w:b w:val="1"/>
          <w:bCs w:val="1"/>
          <w:color w:val="auto"/>
        </w:rPr>
      </w:pPr>
    </w:p>
    <w:p>
      <w:pPr>
        <w:ind w:left="1300" w:right="56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7.3.</w:t>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300" w:right="7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8.1.This Agreement shall become effective on the date hereof, and shall expire upon the date of full performance by the Parties of their respective obligations under this Agreement.</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8.2.</w:t>
      </w:r>
      <w:r>
        <w:rPr>
          <w:rFonts w:ascii="Arial" w:cs="Arial" w:eastAsia="Arial" w:hAnsi="Arial"/>
          <w:sz w:val="16"/>
          <w:szCs w:val="16"/>
          <w:color w:val="auto"/>
        </w:rPr>
        <w:t>This Agreement may not be amended or modified in any manner except by an instrument in writing signed by the Parties hereto.</w:t>
      </w:r>
    </w:p>
    <w:p>
      <w:pPr>
        <w:spacing w:after="0" w:line="225" w:lineRule="exact"/>
        <w:rPr>
          <w:rFonts w:ascii="Arial" w:cs="Arial" w:eastAsia="Arial" w:hAnsi="Arial"/>
          <w:sz w:val="18"/>
          <w:szCs w:val="18"/>
          <w:b w:val="1"/>
          <w:bCs w:val="1"/>
          <w:color w:val="auto"/>
        </w:rPr>
      </w:pPr>
    </w:p>
    <w:p>
      <w:pPr>
        <w:ind w:left="1300" w:right="80" w:hanging="648"/>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8.3.</w:t>
      </w:r>
      <w:r>
        <w:rPr>
          <w:rFonts w:ascii="Arial" w:cs="Arial" w:eastAsia="Arial" w:hAnsi="Arial"/>
          <w:sz w:val="16"/>
          <w:szCs w:val="16"/>
          <w:color w:val="auto"/>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hanging="647"/>
        <w:spacing w:after="0" w:line="312" w:lineRule="auto"/>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w:t>
      </w:r>
    </w:p>
    <w:p>
      <w:pPr>
        <w:spacing w:after="0" w:line="147" w:lineRule="exact"/>
        <w:rPr>
          <w:sz w:val="20"/>
          <w:szCs w:val="20"/>
          <w:color w:val="auto"/>
        </w:rPr>
      </w:pPr>
    </w:p>
    <w:p>
      <w:pPr>
        <w:ind w:left="1300" w:right="140" w:hanging="647"/>
        <w:spacing w:after="0" w:line="255" w:lineRule="auto"/>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If required under any applicable law, regulations or listing rules or required or deemed desirable by any stock exchange, government or other regulatory authority having competent jurisdiction over the Parties and their affiliates (the “</w:t>
      </w:r>
      <w:r>
        <w:rPr>
          <w:rFonts w:ascii="Arial" w:cs="Arial" w:eastAsia="Arial" w:hAnsi="Arial"/>
          <w:sz w:val="18"/>
          <w:szCs w:val="18"/>
          <w:b w:val="1"/>
          <w:bCs w:val="1"/>
          <w:color w:val="auto"/>
        </w:rPr>
        <w:t>Applicable Requirements</w:t>
      </w:r>
      <w:r>
        <w:rPr>
          <w:rFonts w:ascii="Arial" w:cs="Arial" w:eastAsia="Arial" w:hAnsi="Arial"/>
          <w:sz w:val="18"/>
          <w:szCs w:val="18"/>
          <w:color w:val="auto"/>
        </w:rPr>
        <w:t>”), Borrower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Lender.</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jc w:val="right"/>
              <w:ind w:right="290"/>
              <w:spacing w:after="0"/>
              <w:rPr>
                <w:sz w:val="20"/>
                <w:szCs w:val="20"/>
                <w:color w:val="auto"/>
              </w:rPr>
            </w:pPr>
            <w:r>
              <w:rPr>
                <w:rFonts w:ascii="Arial" w:cs="Arial" w:eastAsia="Arial" w:hAnsi="Arial"/>
                <w:sz w:val="18"/>
                <w:szCs w:val="18"/>
                <w:b w:val="1"/>
                <w:bCs w:val="1"/>
                <w:color w:val="auto"/>
              </w:rPr>
              <w:t>Lender:</w:t>
            </w:r>
          </w:p>
        </w:tc>
        <w:tc>
          <w:tcPr>
            <w:tcW w:w="5700" w:type="dxa"/>
            <w:vAlign w:val="bottom"/>
          </w:tcPr>
          <w:p>
            <w:pPr>
              <w:spacing w:after="0"/>
              <w:rPr>
                <w:sz w:val="20"/>
                <w:szCs w:val="20"/>
                <w:color w:val="auto"/>
              </w:rPr>
            </w:pPr>
            <w:r>
              <w:rPr>
                <w:rFonts w:ascii="Arial" w:cs="Arial" w:eastAsia="Arial" w:hAnsi="Arial"/>
                <w:sz w:val="18"/>
                <w:szCs w:val="18"/>
                <w:b w:val="1"/>
                <w:bCs w:val="1"/>
                <w:color w:val="auto"/>
              </w:rPr>
              <w:t>NetEase Media Technology (Beijing) Co.,</w:t>
            </w:r>
          </w:p>
        </w:tc>
        <w:tc>
          <w:tcPr>
            <w:tcW w:w="40" w:type="dxa"/>
            <w:vAlign w:val="bottom"/>
          </w:tcPr>
          <w:p>
            <w:pPr>
              <w:spacing w:after="0"/>
              <w:rPr>
                <w:sz w:val="18"/>
                <w:szCs w:val="18"/>
                <w:color w:val="auto"/>
              </w:rPr>
            </w:pPr>
          </w:p>
        </w:tc>
      </w:t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Ltd.</w:t>
            </w:r>
          </w:p>
        </w:tc>
        <w:tc>
          <w:tcPr>
            <w:tcW w:w="40" w:type="dxa"/>
            <w:vAlign w:val="bottom"/>
          </w:tcPr>
          <w:p>
            <w:pPr>
              <w:spacing w:after="0"/>
              <w:rPr>
                <w:sz w:val="20"/>
                <w:szCs w:val="20"/>
                <w:color w:val="auto"/>
              </w:rPr>
            </w:pPr>
          </w:p>
        </w:tc>
      </w:tr>
      <w:tr>
        <w:trPr>
          <w:trHeight w:val="432"/>
        </w:trPr>
        <w:tc>
          <w:tcPr>
            <w:tcW w:w="57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(Seal)</w:t>
            </w:r>
          </w:p>
        </w:tc>
        <w:tc>
          <w:tcPr>
            <w:tcW w:w="40" w:type="dxa"/>
            <w:vAlign w:val="bottom"/>
          </w:tcPr>
          <w:p>
            <w:pPr>
              <w:spacing w:after="0"/>
              <w:rPr>
                <w:sz w:val="24"/>
                <w:szCs w:val="24"/>
                <w:color w:val="auto"/>
              </w:rPr>
            </w:pPr>
          </w:p>
        </w:tc>
      </w:tr>
      <w:tr>
        <w:trPr>
          <w:trHeight w:val="432"/>
        </w:trPr>
        <w:tc>
          <w:tcPr>
            <w:tcW w:w="5720" w:type="dxa"/>
            <w:vAlign w:val="bottom"/>
          </w:tcPr>
          <w:p>
            <w:pPr>
              <w:jc w:val="right"/>
              <w:ind w:right="290"/>
              <w:spacing w:after="0"/>
              <w:rPr>
                <w:sz w:val="20"/>
                <w:szCs w:val="20"/>
                <w:color w:val="auto"/>
              </w:rPr>
            </w:pPr>
            <w:r>
              <w:rPr>
                <w:rFonts w:ascii="Arial" w:cs="Arial" w:eastAsia="Arial" w:hAnsi="Arial"/>
                <w:sz w:val="18"/>
                <w:szCs w:val="18"/>
                <w:b w:val="1"/>
                <w:bCs w:val="1"/>
                <w:color w:val="auto"/>
              </w:rPr>
              <w:t>Borrower:</w:t>
            </w:r>
          </w:p>
        </w:tc>
        <w:tc>
          <w:tcPr>
            <w:tcW w:w="5700" w:type="dxa"/>
            <w:vAlign w:val="bottom"/>
          </w:tcPr>
          <w:p>
            <w:pPr>
              <w:spacing w:after="0"/>
              <w:rPr>
                <w:sz w:val="20"/>
                <w:szCs w:val="20"/>
                <w:color w:val="auto"/>
              </w:rPr>
            </w:pPr>
            <w:r>
              <w:rPr>
                <w:rFonts w:ascii="Arial" w:cs="Arial" w:eastAsia="Arial" w:hAnsi="Arial"/>
                <w:sz w:val="18"/>
                <w:szCs w:val="18"/>
                <w:b w:val="1"/>
                <w:bCs w:val="1"/>
                <w:color w:val="auto"/>
              </w:rPr>
              <w:t>Li Li</w:t>
            </w:r>
          </w:p>
        </w:tc>
        <w:tc>
          <w:tcPr>
            <w:tcW w:w="40" w:type="dxa"/>
            <w:vAlign w:val="bottom"/>
          </w:tcPr>
          <w:p>
            <w:pPr>
              <w:spacing w:after="0"/>
              <w:rPr>
                <w:sz w:val="24"/>
                <w:szCs w:val="24"/>
                <w:color w:val="auto"/>
              </w:rPr>
            </w:pP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 Li</w:t>
            </w:r>
          </w:p>
        </w:tc>
        <w:tc>
          <w:tcPr>
            <w:tcW w:w="40" w:type="dxa"/>
            <w:vAlign w:val="bottom"/>
          </w:tcPr>
          <w:p>
            <w:pPr>
              <w:spacing w:after="0"/>
              <w:rPr>
                <w:sz w:val="24"/>
                <w:szCs w:val="24"/>
                <w:color w:val="auto"/>
              </w:rPr>
            </w:pPr>
          </w:p>
        </w:tc>
      </w:tr>
      <w:tr>
        <w:trPr>
          <w:trHeight w:val="341"/>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Appendix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Equity Pledge Agreement</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67"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Appendix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Shareholder Voting Right Trust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Exclusive Purchase Option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Operating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A</w:t>
            </w:r>
          </w:p>
        </w:tc>
      </w:tr>
      <w:tr>
        <w:trPr>
          <w:trHeight w:val="453"/>
        </w:trPr>
        <w:tc>
          <w:tcPr>
            <w:tcW w:w="8840" w:type="dxa"/>
            <w:vAlign w:val="bottom"/>
            <w:gridSpan w:val="2"/>
          </w:tcPr>
          <w:p>
            <w:pPr>
              <w:ind w:left="3320"/>
              <w:spacing w:after="0"/>
              <w:rPr>
                <w:sz w:val="20"/>
                <w:szCs w:val="20"/>
                <w:color w:val="auto"/>
              </w:rPr>
            </w:pPr>
            <w:r>
              <w:rPr>
                <w:rFonts w:ascii="Arial" w:cs="Arial" w:eastAsia="Arial" w:hAnsi="Arial"/>
                <w:sz w:val="18"/>
                <w:szCs w:val="18"/>
                <w:b w:val="1"/>
                <w:bCs w:val="1"/>
                <w:color w:val="auto"/>
              </w:rPr>
              <w:t>SUPPLEMENTAL AGREEMENT TO LOAN AGREEMENT</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4"/>
        </w:trPr>
        <w:tc>
          <w:tcPr>
            <w:tcW w:w="8840" w:type="dxa"/>
            <w:vAlign w:val="bottom"/>
            <w:gridSpan w:val="2"/>
          </w:tcPr>
          <w:p>
            <w:pPr>
              <w:spacing w:after="0"/>
              <w:rPr>
                <w:sz w:val="20"/>
                <w:szCs w:val="20"/>
                <w:color w:val="auto"/>
              </w:rPr>
            </w:pPr>
            <w:r>
              <w:rPr>
                <w:rFonts w:ascii="Arial" w:cs="Arial" w:eastAsia="Arial" w:hAnsi="Arial"/>
                <w:sz w:val="18"/>
                <w:szCs w:val="18"/>
                <w:color w:val="auto"/>
                <w:w w:val="99"/>
              </w:rPr>
              <w:t xml:space="preserve">This </w:t>
            </w:r>
            <w:r>
              <w:rPr>
                <w:rFonts w:ascii="Arial" w:cs="Arial" w:eastAsia="Arial" w:hAnsi="Arial"/>
                <w:sz w:val="18"/>
                <w:szCs w:val="18"/>
                <w:b w:val="1"/>
                <w:bCs w:val="1"/>
                <w:color w:val="auto"/>
                <w:w w:val="99"/>
              </w:rPr>
              <w:t>SUPPLEMENTAL AGREEMENT</w:t>
            </w:r>
            <w:r>
              <w:rPr>
                <w:rFonts w:ascii="Arial" w:cs="Arial" w:eastAsia="Arial" w:hAnsi="Arial"/>
                <w:sz w:val="18"/>
                <w:szCs w:val="18"/>
                <w:color w:val="auto"/>
                <w:w w:val="99"/>
              </w:rPr>
              <w:t xml:space="preserve"> (this “</w:t>
            </w:r>
            <w:r>
              <w:rPr>
                <w:rFonts w:ascii="Arial" w:cs="Arial" w:eastAsia="Arial" w:hAnsi="Arial"/>
                <w:sz w:val="18"/>
                <w:szCs w:val="18"/>
                <w:b w:val="1"/>
                <w:bCs w:val="1"/>
                <w:color w:val="auto"/>
                <w:w w:val="99"/>
              </w:rPr>
              <w:t>Supplemental Agreement</w:t>
            </w:r>
            <w:r>
              <w:rPr>
                <w:rFonts w:ascii="Arial" w:cs="Arial" w:eastAsia="Arial" w:hAnsi="Arial"/>
                <w:sz w:val="18"/>
                <w:szCs w:val="18"/>
                <w:color w:val="auto"/>
                <w:w w:val="99"/>
              </w:rPr>
              <w:t>”) to that certain Loan Agreement dated</w:t>
            </w:r>
          </w:p>
        </w:tc>
        <w:tc>
          <w:tcPr>
            <w:tcW w:w="2580" w:type="dxa"/>
            <w:vAlign w:val="bottom"/>
            <w:gridSpan w:val="2"/>
          </w:tcPr>
          <w:p>
            <w:pPr>
              <w:ind w:left="480"/>
              <w:spacing w:after="0"/>
              <w:rPr>
                <w:sz w:val="20"/>
                <w:szCs w:val="20"/>
                <w:color w:val="auto"/>
              </w:rPr>
            </w:pPr>
            <w:r>
              <w:rPr>
                <w:rFonts w:ascii="Arial" w:cs="Arial" w:eastAsia="Arial" w:hAnsi="Arial"/>
                <w:sz w:val="18"/>
                <w:szCs w:val="18"/>
                <w:color w:val="auto"/>
              </w:rPr>
              <w:t>(as the same may be</w:t>
            </w:r>
          </w:p>
        </w:tc>
      </w:tr>
      <w:tr>
        <w:trPr>
          <w:trHeight w:val="234"/>
        </w:trPr>
        <w:tc>
          <w:tcPr>
            <w:tcW w:w="6660" w:type="dxa"/>
            <w:vAlign w:val="bottom"/>
          </w:tcPr>
          <w:p>
            <w:pPr>
              <w:spacing w:after="0"/>
              <w:rPr>
                <w:sz w:val="20"/>
                <w:szCs w:val="20"/>
                <w:color w:val="auto"/>
              </w:rPr>
            </w:pPr>
            <w:r>
              <w:rPr>
                <w:rFonts w:ascii="Arial" w:cs="Arial" w:eastAsia="Arial" w:hAnsi="Arial"/>
                <w:sz w:val="18"/>
                <w:szCs w:val="18"/>
                <w:color w:val="auto"/>
                <w:w w:val="97"/>
              </w:rPr>
              <w:t>amended and supplemented from time to time, the “</w:t>
            </w:r>
            <w:r>
              <w:rPr>
                <w:rFonts w:ascii="Arial" w:cs="Arial" w:eastAsia="Arial" w:hAnsi="Arial"/>
                <w:sz w:val="18"/>
                <w:szCs w:val="18"/>
                <w:b w:val="1"/>
                <w:bCs w:val="1"/>
                <w:color w:val="auto"/>
                <w:w w:val="97"/>
              </w:rPr>
              <w:t>Agreement</w:t>
            </w:r>
            <w:r>
              <w:rPr>
                <w:rFonts w:ascii="Arial" w:cs="Arial" w:eastAsia="Arial" w:hAnsi="Arial"/>
                <w:sz w:val="18"/>
                <w:szCs w:val="18"/>
                <w:color w:val="auto"/>
                <w:w w:val="97"/>
              </w:rPr>
              <w:t>”) is entered into as of</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by and between NetEase Media Technology (Beijing)</w:t>
            </w:r>
          </w:p>
        </w:tc>
      </w:tr>
    </w:tbl>
    <w:p>
      <w:pPr>
        <w:spacing w:after="0"/>
        <w:rPr>
          <w:sz w:val="20"/>
          <w:szCs w:val="20"/>
          <w:color w:val="auto"/>
        </w:rPr>
      </w:pPr>
      <w:r>
        <w:rPr>
          <w:rFonts w:ascii="Arial" w:cs="Arial" w:eastAsia="Arial" w:hAnsi="Arial"/>
          <w:sz w:val="18"/>
          <w:szCs w:val="18"/>
          <w:color w:val="auto"/>
        </w:rPr>
        <w:t>Co., Ltd. (“</w:t>
      </w:r>
      <w:r>
        <w:rPr>
          <w:rFonts w:ascii="Arial" w:cs="Arial" w:eastAsia="Arial" w:hAnsi="Arial"/>
          <w:sz w:val="18"/>
          <w:szCs w:val="18"/>
          <w:b w:val="1"/>
          <w:bCs w:val="1"/>
          <w:color w:val="auto"/>
        </w:rPr>
        <w:t>Lender</w:t>
      </w:r>
      <w:r>
        <w:rPr>
          <w:rFonts w:ascii="Arial" w:cs="Arial" w:eastAsia="Arial" w:hAnsi="Arial"/>
          <w:sz w:val="18"/>
          <w:szCs w:val="18"/>
          <w:color w:val="auto"/>
        </w:rPr>
        <w:t>”), a wholly foreign-owned enterprise incorporated in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and Li Li (ID Number: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110103197411191529, “</w:t>
      </w:r>
      <w:r>
        <w:rPr>
          <w:rFonts w:ascii="Arial" w:cs="Arial" w:eastAsia="Arial" w:hAnsi="Arial"/>
          <w:sz w:val="17"/>
          <w:szCs w:val="17"/>
          <w:b w:val="1"/>
          <w:bCs w:val="1"/>
          <w:color w:val="auto"/>
        </w:rPr>
        <w:t>Borrower</w:t>
      </w:r>
      <w:r>
        <w:rPr>
          <w:rFonts w:ascii="Arial" w:cs="Arial" w:eastAsia="Arial" w:hAnsi="Arial"/>
          <w:sz w:val="17"/>
          <w:szCs w:val="17"/>
          <w:color w:val="auto"/>
        </w:rPr>
        <w:t>”), a citizen of the PRC and owner of 1% of the equity interests of Beijing Guangyitong Advertising Co., Ltd.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Company</w:t>
      </w:r>
      <w:r>
        <w:rPr>
          <w:rFonts w:ascii="Arial" w:cs="Arial" w:eastAsia="Arial" w:hAnsi="Arial"/>
          <w:sz w:val="16"/>
          <w:szCs w:val="16"/>
          <w:color w:val="auto"/>
        </w:rPr>
        <w:t>”). Lender and Borrower are hereinafter collectively referred to as the “</w:t>
      </w:r>
      <w:r>
        <w:rPr>
          <w:rFonts w:ascii="Arial" w:cs="Arial" w:eastAsia="Arial" w:hAnsi="Arial"/>
          <w:sz w:val="16"/>
          <w:szCs w:val="16"/>
          <w:b w:val="1"/>
          <w:bCs w:val="1"/>
          <w:color w:val="auto"/>
        </w:rPr>
        <w:t>Parties</w:t>
      </w:r>
      <w:r>
        <w:rPr>
          <w:rFonts w:ascii="Arial" w:cs="Arial" w:eastAsia="Arial" w:hAnsi="Arial"/>
          <w:sz w:val="16"/>
          <w:szCs w:val="16"/>
          <w:color w:val="auto"/>
        </w:rPr>
        <w:t>” and each individually as a “</w:t>
      </w:r>
      <w:r>
        <w:rPr>
          <w:rFonts w:ascii="Arial" w:cs="Arial" w:eastAsia="Arial" w:hAnsi="Arial"/>
          <w:sz w:val="16"/>
          <w:szCs w:val="16"/>
          <w:b w:val="1"/>
          <w:bCs w:val="1"/>
          <w:color w:val="auto"/>
        </w:rPr>
        <w:t>Party</w:t>
      </w:r>
      <w:r>
        <w:rPr>
          <w:rFonts w:ascii="Arial" w:cs="Arial" w:eastAsia="Arial" w:hAnsi="Arial"/>
          <w:sz w:val="16"/>
          <w:szCs w:val="16"/>
          <w:color w:val="auto"/>
        </w:rPr>
        <w:t>.” Capitalized terms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used herein and not otherwise defined shall have the respective meanings assigned to them in the Agreement.</w:t>
      </w: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supplement the Agreement in connection with the extension of a new loan from Lender to Borrower in connection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Company’s registered capital], as herein provided.</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contained herein and subject to the terms and conditions herein set forth, the Parties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Agreement is hereby amended and supplemented as follows:</w:t>
      </w:r>
    </w:p>
    <w:p>
      <w:pPr>
        <w:spacing w:after="0" w:line="162" w:lineRule="exact"/>
        <w:rPr>
          <w:sz w:val="20"/>
          <w:szCs w:val="20"/>
          <w:color w:val="auto"/>
        </w:rPr>
      </w:pPr>
    </w:p>
    <w:p>
      <w:pPr>
        <w:ind w:left="660" w:right="100" w:hanging="652"/>
        <w:spacing w:after="0" w:line="313" w:lineRule="auto"/>
        <w:tabs>
          <w:tab w:leader="none" w:pos="6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Lender agrees to provide an additional loan to Borrower with an aggregate principal amount of RMB [90,000] (the “</w:t>
      </w:r>
      <w:r>
        <w:rPr>
          <w:rFonts w:ascii="Arial" w:cs="Arial" w:eastAsia="Arial" w:hAnsi="Arial"/>
          <w:sz w:val="17"/>
          <w:szCs w:val="17"/>
          <w:b w:val="1"/>
          <w:bCs w:val="1"/>
          <w:color w:val="auto"/>
        </w:rPr>
        <w:t>Additional Loan</w:t>
      </w:r>
      <w:r>
        <w:rPr>
          <w:rFonts w:ascii="Arial" w:cs="Arial" w:eastAsia="Arial" w:hAnsi="Arial"/>
          <w:sz w:val="17"/>
          <w:szCs w:val="17"/>
          <w:color w:val="auto"/>
        </w:rPr>
        <w:t>”) in order for Borrower to use the Additional Loan to invest into the Domestic Company as an additional capital contribution (the “</w:t>
      </w:r>
      <w:r>
        <w:rPr>
          <w:rFonts w:ascii="Arial" w:cs="Arial" w:eastAsia="Arial" w:hAnsi="Arial"/>
          <w:sz w:val="17"/>
          <w:szCs w:val="17"/>
          <w:b w:val="1"/>
          <w:bCs w:val="1"/>
          <w:color w:val="auto"/>
        </w:rPr>
        <w:t>Purpose</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660" w:right="80" w:hanging="652"/>
        <w:spacing w:after="0" w:line="342" w:lineRule="auto"/>
        <w:tabs>
          <w:tab w:leader="none" w:pos="6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Borrower confirms that she has received the total amount of the Additional Loan and agrees to invest it into the Domestic Company as an additional capital contribution and, unless with the prior written consent of the Lender, she will not use the Additional Loan for any other purpose.</w:t>
      </w:r>
    </w:p>
    <w:p>
      <w:pPr>
        <w:spacing w:after="0" w:line="123" w:lineRule="exact"/>
        <w:rPr>
          <w:rFonts w:ascii="Arial" w:cs="Arial" w:eastAsia="Arial" w:hAnsi="Arial"/>
          <w:sz w:val="16"/>
          <w:szCs w:val="16"/>
          <w:color w:val="auto"/>
        </w:rPr>
      </w:pPr>
    </w:p>
    <w:p>
      <w:pPr>
        <w:ind w:left="660" w:right="180" w:hanging="652"/>
        <w:spacing w:after="0" w:line="259"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definition of, and any reference to, “Loan” in the Agreement shall be deemed to include the Additional Loan, and the Additional Loan shall be subject to the same terms and conditions of the Loan as provided in the Agreement, except for the Purpose of the Additional Loan as provided in Article 1 above. For the avoidance of doubt, the term of the Additional Loan shall be the same as the term of the Loan as specified in the Agreement.</w:t>
      </w:r>
    </w:p>
    <w:p>
      <w:pPr>
        <w:spacing w:after="0" w:line="186" w:lineRule="exact"/>
        <w:rPr>
          <w:rFonts w:ascii="Arial" w:cs="Arial" w:eastAsia="Arial" w:hAnsi="Arial"/>
          <w:sz w:val="18"/>
          <w:szCs w:val="18"/>
          <w:color w:val="auto"/>
        </w:rPr>
      </w:pPr>
    </w:p>
    <w:p>
      <w:pPr>
        <w:ind w:left="660" w:right="580" w:hanging="652"/>
        <w:spacing w:after="0" w:line="342" w:lineRule="auto"/>
        <w:tabs>
          <w:tab w:leader="none" w:pos="6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Each Party hereto represents and warrants to the other Party hereto that this Supplemental Agreement has been duly authorized, executed and delivered by it/he and constitutes a valid and legally binding agreement with respect to the subject matter contained herein.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660" w:hanging="652"/>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Articles 6, 7 and 8 of the Agreement are hereby incorporated into this Supplemental Agreement by this reference.</w:t>
      </w:r>
    </w:p>
    <w:p>
      <w:pPr>
        <w:spacing w:after="0" w:line="225"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This Supplemental Agreement contains the entire agreement between the Parties with respect to the subject matter of this Supplemental Agreement and supersedes and extinguishes all prior agreement and understandings, oral or written, with respect to such matter.</w:t>
      </w:r>
    </w:p>
    <w:p>
      <w:pPr>
        <w:spacing w:after="0" w:line="146" w:lineRule="exact"/>
        <w:rPr>
          <w:rFonts w:ascii="Arial" w:cs="Arial" w:eastAsia="Arial" w:hAnsi="Arial"/>
          <w:sz w:val="17"/>
          <w:szCs w:val="17"/>
          <w:color w:val="auto"/>
        </w:rPr>
      </w:pPr>
    </w:p>
    <w:p>
      <w:pPr>
        <w:ind w:left="660" w:hanging="652"/>
        <w:spacing w:after="0"/>
        <w:tabs>
          <w:tab w:leader="none" w:pos="66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As amended and supplemented hereby, the terms and conditions and all the provisions of the Agreement are and will remain in full force and effect.</w:t>
      </w:r>
    </w:p>
    <w:p>
      <w:pPr>
        <w:spacing w:after="0" w:line="248" w:lineRule="exact"/>
        <w:rPr>
          <w:rFonts w:ascii="Arial" w:cs="Arial" w:eastAsia="Arial" w:hAnsi="Arial"/>
          <w:sz w:val="16"/>
          <w:szCs w:val="16"/>
          <w:color w:val="auto"/>
        </w:rPr>
      </w:pPr>
    </w:p>
    <w:p>
      <w:pPr>
        <w:ind w:left="660" w:right="440" w:hanging="652"/>
        <w:spacing w:after="0" w:line="277"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This Supplemental Agreement may be executed in one or more counterparts, each of which shall be deemed to be an original instrument by the Parties executing such counterpart, but all of which shall be considered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-1642110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Supplemental Agreement has been signed by the Parties hereto as of the date first written above.</w:t>
      </w:r>
    </w:p>
    <w:p>
      <w:pPr>
        <w:spacing w:after="0" w:line="225" w:lineRule="exact"/>
        <w:rPr>
          <w:sz w:val="20"/>
          <w:szCs w:val="20"/>
          <w:color w:val="auto"/>
        </w:rPr>
      </w:pPr>
    </w:p>
    <w:p>
      <w:pPr>
        <w:ind w:left="4820"/>
        <w:spacing w:after="0"/>
        <w:tabs>
          <w:tab w:leader="none" w:pos="5700" w:val="left"/>
        </w:tabs>
        <w:rPr>
          <w:sz w:val="20"/>
          <w:szCs w:val="20"/>
          <w:color w:val="auto"/>
        </w:rPr>
      </w:pPr>
      <w:r>
        <w:rPr>
          <w:rFonts w:ascii="Arial" w:cs="Arial" w:eastAsia="Arial" w:hAnsi="Arial"/>
          <w:sz w:val="18"/>
          <w:szCs w:val="18"/>
          <w:b w:val="1"/>
          <w:bCs w:val="1"/>
          <w:color w:val="auto"/>
        </w:rPr>
        <w:t>Lender:</w:t>
        <w:tab/>
        <w:t>NetEase Media Technology (Beijing) Co.,</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Ltd. (seal)</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-130810</wp:posOffset>
            </wp:positionV>
            <wp:extent cx="31388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640"/>
        <w:spacing w:after="0"/>
        <w:tabs>
          <w:tab w:leader="none" w:pos="5700" w:val="left"/>
        </w:tabs>
        <w:rPr>
          <w:sz w:val="20"/>
          <w:szCs w:val="20"/>
          <w:color w:val="auto"/>
        </w:rPr>
      </w:pPr>
      <w:r>
        <w:rPr>
          <w:rFonts w:ascii="Arial" w:cs="Arial" w:eastAsia="Arial" w:hAnsi="Arial"/>
          <w:sz w:val="18"/>
          <w:szCs w:val="18"/>
          <w:b w:val="1"/>
          <w:bCs w:val="1"/>
          <w:color w:val="auto"/>
        </w:rPr>
        <w:t>Borrower:</w:t>
        <w:tab/>
        <w:t>Li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429260</wp:posOffset>
            </wp:positionV>
            <wp:extent cx="361886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Exhibit B</w:t>
            </w:r>
          </w:p>
        </w:tc>
      </w:tr>
      <w:tr>
        <w:trPr>
          <w:trHeight w:val="453"/>
        </w:trPr>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700" w:type="dxa"/>
            <w:vAlign w:val="bottom"/>
            <w:gridSpan w:val="2"/>
          </w:tcPr>
          <w:p>
            <w:pPr>
              <w:ind w:left="1580"/>
              <w:spacing w:after="0"/>
              <w:rPr>
                <w:sz w:val="20"/>
                <w:szCs w:val="20"/>
                <w:color w:val="auto"/>
              </w:rPr>
            </w:pPr>
            <w:r>
              <w:rPr>
                <w:rFonts w:ascii="Arial" w:cs="Arial" w:eastAsia="Arial" w:hAnsi="Arial"/>
                <w:sz w:val="18"/>
                <w:szCs w:val="18"/>
                <w:b w:val="1"/>
                <w:bCs w:val="1"/>
                <w:color w:val="auto"/>
              </w:rPr>
              <w:t>SPOUSAL CONSENT LETTER</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I,</w:t>
            </w:r>
          </w:p>
        </w:tc>
        <w:tc>
          <w:tcPr>
            <w:tcW w:w="2200" w:type="dxa"/>
            <w:vAlign w:val="bottom"/>
          </w:tcPr>
          <w:p>
            <w:pPr>
              <w:ind w:left="560"/>
              <w:spacing w:after="0"/>
              <w:rPr>
                <w:sz w:val="20"/>
                <w:szCs w:val="20"/>
                <w:color w:val="auto"/>
              </w:rPr>
            </w:pPr>
            <w:r>
              <w:rPr>
                <w:rFonts w:ascii="Arial" w:cs="Arial" w:eastAsia="Arial" w:hAnsi="Arial"/>
                <w:sz w:val="18"/>
                <w:szCs w:val="18"/>
                <w:color w:val="auto"/>
              </w:rPr>
              <w:t>(ID Card No.:</w:t>
            </w:r>
          </w:p>
        </w:tc>
        <w:tc>
          <w:tcPr>
            <w:tcW w:w="8540" w:type="dxa"/>
            <w:vAlign w:val="bottom"/>
            <w:gridSpan w:val="6"/>
          </w:tcPr>
          <w:p>
            <w:pPr>
              <w:jc w:val="right"/>
              <w:ind w:right="170"/>
              <w:spacing w:after="0"/>
              <w:rPr>
                <w:sz w:val="20"/>
                <w:szCs w:val="20"/>
                <w:color w:val="auto"/>
              </w:rPr>
            </w:pPr>
            <w:r>
              <w:rPr>
                <w:rFonts w:ascii="Arial" w:cs="Arial" w:eastAsia="Arial" w:hAnsi="Arial"/>
                <w:sz w:val="18"/>
                <w:szCs w:val="18"/>
                <w:color w:val="auto"/>
                <w:w w:val="97"/>
              </w:rPr>
              <w:t>), am the lawful spouse of Li Li (ID Card No.: 110103197411191529). I hereby unconditionally consent and</w:t>
            </w:r>
          </w:p>
        </w:tc>
      </w:tr>
      <w:tr>
        <w:trPr>
          <w:trHeight w:val="216"/>
        </w:trPr>
        <w:tc>
          <w:tcPr>
            <w:tcW w:w="11140" w:type="dxa"/>
            <w:vAlign w:val="bottom"/>
            <w:gridSpan w:val="7"/>
          </w:tcPr>
          <w:p>
            <w:pPr>
              <w:spacing w:after="0"/>
              <w:rPr>
                <w:sz w:val="20"/>
                <w:szCs w:val="20"/>
                <w:color w:val="auto"/>
              </w:rPr>
            </w:pPr>
            <w:r>
              <w:rPr>
                <w:rFonts w:ascii="Arial" w:cs="Arial" w:eastAsia="Arial" w:hAnsi="Arial"/>
                <w:sz w:val="18"/>
                <w:szCs w:val="18"/>
                <w:color w:val="auto"/>
                <w:w w:val="91"/>
              </w:rPr>
              <w:t>agree that the disposition of the equity interest in Beijing Guangyitong Advertising Co., Ltd. which is held by and registered under the name of my spouse</w:t>
            </w:r>
          </w:p>
        </w:tc>
        <w:tc>
          <w:tcPr>
            <w:tcW w:w="280" w:type="dxa"/>
            <w:vAlign w:val="bottom"/>
          </w:tcPr>
          <w:p>
            <w:pPr>
              <w:spacing w:after="0"/>
              <w:rPr>
                <w:sz w:val="18"/>
                <w:szCs w:val="18"/>
                <w:color w:val="auto"/>
              </w:rPr>
            </w:pPr>
          </w:p>
        </w:tc>
      </w:tr>
      <w:tr>
        <w:trPr>
          <w:trHeight w:val="216"/>
        </w:trPr>
        <w:tc>
          <w:tcPr>
            <w:tcW w:w="5880" w:type="dxa"/>
            <w:vAlign w:val="bottom"/>
            <w:gridSpan w:val="3"/>
          </w:tcPr>
          <w:p>
            <w:pPr>
              <w:spacing w:after="0"/>
              <w:rPr>
                <w:sz w:val="20"/>
                <w:szCs w:val="20"/>
                <w:color w:val="auto"/>
              </w:rPr>
            </w:pPr>
            <w:r>
              <w:rPr>
                <w:rFonts w:ascii="Arial" w:cs="Arial" w:eastAsia="Arial" w:hAnsi="Arial"/>
                <w:sz w:val="18"/>
                <w:szCs w:val="18"/>
                <w:color w:val="auto"/>
                <w:w w:val="96"/>
              </w:rPr>
              <w:t>will be made pursuant to the arrangements under the Loan Agreement dated</w:t>
            </w:r>
          </w:p>
        </w:tc>
        <w:tc>
          <w:tcPr>
            <w:tcW w:w="3460" w:type="dxa"/>
            <w:vAlign w:val="bottom"/>
            <w:gridSpan w:val="2"/>
          </w:tcPr>
          <w:p>
            <w:pPr>
              <w:ind w:left="420"/>
              <w:spacing w:after="0"/>
              <w:rPr>
                <w:sz w:val="20"/>
                <w:szCs w:val="20"/>
                <w:color w:val="auto"/>
              </w:rPr>
            </w:pPr>
            <w:r>
              <w:rPr>
                <w:rFonts w:ascii="Arial" w:cs="Arial" w:eastAsia="Arial" w:hAnsi="Arial"/>
                <w:sz w:val="18"/>
                <w:szCs w:val="18"/>
                <w:color w:val="auto"/>
              </w:rPr>
              <w:t>, the Equity Pledge Agreement dated</w:t>
            </w:r>
          </w:p>
        </w:tc>
        <w:tc>
          <w:tcPr>
            <w:tcW w:w="1800" w:type="dxa"/>
            <w:vAlign w:val="bottom"/>
            <w:gridSpan w:val="2"/>
          </w:tcPr>
          <w:p>
            <w:pPr>
              <w:ind w:left="420"/>
              <w:spacing w:after="0"/>
              <w:rPr>
                <w:sz w:val="20"/>
                <w:szCs w:val="20"/>
                <w:color w:val="auto"/>
              </w:rPr>
            </w:pPr>
            <w:r>
              <w:rPr>
                <w:rFonts w:ascii="Arial" w:cs="Arial" w:eastAsia="Arial" w:hAnsi="Arial"/>
                <w:sz w:val="18"/>
                <w:szCs w:val="18"/>
                <w:color w:val="auto"/>
              </w:rPr>
              <w:t>, the Exclusive</w:t>
            </w:r>
          </w:p>
        </w:tc>
        <w:tc>
          <w:tcPr>
            <w:tcW w:w="280" w:type="dxa"/>
            <w:vAlign w:val="bottom"/>
          </w:tcPr>
          <w:p>
            <w:pPr>
              <w:spacing w:after="0"/>
              <w:rPr>
                <w:sz w:val="18"/>
                <w:szCs w:val="18"/>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Purchase Option Agreement dated</w:t>
            </w:r>
          </w:p>
        </w:tc>
        <w:tc>
          <w:tcPr>
            <w:tcW w:w="4700" w:type="dxa"/>
            <w:vAlign w:val="bottom"/>
            <w:gridSpan w:val="2"/>
          </w:tcPr>
          <w:p>
            <w:pPr>
              <w:ind w:left="420"/>
              <w:spacing w:after="0"/>
              <w:rPr>
                <w:sz w:val="20"/>
                <w:szCs w:val="20"/>
                <w:color w:val="auto"/>
              </w:rPr>
            </w:pPr>
            <w:r>
              <w:rPr>
                <w:rFonts w:ascii="Arial" w:cs="Arial" w:eastAsia="Arial" w:hAnsi="Arial"/>
                <w:sz w:val="18"/>
                <w:szCs w:val="18"/>
                <w:color w:val="auto"/>
                <w:w w:val="99"/>
              </w:rPr>
              <w:t>, the Shareholder Voting Right Trust Agreement dated</w:t>
            </w:r>
          </w:p>
        </w:tc>
        <w:tc>
          <w:tcPr>
            <w:tcW w:w="3560" w:type="dxa"/>
            <w:vAlign w:val="bottom"/>
            <w:gridSpan w:val="3"/>
          </w:tcPr>
          <w:p>
            <w:pPr>
              <w:ind w:left="420"/>
              <w:spacing w:after="0"/>
              <w:rPr>
                <w:sz w:val="20"/>
                <w:szCs w:val="20"/>
                <w:color w:val="auto"/>
              </w:rPr>
            </w:pPr>
            <w:r>
              <w:rPr>
                <w:rFonts w:ascii="Arial" w:cs="Arial" w:eastAsia="Arial" w:hAnsi="Arial"/>
                <w:sz w:val="18"/>
                <w:szCs w:val="18"/>
                <w:color w:val="auto"/>
              </w:rPr>
              <w:t>, the Operating Agreement dated</w:t>
            </w:r>
          </w:p>
        </w:tc>
        <w:tc>
          <w:tcPr>
            <w:tcW w:w="280" w:type="dxa"/>
            <w:vAlign w:val="bottom"/>
          </w:tcPr>
          <w:p>
            <w:pPr>
              <w:jc w:val="right"/>
              <w:ind w:right="130"/>
              <w:spacing w:after="0"/>
              <w:rPr>
                <w:sz w:val="20"/>
                <w:szCs w:val="20"/>
                <w:color w:val="auto"/>
              </w:rPr>
            </w:pPr>
            <w:r>
              <w:rPr>
                <w:rFonts w:ascii="Arial" w:cs="Arial" w:eastAsia="Arial" w:hAnsi="Arial"/>
                <w:sz w:val="18"/>
                <w:szCs w:val="18"/>
                <w:color w:val="auto"/>
                <w:w w:val="78"/>
              </w:rPr>
              <w:t>,</w:t>
            </w:r>
          </w:p>
        </w:tc>
      </w:tr>
    </w:tbl>
    <w:p>
      <w:pPr>
        <w:ind w:right="220"/>
        <w:spacing w:after="0" w:line="261" w:lineRule="auto"/>
        <w:rPr>
          <w:sz w:val="20"/>
          <w:szCs w:val="20"/>
          <w:color w:val="auto"/>
        </w:rPr>
      </w:pPr>
      <w:r>
        <w:rPr>
          <w:rFonts w:ascii="Arial" w:cs="Arial" w:eastAsia="Arial" w:hAnsi="Arial"/>
          <w:sz w:val="18"/>
          <w:szCs w:val="18"/>
          <w:color w:val="auto"/>
        </w:rPr>
        <w:t>all of which were executed by my spouse as a party, and any other supplemental or related agreement(s) or amendments thereof that may be entered into by my spouse from time to time.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 further undertake not to take any action with the intent to interfere with the above mentioned arrangements, including making any claim that such equity interest constitutes the property or community property between my spouse and me. I hereby waive unconditionally and irrevocably any and all rights or entitlements whatsoever to such equity interest that may be granted to me according to any applicable laws. I further acknowledge that I have had the opportunity to receive independent legal advice with respect to the matters set forth in this spousal consent letter and the legal consequences thereof and that I am signing this spousal consent letter of my own free will.</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 understand and agree that this spousal consent letter shall be governed by, and construed and enforced in accordance with, the laws of the People’s Republic of China. I agree to execute and deliver such other documents as may be necessary to carry out the intent of this spousal consent letter.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350774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4.39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PLEDGE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Equity Pledge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November 30, 3015:</w:t>
      </w:r>
    </w:p>
    <w:p>
      <w:pPr>
        <w:spacing w:after="0" w:line="225" w:lineRule="exact"/>
        <w:rPr>
          <w:sz w:val="20"/>
          <w:szCs w:val="20"/>
          <w:color w:val="auto"/>
        </w:rPr>
      </w:pPr>
    </w:p>
    <w:p>
      <w:pPr>
        <w:ind w:left="1300" w:right="80" w:hanging="644"/>
        <w:spacing w:after="0" w:line="313" w:lineRule="auto"/>
        <w:tabs>
          <w:tab w:leader="none" w:pos="130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NetEase Media Technology (Beijing) Co., Ltd. (the “</w:t>
      </w:r>
      <w:r>
        <w:rPr>
          <w:rFonts w:ascii="Arial" w:cs="Arial" w:eastAsia="Arial" w:hAnsi="Arial"/>
          <w:sz w:val="17"/>
          <w:szCs w:val="17"/>
          <w:b w:val="1"/>
          <w:bCs w:val="1"/>
          <w:color w:val="auto"/>
        </w:rPr>
        <w:t>Pledgee</w:t>
      </w:r>
      <w:r>
        <w:rPr>
          <w:rFonts w:ascii="Arial" w:cs="Arial" w:eastAsia="Arial" w:hAnsi="Arial"/>
          <w:sz w:val="17"/>
          <w:szCs w:val="17"/>
          <w:color w:val="auto"/>
        </w:rPr>
        <w:t>”), a wholly foreign owned enterprise registered in Beijing,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with its address at 20-22/F, Tower 8, NO.86 Zhongguancun East Road, Haidian District, Beijing; and</w:t>
      </w:r>
    </w:p>
    <w:p>
      <w:pPr>
        <w:spacing w:after="0" w:line="138" w:lineRule="exact"/>
        <w:rPr>
          <w:rFonts w:ascii="Arial" w:cs="Arial" w:eastAsia="Arial" w:hAnsi="Arial"/>
          <w:sz w:val="17"/>
          <w:szCs w:val="17"/>
          <w:color w:val="auto"/>
        </w:rPr>
      </w:pPr>
    </w:p>
    <w:p>
      <w:pPr>
        <w:ind w:left="1300" w:right="120" w:hanging="644"/>
        <w:spacing w:after="0" w:line="282" w:lineRule="auto"/>
        <w:tabs>
          <w:tab w:leader="none" w:pos="130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William Lei Ding (ID Number: 330224197110180074, the “</w:t>
      </w:r>
      <w:r>
        <w:rPr>
          <w:rFonts w:ascii="Arial" w:cs="Arial" w:eastAsia="Arial" w:hAnsi="Arial"/>
          <w:sz w:val="18"/>
          <w:szCs w:val="18"/>
          <w:b w:val="1"/>
          <w:bCs w:val="1"/>
          <w:color w:val="auto"/>
        </w:rPr>
        <w:t>Pledgor</w:t>
      </w:r>
      <w:r>
        <w:rPr>
          <w:rFonts w:ascii="Arial" w:cs="Arial" w:eastAsia="Arial" w:hAnsi="Arial"/>
          <w:sz w:val="18"/>
          <w:szCs w:val="18"/>
          <w:color w:val="auto"/>
        </w:rPr>
        <w:t>”), a PRC citizen with his/her address at Room 6-401, A90, Shuguang Road, Jiangdong District, Ningbo, Zhejiang Province.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Pledgee and the Pledgor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9" w:lineRule="exact"/>
        <w:rPr>
          <w:sz w:val="20"/>
          <w:szCs w:val="20"/>
          <w:color w:val="auto"/>
        </w:rPr>
      </w:pPr>
    </w:p>
    <w:p>
      <w:pPr>
        <w:ind w:left="1300" w:right="100" w:hanging="644"/>
        <w:spacing w:after="0" w:line="259" w:lineRule="auto"/>
        <w:tabs>
          <w:tab w:leader="none" w:pos="13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Pledgor is a registered shareholder of Beijing Guangyitong Advertising Co., Ltd., a limited liability company registered in Beijing, PRC with its address at Room F112, -1/F, Tower 5th, YongDingMenWai Street NO.86, Dongcheng District, Beijing (the “</w:t>
      </w:r>
      <w:r>
        <w:rPr>
          <w:rFonts w:ascii="Arial" w:cs="Arial" w:eastAsia="Arial" w:hAnsi="Arial"/>
          <w:sz w:val="18"/>
          <w:szCs w:val="18"/>
          <w:b w:val="1"/>
          <w:bCs w:val="1"/>
          <w:color w:val="auto"/>
        </w:rPr>
        <w:t>Domestic</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and holds 99% of the equity interests in the Domestic Company. The equity structure of Domestic Company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execution of this Agreement is set forth in </w:t>
      </w:r>
      <w:r>
        <w:rPr>
          <w:rFonts w:ascii="Arial" w:cs="Arial" w:eastAsia="Arial" w:hAnsi="Arial"/>
          <w:sz w:val="18"/>
          <w:szCs w:val="18"/>
          <w:u w:val="single" w:color="auto"/>
          <w:color w:val="auto"/>
        </w:rPr>
        <w:t>Appendix 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00" w:right="180" w:hanging="644"/>
        <w:spacing w:after="0" w:line="264" w:lineRule="auto"/>
        <w:tabs>
          <w:tab w:leader="none" w:pos="131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Pursuant to a Loan Agreement dated November 30, 3015, between the Pledgee and the Pledgor, Pledgee and Pledgor (as the same may be amended and supplemented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the Pledgee has provided a loan to the Pledgor in the original principal amount of RMB7,741,605.</w:t>
      </w:r>
    </w:p>
    <w:p>
      <w:pPr>
        <w:spacing w:after="0" w:line="181" w:lineRule="exact"/>
        <w:rPr>
          <w:rFonts w:ascii="Arial" w:cs="Arial" w:eastAsia="Arial" w:hAnsi="Arial"/>
          <w:sz w:val="18"/>
          <w:szCs w:val="18"/>
          <w:color w:val="auto"/>
        </w:rPr>
      </w:pPr>
    </w:p>
    <w:p>
      <w:pPr>
        <w:ind w:left="1300" w:right="120" w:hanging="644"/>
        <w:spacing w:after="0" w:line="259" w:lineRule="auto"/>
        <w:tabs>
          <w:tab w:leader="none" w:pos="131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Pursuant to a Shareholder Voting Right Trust Agreement dated as of November 30, 3015, among the Pledgee, the Pledgor, the Domestic Company and the other Parties thereto (as amended and supplemented from time to time, the “</w:t>
      </w:r>
      <w:r>
        <w:rPr>
          <w:rFonts w:ascii="Arial" w:cs="Arial" w:eastAsia="Arial" w:hAnsi="Arial"/>
          <w:sz w:val="18"/>
          <w:szCs w:val="18"/>
          <w:b w:val="1"/>
          <w:bCs w:val="1"/>
          <w:color w:val="auto"/>
        </w:rPr>
        <w:t>Voting Trust Agreement</w:t>
      </w:r>
      <w:r>
        <w:rPr>
          <w:rFonts w:ascii="Arial" w:cs="Arial" w:eastAsia="Arial" w:hAnsi="Arial"/>
          <w:sz w:val="18"/>
          <w:szCs w:val="18"/>
          <w:color w:val="auto"/>
        </w:rPr>
        <w:t>”), the Pledgor has irrevocably appointed the Pledgee as proxy and vested the Pledgee with full power to exercise on his behalf all of his shareholder’s voting rights in respect of the Domestic Company.</w:t>
      </w:r>
    </w:p>
    <w:p>
      <w:pPr>
        <w:spacing w:after="0" w:line="186" w:lineRule="exact"/>
        <w:rPr>
          <w:rFonts w:ascii="Arial" w:cs="Arial" w:eastAsia="Arial" w:hAnsi="Arial"/>
          <w:sz w:val="18"/>
          <w:szCs w:val="18"/>
          <w:color w:val="auto"/>
        </w:rPr>
      </w:pPr>
    </w:p>
    <w:p>
      <w:pPr>
        <w:jc w:val="both"/>
        <w:ind w:left="1300" w:right="220" w:hanging="644"/>
        <w:spacing w:after="0" w:line="286" w:lineRule="auto"/>
        <w:tabs>
          <w:tab w:leader="none" w:pos="13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Pursuant to an Exclusive Purchase Option Agreement dated as of November 30, 3015, among the Pledgee, the Pledgor and the Domestic Company (as amended and supplemented from time to time, the “</w:t>
      </w:r>
      <w:r>
        <w:rPr>
          <w:rFonts w:ascii="Arial" w:cs="Arial" w:eastAsia="Arial" w:hAnsi="Arial"/>
          <w:sz w:val="17"/>
          <w:szCs w:val="17"/>
          <w:b w:val="1"/>
          <w:bCs w:val="1"/>
          <w:color w:val="auto"/>
        </w:rPr>
        <w:t>Purchase Option Agreement</w:t>
      </w:r>
      <w:r>
        <w:rPr>
          <w:rFonts w:ascii="Arial" w:cs="Arial" w:eastAsia="Arial" w:hAnsi="Arial"/>
          <w:sz w:val="17"/>
          <w:szCs w:val="17"/>
          <w:color w:val="auto"/>
        </w:rPr>
        <w:t>”), the Pledgor has irrevocably granted to the Pledgee an option to purchase all or a portion of the Pledgor’s equity interests in the Domestic Company.</w:t>
      </w:r>
    </w:p>
    <w:p>
      <w:pPr>
        <w:spacing w:after="0" w:line="165" w:lineRule="exact"/>
        <w:rPr>
          <w:rFonts w:ascii="Arial" w:cs="Arial" w:eastAsia="Arial" w:hAnsi="Arial"/>
          <w:sz w:val="17"/>
          <w:szCs w:val="17"/>
          <w:color w:val="auto"/>
        </w:rPr>
      </w:pPr>
    </w:p>
    <w:p>
      <w:pPr>
        <w:ind w:left="1300" w:right="20" w:hanging="644"/>
        <w:spacing w:after="0" w:line="312" w:lineRule="auto"/>
        <w:tabs>
          <w:tab w:leader="none" w:pos="131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Pursuant to an Operating Agreement dated as of November 30, 3015, among the Pledgee, the Pledgor, the Domestic Company and the other Parties thereto (as amended and supplemented from time to time, the “</w:t>
      </w:r>
      <w:r>
        <w:rPr>
          <w:rFonts w:ascii="Arial" w:cs="Arial" w:eastAsia="Arial" w:hAnsi="Arial"/>
          <w:sz w:val="16"/>
          <w:szCs w:val="16"/>
          <w:b w:val="1"/>
          <w:bCs w:val="1"/>
          <w:color w:val="auto"/>
        </w:rPr>
        <w:t>Operating Agreement</w:t>
      </w:r>
      <w:r>
        <w:rPr>
          <w:rFonts w:ascii="Arial" w:cs="Arial" w:eastAsia="Arial" w:hAnsi="Arial"/>
          <w:sz w:val="16"/>
          <w:szCs w:val="16"/>
          <w:color w:val="auto"/>
        </w:rPr>
        <w:t>”), the Pledgor has agreed, among other things, not to engage in certain transactions relating to the Domestic Company without the Pledgee’s prior written consent.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jc w:val="both"/>
        <w:ind w:left="1300" w:right="300" w:hanging="644"/>
        <w:spacing w:after="0" w:line="264" w:lineRule="auto"/>
        <w:tabs>
          <w:tab w:leader="none" w:pos="131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As security for performance by the Pledgor of the Contract Obligations (as defined below) and discharge and satisfaction of the Secured Debts (as defined below), the Pledgor agrees to pledge all of his equity interests in the Domestic Company to the Pledgee and grants the Pledgee the right to repayment in first priority on and 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Unless the context otherwise requires, the following terms in this Agreement shall have the following meanings: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“Breaching Event” </w:t>
      </w:r>
      <w:r>
        <w:rPr>
          <w:rFonts w:ascii="Arial" w:cs="Arial" w:eastAsia="Arial" w:hAnsi="Arial"/>
          <w:sz w:val="18"/>
          <w:szCs w:val="18"/>
          <w:color w:val="auto"/>
        </w:rPr>
        <w:t>shall mean any breach by the Pledgor of any of his Contract Obligations (as defined below).</w:t>
      </w:r>
    </w:p>
    <w:p>
      <w:pPr>
        <w:spacing w:after="0" w:line="225" w:lineRule="exact"/>
        <w:rPr>
          <w:sz w:val="20"/>
          <w:szCs w:val="20"/>
          <w:color w:val="auto"/>
        </w:rPr>
      </w:pPr>
    </w:p>
    <w:p>
      <w:pPr>
        <w:ind w:left="1300" w:right="40"/>
        <w:spacing w:after="0" w:line="261" w:lineRule="auto"/>
        <w:rPr>
          <w:sz w:val="20"/>
          <w:szCs w:val="20"/>
          <w:color w:val="auto"/>
        </w:rPr>
      </w:pPr>
      <w:r>
        <w:rPr>
          <w:rFonts w:ascii="Arial" w:cs="Arial" w:eastAsia="Arial" w:hAnsi="Arial"/>
          <w:sz w:val="18"/>
          <w:szCs w:val="18"/>
          <w:b w:val="1"/>
          <w:bCs w:val="1"/>
          <w:color w:val="auto"/>
        </w:rPr>
        <w:t xml:space="preserve">“Contract Obligations” </w:t>
      </w:r>
      <w:r>
        <w:rPr>
          <w:rFonts w:ascii="Arial" w:cs="Arial" w:eastAsia="Arial" w:hAnsi="Arial"/>
          <w:sz w:val="18"/>
          <w:szCs w:val="18"/>
          <w:color w:val="auto"/>
        </w:rPr>
        <w:t>shall mean the obligations of the Pledgor to repay the Loan (as defined in the Loan Agreement)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contractual obligations of the Pledgor under the Voting Trust Agreement, all contractual obligations of the Pledgor under the Purchase Option Agreement, all contractual obligations of the Pledgor under the Operating Agreement and all contractual obligations of the Pledgor under this Agreement.</w:t>
      </w:r>
    </w:p>
    <w:p>
      <w:pPr>
        <w:spacing w:after="0" w:line="180" w:lineRule="exact"/>
        <w:rPr>
          <w:sz w:val="20"/>
          <w:szCs w:val="20"/>
          <w:color w:val="auto"/>
        </w:rPr>
      </w:pPr>
    </w:p>
    <w:p>
      <w:pPr>
        <w:jc w:val="both"/>
        <w:ind w:left="1300" w:right="100"/>
        <w:spacing w:after="0" w:line="266" w:lineRule="auto"/>
        <w:rPr>
          <w:sz w:val="20"/>
          <w:szCs w:val="20"/>
          <w:color w:val="auto"/>
        </w:rPr>
      </w:pPr>
      <w:r>
        <w:rPr>
          <w:rFonts w:ascii="Arial" w:cs="Arial" w:eastAsia="Arial" w:hAnsi="Arial"/>
          <w:sz w:val="18"/>
          <w:szCs w:val="18"/>
          <w:b w:val="1"/>
          <w:bCs w:val="1"/>
          <w:color w:val="auto"/>
        </w:rPr>
        <w:t xml:space="preserve">“Pledged Equity” </w:t>
      </w:r>
      <w:r>
        <w:rPr>
          <w:rFonts w:ascii="Arial" w:cs="Arial" w:eastAsia="Arial" w:hAnsi="Arial"/>
          <w:sz w:val="18"/>
          <w:szCs w:val="18"/>
          <w:color w:val="auto"/>
        </w:rPr>
        <w:t>shall mean all of the equity interests in the Domestic Company which are legally owned by the Pledgor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are to be pledged to the Pledgee pursuant to the provisions hereof as the security for the performance by the Pledgor of the Contract Obligations.</w:t>
      </w:r>
    </w:p>
    <w:p>
      <w:pPr>
        <w:spacing w:after="0" w:line="176" w:lineRule="exact"/>
        <w:rPr>
          <w:sz w:val="20"/>
          <w:szCs w:val="20"/>
          <w:color w:val="auto"/>
        </w:rPr>
      </w:pPr>
    </w:p>
    <w:p>
      <w:pPr>
        <w:ind w:left="1300" w:right="180"/>
        <w:spacing w:after="0" w:line="282" w:lineRule="auto"/>
        <w:rPr>
          <w:sz w:val="20"/>
          <w:szCs w:val="20"/>
          <w:color w:val="auto"/>
        </w:rPr>
      </w:pPr>
      <w:r>
        <w:rPr>
          <w:rFonts w:ascii="Arial" w:cs="Arial" w:eastAsia="Arial" w:hAnsi="Arial"/>
          <w:sz w:val="18"/>
          <w:szCs w:val="18"/>
          <w:b w:val="1"/>
          <w:bCs w:val="1"/>
          <w:color w:val="auto"/>
        </w:rPr>
        <w:t xml:space="preserve">“PRC Law” </w:t>
      </w:r>
      <w:r>
        <w:rPr>
          <w:rFonts w:ascii="Arial" w:cs="Arial" w:eastAsia="Arial" w:hAnsi="Arial"/>
          <w:sz w:val="18"/>
          <w:szCs w:val="18"/>
          <w:color w:val="auto"/>
        </w:rPr>
        <w:t>shall mean the then valid laws, administrative regulations, administrative rules, local regulations, judicial interpretations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binding regulatory documents of the PRC.</w:t>
      </w:r>
    </w:p>
    <w:p>
      <w:pPr>
        <w:spacing w:after="0" w:line="162" w:lineRule="exact"/>
        <w:rPr>
          <w:sz w:val="20"/>
          <w:szCs w:val="20"/>
          <w:color w:val="auto"/>
        </w:rPr>
      </w:pPr>
    </w:p>
    <w:p>
      <w:pPr>
        <w:ind w:left="1300" w:right="80"/>
        <w:spacing w:after="0" w:line="347" w:lineRule="auto"/>
        <w:rPr>
          <w:sz w:val="20"/>
          <w:szCs w:val="20"/>
          <w:color w:val="auto"/>
        </w:rPr>
      </w:pPr>
      <w:r>
        <w:rPr>
          <w:rFonts w:ascii="Arial" w:cs="Arial" w:eastAsia="Arial" w:hAnsi="Arial"/>
          <w:sz w:val="16"/>
          <w:szCs w:val="16"/>
          <w:b w:val="1"/>
          <w:bCs w:val="1"/>
          <w:color w:val="auto"/>
        </w:rPr>
        <w:t xml:space="preserve">“Secured Debts” </w:t>
      </w:r>
      <w:r>
        <w:rPr>
          <w:rFonts w:ascii="Arial" w:cs="Arial" w:eastAsia="Arial" w:hAnsi="Arial"/>
          <w:sz w:val="16"/>
          <w:szCs w:val="16"/>
          <w:color w:val="auto"/>
        </w:rPr>
        <w:t>shall mean all direct, indirect and consequential losses and losses of foreseeable profits suffered by the Pledgee due to</w:t>
      </w:r>
      <w:r>
        <w:rPr>
          <w:rFonts w:ascii="Arial" w:cs="Arial" w:eastAsia="Arial" w:hAnsi="Arial"/>
          <w:sz w:val="16"/>
          <w:szCs w:val="16"/>
          <w:b w:val="1"/>
          <w:bCs w:val="1"/>
          <w:color w:val="auto"/>
        </w:rPr>
        <w:t xml:space="preserve"> </w:t>
      </w:r>
      <w:r>
        <w:rPr>
          <w:rFonts w:ascii="Arial" w:cs="Arial" w:eastAsia="Arial" w:hAnsi="Arial"/>
          <w:sz w:val="16"/>
          <w:szCs w:val="16"/>
          <w:color w:val="auto"/>
        </w:rPr>
        <w:t>any Breaching Event of any of the Pledgor, and all fees incurred by Pledgee for the enforcement of the Contract Obligations of the Pledgor.</w:t>
      </w:r>
    </w:p>
    <w:p>
      <w:pPr>
        <w:spacing w:after="0" w:line="116" w:lineRule="exact"/>
        <w:rPr>
          <w:sz w:val="20"/>
          <w:szCs w:val="20"/>
          <w:color w:val="auto"/>
        </w:rPr>
      </w:pPr>
    </w:p>
    <w:p>
      <w:pPr>
        <w:ind w:left="1300" w:right="300"/>
        <w:spacing w:after="0" w:line="282" w:lineRule="auto"/>
        <w:rPr>
          <w:sz w:val="20"/>
          <w:szCs w:val="20"/>
          <w:color w:val="auto"/>
        </w:rPr>
      </w:pPr>
      <w:r>
        <w:rPr>
          <w:rFonts w:ascii="Arial" w:cs="Arial" w:eastAsia="Arial" w:hAnsi="Arial"/>
          <w:sz w:val="18"/>
          <w:szCs w:val="18"/>
          <w:b w:val="1"/>
          <w:bCs w:val="1"/>
          <w:color w:val="auto"/>
        </w:rPr>
        <w:t xml:space="preserve">“Transaction Agreements” </w:t>
      </w:r>
      <w:r>
        <w:rPr>
          <w:rFonts w:ascii="Arial" w:cs="Arial" w:eastAsia="Arial" w:hAnsi="Arial"/>
          <w:sz w:val="18"/>
          <w:szCs w:val="18"/>
          <w:color w:val="auto"/>
        </w:rPr>
        <w:t>shall mean the Loan Agreement, the Purchase Option Agreement, the Operating Agreement and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Trust Agreement.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references to any PRC Law herein shall be deemed:</w:t>
      </w:r>
    </w:p>
    <w:p>
      <w:pPr>
        <w:spacing w:after="0" w:line="225" w:lineRule="exact"/>
        <w:rPr>
          <w:sz w:val="20"/>
          <w:szCs w:val="20"/>
          <w:color w:val="auto"/>
        </w:rPr>
      </w:pPr>
    </w:p>
    <w:p>
      <w:pPr>
        <w:ind w:left="1300" w:right="280" w:firstLine="5"/>
        <w:spacing w:after="0" w:line="277" w:lineRule="auto"/>
        <w:tabs>
          <w:tab w:leader="none" w:pos="19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include references to the amendments, changes, supplements and reenactments of such law, irrespective of whether they take effect before or after the formation of this Agreement; and</w:t>
      </w:r>
    </w:p>
    <w:p>
      <w:pPr>
        <w:sectPr>
          <w:pgSz w:w="11900" w:h="16838" w:orient="portrait"/>
          <w:cols w:equalWidth="0" w:num="1">
            <w:col w:w="11420"/>
          </w:cols>
          <w:pgMar w:left="240" w:top="121" w:right="239" w:bottom="0" w:gutter="0" w:footer="0" w:header="0"/>
        </w:sectPr>
      </w:pPr>
    </w:p>
    <w:bookmarkStart w:id="139" w:name="page140"/>
    <w:bookmarkEnd w:id="139"/>
    <w:p>
      <w:pPr>
        <w:spacing w:after="0" w:line="1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655"/>
        <w:spacing w:after="0"/>
        <w:tabs>
          <w:tab w:leader="none" w:pos="1952"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to include references to other decisions, notices or regulations enacted in accordance therewith or effective as a result thereof.</w:t>
      </w:r>
    </w:p>
    <w:p>
      <w:pPr>
        <w:spacing w:after="0" w:line="248" w:lineRule="exact"/>
        <w:rPr>
          <w:sz w:val="20"/>
          <w:szCs w:val="20"/>
          <w:color w:val="auto"/>
        </w:rPr>
      </w:pPr>
    </w:p>
    <w:p>
      <w:pPr>
        <w:ind w:left="1292" w:right="60" w:hanging="647"/>
        <w:spacing w:after="0" w:line="277" w:lineRule="auto"/>
        <w:tabs>
          <w:tab w:leader="none" w:pos="12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stated in the context herein, all references to an Article, clause, item or paragraph shall refer to the relevant article, clause, item or paragraph of this Agreement.</w:t>
      </w:r>
    </w:p>
    <w:p>
      <w:pPr>
        <w:spacing w:after="0" w:line="166" w:lineRule="exact"/>
        <w:rPr>
          <w:sz w:val="20"/>
          <w:szCs w:val="20"/>
          <w:color w:val="auto"/>
        </w:rPr>
      </w:pPr>
    </w:p>
    <w:p>
      <w:pPr>
        <w:ind w:left="652" w:hanging="652"/>
        <w:spacing w:after="0"/>
        <w:tabs>
          <w:tab w:leader="none" w:pos="652"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Pledge</w:t>
      </w:r>
    </w:p>
    <w:p>
      <w:pPr>
        <w:spacing w:after="0" w:line="229" w:lineRule="exact"/>
        <w:rPr>
          <w:rFonts w:ascii="Arial" w:cs="Arial" w:eastAsia="Arial" w:hAnsi="Arial"/>
          <w:sz w:val="18"/>
          <w:szCs w:val="18"/>
          <w:b w:val="1"/>
          <w:bCs w:val="1"/>
          <w:color w:val="auto"/>
        </w:rPr>
      </w:pPr>
    </w:p>
    <w:p>
      <w:pPr>
        <w:ind w:left="1292" w:right="16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2.1.As collateral security for the timely and complete payment and performance of all Contract Obligations, the Pledgor hereby pledges to the Pledgee a first security interest in all of the Pledgor’s rights, title and interests, whether now owned or hereinafter acquired by the Pledgor, in the Pledged Equity (the “</w:t>
      </w:r>
      <w:r>
        <w:rPr>
          <w:rFonts w:ascii="Arial" w:cs="Arial" w:eastAsia="Arial" w:hAnsi="Arial"/>
          <w:sz w:val="18"/>
          <w:szCs w:val="18"/>
          <w:b w:val="1"/>
          <w:bCs w:val="1"/>
          <w:color w:val="auto"/>
        </w:rPr>
        <w:t>Equity Pledge</w:t>
      </w:r>
      <w:r>
        <w:rPr>
          <w:rFonts w:ascii="Arial" w:cs="Arial" w:eastAsia="Arial" w:hAnsi="Arial"/>
          <w:sz w:val="18"/>
          <w:szCs w:val="18"/>
          <w:color w:val="auto"/>
        </w:rPr>
        <w:t>”).</w:t>
      </w:r>
    </w:p>
    <w:p>
      <w:pPr>
        <w:spacing w:after="0" w:line="177" w:lineRule="exact"/>
        <w:rPr>
          <w:sz w:val="20"/>
          <w:szCs w:val="20"/>
          <w:color w:val="auto"/>
        </w:rPr>
      </w:pPr>
    </w:p>
    <w:p>
      <w:pPr>
        <w:ind w:left="1292" w:right="40" w:hanging="647"/>
        <w:spacing w:after="0" w:line="293"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Pledgor shall have been or will be registered at the local branch of State Administration for Industry and Commerce (“</w:t>
      </w:r>
      <w:r>
        <w:rPr>
          <w:rFonts w:ascii="Arial" w:cs="Arial" w:eastAsia="Arial" w:hAnsi="Arial"/>
          <w:sz w:val="16"/>
          <w:szCs w:val="16"/>
          <w:b w:val="1"/>
          <w:bCs w:val="1"/>
          <w:color w:val="auto"/>
        </w:rPr>
        <w:t>SAIC</w:t>
      </w:r>
      <w:r>
        <w:rPr>
          <w:rFonts w:ascii="Arial" w:cs="Arial" w:eastAsia="Arial" w:hAnsi="Arial"/>
          <w:sz w:val="16"/>
          <w:szCs w:val="16"/>
          <w:color w:val="auto"/>
        </w:rPr>
        <w:t>”) as one of the shareholders of the Domestic Company holding his proportion of the equity interests in the Domestic Company as set forth in Recital</w:t>
      </w:r>
    </w:p>
    <w:p>
      <w:pPr>
        <w:spacing w:after="0" w:line="1" w:lineRule="exact"/>
        <w:rPr>
          <w:sz w:val="20"/>
          <w:szCs w:val="20"/>
          <w:color w:val="auto"/>
        </w:rPr>
      </w:pPr>
    </w:p>
    <w:p>
      <w:pPr>
        <w:ind w:left="1292" w:right="100" w:firstLine="5"/>
        <w:spacing w:after="0" w:line="261" w:lineRule="auto"/>
        <w:tabs>
          <w:tab w:leader="none" w:pos="158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above and hold such equity interests free and clear of encumbrances except for the Equity Pledge as provided in this Agreement and/or as otherwise agreed by the Parties.</w:t>
      </w:r>
    </w:p>
    <w:p>
      <w:pPr>
        <w:spacing w:after="0" w:line="184" w:lineRule="exact"/>
        <w:rPr>
          <w:sz w:val="20"/>
          <w:szCs w:val="20"/>
          <w:color w:val="auto"/>
        </w:rPr>
      </w:pPr>
    </w:p>
    <w:p>
      <w:pPr>
        <w:ind w:left="1292" w:right="140" w:hanging="647"/>
        <w:spacing w:after="0" w:line="293" w:lineRule="auto"/>
        <w:tabs>
          <w:tab w:leader="none" w:pos="12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Pledgor hereby undertakes that he will be responsible for recording the Equity Pledge on the register of equityholders (if any) of the Domestic Company on the date hereof or as soon as practicable from the date hereof, and will use his best endeavors to register the Equity Pledge with SAIC (the “</w:t>
      </w:r>
      <w:r>
        <w:rPr>
          <w:rFonts w:ascii="Arial" w:cs="Arial" w:eastAsia="Arial" w:hAnsi="Arial"/>
          <w:sz w:val="16"/>
          <w:szCs w:val="16"/>
          <w:b w:val="1"/>
          <w:bCs w:val="1"/>
          <w:color w:val="auto"/>
        </w:rPr>
        <w:t>Registration of Equity Pledge</w:t>
      </w:r>
      <w:r>
        <w:rPr>
          <w:rFonts w:ascii="Arial" w:cs="Arial" w:eastAsia="Arial" w:hAnsi="Arial"/>
          <w:sz w:val="16"/>
          <w:szCs w:val="16"/>
          <w:color w:val="auto"/>
        </w:rPr>
        <w:t>”). In the event the SAIC requires that the Registration of Equity Pledge be completed by using an equity pledge agreement between the Parties substantially in form stipulated by the SAIC, subject to Section 13.5, the Parties shall enter into an equity pledge agreement in such stipulated form (the “</w:t>
      </w:r>
      <w:r>
        <w:rPr>
          <w:rFonts w:ascii="Arial" w:cs="Arial" w:eastAsia="Arial" w:hAnsi="Arial"/>
          <w:sz w:val="16"/>
          <w:szCs w:val="16"/>
          <w:b w:val="1"/>
          <w:bCs w:val="1"/>
          <w:color w:val="auto"/>
        </w:rPr>
        <w:t>Registration Version</w:t>
      </w:r>
      <w:r>
        <w:rPr>
          <w:rFonts w:ascii="Arial" w:cs="Arial" w:eastAsia="Arial" w:hAnsi="Arial"/>
          <w:sz w:val="16"/>
          <w:szCs w:val="16"/>
          <w:color w:val="auto"/>
        </w:rPr>
        <w:t>”) and the Pledgor shall and hereby undertakes that he will use his best endeavors to register the Equity Pledge with SAIC by using the Registration Version.</w:t>
      </w:r>
    </w:p>
    <w:p>
      <w:pPr>
        <w:spacing w:after="0" w:line="165" w:lineRule="exact"/>
        <w:rPr>
          <w:sz w:val="20"/>
          <w:szCs w:val="20"/>
          <w:color w:val="auto"/>
        </w:rPr>
      </w:pPr>
    </w:p>
    <w:p>
      <w:pPr>
        <w:ind w:left="1292" w:right="220" w:hanging="647"/>
        <w:spacing w:after="0" w:line="277" w:lineRule="auto"/>
        <w:tabs>
          <w:tab w:leader="none" w:pos="12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During the term of this Agreement, the Pledgee shall not be liable in any way for impairment in value of the Pledged Equity, nor shall the Pledgor have any right to make any claims against the Pledgee for such impairment in value.</w:t>
      </w:r>
    </w:p>
    <w:p>
      <w:pPr>
        <w:spacing w:after="0" w:line="170" w:lineRule="exact"/>
        <w:rPr>
          <w:sz w:val="20"/>
          <w:szCs w:val="20"/>
          <w:color w:val="auto"/>
        </w:rPr>
      </w:pPr>
    </w:p>
    <w:p>
      <w:pPr>
        <w:ind w:left="1292" w:right="280" w:hanging="647"/>
        <w:spacing w:after="0" w:line="277" w:lineRule="auto"/>
        <w:tabs>
          <w:tab w:leader="none" w:pos="12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Upon the occurrence of any Breaching Event, the Pledgee shall have the right to dispose of the Pledged Equity in the manner set forth in Article 4 hereof.</w:t>
      </w:r>
    </w:p>
    <w:p>
      <w:pPr>
        <w:spacing w:after="0" w:line="170" w:lineRule="exact"/>
        <w:rPr>
          <w:sz w:val="20"/>
          <w:szCs w:val="20"/>
          <w:color w:val="auto"/>
        </w:rPr>
      </w:pPr>
    </w:p>
    <w:p>
      <w:pPr>
        <w:ind w:left="1292" w:right="740" w:hanging="647"/>
        <w:spacing w:after="0" w:line="342" w:lineRule="auto"/>
        <w:tabs>
          <w:tab w:leader="none" w:pos="127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Without the prior written consent of the Pledgee, the Pledgor shall not increase the registered capital of the Domestic Company by contributing additional capital, or allowing any third party to contribute additional capital to the Domestic Company.</w:t>
      </w:r>
    </w:p>
    <w:p>
      <w:pPr>
        <w:spacing w:after="0" w:line="124" w:lineRule="exact"/>
        <w:rPr>
          <w:sz w:val="20"/>
          <w:szCs w:val="20"/>
          <w:color w:val="auto"/>
        </w:rPr>
      </w:pPr>
    </w:p>
    <w:p>
      <w:pPr>
        <w:ind w:left="1292" w:right="360" w:hanging="647"/>
        <w:spacing w:after="0" w:line="277" w:lineRule="auto"/>
        <w:tabs>
          <w:tab w:leader="none" w:pos="1272"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Without the prior written consent of the Pledgee, the Pledgor shall not consent to the adoption of any shareholders’ resolution or by any other means permit the Domestic Company to declare or distribute any dividends or profits.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Without the prior written consent of the Pledgee, the Pledgor shall not enter into any transactions with the Domestic Company.</w:t>
      </w:r>
    </w:p>
    <w:p>
      <w:pPr>
        <w:spacing w:after="0" w:line="225" w:lineRule="exact"/>
        <w:rPr>
          <w:sz w:val="20"/>
          <w:szCs w:val="20"/>
          <w:color w:val="auto"/>
        </w:rPr>
      </w:pPr>
    </w:p>
    <w:p>
      <w:pPr>
        <w:ind w:left="1292" w:right="140" w:hanging="647"/>
        <w:spacing w:after="0" w:line="255" w:lineRule="auto"/>
        <w:tabs>
          <w:tab w:leader="none" w:pos="1272"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During the term of the Equity Pledge, the Pledgor shall deliver to the Pledgee’s custody the original capital contribution certificate for the Pledged Equity and the original equityholders’ register (if any) containing the Equity Pledge within five business days from the execution of this Agreement or from the completion of any re-registration of shareholding if the percentage of equity interests changes (in such case, the Pledgor shall deliver to the Pledgee’s custody the updated original capital contribution certificates for the Pledged Equity and the updated original equityholders’ register (if any) containing the Equity Pledge). The Pledgee shall take custody of such original documents during the entire term of this Agreement.</w:t>
      </w:r>
    </w:p>
    <w:p>
      <w:pPr>
        <w:spacing w:after="0" w:line="193" w:lineRule="exact"/>
        <w:rPr>
          <w:sz w:val="20"/>
          <w:szCs w:val="20"/>
          <w:color w:val="auto"/>
        </w:rPr>
      </w:pPr>
    </w:p>
    <w:p>
      <w:pPr>
        <w:ind w:left="1292" w:right="40" w:hanging="647"/>
        <w:spacing w:after="0" w:line="277" w:lineRule="auto"/>
        <w:tabs>
          <w:tab w:leader="none" w:pos="1272" w:val="left"/>
        </w:tabs>
        <w:rPr>
          <w:sz w:val="20"/>
          <w:szCs w:val="20"/>
          <w:color w:val="auto"/>
        </w:rPr>
      </w:pPr>
      <w:r>
        <w:rPr>
          <w:rFonts w:ascii="Arial" w:cs="Arial" w:eastAsia="Arial" w:hAnsi="Arial"/>
          <w:sz w:val="18"/>
          <w:szCs w:val="18"/>
          <w:color w:val="auto"/>
        </w:rPr>
        <w:t>2.10.</w:t>
        <w:tab/>
        <w:t>The Pledgee shall have the right to collect dividends or any other distribution paid with respect to the Pledged Equity during the term of this Agreement.</w:t>
      </w:r>
    </w:p>
    <w:p>
      <w:pPr>
        <w:spacing w:after="0" w:line="166" w:lineRule="exact"/>
        <w:rPr>
          <w:sz w:val="20"/>
          <w:szCs w:val="20"/>
          <w:color w:val="auto"/>
        </w:rPr>
      </w:pPr>
    </w:p>
    <w:p>
      <w:pPr>
        <w:ind w:left="652" w:hanging="652"/>
        <w:spacing w:after="0"/>
        <w:tabs>
          <w:tab w:leader="none" w:pos="652"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Pledge</w:t>
      </w:r>
    </w:p>
    <w:p>
      <w:pPr>
        <w:spacing w:after="0" w:line="229" w:lineRule="exact"/>
        <w:rPr>
          <w:rFonts w:ascii="Arial" w:cs="Arial" w:eastAsia="Arial" w:hAnsi="Arial"/>
          <w:sz w:val="18"/>
          <w:szCs w:val="18"/>
          <w:b w:val="1"/>
          <w:bCs w:val="1"/>
          <w:color w:val="auto"/>
        </w:rPr>
      </w:pPr>
    </w:p>
    <w:p>
      <w:pPr>
        <w:ind w:left="652" w:righ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Upon full and complete performance by the Pledgor of all of his Contract Obligations (including the full discharge and satisfaction of the Secured Debts), the Pledgee shall, at the request of the Pledgor, release the pledge, and shall cooperate with the Pledgor to go through the formalities to cancel the record of the Equity Pledge in the register of equityholders (if any) of the Domestic Company and the registration with SAIC, and all expenses reasonably incurred in connection with such release shall be borne by the Domestic Company. The Parties shall procure the Domestic Company to bear such expenses.</w:t>
      </w:r>
    </w:p>
    <w:p>
      <w:pPr>
        <w:spacing w:after="0" w:line="184" w:lineRule="exact"/>
        <w:rPr>
          <w:rFonts w:ascii="Arial" w:cs="Arial" w:eastAsia="Arial" w:hAnsi="Arial"/>
          <w:sz w:val="18"/>
          <w:szCs w:val="18"/>
          <w:b w:val="1"/>
          <w:bCs w:val="1"/>
          <w:color w:val="auto"/>
        </w:rPr>
      </w:pPr>
    </w:p>
    <w:p>
      <w:pPr>
        <w:ind w:left="652" w:hanging="652"/>
        <w:spacing w:after="0"/>
        <w:tabs>
          <w:tab w:leader="none" w:pos="652"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Disposal of the Pledged Equity</w:t>
      </w:r>
    </w:p>
    <w:p>
      <w:pPr>
        <w:spacing w:after="0" w:line="229" w:lineRule="exact"/>
        <w:rPr>
          <w:rFonts w:ascii="Arial" w:cs="Arial" w:eastAsia="Arial" w:hAnsi="Arial"/>
          <w:sz w:val="18"/>
          <w:szCs w:val="18"/>
          <w:b w:val="1"/>
          <w:bCs w:val="1"/>
          <w:color w:val="auto"/>
        </w:rPr>
      </w:pPr>
    </w:p>
    <w:p>
      <w:pPr>
        <w:ind w:left="1292" w:right="20" w:hanging="648"/>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color w:val="auto"/>
        </w:rPr>
        <w:t>The Pledgor and the Pledgee hereby agree that, upon the occurrence of any Breaching Event, the Pledgee shall have the right to exercise, upon giving written notice to the Pledgor, all of the rights and powers enjoyed by him under PRC Law, the Transaction Agreements and the terms hereof, including but not limited to being repaid in priority with proceeds from the sale of the Pledged Equity. If the Pledgee disposes of the Pledged Equity in accordance with this Agreement, the Pledgor and the Domestic Company shall provide all necessary assistance to enable the Pledgee to enforce the Equity Pledge in accordance with this Agreement.</w:t>
      </w:r>
    </w:p>
    <w:p>
      <w:pPr>
        <w:spacing w:after="0" w:line="172" w:lineRule="exact"/>
        <w:rPr>
          <w:rFonts w:ascii="Arial" w:cs="Arial" w:eastAsia="Arial" w:hAnsi="Arial"/>
          <w:sz w:val="18"/>
          <w:szCs w:val="18"/>
          <w:b w:val="1"/>
          <w:bCs w:val="1"/>
          <w:color w:val="auto"/>
        </w:rPr>
      </w:pPr>
    </w:p>
    <w:p>
      <w:pPr>
        <w:ind w:left="1292" w:right="4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4.2.The Pledgee shall have the right to designate in writing its legal counsel or other agents to exercise on its behalf any and all rights and powers referred to above, and the Pledgor shall not raise any objection thereto.</w:t>
      </w:r>
    </w:p>
    <w:p>
      <w:pPr>
        <w:spacing w:after="0" w:line="170" w:lineRule="exact"/>
        <w:rPr>
          <w:rFonts w:ascii="Arial" w:cs="Arial" w:eastAsia="Arial" w:hAnsi="Arial"/>
          <w:sz w:val="18"/>
          <w:szCs w:val="18"/>
          <w:b w:val="1"/>
          <w:bCs w:val="1"/>
          <w:color w:val="auto"/>
        </w:rPr>
      </w:pPr>
    </w:p>
    <w:p>
      <w:pPr>
        <w:ind w:left="1292" w:hanging="648"/>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4.3.</w:t>
      </w:r>
      <w:r>
        <w:rPr>
          <w:rFonts w:ascii="Arial" w:cs="Arial" w:eastAsia="Arial" w:hAnsi="Arial"/>
          <w:sz w:val="16"/>
          <w:szCs w:val="16"/>
          <w:color w:val="auto"/>
        </w:rPr>
        <w:t>The reasonable costs incurred by the Pledgee in connection with its exercise of any and all rights and powers set out above shall be borne by the Pledgor, and the Pledgee shall have the right to deduct the costs actually incurred from the proceeds that it acquires from the exercise of</w:t>
      </w:r>
    </w:p>
    <w:p>
      <w:pPr>
        <w:sectPr>
          <w:pgSz w:w="11900" w:h="16975" w:orient="portrait"/>
          <w:cols w:equalWidth="0" w:num="1">
            <w:col w:w="11412"/>
          </w:cols>
          <w:pgMar w:left="248" w:top="125" w:right="239" w:bottom="0" w:gutter="0" w:footer="0" w:header="0"/>
        </w:sectPr>
      </w:pPr>
    </w:p>
    <w:bookmarkStart w:id="140" w:name="page141"/>
    <w:bookmarkEnd w:id="140"/>
    <w:p>
      <w:pPr>
        <w:ind w:left="1292"/>
        <w:spacing w:after="0"/>
        <w:rPr>
          <w:sz w:val="20"/>
          <w:szCs w:val="20"/>
          <w:color w:val="auto"/>
        </w:rPr>
      </w:pPr>
      <w:r>
        <w:rPr>
          <w:rFonts w:ascii="Arial" w:cs="Arial" w:eastAsia="Arial" w:hAnsi="Arial"/>
          <w:sz w:val="18"/>
          <w:szCs w:val="18"/>
          <w:color w:val="auto"/>
        </w:rPr>
        <w:t>its rights and powers.</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proceeds that the Pledgee acquires from the exercise of its rights and powers shall be applied in the following order of priority:</w:t>
      </w:r>
    </w:p>
    <w:p>
      <w:pPr>
        <w:spacing w:after="0" w:line="225" w:lineRule="exact"/>
        <w:rPr>
          <w:sz w:val="20"/>
          <w:szCs w:val="20"/>
          <w:color w:val="auto"/>
        </w:rPr>
      </w:pPr>
    </w:p>
    <w:p>
      <w:pPr>
        <w:ind w:left="1952" w:right="240" w:hanging="655"/>
        <w:spacing w:after="0" w:line="277" w:lineRule="auto"/>
        <w:tabs>
          <w:tab w:leader="none" w:pos="195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first, to pay any cost incurred in connection with the disposal of the Pledged Equity and the exercise by the Pledgee of its rights and powers (including remuneration paid to its legal counsels and agents);</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second, to pay any taxes and levies payable for the disposal of the Pledged Equity (for the avoidance of doubt, such taxes do not include any income tax);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third, to repay the Pledgee for the Secured Debts.</w:t>
      </w:r>
    </w:p>
    <w:p>
      <w:pPr>
        <w:spacing w:after="0" w:line="225" w:lineRule="exact"/>
        <w:rPr>
          <w:sz w:val="20"/>
          <w:szCs w:val="20"/>
          <w:color w:val="auto"/>
        </w:rPr>
      </w:pPr>
    </w:p>
    <w:p>
      <w:pPr>
        <w:ind w:left="1292" w:right="20"/>
        <w:spacing w:after="0" w:line="264" w:lineRule="auto"/>
        <w:rPr>
          <w:sz w:val="20"/>
          <w:szCs w:val="20"/>
          <w:color w:val="auto"/>
        </w:rPr>
      </w:pPr>
      <w:r>
        <w:rPr>
          <w:rFonts w:ascii="Arial" w:cs="Arial" w:eastAsia="Arial" w:hAnsi="Arial"/>
          <w:sz w:val="18"/>
          <w:szCs w:val="18"/>
          <w:color w:val="auto"/>
        </w:rPr>
        <w:t>Any proceeds remaining after payment of the above amounts shall be paid to the Pledgee or its designee. The Pledgee shall have no obligation to account to the Pledgor for proceeds of disposition of the Pledged Equity and the Pledgor hereby waives any rights that he may have to demand such amount from the Pledgee.</w:t>
      </w:r>
    </w:p>
    <w:p>
      <w:pPr>
        <w:spacing w:after="0" w:line="177" w:lineRule="exact"/>
        <w:rPr>
          <w:sz w:val="20"/>
          <w:szCs w:val="20"/>
          <w:color w:val="auto"/>
        </w:rPr>
      </w:pPr>
    </w:p>
    <w:p>
      <w:pPr>
        <w:ind w:left="652" w:hanging="652"/>
        <w:spacing w:after="0"/>
        <w:tabs>
          <w:tab w:leader="none" w:pos="652"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Continuity and No Waiver</w:t>
      </w:r>
    </w:p>
    <w:p>
      <w:pPr>
        <w:spacing w:after="0" w:line="229" w:lineRule="exact"/>
        <w:rPr>
          <w:rFonts w:ascii="Arial" w:cs="Arial" w:eastAsia="Arial" w:hAnsi="Arial"/>
          <w:sz w:val="18"/>
          <w:szCs w:val="18"/>
          <w:b w:val="1"/>
          <w:bCs w:val="1"/>
          <w:color w:val="auto"/>
        </w:rPr>
      </w:pPr>
    </w:p>
    <w:p>
      <w:pPr>
        <w:ind w:left="652"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Equity Pledge hereunder is a continuous security, and will continue to be valid until the full performance of the Contract Obligations or the full discharge and satisfaction of the Secured Debts. Neither exemption or grace period granted by the Pledgee to the Pledgor in respect of any breach, nor delay by the Pledgee in exercising any of its rights under the Transaction Agreements and this Agreement, shall affect the rights of the Pledgee under this Agreement, relevant PRC Law and the Transaction Agreements, the rights of the Pledgee to demand at any time thereafter the strict performance of the Transaction Agreements and this Agreement by the Pledgor or the rights the Pledgee may be entitled to due to any subsequent breach by the Pledgor of his obligations under the Transaction Agreements and/or this Agreement.</w:t>
      </w:r>
    </w:p>
    <w:p>
      <w:pPr>
        <w:spacing w:after="0" w:line="174" w:lineRule="exact"/>
        <w:rPr>
          <w:rFonts w:ascii="Arial" w:cs="Arial" w:eastAsia="Arial" w:hAnsi="Arial"/>
          <w:sz w:val="18"/>
          <w:szCs w:val="18"/>
          <w:b w:val="1"/>
          <w:bCs w:val="1"/>
          <w:color w:val="auto"/>
        </w:rPr>
      </w:pPr>
    </w:p>
    <w:p>
      <w:pPr>
        <w:ind w:left="652" w:hanging="652"/>
        <w:spacing w:after="0"/>
        <w:tabs>
          <w:tab w:leader="none" w:pos="652"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2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6.1.As of the date of this Agreement and during the term of this Agreement through the date of termination or expiration of this Agreement, the Pledgor hereby represents and warrants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Pledgor is a PRC citizen with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100" w:hanging="655"/>
        <w:spacing w:after="0" w:line="286" w:lineRule="auto"/>
        <w:tabs>
          <w:tab w:leader="none" w:pos="1959"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the Pledgor do not violate any laws and regulations or government approvals, authorizations, notices or other governmental documents having binding effect on or affecting the Pledgor, nor do they violate any agreements between the Pledgor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This Agreement constitutes the lawful, valid and enforceable obligations of the Pledgor.</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560" w:hanging="655"/>
        <w:spacing w:after="0" w:line="277" w:lineRule="auto"/>
        <w:tabs>
          <w:tab w:leader="none" w:pos="195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All reports, documents and information provided by the Pledgor to the Pledgee are true, correct and accurate in all material respects.</w:t>
      </w:r>
    </w:p>
    <w:p>
      <w:pPr>
        <w:spacing w:after="0" w:line="170" w:lineRule="exact"/>
        <w:rPr>
          <w:rFonts w:ascii="Arial" w:cs="Arial" w:eastAsia="Arial" w:hAnsi="Arial"/>
          <w:sz w:val="18"/>
          <w:szCs w:val="18"/>
          <w:color w:val="auto"/>
        </w:rPr>
      </w:pPr>
    </w:p>
    <w:p>
      <w:pPr>
        <w:ind w:left="1952" w:right="100" w:hanging="655"/>
        <w:spacing w:after="0" w:line="286" w:lineRule="auto"/>
        <w:tabs>
          <w:tab w:leader="none" w:pos="1963"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Pledgor constitutes the only legal owner of the Pledged Equity, with no existing dispute concerning the ownership of the Pledged Equity. Except for the restrictions imposed by the Transaction Agreements and this Agreement or as otherwise agreed by the Parties, the Pledgor has the right to dispose of the Pledged Equity or any part thereof.</w:t>
      </w:r>
    </w:p>
    <w:p>
      <w:pPr>
        <w:spacing w:after="0" w:line="165" w:lineRule="exact"/>
        <w:rPr>
          <w:rFonts w:ascii="Arial" w:cs="Arial" w:eastAsia="Arial" w:hAnsi="Arial"/>
          <w:sz w:val="17"/>
          <w:szCs w:val="17"/>
          <w:color w:val="auto"/>
        </w:rPr>
      </w:pPr>
    </w:p>
    <w:p>
      <w:pPr>
        <w:ind w:left="1952" w:right="40" w:hanging="655"/>
        <w:spacing w:after="0" w:line="308" w:lineRule="auto"/>
        <w:tabs>
          <w:tab w:leader="none" w:pos="1956" w:val="left"/>
        </w:tabs>
        <w:numPr>
          <w:ilvl w:val="0"/>
          <w:numId w:val="245"/>
        </w:numPr>
        <w:rPr>
          <w:rFonts w:ascii="Arial" w:cs="Arial" w:eastAsia="Arial" w:hAnsi="Arial"/>
          <w:sz w:val="17"/>
          <w:szCs w:val="17"/>
          <w:color w:val="auto"/>
        </w:rPr>
      </w:pPr>
      <w:r>
        <w:rPr>
          <w:rFonts w:ascii="Arial" w:cs="Arial" w:eastAsia="Arial" w:hAnsi="Arial"/>
          <w:sz w:val="17"/>
          <w:szCs w:val="17"/>
          <w:color w:val="auto"/>
        </w:rPr>
        <w:t>Except for the encumbrance set on the Pledged Equity hereunder and otherwise agreed by the Parties and the rights set forth under the Transaction Agreements, there is no other encumbrance or third party interest over the Pledged Equity.</w:t>
      </w:r>
    </w:p>
    <w:p>
      <w:pPr>
        <w:spacing w:after="0" w:line="146" w:lineRule="exact"/>
        <w:rPr>
          <w:rFonts w:ascii="Arial" w:cs="Arial" w:eastAsia="Arial" w:hAnsi="Arial"/>
          <w:sz w:val="17"/>
          <w:szCs w:val="17"/>
          <w:color w:val="auto"/>
        </w:rPr>
      </w:pPr>
    </w:p>
    <w:p>
      <w:pPr>
        <w:ind w:left="1952" w:right="20" w:hanging="655"/>
        <w:spacing w:after="0" w:line="277" w:lineRule="auto"/>
        <w:tabs>
          <w:tab w:leader="none" w:pos="197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Pledged Equity is capable of being pledged or transferred according to PRC Law, and the Pledgor has the full right and power to pledge the Pledged Equity to the Pledgee according to this Agreement.</w:t>
      </w:r>
    </w:p>
    <w:p>
      <w:pPr>
        <w:spacing w:after="0" w:line="170" w:lineRule="exact"/>
        <w:rPr>
          <w:rFonts w:ascii="Arial" w:cs="Arial" w:eastAsia="Arial" w:hAnsi="Arial"/>
          <w:sz w:val="18"/>
          <w:szCs w:val="18"/>
          <w:color w:val="auto"/>
        </w:rPr>
      </w:pPr>
    </w:p>
    <w:p>
      <w:pPr>
        <w:ind w:left="1952" w:hanging="655"/>
        <w:spacing w:after="0" w:line="259" w:lineRule="auto"/>
        <w:tabs>
          <w:tab w:leader="none" w:pos="195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consent, permission, waiver or authorization by any third person, or any approval, permission or exemption by any government authority, or any registration or filing formalities with any government authority to be effected or obtained in respect of the execution and performance hereof and the creation of the Equity Pledge hereunder have been or will be handled or obtained, and will be fully effective during the term of this Agreement.</w:t>
      </w:r>
    </w:p>
    <w:p>
      <w:pPr>
        <w:spacing w:after="0" w:line="186" w:lineRule="exact"/>
        <w:rPr>
          <w:rFonts w:ascii="Arial" w:cs="Arial" w:eastAsia="Arial" w:hAnsi="Arial"/>
          <w:sz w:val="18"/>
          <w:szCs w:val="18"/>
          <w:color w:val="auto"/>
        </w:rPr>
      </w:pPr>
    </w:p>
    <w:p>
      <w:pPr>
        <w:ind w:left="1972" w:hanging="675"/>
        <w:spacing w:after="0"/>
        <w:tabs>
          <w:tab w:leader="none" w:pos="197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Equity Pledge hereunder constitutes a first pledge on the Pledged Equity.</w:t>
      </w:r>
    </w:p>
    <w:p>
      <w:pPr>
        <w:spacing w:after="0" w:line="225" w:lineRule="exact"/>
        <w:rPr>
          <w:rFonts w:ascii="Arial" w:cs="Arial" w:eastAsia="Arial" w:hAnsi="Arial"/>
          <w:sz w:val="18"/>
          <w:szCs w:val="18"/>
          <w:color w:val="auto"/>
        </w:rPr>
      </w:pPr>
    </w:p>
    <w:p>
      <w:pPr>
        <w:ind w:left="1952" w:right="20" w:hanging="655"/>
        <w:spacing w:after="0" w:line="279" w:lineRule="auto"/>
        <w:tabs>
          <w:tab w:leader="none" w:pos="19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There is no pending or, to the knowledge of the Pledgor, threatened litigation, legal process or demand by any court or any arbitral tribunal or by any government authority or any administration authority against the Pledgor, or his property, or the Pledged Equity, which would have a material adverse effect on the economic status of the Pledgor or his capability to perform the obligations hereunder and the Contract Obligations or to discharge and satisfy the Secured Debts.</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As of the date of this Agreement and during the term of this Agreement through the date of termination or expiration of this Agreement, the</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Pledgee hereby represents and warrants as follows:</w:t>
      </w:r>
    </w:p>
    <w:p>
      <w:pPr>
        <w:spacing w:after="0" w:line="211" w:lineRule="exact"/>
        <w:rPr>
          <w:sz w:val="20"/>
          <w:szCs w:val="20"/>
          <w:color w:val="auto"/>
        </w:rPr>
      </w:pPr>
    </w:p>
    <w:p>
      <w:pPr>
        <w:ind w:left="1932" w:hanging="635"/>
        <w:spacing w:after="0"/>
        <w:tabs>
          <w:tab w:leader="none" w:pos="193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Pledgee is a wholly foreign owned enterprise duly registered and existing under PRC Law.</w:t>
      </w:r>
    </w:p>
    <w:p>
      <w:pPr>
        <w:sectPr>
          <w:pgSz w:w="11900" w:h="16838" w:orient="portrait"/>
          <w:cols w:equalWidth="0" w:num="1">
            <w:col w:w="11372"/>
          </w:cols>
          <w:pgMar w:left="248" w:top="125" w:right="279" w:bottom="0" w:gutter="0" w:footer="0" w:header="0"/>
        </w:sectPr>
      </w:pPr>
    </w:p>
    <w:bookmarkStart w:id="141" w:name="page142"/>
    <w:bookmarkEnd w:id="141"/>
    <w:p>
      <w:pPr>
        <w:spacing w:after="0" w:line="32" w:lineRule="exact"/>
        <w:rPr>
          <w:sz w:val="20"/>
          <w:szCs w:val="20"/>
          <w:color w:val="auto"/>
        </w:rPr>
      </w:pPr>
    </w:p>
    <w:p>
      <w:pPr>
        <w:ind w:left="1952" w:right="140" w:hanging="655"/>
        <w:spacing w:after="0" w:line="259" w:lineRule="auto"/>
        <w:tabs>
          <w:tab w:leader="none" w:pos="195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Pledgee has the power to execute and perform its obligations under this Agreement. The execution and performance of this Agreement by the Pledgee is in compliance with the articles of association or other organizational documents of the Pledgee, and the Pledgee has obtained all necessary and appropriate approvals and authorizations for the execution and performance of this Agreement.</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655"/>
        <w:spacing w:after="0"/>
        <w:tabs>
          <w:tab w:leader="none" w:pos="195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the Pledgee.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by the Pledgor</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Pledgor hereby undertakes to the Pledgee as follows:</w:t>
      </w:r>
    </w:p>
    <w:p>
      <w:pPr>
        <w:spacing w:after="0" w:line="225" w:lineRule="exact"/>
        <w:rPr>
          <w:rFonts w:ascii="Arial" w:cs="Arial" w:eastAsia="Arial" w:hAnsi="Arial"/>
          <w:sz w:val="18"/>
          <w:szCs w:val="18"/>
          <w:b w:val="1"/>
          <w:bCs w:val="1"/>
          <w:color w:val="auto"/>
        </w:rPr>
      </w:pPr>
    </w:p>
    <w:p>
      <w:pPr>
        <w:ind w:left="1952" w:right="240" w:hanging="655"/>
        <w:spacing w:after="0" w:line="264" w:lineRule="auto"/>
        <w:tabs>
          <w:tab w:leader="none" w:pos="1949" w:val="left"/>
        </w:tabs>
        <w:numPr>
          <w:ilvl w:val="1"/>
          <w:numId w:val="249"/>
        </w:numPr>
        <w:rPr>
          <w:rFonts w:ascii="Arial" w:cs="Arial" w:eastAsia="Arial" w:hAnsi="Arial"/>
          <w:sz w:val="18"/>
          <w:szCs w:val="18"/>
          <w:color w:val="auto"/>
        </w:rPr>
      </w:pPr>
      <w:r>
        <w:rPr>
          <w:rFonts w:ascii="Arial" w:cs="Arial" w:eastAsia="Arial" w:hAnsi="Arial"/>
          <w:sz w:val="18"/>
          <w:szCs w:val="18"/>
          <w:color w:val="auto"/>
        </w:rPr>
        <w:t>Without the prior written consent by the Pledgee, the Pledgor shall not establish or permit to establish any further pledge or any other encumbrance on the Pledged Equity. Any pledge or other encumbrance on all or part of the Pledged Equity without such prior written consent shall be null and void.</w:t>
      </w:r>
    </w:p>
    <w:p>
      <w:pPr>
        <w:spacing w:after="0" w:line="181" w:lineRule="exact"/>
        <w:rPr>
          <w:rFonts w:ascii="Arial" w:cs="Arial" w:eastAsia="Arial" w:hAnsi="Arial"/>
          <w:sz w:val="18"/>
          <w:szCs w:val="18"/>
          <w:color w:val="auto"/>
        </w:rPr>
      </w:pPr>
    </w:p>
    <w:p>
      <w:pPr>
        <w:ind w:left="1952" w:right="60" w:hanging="655"/>
        <w:spacing w:after="0" w:line="312" w:lineRule="auto"/>
        <w:tabs>
          <w:tab w:leader="none" w:pos="1959" w:val="left"/>
        </w:tabs>
        <w:numPr>
          <w:ilvl w:val="1"/>
          <w:numId w:val="249"/>
        </w:numPr>
        <w:rPr>
          <w:rFonts w:ascii="Arial" w:cs="Arial" w:eastAsia="Arial" w:hAnsi="Arial"/>
          <w:sz w:val="16"/>
          <w:szCs w:val="16"/>
          <w:color w:val="auto"/>
        </w:rPr>
      </w:pPr>
      <w:r>
        <w:rPr>
          <w:rFonts w:ascii="Arial" w:cs="Arial" w:eastAsia="Arial" w:hAnsi="Arial"/>
          <w:sz w:val="16"/>
          <w:szCs w:val="16"/>
          <w:color w:val="auto"/>
        </w:rPr>
        <w:t>Without having the Pledgee’s prior written consent, the Pledgor shall not transfer the Pledged Equity, and any attempt by the Pledgor to transfer the Pledged Equity shall be null and void. The proceeds from the transfer of the Pledged Equity by the Pledgor shall be used to repay to the Pledgee in advance the Secured Debts or submit the same to the third party agreed with the Pledgee.</w:t>
      </w:r>
    </w:p>
    <w:p>
      <w:pPr>
        <w:spacing w:after="0" w:line="146" w:lineRule="exact"/>
        <w:rPr>
          <w:rFonts w:ascii="Arial" w:cs="Arial" w:eastAsia="Arial" w:hAnsi="Arial"/>
          <w:sz w:val="16"/>
          <w:szCs w:val="16"/>
          <w:color w:val="auto"/>
        </w:rPr>
      </w:pPr>
    </w:p>
    <w:p>
      <w:pPr>
        <w:ind w:left="1952" w:right="20" w:hanging="655"/>
        <w:spacing w:after="0" w:line="279" w:lineRule="auto"/>
        <w:tabs>
          <w:tab w:leader="none" w:pos="1963" w:val="left"/>
        </w:tabs>
        <w:numPr>
          <w:ilvl w:val="1"/>
          <w:numId w:val="249"/>
        </w:numPr>
        <w:rPr>
          <w:rFonts w:ascii="Arial" w:cs="Arial" w:eastAsia="Arial" w:hAnsi="Arial"/>
          <w:sz w:val="17"/>
          <w:szCs w:val="17"/>
          <w:color w:val="auto"/>
        </w:rPr>
      </w:pPr>
      <w:r>
        <w:rPr>
          <w:rFonts w:ascii="Arial" w:cs="Arial" w:eastAsia="Arial" w:hAnsi="Arial"/>
          <w:sz w:val="17"/>
          <w:szCs w:val="17"/>
          <w:color w:val="auto"/>
        </w:rPr>
        <w:t>The Pledgor shall promptly notify the Pledgee of any litigation, arbitration, claim or other proceedings which may adversely affect the interest of the Pledgor or the Pledgee under the Transaction Agreements and hereunder or in respect of the Pledged Equity, shall keep the Pledgee timely informed of developments in connection therewith and shall take all reasonable measures to defend such proceedings and protect the interest of the Pledgee in the Pledged Equity.</w:t>
      </w:r>
    </w:p>
    <w:p>
      <w:pPr>
        <w:spacing w:after="0" w:line="171" w:lineRule="exact"/>
        <w:rPr>
          <w:rFonts w:ascii="Arial" w:cs="Arial" w:eastAsia="Arial" w:hAnsi="Arial"/>
          <w:sz w:val="17"/>
          <w:szCs w:val="17"/>
          <w:color w:val="auto"/>
        </w:rPr>
      </w:pPr>
    </w:p>
    <w:p>
      <w:pPr>
        <w:ind w:left="1952" w:right="40" w:hanging="655"/>
        <w:spacing w:after="0" w:line="277" w:lineRule="auto"/>
        <w:tabs>
          <w:tab w:leader="none" w:pos="1959"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Pledgor shall not take or permit any act or action which may adversely affect the interest of the Pledgee under the Transaction Agreements and hereunder or in respect of the Pledged Equity.</w:t>
      </w:r>
    </w:p>
    <w:p>
      <w:pPr>
        <w:spacing w:after="0" w:line="170" w:lineRule="exact"/>
        <w:rPr>
          <w:rFonts w:ascii="Arial" w:cs="Arial" w:eastAsia="Arial" w:hAnsi="Arial"/>
          <w:sz w:val="18"/>
          <w:szCs w:val="18"/>
          <w:color w:val="auto"/>
        </w:rPr>
      </w:pPr>
    </w:p>
    <w:p>
      <w:pPr>
        <w:ind w:left="1952" w:hanging="655"/>
        <w:spacing w:after="0" w:line="264" w:lineRule="auto"/>
        <w:tabs>
          <w:tab w:leader="none" w:pos="1963"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At the request of the Pledgee, the Pledgor shall cause the Domestic Company to, within the first month of each calendar quarter, provide the Pledgee with the financial statements, including (but not limited to) the balance sheet, the profit statement and the cash flow statement of the Domestic Company for the previous calendar quarter.</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Circumstances</w:t>
      </w:r>
    </w:p>
    <w:p>
      <w:pPr>
        <w:spacing w:after="0" w:line="229" w:lineRule="exact"/>
        <w:rPr>
          <w:rFonts w:ascii="Arial" w:cs="Arial" w:eastAsia="Arial" w:hAnsi="Arial"/>
          <w:sz w:val="18"/>
          <w:szCs w:val="18"/>
          <w:b w:val="1"/>
          <w:bCs w:val="1"/>
          <w:color w:val="auto"/>
        </w:rPr>
      </w:pPr>
    </w:p>
    <w:p>
      <w:pPr>
        <w:ind w:left="6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Subject to compliance with other terms of the Transaction Agreements and this Agreement, the event of any promulgation or change of any PRC Law, regulations or rules, or change in interpretation or application of such laws, regulations and rules, or the change of the relevant registration procedures which causes the Pledgee to believe that it will be illegal or in conflict with such laws, regulations or rules to further maintain the effectiveness of this Agreement and/or dispose of the Pledged Equity in the manner provided herein, the Pledgor shall, at the written direction of the Pledgee and in accordance with the reasonable request of the Pledgee, promptly take all actions and/or execute any agreement or other document, in order to:</w:t>
      </w:r>
    </w:p>
    <w:p>
      <w:pPr>
        <w:spacing w:after="0" w:line="193" w:lineRule="exact"/>
        <w:rPr>
          <w:rFonts w:ascii="Arial" w:cs="Arial" w:eastAsia="Arial" w:hAnsi="Arial"/>
          <w:sz w:val="18"/>
          <w:szCs w:val="18"/>
          <w:b w:val="1"/>
          <w:bCs w:val="1"/>
          <w:color w:val="auto"/>
        </w:rPr>
      </w:pPr>
    </w:p>
    <w:p>
      <w:pPr>
        <w:ind w:left="1312" w:hanging="664"/>
        <w:spacing w:after="0"/>
        <w:tabs>
          <w:tab w:leader="none" w:pos="131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keep this Agreement valid and effective;</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facilitate the disposal of the Pledged Equity in the manner provided herein; and/or</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250"/>
        </w:numPr>
        <w:rPr>
          <w:rFonts w:ascii="Arial" w:cs="Arial" w:eastAsia="Arial" w:hAnsi="Arial"/>
          <w:sz w:val="18"/>
          <w:szCs w:val="18"/>
          <w:color w:val="auto"/>
        </w:rPr>
      </w:pPr>
      <w:r>
        <w:rPr>
          <w:rFonts w:ascii="Arial" w:cs="Arial" w:eastAsia="Arial" w:hAnsi="Arial"/>
          <w:sz w:val="18"/>
          <w:szCs w:val="18"/>
          <w:color w:val="auto"/>
        </w:rPr>
        <w:t>maintain or realize the intention or the security established hereunder.</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and Term of the Agreement</w:t>
      </w:r>
    </w:p>
    <w:p>
      <w:pPr>
        <w:spacing w:after="0" w:line="229" w:lineRule="exact"/>
        <w:rPr>
          <w:rFonts w:ascii="Arial" w:cs="Arial" w:eastAsia="Arial" w:hAnsi="Arial"/>
          <w:sz w:val="18"/>
          <w:szCs w:val="18"/>
          <w:b w:val="1"/>
          <w:bCs w:val="1"/>
          <w:color w:val="auto"/>
        </w:rPr>
      </w:pPr>
    </w:p>
    <w:p>
      <w:pPr>
        <w:ind w:left="1292"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9.1.This Agreement shall become effective when it has been duly executed by the parties hereto and recorded in the register of equityholders (if any) of the Domestic Company, and the Equity Pledge under this Agreement or the Registration Version, as applicable, shall become effective when it has been registered with SAIC to the extent permitted by SAIC. The Pledgor shall carry out all the approval and registration formalities in a timely manner as required by PRC Law (including but not limited to the registration of the Equity Pledge with SAIC to the extent permitted by SAIC) and shall take all other necessary actions required for completing such approval and/or registration formalities.</w:t>
      </w:r>
    </w:p>
    <w:p>
      <w:pPr>
        <w:spacing w:after="0" w:line="193" w:lineRule="exact"/>
        <w:rPr>
          <w:rFonts w:ascii="Arial" w:cs="Arial" w:eastAsia="Arial" w:hAnsi="Arial"/>
          <w:sz w:val="18"/>
          <w:szCs w:val="18"/>
          <w:b w:val="1"/>
          <w:bCs w:val="1"/>
          <w:color w:val="auto"/>
        </w:rPr>
      </w:pPr>
    </w:p>
    <w:p>
      <w:pPr>
        <w:ind w:left="1292" w:right="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9.2.This Agreement shall continue to be valid until the full performance of the Contract Obligations or the full discharge and satisfaction of the Secured Debts.</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If to Pledgee: NetEase Media Technology (Beijing) Co., Ltd.</w:t>
      </w:r>
    </w:p>
    <w:p>
      <w:pPr>
        <w:sectPr>
          <w:pgSz w:w="11900" w:h="16870" w:orient="portrait"/>
          <w:cols w:equalWidth="0" w:num="1">
            <w:col w:w="11372"/>
          </w:cols>
          <w:pgMar w:left="248" w:top="125" w:right="279" w:bottom="0" w:gutter="0" w:footer="0" w:header="0"/>
        </w:sectPr>
      </w:pPr>
    </w:p>
    <w:bookmarkStart w:id="142" w:name="page143"/>
    <w:bookmarkEnd w:id="142"/>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ind w:left="1820"/>
              <w:spacing w:after="0"/>
              <w:rPr>
                <w:sz w:val="20"/>
                <w:szCs w:val="20"/>
                <w:color w:val="auto"/>
              </w:rPr>
            </w:pPr>
            <w:r>
              <w:rPr>
                <w:rFonts w:ascii="Arial" w:cs="Arial" w:eastAsia="Arial" w:hAnsi="Arial"/>
                <w:sz w:val="18"/>
                <w:szCs w:val="18"/>
                <w:color w:val="auto"/>
              </w:rPr>
              <w:t>Address:</w:t>
            </w:r>
          </w:p>
        </w:tc>
        <w:tc>
          <w:tcPr>
            <w:tcW w:w="8100" w:type="dxa"/>
            <w:vAlign w:val="bottom"/>
          </w:tcPr>
          <w:p>
            <w:pPr>
              <w:ind w:left="260"/>
              <w:spacing w:after="0"/>
              <w:rPr>
                <w:sz w:val="20"/>
                <w:szCs w:val="20"/>
                <w:color w:val="auto"/>
              </w:rPr>
            </w:pPr>
            <w:r>
              <w:rPr>
                <w:rFonts w:ascii="Arial" w:cs="Arial" w:eastAsia="Arial" w:hAnsi="Arial"/>
                <w:sz w:val="18"/>
                <w:szCs w:val="18"/>
                <w:color w:val="auto"/>
              </w:rPr>
              <w:t>Building No. 7, West Zone, Zhongguancun Software Park (Phase II),</w:t>
            </w:r>
          </w:p>
        </w:tc>
      </w:tr>
      <w:tr>
        <w:trPr>
          <w:trHeight w:val="230"/>
        </w:trPr>
        <w:tc>
          <w:tcPr>
            <w:tcW w:w="336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No.10 Xibeiwang East Road, Haidian District, Beijing, China</w:t>
            </w:r>
          </w:p>
        </w:tc>
      </w:tr>
      <w:tr>
        <w:trPr>
          <w:trHeight w:val="432"/>
        </w:trPr>
        <w:tc>
          <w:tcPr>
            <w:tcW w:w="3360" w:type="dxa"/>
            <w:vAlign w:val="bottom"/>
          </w:tcPr>
          <w:p>
            <w:pPr>
              <w:ind w:left="1820"/>
              <w:spacing w:after="0"/>
              <w:rPr>
                <w:sz w:val="20"/>
                <w:szCs w:val="20"/>
                <w:color w:val="auto"/>
              </w:rPr>
            </w:pPr>
            <w:r>
              <w:rPr>
                <w:rFonts w:ascii="Arial" w:cs="Arial" w:eastAsia="Arial" w:hAnsi="Arial"/>
                <w:sz w:val="18"/>
                <w:szCs w:val="18"/>
                <w:color w:val="auto"/>
              </w:rPr>
              <w:t>Fax:</w:t>
            </w:r>
          </w:p>
        </w:tc>
        <w:tc>
          <w:tcPr>
            <w:tcW w:w="8100" w:type="dxa"/>
            <w:vAlign w:val="bottom"/>
          </w:tcPr>
          <w:p>
            <w:pPr>
              <w:ind w:left="260"/>
              <w:spacing w:after="0"/>
              <w:rPr>
                <w:sz w:val="20"/>
                <w:szCs w:val="20"/>
                <w:color w:val="auto"/>
              </w:rPr>
            </w:pPr>
            <w:r>
              <w:rPr>
                <w:rFonts w:ascii="Arial" w:cs="Arial" w:eastAsia="Arial" w:hAnsi="Arial"/>
                <w:sz w:val="18"/>
                <w:szCs w:val="18"/>
                <w:color w:val="auto"/>
              </w:rPr>
              <w:t>(86) 010-82625163</w:t>
            </w:r>
          </w:p>
        </w:tc>
      </w:tr>
      <w:tr>
        <w:trPr>
          <w:trHeight w:val="432"/>
        </w:trPr>
        <w:tc>
          <w:tcPr>
            <w:tcW w:w="3360" w:type="dxa"/>
            <w:vAlign w:val="bottom"/>
          </w:tcPr>
          <w:p>
            <w:pPr>
              <w:ind w:left="1820"/>
              <w:spacing w:after="0"/>
              <w:rPr>
                <w:sz w:val="20"/>
                <w:szCs w:val="20"/>
                <w:color w:val="auto"/>
              </w:rPr>
            </w:pPr>
            <w:r>
              <w:rPr>
                <w:rFonts w:ascii="Arial" w:cs="Arial" w:eastAsia="Arial" w:hAnsi="Arial"/>
                <w:sz w:val="18"/>
                <w:szCs w:val="18"/>
                <w:color w:val="auto"/>
              </w:rPr>
              <w:t>Email:</w:t>
            </w:r>
          </w:p>
        </w:tc>
        <w:tc>
          <w:tcPr>
            <w:tcW w:w="8100" w:type="dxa"/>
            <w:vAlign w:val="bottom"/>
          </w:tcPr>
          <w:p>
            <w:pPr>
              <w:ind w:left="260"/>
              <w:spacing w:after="0"/>
              <w:rPr>
                <w:sz w:val="20"/>
                <w:szCs w:val="20"/>
                <w:color w:val="auto"/>
              </w:rPr>
            </w:pPr>
            <w:r>
              <w:rPr>
                <w:rFonts w:ascii="Arial" w:cs="Arial" w:eastAsia="Arial" w:hAnsi="Arial"/>
                <w:sz w:val="18"/>
                <w:szCs w:val="18"/>
                <w:color w:val="auto"/>
              </w:rPr>
              <w:t>ochoi@corp.netease.com</w:t>
            </w:r>
          </w:p>
        </w:tc>
      </w:tr>
      <w:tr>
        <w:trPr>
          <w:trHeight w:val="432"/>
        </w:trPr>
        <w:tc>
          <w:tcPr>
            <w:tcW w:w="3360" w:type="dxa"/>
            <w:vAlign w:val="bottom"/>
          </w:tcPr>
          <w:p>
            <w:pPr>
              <w:ind w:left="1820"/>
              <w:spacing w:after="0"/>
              <w:rPr>
                <w:sz w:val="20"/>
                <w:szCs w:val="20"/>
                <w:color w:val="auto"/>
              </w:rPr>
            </w:pPr>
            <w:r>
              <w:rPr>
                <w:rFonts w:ascii="Arial" w:cs="Arial" w:eastAsia="Arial" w:hAnsi="Arial"/>
                <w:sz w:val="18"/>
                <w:szCs w:val="18"/>
                <w:color w:val="auto"/>
              </w:rPr>
              <w:t>Attention:</w:t>
            </w:r>
          </w:p>
        </w:tc>
        <w:tc>
          <w:tcPr>
            <w:tcW w:w="8100" w:type="dxa"/>
            <w:vAlign w:val="bottom"/>
          </w:tcPr>
          <w:p>
            <w:pPr>
              <w:ind w:left="260"/>
              <w:spacing w:after="0"/>
              <w:rPr>
                <w:sz w:val="20"/>
                <w:szCs w:val="20"/>
                <w:color w:val="auto"/>
              </w:rPr>
            </w:pPr>
            <w:r>
              <w:rPr>
                <w:rFonts w:ascii="Arial" w:cs="Arial" w:eastAsia="Arial" w:hAnsi="Arial"/>
                <w:sz w:val="18"/>
                <w:szCs w:val="18"/>
                <w:color w:val="auto"/>
              </w:rPr>
              <w:t>Onward Choi</w:t>
            </w:r>
          </w:p>
        </w:tc>
      </w:tr>
      <w:tr>
        <w:trPr>
          <w:trHeight w:val="432"/>
        </w:trPr>
        <w:tc>
          <w:tcPr>
            <w:tcW w:w="3360" w:type="dxa"/>
            <w:vAlign w:val="bottom"/>
          </w:tcPr>
          <w:p>
            <w:pPr>
              <w:spacing w:after="0"/>
              <w:rPr>
                <w:sz w:val="24"/>
                <w:szCs w:val="24"/>
                <w:color w:val="auto"/>
              </w:rPr>
            </w:pPr>
          </w:p>
        </w:tc>
        <w:tc>
          <w:tcPr>
            <w:tcW w:w="8100" w:type="dxa"/>
            <w:vAlign w:val="bottom"/>
          </w:tcPr>
          <w:p>
            <w:pPr>
              <w:ind w:left="2300"/>
              <w:spacing w:after="0"/>
              <w:rPr>
                <w:sz w:val="20"/>
                <w:szCs w:val="20"/>
                <w:color w:val="auto"/>
              </w:rPr>
            </w:pPr>
            <w:r>
              <w:rPr>
                <w:rFonts w:ascii="Arial" w:cs="Arial" w:eastAsia="Arial" w:hAnsi="Arial"/>
                <w:sz w:val="18"/>
                <w:szCs w:val="18"/>
                <w:color w:val="auto"/>
              </w:rPr>
              <w:t>8</w:t>
            </w:r>
          </w:p>
        </w:tc>
      </w:tr>
      <w:tr>
        <w:trPr>
          <w:trHeight w:val="132"/>
        </w:trPr>
        <w:tc>
          <w:tcPr>
            <w:tcW w:w="3360" w:type="dxa"/>
            <w:vAlign w:val="bottom"/>
            <w:tcBorders>
              <w:bottom w:val="single" w:sz="8" w:color="808080"/>
            </w:tcBorders>
          </w:tcPr>
          <w:p>
            <w:pPr>
              <w:spacing w:after="0"/>
              <w:rPr>
                <w:sz w:val="11"/>
                <w:szCs w:val="11"/>
                <w:color w:val="auto"/>
              </w:rPr>
            </w:pPr>
          </w:p>
        </w:tc>
        <w:tc>
          <w:tcPr>
            <w:tcW w:w="8100" w:type="dxa"/>
            <w:vAlign w:val="bottom"/>
            <w:tcBorders>
              <w:bottom w:val="single" w:sz="8" w:color="808080"/>
            </w:tcBorders>
          </w:tcPr>
          <w:p>
            <w:pPr>
              <w:spacing w:after="0"/>
              <w:rPr>
                <w:sz w:val="11"/>
                <w:szCs w:val="11"/>
                <w:color w:val="auto"/>
              </w:rPr>
            </w:pPr>
          </w:p>
        </w:tc>
      </w:tr>
      <w:tr>
        <w:trPr>
          <w:trHeight w:val="780"/>
        </w:trPr>
        <w:tc>
          <w:tcPr>
            <w:tcW w:w="3360" w:type="dxa"/>
            <w:vAlign w:val="bottom"/>
          </w:tcPr>
          <w:p>
            <w:pPr>
              <w:ind w:left="660"/>
              <w:spacing w:after="0"/>
              <w:rPr>
                <w:sz w:val="20"/>
                <w:szCs w:val="20"/>
                <w:color w:val="auto"/>
              </w:rPr>
            </w:pPr>
            <w:r>
              <w:rPr>
                <w:rFonts w:ascii="Arial" w:cs="Arial" w:eastAsia="Arial" w:hAnsi="Arial"/>
                <w:sz w:val="18"/>
                <w:szCs w:val="18"/>
                <w:b w:val="1"/>
                <w:bCs w:val="1"/>
                <w:color w:val="auto"/>
              </w:rPr>
              <w:t>If to Pledgor: William Lei Ding</w:t>
            </w:r>
          </w:p>
        </w:tc>
        <w:tc>
          <w:tcPr>
            <w:tcW w:w="8100" w:type="dxa"/>
            <w:vAlign w:val="bottom"/>
          </w:tcPr>
          <w:p>
            <w:pPr>
              <w:spacing w:after="0"/>
              <w:rPr>
                <w:sz w:val="24"/>
                <w:szCs w:val="24"/>
                <w:color w:val="auto"/>
              </w:rPr>
            </w:pPr>
          </w:p>
        </w:tc>
      </w:tr>
      <w:tr>
        <w:trPr>
          <w:trHeight w:val="418"/>
        </w:trPr>
        <w:tc>
          <w:tcPr>
            <w:tcW w:w="3360" w:type="dxa"/>
            <w:vAlign w:val="bottom"/>
          </w:tcPr>
          <w:p>
            <w:pPr>
              <w:ind w:left="1820"/>
              <w:spacing w:after="0"/>
              <w:rPr>
                <w:sz w:val="20"/>
                <w:szCs w:val="20"/>
                <w:color w:val="auto"/>
              </w:rPr>
            </w:pPr>
            <w:r>
              <w:rPr>
                <w:rFonts w:ascii="Arial" w:cs="Arial" w:eastAsia="Arial" w:hAnsi="Arial"/>
                <w:sz w:val="18"/>
                <w:szCs w:val="18"/>
                <w:color w:val="auto"/>
              </w:rPr>
              <w:t>Address:</w:t>
            </w:r>
          </w:p>
        </w:tc>
        <w:tc>
          <w:tcPr>
            <w:tcW w:w="8100" w:type="dxa"/>
            <w:vAlign w:val="bottom"/>
          </w:tcPr>
          <w:p>
            <w:pPr>
              <w:ind w:left="260"/>
              <w:spacing w:after="0"/>
              <w:rPr>
                <w:sz w:val="20"/>
                <w:szCs w:val="20"/>
                <w:color w:val="auto"/>
              </w:rPr>
            </w:pPr>
            <w:r>
              <w:rPr>
                <w:rFonts w:ascii="Arial" w:cs="Arial" w:eastAsia="Arial" w:hAnsi="Arial"/>
                <w:sz w:val="18"/>
                <w:szCs w:val="18"/>
                <w:color w:val="auto"/>
              </w:rPr>
              <w:t>Room 6-401, A90, Shuguang Road, Jiangdong District,</w:t>
            </w:r>
          </w:p>
        </w:tc>
      </w:tr>
      <w:tr>
        <w:trPr>
          <w:trHeight w:val="230"/>
        </w:trPr>
        <w:tc>
          <w:tcPr>
            <w:tcW w:w="3360" w:type="dxa"/>
            <w:vAlign w:val="bottom"/>
          </w:tcPr>
          <w:p>
            <w:pPr>
              <w:spacing w:after="0"/>
              <w:rPr>
                <w:sz w:val="20"/>
                <w:szCs w:val="20"/>
                <w:color w:val="auto"/>
              </w:rPr>
            </w:pPr>
          </w:p>
        </w:tc>
        <w:tc>
          <w:tcPr>
            <w:tcW w:w="8100" w:type="dxa"/>
            <w:vAlign w:val="bottom"/>
          </w:tcPr>
          <w:p>
            <w:pPr>
              <w:ind w:left="260"/>
              <w:spacing w:after="0"/>
              <w:rPr>
                <w:sz w:val="20"/>
                <w:szCs w:val="20"/>
                <w:color w:val="auto"/>
              </w:rPr>
            </w:pPr>
            <w:r>
              <w:rPr>
                <w:rFonts w:ascii="Arial" w:cs="Arial" w:eastAsia="Arial" w:hAnsi="Arial"/>
                <w:sz w:val="18"/>
                <w:szCs w:val="18"/>
                <w:color w:val="auto"/>
              </w:rPr>
              <w:t>Ningbo, Zhejiang Province</w:t>
            </w:r>
          </w:p>
        </w:tc>
      </w:tr>
      <w:tr>
        <w:trPr>
          <w:trHeight w:val="432"/>
        </w:trPr>
        <w:tc>
          <w:tcPr>
            <w:tcW w:w="3360" w:type="dxa"/>
            <w:vAlign w:val="bottom"/>
          </w:tcPr>
          <w:p>
            <w:pPr>
              <w:ind w:left="1820"/>
              <w:spacing w:after="0"/>
              <w:rPr>
                <w:sz w:val="20"/>
                <w:szCs w:val="20"/>
                <w:color w:val="auto"/>
              </w:rPr>
            </w:pPr>
            <w:r>
              <w:rPr>
                <w:rFonts w:ascii="Arial" w:cs="Arial" w:eastAsia="Arial" w:hAnsi="Arial"/>
                <w:sz w:val="18"/>
                <w:szCs w:val="18"/>
                <w:color w:val="auto"/>
              </w:rPr>
              <w:t>Fax:</w:t>
            </w:r>
          </w:p>
        </w:tc>
        <w:tc>
          <w:tcPr>
            <w:tcW w:w="8100" w:type="dxa"/>
            <w:vAlign w:val="bottom"/>
          </w:tcPr>
          <w:p>
            <w:pPr>
              <w:ind w:left="260"/>
              <w:spacing w:after="0"/>
              <w:rPr>
                <w:sz w:val="20"/>
                <w:szCs w:val="20"/>
                <w:color w:val="auto"/>
              </w:rPr>
            </w:pPr>
            <w:r>
              <w:rPr>
                <w:rFonts w:ascii="Arial" w:cs="Arial" w:eastAsia="Arial" w:hAnsi="Arial"/>
                <w:sz w:val="18"/>
                <w:szCs w:val="18"/>
                <w:color w:val="auto"/>
              </w:rPr>
              <w:t>0571-89852163</w:t>
            </w:r>
          </w:p>
        </w:tc>
      </w:tr>
      <w:tr>
        <w:trPr>
          <w:trHeight w:val="432"/>
        </w:trPr>
        <w:tc>
          <w:tcPr>
            <w:tcW w:w="3360" w:type="dxa"/>
            <w:vAlign w:val="bottom"/>
          </w:tcPr>
          <w:p>
            <w:pPr>
              <w:ind w:left="1820"/>
              <w:spacing w:after="0"/>
              <w:rPr>
                <w:sz w:val="20"/>
                <w:szCs w:val="20"/>
                <w:color w:val="auto"/>
              </w:rPr>
            </w:pPr>
            <w:r>
              <w:rPr>
                <w:rFonts w:ascii="Arial" w:cs="Arial" w:eastAsia="Arial" w:hAnsi="Arial"/>
                <w:sz w:val="18"/>
                <w:szCs w:val="18"/>
                <w:color w:val="auto"/>
              </w:rPr>
              <w:t>Email:</w:t>
            </w:r>
          </w:p>
        </w:tc>
        <w:tc>
          <w:tcPr>
            <w:tcW w:w="8100" w:type="dxa"/>
            <w:vAlign w:val="bottom"/>
          </w:tcPr>
          <w:p>
            <w:pPr>
              <w:ind w:left="260"/>
              <w:spacing w:after="0"/>
              <w:rPr>
                <w:sz w:val="20"/>
                <w:szCs w:val="20"/>
                <w:color w:val="auto"/>
              </w:rPr>
            </w:pPr>
            <w:r>
              <w:rPr>
                <w:rFonts w:ascii="Arial" w:cs="Arial" w:eastAsia="Arial" w:hAnsi="Arial"/>
                <w:sz w:val="18"/>
                <w:szCs w:val="18"/>
                <w:color w:val="auto"/>
              </w:rPr>
              <w:t>wding@corp.netease.com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640" w:hanging="632"/>
        <w:spacing w:after="0"/>
        <w:tabs>
          <w:tab w:leader="none" w:pos="64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60" w:right="1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300" w:right="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12.1. The formation, validity, interpretation, performance, amendment, termination and dispute resolution of this Agreement shall be governed by PRC Law.</w:t>
      </w:r>
    </w:p>
    <w:p>
      <w:pPr>
        <w:spacing w:after="0" w:line="170" w:lineRule="exact"/>
        <w:rPr>
          <w:rFonts w:ascii="Arial" w:cs="Arial" w:eastAsia="Arial" w:hAnsi="Arial"/>
          <w:sz w:val="18"/>
          <w:szCs w:val="18"/>
          <w:b w:val="1"/>
          <w:bCs w:val="1"/>
          <w:color w:val="auto"/>
        </w:rPr>
      </w:pPr>
    </w:p>
    <w:p>
      <w:pPr>
        <w:ind w:left="1300" w:right="80" w:hanging="648"/>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12.2. 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560" w:hanging="647"/>
        <w:spacing w:after="0" w:line="308" w:lineRule="auto"/>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3" w:lineRule="exact"/>
        <w:rPr>
          <w:sz w:val="20"/>
          <w:szCs w:val="20"/>
          <w:color w:val="auto"/>
        </w:rPr>
      </w:pPr>
    </w:p>
    <w:p>
      <w:pPr>
        <w:ind w:left="660" w:hanging="652"/>
        <w:spacing w:after="0"/>
        <w:tabs>
          <w:tab w:leader="none" w:pos="6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300" w:right="18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13.1. The Pledgee may, upon notice to the Pledgor but without the Pledgor’s consent, assign the Pledgee’s rights and/or obligations hereunder to any third party. In the event of an assignment by the Pledgee hereunder, the Pledgor shall, at the request of the Pledgee, execute a new pledge agreement with the assignee on the same terms and conditions as this Agreement and register such change with the SAIC. The Pledgor may not, without the Pledgee’s prior written consent, assign any of the Pledgor’s rights, obligations and/or liabilities hereunder to any third party. Successors or permitted assignees (if any) of the Pledgor shall be bound by, and continue to perform, the obligations of the Pledgor under this Agreement.</w:t>
      </w:r>
    </w:p>
    <w:p>
      <w:pPr>
        <w:spacing w:after="0" w:line="193" w:lineRule="exact"/>
        <w:rPr>
          <w:rFonts w:ascii="Arial" w:cs="Arial" w:eastAsia="Arial" w:hAnsi="Arial"/>
          <w:sz w:val="18"/>
          <w:szCs w:val="18"/>
          <w:b w:val="1"/>
          <w:bCs w:val="1"/>
          <w:color w:val="auto"/>
        </w:rPr>
      </w:pPr>
    </w:p>
    <w:p>
      <w:pPr>
        <w:ind w:left="1300" w:right="1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13.2. The amount of Secured Debts determined by the Pledgee in exercising its rights over the Pledged Equity in accordance with the provisions contained herein shall be conclusive evidence of the amount of the Secured Debts hereunder.</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13.3.   This Agreement may not be amended or modified in any manner except by an instrument in writing signed by the Parties hereto.</w:t>
      </w:r>
    </w:p>
    <w:p>
      <w:pPr>
        <w:spacing w:after="0" w:line="225" w:lineRule="exact"/>
        <w:rPr>
          <w:rFonts w:ascii="Arial" w:cs="Arial" w:eastAsia="Arial" w:hAnsi="Arial"/>
          <w:sz w:val="18"/>
          <w:szCs w:val="18"/>
          <w:b w:val="1"/>
          <w:bCs w:val="1"/>
          <w:color w:val="auto"/>
        </w:rPr>
      </w:pPr>
    </w:p>
    <w:p>
      <w:pPr>
        <w:jc w:val="right"/>
        <w:ind w:left="1300" w:right="180" w:hanging="648"/>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13.4.   No waiver of any provision of this Agreement shall be effective unless made in writing and signed by the Parties. The waiver by any Party of a breach of any provision of this Agreement shall not operate or be construed as a waiver of any preceding or succeeding breach and no</w:t>
      </w:r>
    </w:p>
    <w:p>
      <w:pPr>
        <w:sectPr>
          <w:pgSz w:w="11900" w:h="16975" w:orient="portrait"/>
          <w:cols w:equalWidth="0" w:num="1">
            <w:col w:w="11460"/>
          </w:cols>
          <w:pgMar w:left="240" w:top="341" w:right="199" w:bottom="0" w:gutter="0" w:footer="0" w:header="0"/>
        </w:sectPr>
      </w:pPr>
    </w:p>
    <w:bookmarkStart w:id="143" w:name="page144"/>
    <w:bookmarkEnd w:id="143"/>
    <w:p>
      <w:pPr>
        <w:ind w:left="1300" w:right="80"/>
        <w:spacing w:after="0" w:line="277" w:lineRule="auto"/>
        <w:rPr>
          <w:sz w:val="20"/>
          <w:szCs w:val="20"/>
          <w:color w:val="auto"/>
        </w:rPr>
      </w:pPr>
      <w:r>
        <w:rPr>
          <w:rFonts w:ascii="Arial" w:cs="Arial" w:eastAsia="Arial" w:hAnsi="Arial"/>
          <w:sz w:val="18"/>
          <w:szCs w:val="18"/>
          <w:color w:val="auto"/>
        </w:rPr>
        <w:t>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70" w:lineRule="exact"/>
        <w:rPr>
          <w:sz w:val="20"/>
          <w:szCs w:val="20"/>
          <w:color w:val="auto"/>
        </w:rPr>
      </w:pPr>
    </w:p>
    <w:p>
      <w:pPr>
        <w:ind w:left="1300" w:right="60" w:hanging="647"/>
        <w:spacing w:after="0" w:line="291" w:lineRule="auto"/>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In the event the Registration Version is used for the purposes of the Registration of the Equity Pledge, the Parties agree that, to the extent there is any discrepancy between this Agreement and the Registration Version and/or to the extent any contents of this Agreement supplement the Registration Version, this Agreement shall prevail. 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 and the Parties will negotiate in good faith to amend this Agreement with respect to the unenforceable provision to replace it with an enforceable provision which as closely as possible reflects the intent of the Parties.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180" w:hanging="647"/>
        <w:spacing w:after="0" w:line="258" w:lineRule="auto"/>
        <w:tabs>
          <w:tab w:leader="none" w:pos="1280" w:val="left"/>
        </w:tabs>
        <w:rPr>
          <w:sz w:val="20"/>
          <w:szCs w:val="20"/>
          <w:color w:val="auto"/>
        </w:rPr>
      </w:pPr>
      <w:r>
        <w:rPr>
          <w:rFonts w:ascii="Arial" w:cs="Arial" w:eastAsia="Arial" w:hAnsi="Arial"/>
          <w:sz w:val="18"/>
          <w:szCs w:val="18"/>
          <w:color w:val="auto"/>
        </w:rPr>
        <w:t>13.6.</w:t>
        <w:tab/>
        <w:t>Upon the execution of this Agreement, the Pledgor shall enter into a power of attorney (the “</w:t>
      </w:r>
      <w:r>
        <w:rPr>
          <w:rFonts w:ascii="Arial" w:cs="Arial" w:eastAsia="Arial" w:hAnsi="Arial"/>
          <w:sz w:val="18"/>
          <w:szCs w:val="18"/>
          <w:b w:val="1"/>
          <w:bCs w:val="1"/>
          <w:color w:val="auto"/>
        </w:rPr>
        <w:t>Power of Attorney</w:t>
      </w:r>
      <w:r>
        <w:rPr>
          <w:rFonts w:ascii="Arial" w:cs="Arial" w:eastAsia="Arial" w:hAnsi="Arial"/>
          <w:sz w:val="18"/>
          <w:szCs w:val="18"/>
          <w:color w:val="auto"/>
        </w:rPr>
        <w:t xml:space="preserve">”, the form of which is set forth in </w:t>
      </w:r>
      <w:r>
        <w:rPr>
          <w:rFonts w:ascii="Arial" w:cs="Arial" w:eastAsia="Arial" w:hAnsi="Arial"/>
          <w:sz w:val="18"/>
          <w:szCs w:val="18"/>
          <w:u w:val="single" w:color="auto"/>
          <w:color w:val="auto"/>
        </w:rPr>
        <w:t>Appendix II</w:t>
      </w:r>
      <w:r>
        <w:rPr>
          <w:rFonts w:ascii="Arial" w:cs="Arial" w:eastAsia="Arial" w:hAnsi="Arial"/>
          <w:sz w:val="18"/>
          <w:szCs w:val="18"/>
          <w:color w:val="auto"/>
        </w:rPr>
        <w:t xml:space="preserve"> attached hereto) to authorize a person acceptable to the Pledgee to sign, on behalf of the Pledgor and according to this Agreement, any and all legal documents necessary for the exercise of the Pledgee’s rights hereunder. Such Power of Attorney shall be delivered to the Pledgee and the Pledgee may, at any time if necessary, require the Pledgor to execute multiple copies of the Power of Attorney and deliver the same to the relevant government authority.</w:t>
      </w:r>
    </w:p>
    <w:p>
      <w:pPr>
        <w:spacing w:after="0" w:line="188" w:lineRule="exact"/>
        <w:rPr>
          <w:sz w:val="20"/>
          <w:szCs w:val="20"/>
          <w:color w:val="auto"/>
        </w:rPr>
      </w:pPr>
    </w:p>
    <w:p>
      <w:pPr>
        <w:ind w:left="1300" w:right="60" w:hanging="647"/>
        <w:spacing w:after="0" w:line="290" w:lineRule="auto"/>
        <w:tabs>
          <w:tab w:leader="none" w:pos="12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Each Party shall use all reasonable efforts to do and perform, or cause to be done and performed, all such further acts and things and shall execute and deliver all such other agreements, certificates, instruments and documents as may be necessary or desirable to give effect to the terms and intent of this Agreement and any ancillary documents. If required under any applicable law, regulations or listing rules or required or deemed desirable by any stock exchange, government or other regulatory authority having competent jurisdiction over the Parties or their affiliates (the “</w:t>
      </w:r>
      <w:r>
        <w:rPr>
          <w:rFonts w:ascii="Arial" w:cs="Arial" w:eastAsia="Arial" w:hAnsi="Arial"/>
          <w:sz w:val="16"/>
          <w:szCs w:val="16"/>
          <w:b w:val="1"/>
          <w:bCs w:val="1"/>
          <w:color w:val="auto"/>
        </w:rPr>
        <w:t>Applicable Requirements</w:t>
      </w:r>
      <w:r>
        <w:rPr>
          <w:rFonts w:ascii="Arial" w:cs="Arial" w:eastAsia="Arial" w:hAnsi="Arial"/>
          <w:sz w:val="16"/>
          <w:szCs w:val="16"/>
          <w:color w:val="auto"/>
        </w:rPr>
        <w:t>”), the Pledgor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three (3) Business Days from demand by the Pledgee.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ind w:left="5720"/>
              <w:spacing w:after="0"/>
              <w:rPr>
                <w:sz w:val="20"/>
                <w:szCs w:val="20"/>
                <w:color w:val="auto"/>
              </w:rPr>
            </w:pPr>
            <w:r>
              <w:rPr>
                <w:rFonts w:ascii="Arial" w:cs="Arial" w:eastAsia="Arial" w:hAnsi="Arial"/>
                <w:sz w:val="18"/>
                <w:szCs w:val="18"/>
                <w:b w:val="1"/>
                <w:bCs w:val="1"/>
                <w:color w:val="auto"/>
              </w:rPr>
              <w:t>Pledgee:</w:t>
            </w:r>
          </w:p>
        </w:tc>
        <w:tc>
          <w:tcPr>
            <w:tcW w:w="4660" w:type="dxa"/>
            <w:vAlign w:val="bottom"/>
          </w:tcPr>
          <w:p>
            <w:pPr>
              <w:spacing w:after="0"/>
              <w:rPr>
                <w:sz w:val="20"/>
                <w:szCs w:val="20"/>
                <w:color w:val="auto"/>
              </w:rPr>
            </w:pPr>
            <w:r>
              <w:rPr>
                <w:rFonts w:ascii="Arial" w:cs="Arial" w:eastAsia="Arial" w:hAnsi="Arial"/>
                <w:sz w:val="18"/>
                <w:szCs w:val="18"/>
                <w:b w:val="1"/>
                <w:bCs w:val="1"/>
                <w:color w:val="auto"/>
              </w:rPr>
              <w:t>NetEase Media Technology (Beijing) Co.,</w:t>
            </w:r>
          </w:p>
        </w:tc>
        <w:tc>
          <w:tcPr>
            <w:tcW w:w="40" w:type="dxa"/>
            <w:vAlign w:val="bottom"/>
          </w:tcPr>
          <w:p>
            <w:pPr>
              <w:spacing w:after="0"/>
              <w:rPr>
                <w:sz w:val="18"/>
                <w:szCs w:val="18"/>
                <w:color w:val="auto"/>
              </w:rPr>
            </w:pPr>
          </w:p>
        </w:tc>
      </w:tr>
      <w:tr>
        <w:trPr>
          <w:trHeight w:val="234"/>
        </w:trPr>
        <w:tc>
          <w:tcPr>
            <w:tcW w:w="67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Ltd.</w:t>
            </w:r>
          </w:p>
        </w:tc>
        <w:tc>
          <w:tcPr>
            <w:tcW w:w="40" w:type="dxa"/>
            <w:vAlign w:val="bottom"/>
          </w:tcPr>
          <w:p>
            <w:pPr>
              <w:spacing w:after="0"/>
              <w:rPr>
                <w:sz w:val="20"/>
                <w:szCs w:val="20"/>
                <w:color w:val="auto"/>
              </w:rPr>
            </w:pPr>
          </w:p>
        </w:tc>
      </w:tr>
      <w:tr>
        <w:trPr>
          <w:trHeight w:val="432"/>
        </w:trPr>
        <w:tc>
          <w:tcPr>
            <w:tcW w:w="676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(Seal)</w:t>
            </w:r>
          </w:p>
        </w:tc>
        <w:tc>
          <w:tcPr>
            <w:tcW w:w="40" w:type="dxa"/>
            <w:vAlign w:val="bottom"/>
          </w:tcPr>
          <w:p>
            <w:pPr>
              <w:spacing w:after="0"/>
              <w:rPr>
                <w:sz w:val="24"/>
                <w:szCs w:val="24"/>
                <w:color w:val="auto"/>
              </w:rPr>
            </w:pPr>
          </w:p>
        </w:tc>
      </w:tr>
      <w:tr>
        <w:trPr>
          <w:trHeight w:val="648"/>
        </w:trPr>
        <w:tc>
          <w:tcPr>
            <w:tcW w:w="6760" w:type="dxa"/>
            <w:vAlign w:val="bottom"/>
          </w:tcPr>
          <w:p>
            <w:pPr>
              <w:ind w:left="5720"/>
              <w:spacing w:after="0"/>
              <w:rPr>
                <w:sz w:val="20"/>
                <w:szCs w:val="20"/>
                <w:color w:val="auto"/>
              </w:rPr>
            </w:pPr>
            <w:r>
              <w:rPr>
                <w:rFonts w:ascii="Arial" w:cs="Arial" w:eastAsia="Arial" w:hAnsi="Arial"/>
                <w:sz w:val="18"/>
                <w:szCs w:val="18"/>
                <w:b w:val="1"/>
                <w:bCs w:val="1"/>
                <w:color w:val="auto"/>
              </w:rPr>
              <w:t>Pledgor:</w:t>
            </w:r>
          </w:p>
        </w:tc>
        <w:tc>
          <w:tcPr>
            <w:tcW w:w="4660" w:type="dxa"/>
            <w:vAlign w:val="bottom"/>
          </w:tcPr>
          <w:p>
            <w:pPr>
              <w:spacing w:after="0"/>
              <w:rPr>
                <w:sz w:val="20"/>
                <w:szCs w:val="20"/>
                <w:color w:val="auto"/>
              </w:rPr>
            </w:pPr>
            <w:r>
              <w:rPr>
                <w:rFonts w:ascii="Arial" w:cs="Arial" w:eastAsia="Arial" w:hAnsi="Arial"/>
                <w:sz w:val="18"/>
                <w:szCs w:val="18"/>
                <w:b w:val="1"/>
                <w:bCs w:val="1"/>
                <w:color w:val="auto"/>
              </w:rPr>
              <w:t>William Lei Ding</w:t>
            </w:r>
          </w:p>
        </w:tc>
        <w:tc>
          <w:tcPr>
            <w:tcW w:w="40" w:type="dxa"/>
            <w:vAlign w:val="bottom"/>
          </w:tcPr>
          <w:p>
            <w:pPr>
              <w:spacing w:after="0"/>
              <w:rPr>
                <w:sz w:val="24"/>
                <w:szCs w:val="24"/>
                <w:color w:val="auto"/>
              </w:rPr>
            </w:pPr>
          </w:p>
        </w:tc>
      </w:tr>
      <w:tr>
        <w:trPr>
          <w:trHeight w:val="432"/>
        </w:trPr>
        <w:tc>
          <w:tcPr>
            <w:tcW w:w="6760" w:type="dxa"/>
            <w:vAlign w:val="bottom"/>
          </w:tcPr>
          <w:p>
            <w:pPr>
              <w:spacing w:after="0"/>
              <w:rPr>
                <w:sz w:val="24"/>
                <w:szCs w:val="24"/>
                <w:color w:val="auto"/>
              </w:rPr>
            </w:pP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40" w:type="dxa"/>
            <w:vAlign w:val="bottom"/>
          </w:tcPr>
          <w:p>
            <w:pPr>
              <w:spacing w:after="0"/>
              <w:rPr>
                <w:sz w:val="24"/>
                <w:szCs w:val="24"/>
                <w:color w:val="auto"/>
              </w:rPr>
            </w:pPr>
          </w:p>
        </w:tc>
      </w:tr>
      <w:tr>
        <w:trPr>
          <w:trHeight w:val="341"/>
        </w:trPr>
        <w:tc>
          <w:tcPr>
            <w:tcW w:w="6760" w:type="dxa"/>
            <w:vAlign w:val="bottom"/>
            <w:tcBorders>
              <w:bottom w:val="single" w:sz="8" w:color="808080"/>
            </w:tcBorders>
          </w:tcPr>
          <w:p>
            <w:pPr>
              <w:spacing w:after="0"/>
              <w:rPr>
                <w:sz w:val="24"/>
                <w:szCs w:val="24"/>
                <w:color w:val="auto"/>
              </w:rPr>
            </w:pPr>
          </w:p>
        </w:tc>
        <w:tc>
          <w:tcPr>
            <w:tcW w:w="4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180" w:type="dxa"/>
            <w:vAlign w:val="bottom"/>
            <w:gridSpan w:val="2"/>
          </w:tcPr>
          <w:p>
            <w:pPr>
              <w:jc w:val="center"/>
              <w:ind w:right="5320"/>
              <w:spacing w:after="0"/>
              <w:rPr>
                <w:sz w:val="20"/>
                <w:szCs w:val="20"/>
                <w:color w:val="auto"/>
              </w:rPr>
            </w:pPr>
            <w:r>
              <w:rPr>
                <w:rFonts w:ascii="Arial" w:cs="Arial" w:eastAsia="Arial" w:hAnsi="Arial"/>
                <w:sz w:val="18"/>
                <w:szCs w:val="18"/>
                <w:b w:val="1"/>
                <w:bCs w:val="1"/>
                <w:color w:val="auto"/>
                <w:w w:val="93"/>
              </w:rPr>
              <w:t>Appendix I</w:t>
            </w:r>
          </w:p>
        </w:tc>
      </w:tr>
      <w:tr>
        <w:trPr>
          <w:trHeight w:val="20"/>
        </w:trPr>
        <w:tc>
          <w:tcPr>
            <w:tcW w:w="2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53"/>
        </w:trPr>
        <w:tc>
          <w:tcPr>
            <w:tcW w:w="2160" w:type="dxa"/>
            <w:vAlign w:val="bottom"/>
          </w:tcPr>
          <w:p>
            <w:pPr>
              <w:spacing w:after="0"/>
              <w:rPr>
                <w:sz w:val="24"/>
                <w:szCs w:val="24"/>
                <w:color w:val="auto"/>
              </w:rPr>
            </w:pPr>
          </w:p>
        </w:tc>
        <w:tc>
          <w:tcPr>
            <w:tcW w:w="930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90"/>
              </w:rPr>
              <w:t>Basic Information of the Domestic Company</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Company Name:</w:t>
            </w: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Beijing Guangyitong Advertising Co., Ltd.</w:t>
            </w:r>
          </w:p>
        </w:tc>
      </w:tr>
      <w:tr>
        <w:trPr>
          <w:trHeight w:val="418"/>
        </w:trPr>
        <w:tc>
          <w:tcPr>
            <w:tcW w:w="2160" w:type="dxa"/>
            <w:vAlign w:val="bottom"/>
          </w:tcPr>
          <w:p>
            <w:pPr>
              <w:spacing w:after="0"/>
              <w:rPr>
                <w:sz w:val="20"/>
                <w:szCs w:val="20"/>
                <w:color w:val="auto"/>
              </w:rPr>
            </w:pPr>
            <w:r>
              <w:rPr>
                <w:rFonts w:ascii="Arial" w:cs="Arial" w:eastAsia="Arial" w:hAnsi="Arial"/>
                <w:sz w:val="18"/>
                <w:szCs w:val="18"/>
                <w:color w:val="auto"/>
              </w:rPr>
              <w:t>Registered Address:</w:t>
            </w: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Room F112,-1/F, Tower 5th, YongDingMenWai Street NO.86,</w:t>
            </w:r>
          </w:p>
        </w:tc>
      </w:tr>
      <w:tr>
        <w:trPr>
          <w:trHeight w:val="230"/>
        </w:trPr>
        <w:tc>
          <w:tcPr>
            <w:tcW w:w="2160" w:type="dxa"/>
            <w:vAlign w:val="bottom"/>
          </w:tcPr>
          <w:p>
            <w:pPr>
              <w:spacing w:after="0"/>
              <w:rPr>
                <w:sz w:val="20"/>
                <w:szCs w:val="20"/>
                <w:color w:val="auto"/>
              </w:rPr>
            </w:pP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Dongcheng District, Beijing</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Registered Capital:</w:t>
            </w: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RMB 10,000,000</w:t>
            </w:r>
          </w:p>
        </w:tc>
      </w:tr>
      <w:tr>
        <w:trPr>
          <w:trHeight w:val="418"/>
        </w:trPr>
        <w:tc>
          <w:tcPr>
            <w:tcW w:w="2160" w:type="dxa"/>
            <w:vAlign w:val="bottom"/>
          </w:tcPr>
          <w:p>
            <w:pPr>
              <w:spacing w:after="0"/>
              <w:rPr>
                <w:sz w:val="20"/>
                <w:szCs w:val="20"/>
                <w:color w:val="auto"/>
              </w:rPr>
            </w:pPr>
            <w:r>
              <w:rPr>
                <w:rFonts w:ascii="Arial" w:cs="Arial" w:eastAsia="Arial" w:hAnsi="Arial"/>
                <w:sz w:val="18"/>
                <w:szCs w:val="18"/>
                <w:color w:val="auto"/>
              </w:rPr>
              <w:t>Equity Structure:</w:t>
            </w: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William Lei Ding — 99%</w:t>
            </w:r>
          </w:p>
        </w:tc>
      </w:tr>
      <w:tr>
        <w:trPr>
          <w:trHeight w:val="230"/>
        </w:trPr>
        <w:tc>
          <w:tcPr>
            <w:tcW w:w="2160" w:type="dxa"/>
            <w:vAlign w:val="bottom"/>
          </w:tcPr>
          <w:p>
            <w:pPr>
              <w:spacing w:after="0"/>
              <w:rPr>
                <w:sz w:val="20"/>
                <w:szCs w:val="20"/>
                <w:color w:val="auto"/>
              </w:rPr>
            </w:pP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Li Li — 1%</w:t>
            </w:r>
          </w:p>
        </w:tc>
      </w:tr>
      <w:tr>
        <w:trPr>
          <w:trHeight w:val="348"/>
        </w:trPr>
        <w:tc>
          <w:tcPr>
            <w:tcW w:w="21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560" w:type="dxa"/>
            <w:vAlign w:val="bottom"/>
            <w:gridSpan w:val="2"/>
          </w:tcPr>
          <w:p>
            <w:pPr>
              <w:jc w:val="center"/>
              <w:ind w:right="2620"/>
              <w:spacing w:after="0"/>
              <w:rPr>
                <w:sz w:val="20"/>
                <w:szCs w:val="20"/>
                <w:color w:val="auto"/>
              </w:rPr>
            </w:pPr>
            <w:r>
              <w:rPr>
                <w:rFonts w:ascii="Arial" w:cs="Arial" w:eastAsia="Arial" w:hAnsi="Arial"/>
                <w:sz w:val="18"/>
                <w:szCs w:val="18"/>
                <w:b w:val="1"/>
                <w:bCs w:val="1"/>
                <w:color w:val="auto"/>
                <w:w w:val="96"/>
              </w:rPr>
              <w:t>Appendix II</w:t>
            </w:r>
          </w:p>
        </w:tc>
        <w:tc>
          <w:tcPr>
            <w:tcW w:w="250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53"/>
        </w:trPr>
        <w:tc>
          <w:tcPr>
            <w:tcW w:w="3860" w:type="dxa"/>
            <w:vAlign w:val="bottom"/>
          </w:tcPr>
          <w:p>
            <w:pPr>
              <w:spacing w:after="0"/>
              <w:rPr>
                <w:sz w:val="24"/>
                <w:szCs w:val="24"/>
                <w:color w:val="auto"/>
              </w:rPr>
            </w:pPr>
          </w:p>
        </w:tc>
        <w:tc>
          <w:tcPr>
            <w:tcW w:w="494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1"/>
              </w:rPr>
              <w:t>Power of Attorney</w:t>
            </w:r>
          </w:p>
        </w:tc>
        <w:tc>
          <w:tcPr>
            <w:tcW w:w="2500" w:type="dxa"/>
            <w:vAlign w:val="bottom"/>
          </w:tcPr>
          <w:p>
            <w:pPr>
              <w:spacing w:after="0"/>
              <w:rPr>
                <w:sz w:val="24"/>
                <w:szCs w:val="24"/>
                <w:color w:val="auto"/>
              </w:rPr>
            </w:pPr>
          </w:p>
        </w:tc>
      </w:tr>
      <w:tr>
        <w:trPr>
          <w:trHeight w:val="418"/>
        </w:trPr>
        <w:tc>
          <w:tcPr>
            <w:tcW w:w="3860" w:type="dxa"/>
            <w:vAlign w:val="bottom"/>
          </w:tcPr>
          <w:p>
            <w:pPr>
              <w:spacing w:after="0"/>
              <w:rPr>
                <w:sz w:val="20"/>
                <w:szCs w:val="20"/>
                <w:color w:val="auto"/>
              </w:rPr>
            </w:pPr>
            <w:r>
              <w:rPr>
                <w:rFonts w:ascii="Arial" w:cs="Arial" w:eastAsia="Arial" w:hAnsi="Arial"/>
                <w:sz w:val="18"/>
                <w:szCs w:val="18"/>
                <w:color w:val="auto"/>
              </w:rPr>
              <w:t>I, William Lei Ding, hereby irrevocably entrust</w:t>
            </w:r>
          </w:p>
        </w:tc>
        <w:tc>
          <w:tcPr>
            <w:tcW w:w="7440" w:type="dxa"/>
            <w:vAlign w:val="bottom"/>
            <w:gridSpan w:val="4"/>
          </w:tcPr>
          <w:p>
            <w:pPr>
              <w:ind w:left="440"/>
              <w:spacing w:after="0"/>
              <w:rPr>
                <w:sz w:val="20"/>
                <w:szCs w:val="20"/>
                <w:color w:val="auto"/>
              </w:rPr>
            </w:pPr>
            <w:r>
              <w:rPr>
                <w:rFonts w:ascii="Arial" w:cs="Arial" w:eastAsia="Arial" w:hAnsi="Arial"/>
                <w:sz w:val="18"/>
                <w:szCs w:val="18"/>
                <w:color w:val="auto"/>
                <w:w w:val="97"/>
              </w:rPr>
              <w:t>as my authorized representative, to sign all legal documents necessary for NetEase Media</w:t>
            </w:r>
          </w:p>
        </w:tc>
      </w:tr>
      <w:tr>
        <w:trPr>
          <w:trHeight w:val="216"/>
        </w:trPr>
        <w:tc>
          <w:tcPr>
            <w:tcW w:w="8800" w:type="dxa"/>
            <w:vAlign w:val="bottom"/>
            <w:gridSpan w:val="4"/>
          </w:tcPr>
          <w:p>
            <w:pPr>
              <w:spacing w:after="0"/>
              <w:rPr>
                <w:sz w:val="20"/>
                <w:szCs w:val="20"/>
                <w:color w:val="auto"/>
              </w:rPr>
            </w:pPr>
            <w:r>
              <w:rPr>
                <w:rFonts w:ascii="Arial" w:cs="Arial" w:eastAsia="Arial" w:hAnsi="Arial"/>
                <w:sz w:val="18"/>
                <w:szCs w:val="18"/>
                <w:color w:val="auto"/>
                <w:w w:val="93"/>
              </w:rPr>
              <w:t>Technology (Beijing) Co., Ltd. as the pledgee to exercise its rights under the Equity Pledge Agreement entered into on</w:t>
            </w:r>
          </w:p>
        </w:tc>
        <w:tc>
          <w:tcPr>
            <w:tcW w:w="2500" w:type="dxa"/>
            <w:vAlign w:val="bottom"/>
          </w:tcPr>
          <w:p>
            <w:pPr>
              <w:ind w:left="280"/>
              <w:spacing w:after="0"/>
              <w:rPr>
                <w:sz w:val="20"/>
                <w:szCs w:val="20"/>
                <w:color w:val="auto"/>
              </w:rPr>
            </w:pPr>
            <w:r>
              <w:rPr>
                <w:rFonts w:ascii="Arial" w:cs="Arial" w:eastAsia="Arial" w:hAnsi="Arial"/>
                <w:sz w:val="18"/>
                <w:szCs w:val="18"/>
                <w:color w:val="auto"/>
                <w:w w:val="91"/>
              </w:rPr>
              <w:t>, 20  by and between NetEase</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Media Technology (Beijing) Co., Ltd. and me.</w:t>
            </w: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500" w:type="dxa"/>
            <w:vAlign w:val="bottom"/>
          </w:tcPr>
          <w:p>
            <w:pPr>
              <w:spacing w:after="0"/>
              <w:rPr>
                <w:sz w:val="20"/>
                <w:szCs w:val="20"/>
                <w:color w:val="auto"/>
              </w:rPr>
            </w:pPr>
          </w:p>
        </w:tc>
      </w:tr>
    </w:tbl>
    <w:p>
      <w:pPr>
        <w:sectPr>
          <w:pgSz w:w="11900" w:h="16838" w:orient="portrait"/>
          <w:cols w:equalWidth="0" w:num="1">
            <w:col w:w="11460"/>
          </w:cols>
          <w:pgMar w:left="240" w:top="125" w:right="199" w:bottom="0" w:gutter="0" w:footer="0" w:header="0"/>
        </w:sectPr>
      </w:pPr>
    </w:p>
    <w:bookmarkStart w:id="144" w:name="page145"/>
    <w:bookmarkEnd w:id="144"/>
    <w:p>
      <w:pPr>
        <w:ind w:left="4520"/>
        <w:spacing w:after="0"/>
        <w:rPr>
          <w:sz w:val="20"/>
          <w:szCs w:val="20"/>
          <w:color w:val="auto"/>
        </w:rPr>
      </w:pPr>
      <w:r>
        <w:rPr>
          <w:rFonts w:ascii="Arial" w:cs="Arial" w:eastAsia="Arial" w:hAnsi="Arial"/>
          <w:sz w:val="16"/>
          <w:szCs w:val="16"/>
          <w:b w:val="1"/>
          <w:bCs w:val="1"/>
          <w:color w:val="auto"/>
        </w:rPr>
        <w:t>Signature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31750</wp:posOffset>
            </wp:positionV>
            <wp:extent cx="28987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244475</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4.40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PLEDGE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Equity Pledge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November 30, 3015:</w:t>
      </w:r>
    </w:p>
    <w:p>
      <w:pPr>
        <w:spacing w:after="0" w:line="225" w:lineRule="exact"/>
        <w:rPr>
          <w:sz w:val="20"/>
          <w:szCs w:val="20"/>
          <w:color w:val="auto"/>
        </w:rPr>
      </w:pPr>
    </w:p>
    <w:p>
      <w:pPr>
        <w:ind w:left="1300" w:right="80" w:hanging="644"/>
        <w:spacing w:after="0" w:line="313" w:lineRule="auto"/>
        <w:tabs>
          <w:tab w:leader="none" w:pos="130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NetEase Media Technology (Beijing) Co., Ltd. (the “</w:t>
      </w:r>
      <w:r>
        <w:rPr>
          <w:rFonts w:ascii="Arial" w:cs="Arial" w:eastAsia="Arial" w:hAnsi="Arial"/>
          <w:sz w:val="17"/>
          <w:szCs w:val="17"/>
          <w:b w:val="1"/>
          <w:bCs w:val="1"/>
          <w:color w:val="auto"/>
        </w:rPr>
        <w:t>Pledgee</w:t>
      </w:r>
      <w:r>
        <w:rPr>
          <w:rFonts w:ascii="Arial" w:cs="Arial" w:eastAsia="Arial" w:hAnsi="Arial"/>
          <w:sz w:val="17"/>
          <w:szCs w:val="17"/>
          <w:color w:val="auto"/>
        </w:rPr>
        <w:t>”), a wholly foreign owned enterprise registered in Beijing, People’s Republic of China (“</w:t>
      </w:r>
      <w:r>
        <w:rPr>
          <w:rFonts w:ascii="Arial" w:cs="Arial" w:eastAsia="Arial" w:hAnsi="Arial"/>
          <w:sz w:val="17"/>
          <w:szCs w:val="17"/>
          <w:b w:val="1"/>
          <w:bCs w:val="1"/>
          <w:color w:val="auto"/>
        </w:rPr>
        <w:t>PRC</w:t>
      </w:r>
      <w:r>
        <w:rPr>
          <w:rFonts w:ascii="Arial" w:cs="Arial" w:eastAsia="Arial" w:hAnsi="Arial"/>
          <w:sz w:val="17"/>
          <w:szCs w:val="17"/>
          <w:color w:val="auto"/>
        </w:rPr>
        <w:t>”) with its address at 20-22/F, Tower 8, NO.86 Zhongguancun East Road, Haidian District, Beijing; and</w:t>
      </w:r>
    </w:p>
    <w:p>
      <w:pPr>
        <w:spacing w:after="0" w:line="138" w:lineRule="exact"/>
        <w:rPr>
          <w:rFonts w:ascii="Arial" w:cs="Arial" w:eastAsia="Arial" w:hAnsi="Arial"/>
          <w:sz w:val="17"/>
          <w:szCs w:val="17"/>
          <w:color w:val="auto"/>
        </w:rPr>
      </w:pPr>
    </w:p>
    <w:p>
      <w:pPr>
        <w:ind w:left="1300" w:right="200" w:hanging="644"/>
        <w:spacing w:after="0" w:line="282" w:lineRule="auto"/>
        <w:tabs>
          <w:tab w:leader="none" w:pos="1307" w:val="left"/>
        </w:tabs>
        <w:numPr>
          <w:ilvl w:val="0"/>
          <w:numId w:val="253"/>
        </w:numPr>
        <w:rPr>
          <w:rFonts w:ascii="Arial" w:cs="Arial" w:eastAsia="Arial" w:hAnsi="Arial"/>
          <w:sz w:val="18"/>
          <w:szCs w:val="18"/>
          <w:color w:val="auto"/>
        </w:rPr>
      </w:pPr>
      <w:r>
        <w:rPr>
          <w:rFonts w:ascii="Arial" w:cs="Arial" w:eastAsia="Arial" w:hAnsi="Arial"/>
          <w:sz w:val="18"/>
          <w:szCs w:val="18"/>
          <w:color w:val="auto"/>
        </w:rPr>
        <w:t>Li Li (ID Number: 110103197411191529, the “</w:t>
      </w:r>
      <w:r>
        <w:rPr>
          <w:rFonts w:ascii="Arial" w:cs="Arial" w:eastAsia="Arial" w:hAnsi="Arial"/>
          <w:sz w:val="18"/>
          <w:szCs w:val="18"/>
          <w:b w:val="1"/>
          <w:bCs w:val="1"/>
          <w:color w:val="auto"/>
        </w:rPr>
        <w:t>Pledgor</w:t>
      </w:r>
      <w:r>
        <w:rPr>
          <w:rFonts w:ascii="Arial" w:cs="Arial" w:eastAsia="Arial" w:hAnsi="Arial"/>
          <w:sz w:val="18"/>
          <w:szCs w:val="18"/>
          <w:color w:val="auto"/>
        </w:rPr>
        <w:t>”), a PRC citizen with her address at NO.7, Unit 4, Building 16, Changqing Yuan, Chongwen District, Beijing.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Pledgee and the Pledgor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9" w:lineRule="exact"/>
        <w:rPr>
          <w:sz w:val="20"/>
          <w:szCs w:val="20"/>
          <w:color w:val="auto"/>
        </w:rPr>
      </w:pPr>
    </w:p>
    <w:p>
      <w:pPr>
        <w:ind w:left="1300" w:right="180" w:hanging="644"/>
        <w:spacing w:after="0" w:line="259" w:lineRule="auto"/>
        <w:tabs>
          <w:tab w:leader="none" w:pos="13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Pledgor is a registered shareholder of Beijing Guangyitong Advertising Co., Ltd., a limited liability company registered in Beijing, PRC with its address at Room F112, -1/F, Tower 5th, YongDingMenWai Street NO.86, Dongcheng District, Beijing (the “</w:t>
      </w:r>
      <w:r>
        <w:rPr>
          <w:rFonts w:ascii="Arial" w:cs="Arial" w:eastAsia="Arial" w:hAnsi="Arial"/>
          <w:sz w:val="18"/>
          <w:szCs w:val="18"/>
          <w:b w:val="1"/>
          <w:bCs w:val="1"/>
          <w:color w:val="auto"/>
        </w:rPr>
        <w:t>Domestic</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 and holds 1% of the equity interests in the Domestic Company. The equity structure of Domestic Company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execution of this Agreement is set forth in </w:t>
      </w:r>
      <w:r>
        <w:rPr>
          <w:rFonts w:ascii="Arial" w:cs="Arial" w:eastAsia="Arial" w:hAnsi="Arial"/>
          <w:sz w:val="18"/>
          <w:szCs w:val="18"/>
          <w:u w:val="single" w:color="auto"/>
          <w:color w:val="auto"/>
        </w:rPr>
        <w:t>Appendix 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00" w:right="180" w:hanging="644"/>
        <w:spacing w:after="0" w:line="264" w:lineRule="auto"/>
        <w:tabs>
          <w:tab w:leader="none" w:pos="131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Pursuant to a Loan Agreement dated November 30, 3015, between the Pledgee and the Pledgor, Pledgee and Pledgor (as the same may be amended and supplemented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the Pledgee has provided a loan to the Pledgor in the original principal amount of RMB97,995.</w:t>
      </w:r>
    </w:p>
    <w:p>
      <w:pPr>
        <w:spacing w:after="0" w:line="181" w:lineRule="exact"/>
        <w:rPr>
          <w:rFonts w:ascii="Arial" w:cs="Arial" w:eastAsia="Arial" w:hAnsi="Arial"/>
          <w:sz w:val="18"/>
          <w:szCs w:val="18"/>
          <w:color w:val="auto"/>
        </w:rPr>
      </w:pPr>
    </w:p>
    <w:p>
      <w:pPr>
        <w:ind w:left="1300" w:right="120" w:hanging="644"/>
        <w:spacing w:after="0" w:line="259" w:lineRule="auto"/>
        <w:tabs>
          <w:tab w:leader="none" w:pos="131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Pursuant to a Shareholder Voting Right Trust Agreement dated as of November 30, 3015, among the Pledgee, the Pledgor, the Domestic Company and the other Parties thereto (as amended and supplemented from time to time, the “</w:t>
      </w:r>
      <w:r>
        <w:rPr>
          <w:rFonts w:ascii="Arial" w:cs="Arial" w:eastAsia="Arial" w:hAnsi="Arial"/>
          <w:sz w:val="18"/>
          <w:szCs w:val="18"/>
          <w:b w:val="1"/>
          <w:bCs w:val="1"/>
          <w:color w:val="auto"/>
        </w:rPr>
        <w:t>Voting Trust Agreement</w:t>
      </w:r>
      <w:r>
        <w:rPr>
          <w:rFonts w:ascii="Arial" w:cs="Arial" w:eastAsia="Arial" w:hAnsi="Arial"/>
          <w:sz w:val="18"/>
          <w:szCs w:val="18"/>
          <w:color w:val="auto"/>
        </w:rPr>
        <w:t>”), the Pledgor has irrevocably appointed the Pledgee as proxy and vested the Pledgee with full power to exercise on his behalf all of his shareholder’s voting rights in respect of the Domestic Company.</w:t>
      </w:r>
    </w:p>
    <w:p>
      <w:pPr>
        <w:spacing w:after="0" w:line="186" w:lineRule="exact"/>
        <w:rPr>
          <w:rFonts w:ascii="Arial" w:cs="Arial" w:eastAsia="Arial" w:hAnsi="Arial"/>
          <w:sz w:val="18"/>
          <w:szCs w:val="18"/>
          <w:color w:val="auto"/>
        </w:rPr>
      </w:pPr>
    </w:p>
    <w:p>
      <w:pPr>
        <w:jc w:val="both"/>
        <w:ind w:left="1300" w:right="220" w:hanging="644"/>
        <w:spacing w:after="0" w:line="286" w:lineRule="auto"/>
        <w:tabs>
          <w:tab w:leader="none" w:pos="132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Pursuant to an Exclusive Purchase Option Agreement dated as of November 30, 3015, among the Pledgee, the Pledgor and the Domestic Company (as amended and supplemented from time to time, the “</w:t>
      </w:r>
      <w:r>
        <w:rPr>
          <w:rFonts w:ascii="Arial" w:cs="Arial" w:eastAsia="Arial" w:hAnsi="Arial"/>
          <w:sz w:val="17"/>
          <w:szCs w:val="17"/>
          <w:b w:val="1"/>
          <w:bCs w:val="1"/>
          <w:color w:val="auto"/>
        </w:rPr>
        <w:t>Purchase Option Agreement</w:t>
      </w:r>
      <w:r>
        <w:rPr>
          <w:rFonts w:ascii="Arial" w:cs="Arial" w:eastAsia="Arial" w:hAnsi="Arial"/>
          <w:sz w:val="17"/>
          <w:szCs w:val="17"/>
          <w:color w:val="auto"/>
        </w:rPr>
        <w:t>”), the Pledgor has irrevocably granted to the Pledgee an option to purchase all or a portion of the Pledgor’s equity interests in the Domestic Company.</w:t>
      </w:r>
    </w:p>
    <w:p>
      <w:pPr>
        <w:spacing w:after="0" w:line="165" w:lineRule="exact"/>
        <w:rPr>
          <w:rFonts w:ascii="Arial" w:cs="Arial" w:eastAsia="Arial" w:hAnsi="Arial"/>
          <w:sz w:val="17"/>
          <w:szCs w:val="17"/>
          <w:color w:val="auto"/>
        </w:rPr>
      </w:pPr>
    </w:p>
    <w:p>
      <w:pPr>
        <w:ind w:left="1300" w:right="20" w:hanging="644"/>
        <w:spacing w:after="0" w:line="312" w:lineRule="auto"/>
        <w:tabs>
          <w:tab w:leader="none" w:pos="131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Pursuant to an Operating Agreement dated as of November 30, 3015, among the Pledgee, the Pledgor, the Domestic Company and the other Parties thereto (as amended and supplemented from time to time, the “</w:t>
      </w:r>
      <w:r>
        <w:rPr>
          <w:rFonts w:ascii="Arial" w:cs="Arial" w:eastAsia="Arial" w:hAnsi="Arial"/>
          <w:sz w:val="16"/>
          <w:szCs w:val="16"/>
          <w:b w:val="1"/>
          <w:bCs w:val="1"/>
          <w:color w:val="auto"/>
        </w:rPr>
        <w:t>Operating Agreement</w:t>
      </w:r>
      <w:r>
        <w:rPr>
          <w:rFonts w:ascii="Arial" w:cs="Arial" w:eastAsia="Arial" w:hAnsi="Arial"/>
          <w:sz w:val="16"/>
          <w:szCs w:val="16"/>
          <w:color w:val="auto"/>
        </w:rPr>
        <w:t>”), the Pledgor has agreed, among other things, not to engage in certain transactions relating to the Domestic Company without the Pledgee’s prior written consent.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jc w:val="both"/>
        <w:ind w:left="1300" w:right="300" w:hanging="644"/>
        <w:spacing w:after="0" w:line="264" w:lineRule="auto"/>
        <w:tabs>
          <w:tab w:leader="none" w:pos="131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As security for performance by the Pledgor of the Contract Obligations (as defined below) and discharge and satisfaction of the Secured Debts (as defined below), the Pledgor agrees to pledge all of his equity interests in the Domestic Company to the Pledgee and grants the Pledgee the right to repayment in first priority on and 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-812165</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Unless the context otherwise requires, the following terms in this Agreement shall have the following meanings: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“Breaching Event” </w:t>
      </w:r>
      <w:r>
        <w:rPr>
          <w:rFonts w:ascii="Arial" w:cs="Arial" w:eastAsia="Arial" w:hAnsi="Arial"/>
          <w:sz w:val="18"/>
          <w:szCs w:val="18"/>
          <w:color w:val="auto"/>
        </w:rPr>
        <w:t>shall mean any breach by the Pledgor of any of his Contract Obligations (as defined below).</w:t>
      </w:r>
    </w:p>
    <w:p>
      <w:pPr>
        <w:spacing w:after="0" w:line="225" w:lineRule="exact"/>
        <w:rPr>
          <w:sz w:val="20"/>
          <w:szCs w:val="20"/>
          <w:color w:val="auto"/>
        </w:rPr>
      </w:pPr>
    </w:p>
    <w:p>
      <w:pPr>
        <w:ind w:left="1300" w:right="40"/>
        <w:spacing w:after="0" w:line="261" w:lineRule="auto"/>
        <w:rPr>
          <w:sz w:val="20"/>
          <w:szCs w:val="20"/>
          <w:color w:val="auto"/>
        </w:rPr>
      </w:pPr>
      <w:r>
        <w:rPr>
          <w:rFonts w:ascii="Arial" w:cs="Arial" w:eastAsia="Arial" w:hAnsi="Arial"/>
          <w:sz w:val="18"/>
          <w:szCs w:val="18"/>
          <w:b w:val="1"/>
          <w:bCs w:val="1"/>
          <w:color w:val="auto"/>
        </w:rPr>
        <w:t xml:space="preserve">“Contract Obligations” </w:t>
      </w:r>
      <w:r>
        <w:rPr>
          <w:rFonts w:ascii="Arial" w:cs="Arial" w:eastAsia="Arial" w:hAnsi="Arial"/>
          <w:sz w:val="18"/>
          <w:szCs w:val="18"/>
          <w:color w:val="auto"/>
        </w:rPr>
        <w:t>shall mean the obligations of the Pledgor to repay the Loan (as defined in the Loan Agreement)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contractual obligations of the Pledgor under the Voting Trust Agreement, all contractual obligations of the Pledgor under the Purchase Option Agreement, all contractual obligations of the Pledgor under the Operating Agreement and all contractual obligations of the Pledgor under this Agreement.</w:t>
      </w:r>
    </w:p>
    <w:p>
      <w:pPr>
        <w:spacing w:after="0" w:line="180" w:lineRule="exact"/>
        <w:rPr>
          <w:sz w:val="20"/>
          <w:szCs w:val="20"/>
          <w:color w:val="auto"/>
        </w:rPr>
      </w:pPr>
    </w:p>
    <w:p>
      <w:pPr>
        <w:jc w:val="both"/>
        <w:ind w:left="1300" w:right="100"/>
        <w:spacing w:after="0" w:line="266" w:lineRule="auto"/>
        <w:rPr>
          <w:sz w:val="20"/>
          <w:szCs w:val="20"/>
          <w:color w:val="auto"/>
        </w:rPr>
      </w:pPr>
      <w:r>
        <w:rPr>
          <w:rFonts w:ascii="Arial" w:cs="Arial" w:eastAsia="Arial" w:hAnsi="Arial"/>
          <w:sz w:val="18"/>
          <w:szCs w:val="18"/>
          <w:b w:val="1"/>
          <w:bCs w:val="1"/>
          <w:color w:val="auto"/>
        </w:rPr>
        <w:t xml:space="preserve">“Pledged Equity” </w:t>
      </w:r>
      <w:r>
        <w:rPr>
          <w:rFonts w:ascii="Arial" w:cs="Arial" w:eastAsia="Arial" w:hAnsi="Arial"/>
          <w:sz w:val="18"/>
          <w:szCs w:val="18"/>
          <w:color w:val="auto"/>
        </w:rPr>
        <w:t>shall mean all of the equity interests in the Domestic Company which are legally owned by the Pledgor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are to be pledged to the Pledgee pursuant to the provisions hereof as the security for the performance by the Pledgor of the Contract Obligations.</w:t>
      </w:r>
    </w:p>
    <w:p>
      <w:pPr>
        <w:spacing w:after="0" w:line="176" w:lineRule="exact"/>
        <w:rPr>
          <w:sz w:val="20"/>
          <w:szCs w:val="20"/>
          <w:color w:val="auto"/>
        </w:rPr>
      </w:pPr>
    </w:p>
    <w:p>
      <w:pPr>
        <w:ind w:left="1300" w:right="180"/>
        <w:spacing w:after="0" w:line="282" w:lineRule="auto"/>
        <w:rPr>
          <w:sz w:val="20"/>
          <w:szCs w:val="20"/>
          <w:color w:val="auto"/>
        </w:rPr>
      </w:pPr>
      <w:r>
        <w:rPr>
          <w:rFonts w:ascii="Arial" w:cs="Arial" w:eastAsia="Arial" w:hAnsi="Arial"/>
          <w:sz w:val="18"/>
          <w:szCs w:val="18"/>
          <w:b w:val="1"/>
          <w:bCs w:val="1"/>
          <w:color w:val="auto"/>
        </w:rPr>
        <w:t xml:space="preserve">“PRC Law” </w:t>
      </w:r>
      <w:r>
        <w:rPr>
          <w:rFonts w:ascii="Arial" w:cs="Arial" w:eastAsia="Arial" w:hAnsi="Arial"/>
          <w:sz w:val="18"/>
          <w:szCs w:val="18"/>
          <w:color w:val="auto"/>
        </w:rPr>
        <w:t>shall mean the then valid laws, administrative regulations, administrative rules, local regulations, judicial interpretations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binding regulatory documents of the PRC.</w:t>
      </w:r>
    </w:p>
    <w:p>
      <w:pPr>
        <w:spacing w:after="0" w:line="162" w:lineRule="exact"/>
        <w:rPr>
          <w:sz w:val="20"/>
          <w:szCs w:val="20"/>
          <w:color w:val="auto"/>
        </w:rPr>
      </w:pPr>
    </w:p>
    <w:p>
      <w:pPr>
        <w:ind w:left="1300" w:right="80"/>
        <w:spacing w:after="0" w:line="347" w:lineRule="auto"/>
        <w:rPr>
          <w:sz w:val="20"/>
          <w:szCs w:val="20"/>
          <w:color w:val="auto"/>
        </w:rPr>
      </w:pPr>
      <w:r>
        <w:rPr>
          <w:rFonts w:ascii="Arial" w:cs="Arial" w:eastAsia="Arial" w:hAnsi="Arial"/>
          <w:sz w:val="16"/>
          <w:szCs w:val="16"/>
          <w:b w:val="1"/>
          <w:bCs w:val="1"/>
          <w:color w:val="auto"/>
        </w:rPr>
        <w:t xml:space="preserve">“Secured Debts” </w:t>
      </w:r>
      <w:r>
        <w:rPr>
          <w:rFonts w:ascii="Arial" w:cs="Arial" w:eastAsia="Arial" w:hAnsi="Arial"/>
          <w:sz w:val="16"/>
          <w:szCs w:val="16"/>
          <w:color w:val="auto"/>
        </w:rPr>
        <w:t>shall mean all direct, indirect and consequential losses and losses of foreseeable profits suffered by the Pledgee due to</w:t>
      </w:r>
      <w:r>
        <w:rPr>
          <w:rFonts w:ascii="Arial" w:cs="Arial" w:eastAsia="Arial" w:hAnsi="Arial"/>
          <w:sz w:val="16"/>
          <w:szCs w:val="16"/>
          <w:b w:val="1"/>
          <w:bCs w:val="1"/>
          <w:color w:val="auto"/>
        </w:rPr>
        <w:t xml:space="preserve"> </w:t>
      </w:r>
      <w:r>
        <w:rPr>
          <w:rFonts w:ascii="Arial" w:cs="Arial" w:eastAsia="Arial" w:hAnsi="Arial"/>
          <w:sz w:val="16"/>
          <w:szCs w:val="16"/>
          <w:color w:val="auto"/>
        </w:rPr>
        <w:t>any Breaching Event of any of the Pledgor, and all fees incurred by Pledgee for the enforcement of the Contract Obligations of the Pledgor.</w:t>
      </w:r>
    </w:p>
    <w:p>
      <w:pPr>
        <w:spacing w:after="0" w:line="116" w:lineRule="exact"/>
        <w:rPr>
          <w:sz w:val="20"/>
          <w:szCs w:val="20"/>
          <w:color w:val="auto"/>
        </w:rPr>
      </w:pPr>
    </w:p>
    <w:p>
      <w:pPr>
        <w:ind w:left="1300" w:right="300"/>
        <w:spacing w:after="0" w:line="282" w:lineRule="auto"/>
        <w:rPr>
          <w:sz w:val="20"/>
          <w:szCs w:val="20"/>
          <w:color w:val="auto"/>
        </w:rPr>
      </w:pPr>
      <w:r>
        <w:rPr>
          <w:rFonts w:ascii="Arial" w:cs="Arial" w:eastAsia="Arial" w:hAnsi="Arial"/>
          <w:sz w:val="18"/>
          <w:szCs w:val="18"/>
          <w:b w:val="1"/>
          <w:bCs w:val="1"/>
          <w:color w:val="auto"/>
        </w:rPr>
        <w:t xml:space="preserve">“Transaction Agreements” </w:t>
      </w:r>
      <w:r>
        <w:rPr>
          <w:rFonts w:ascii="Arial" w:cs="Arial" w:eastAsia="Arial" w:hAnsi="Arial"/>
          <w:sz w:val="18"/>
          <w:szCs w:val="18"/>
          <w:color w:val="auto"/>
        </w:rPr>
        <w:t>shall mean the Loan Agreement, the Purchase Option Agreement, the Operating Agreement and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Trust Agreement.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references to any PRC Law herein shall be deemed:</w:t>
      </w:r>
    </w:p>
    <w:p>
      <w:pPr>
        <w:spacing w:after="0" w:line="225" w:lineRule="exact"/>
        <w:rPr>
          <w:sz w:val="20"/>
          <w:szCs w:val="20"/>
          <w:color w:val="auto"/>
        </w:rPr>
      </w:pPr>
    </w:p>
    <w:p>
      <w:pPr>
        <w:ind w:left="1300" w:right="280" w:firstLine="5"/>
        <w:spacing w:after="0" w:line="277" w:lineRule="auto"/>
        <w:tabs>
          <w:tab w:leader="none" w:pos="195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include references to the amendments, changes, supplements and reenactments of such law, irrespective of whether they take effect before or after the formation of this Agreement; and</w:t>
      </w:r>
    </w:p>
    <w:p>
      <w:pPr>
        <w:sectPr>
          <w:pgSz w:w="11900" w:h="16838" w:orient="portrait"/>
          <w:cols w:equalWidth="0" w:num="1">
            <w:col w:w="11420"/>
          </w:cols>
          <w:pgMar w:left="240" w:top="121" w:right="239" w:bottom="0" w:gutter="0" w:footer="0" w:header="0"/>
        </w:sectPr>
      </w:pPr>
    </w:p>
    <w:bookmarkStart w:id="146" w:name="page147"/>
    <w:bookmarkEnd w:id="146"/>
    <w:p>
      <w:pPr>
        <w:spacing w:after="0" w:line="1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655"/>
        <w:spacing w:after="0"/>
        <w:tabs>
          <w:tab w:leader="none" w:pos="1952"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to include references to other decisions, notices or regulations enacted in accordance therewith or effective as a result thereof.</w:t>
      </w:r>
    </w:p>
    <w:p>
      <w:pPr>
        <w:spacing w:after="0" w:line="248" w:lineRule="exact"/>
        <w:rPr>
          <w:sz w:val="20"/>
          <w:szCs w:val="20"/>
          <w:color w:val="auto"/>
        </w:rPr>
      </w:pPr>
    </w:p>
    <w:p>
      <w:pPr>
        <w:ind w:left="1292" w:right="60" w:hanging="647"/>
        <w:spacing w:after="0" w:line="277" w:lineRule="auto"/>
        <w:tabs>
          <w:tab w:leader="none" w:pos="12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stated in the context herein, all references to an Article, clause, item or paragraph shall refer to the relevant article, clause, item or paragraph of this Agreement.</w:t>
      </w:r>
    </w:p>
    <w:p>
      <w:pPr>
        <w:spacing w:after="0" w:line="166" w:lineRule="exact"/>
        <w:rPr>
          <w:sz w:val="20"/>
          <w:szCs w:val="20"/>
          <w:color w:val="auto"/>
        </w:rPr>
      </w:pPr>
    </w:p>
    <w:p>
      <w:pPr>
        <w:ind w:left="652" w:hanging="652"/>
        <w:spacing w:after="0"/>
        <w:tabs>
          <w:tab w:leader="none" w:pos="652"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Pledge</w:t>
      </w:r>
    </w:p>
    <w:p>
      <w:pPr>
        <w:spacing w:after="0" w:line="229" w:lineRule="exact"/>
        <w:rPr>
          <w:rFonts w:ascii="Arial" w:cs="Arial" w:eastAsia="Arial" w:hAnsi="Arial"/>
          <w:sz w:val="18"/>
          <w:szCs w:val="18"/>
          <w:b w:val="1"/>
          <w:bCs w:val="1"/>
          <w:color w:val="auto"/>
        </w:rPr>
      </w:pPr>
    </w:p>
    <w:p>
      <w:pPr>
        <w:ind w:left="1292" w:right="16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2.1.As collateral security for the timely and complete payment and performance of all Contract Obligations, the Pledgor hereby pledges to the Pledgee a first security interest in all of the Pledgor’s rights, title and interests, whether now owned or hereinafter acquired by the Pledgor, in the Pledged Equity (the “</w:t>
      </w:r>
      <w:r>
        <w:rPr>
          <w:rFonts w:ascii="Arial" w:cs="Arial" w:eastAsia="Arial" w:hAnsi="Arial"/>
          <w:sz w:val="18"/>
          <w:szCs w:val="18"/>
          <w:b w:val="1"/>
          <w:bCs w:val="1"/>
          <w:color w:val="auto"/>
        </w:rPr>
        <w:t>Equity Pledge</w:t>
      </w:r>
      <w:r>
        <w:rPr>
          <w:rFonts w:ascii="Arial" w:cs="Arial" w:eastAsia="Arial" w:hAnsi="Arial"/>
          <w:sz w:val="18"/>
          <w:szCs w:val="18"/>
          <w:color w:val="auto"/>
        </w:rPr>
        <w:t>”).</w:t>
      </w:r>
    </w:p>
    <w:p>
      <w:pPr>
        <w:spacing w:after="0" w:line="177" w:lineRule="exact"/>
        <w:rPr>
          <w:sz w:val="20"/>
          <w:szCs w:val="20"/>
          <w:color w:val="auto"/>
        </w:rPr>
      </w:pPr>
    </w:p>
    <w:p>
      <w:pPr>
        <w:ind w:left="1292" w:right="40" w:hanging="647"/>
        <w:spacing w:after="0" w:line="293"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Pledgor shall have been or will be registered at the local branch of State Administration for Industry and Commerce (“</w:t>
      </w:r>
      <w:r>
        <w:rPr>
          <w:rFonts w:ascii="Arial" w:cs="Arial" w:eastAsia="Arial" w:hAnsi="Arial"/>
          <w:sz w:val="16"/>
          <w:szCs w:val="16"/>
          <w:b w:val="1"/>
          <w:bCs w:val="1"/>
          <w:color w:val="auto"/>
        </w:rPr>
        <w:t>SAIC</w:t>
      </w:r>
      <w:r>
        <w:rPr>
          <w:rFonts w:ascii="Arial" w:cs="Arial" w:eastAsia="Arial" w:hAnsi="Arial"/>
          <w:sz w:val="16"/>
          <w:szCs w:val="16"/>
          <w:color w:val="auto"/>
        </w:rPr>
        <w:t>”) as one of the shareholders of the Domestic Company holding his proportion of the equity interests in the Domestic Company as set forth in Recital</w:t>
      </w:r>
    </w:p>
    <w:p>
      <w:pPr>
        <w:spacing w:after="0" w:line="1" w:lineRule="exact"/>
        <w:rPr>
          <w:sz w:val="20"/>
          <w:szCs w:val="20"/>
          <w:color w:val="auto"/>
        </w:rPr>
      </w:pPr>
    </w:p>
    <w:p>
      <w:pPr>
        <w:ind w:left="1292" w:right="100" w:firstLine="5"/>
        <w:spacing w:after="0" w:line="261" w:lineRule="auto"/>
        <w:tabs>
          <w:tab w:leader="none" w:pos="158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above and hold such equity interests free and clear of encumbrances except for the Equity Pledge as provided in this Agreement and/or as otherwise agreed by the Parties.</w:t>
      </w:r>
    </w:p>
    <w:p>
      <w:pPr>
        <w:spacing w:after="0" w:line="184" w:lineRule="exact"/>
        <w:rPr>
          <w:sz w:val="20"/>
          <w:szCs w:val="20"/>
          <w:color w:val="auto"/>
        </w:rPr>
      </w:pPr>
    </w:p>
    <w:p>
      <w:pPr>
        <w:ind w:left="1292" w:right="140" w:hanging="647"/>
        <w:spacing w:after="0" w:line="293" w:lineRule="auto"/>
        <w:tabs>
          <w:tab w:leader="none" w:pos="12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Pledgor hereby undertakes that he will be responsible for recording the Equity Pledge on the register of equityholders (if any) of the Domestic Company on the date hereof or as soon as practicable from the date hereof, and will use his best endeavors to register the Equity Pledge with SAIC (the “</w:t>
      </w:r>
      <w:r>
        <w:rPr>
          <w:rFonts w:ascii="Arial" w:cs="Arial" w:eastAsia="Arial" w:hAnsi="Arial"/>
          <w:sz w:val="16"/>
          <w:szCs w:val="16"/>
          <w:b w:val="1"/>
          <w:bCs w:val="1"/>
          <w:color w:val="auto"/>
        </w:rPr>
        <w:t>Registration of Equity Pledge</w:t>
      </w:r>
      <w:r>
        <w:rPr>
          <w:rFonts w:ascii="Arial" w:cs="Arial" w:eastAsia="Arial" w:hAnsi="Arial"/>
          <w:sz w:val="16"/>
          <w:szCs w:val="16"/>
          <w:color w:val="auto"/>
        </w:rPr>
        <w:t>”). In the event the SAIC requires that the Registration of Equity Pledge be completed by using an equity pledge agreement between the Parties substantially in form stipulated by the SAIC, subject to Section 13.5, the Parties shall enter into an equity pledge agreement in such stipulated form (the “</w:t>
      </w:r>
      <w:r>
        <w:rPr>
          <w:rFonts w:ascii="Arial" w:cs="Arial" w:eastAsia="Arial" w:hAnsi="Arial"/>
          <w:sz w:val="16"/>
          <w:szCs w:val="16"/>
          <w:b w:val="1"/>
          <w:bCs w:val="1"/>
          <w:color w:val="auto"/>
        </w:rPr>
        <w:t>Registration Version</w:t>
      </w:r>
      <w:r>
        <w:rPr>
          <w:rFonts w:ascii="Arial" w:cs="Arial" w:eastAsia="Arial" w:hAnsi="Arial"/>
          <w:sz w:val="16"/>
          <w:szCs w:val="16"/>
          <w:color w:val="auto"/>
        </w:rPr>
        <w:t>”) and the Pledgor shall and hereby undertakes that he will use his best endeavors to register the Equity Pledge with SAIC by using the Registration Version.</w:t>
      </w:r>
    </w:p>
    <w:p>
      <w:pPr>
        <w:spacing w:after="0" w:line="165" w:lineRule="exact"/>
        <w:rPr>
          <w:sz w:val="20"/>
          <w:szCs w:val="20"/>
          <w:color w:val="auto"/>
        </w:rPr>
      </w:pPr>
    </w:p>
    <w:p>
      <w:pPr>
        <w:ind w:left="1292" w:right="220" w:hanging="647"/>
        <w:spacing w:after="0" w:line="277" w:lineRule="auto"/>
        <w:tabs>
          <w:tab w:leader="none" w:pos="12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During the term of this Agreement, the Pledgee shall not be liable in any way for impairment in value of the Pledged Equity, nor shall the Pledgor have any right to make any claims against the Pledgee for such impairment in value.</w:t>
      </w:r>
    </w:p>
    <w:p>
      <w:pPr>
        <w:spacing w:after="0" w:line="170" w:lineRule="exact"/>
        <w:rPr>
          <w:sz w:val="20"/>
          <w:szCs w:val="20"/>
          <w:color w:val="auto"/>
        </w:rPr>
      </w:pPr>
    </w:p>
    <w:p>
      <w:pPr>
        <w:ind w:left="1292" w:right="280" w:hanging="647"/>
        <w:spacing w:after="0" w:line="277" w:lineRule="auto"/>
        <w:tabs>
          <w:tab w:leader="none" w:pos="12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Upon the occurrence of any Breaching Event, the Pledgee shall have the right to dispose of the Pledged Equity in the manner set forth in Article 4 hereof.</w:t>
      </w:r>
    </w:p>
    <w:p>
      <w:pPr>
        <w:spacing w:after="0" w:line="170" w:lineRule="exact"/>
        <w:rPr>
          <w:sz w:val="20"/>
          <w:szCs w:val="20"/>
          <w:color w:val="auto"/>
        </w:rPr>
      </w:pPr>
    </w:p>
    <w:p>
      <w:pPr>
        <w:ind w:left="1292" w:right="740" w:hanging="647"/>
        <w:spacing w:after="0" w:line="342" w:lineRule="auto"/>
        <w:tabs>
          <w:tab w:leader="none" w:pos="127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Without the prior written consent of the Pledgee, the Pledgor shall not increase the registered capital of the Domestic Company by contributing additional capital, or allowing any third party to contribute additional capital to the Domestic Company.</w:t>
      </w:r>
    </w:p>
    <w:p>
      <w:pPr>
        <w:spacing w:after="0" w:line="124" w:lineRule="exact"/>
        <w:rPr>
          <w:sz w:val="20"/>
          <w:szCs w:val="20"/>
          <w:color w:val="auto"/>
        </w:rPr>
      </w:pPr>
    </w:p>
    <w:p>
      <w:pPr>
        <w:ind w:left="1292" w:right="360" w:hanging="647"/>
        <w:spacing w:after="0" w:line="277" w:lineRule="auto"/>
        <w:tabs>
          <w:tab w:leader="none" w:pos="1272"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Without the prior written consent of the Pledgee, the Pledgor shall not consent to the adoption of any shareholders’ resolution or by any other means permit the Domestic Company to declare or distribute any dividends or profits.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Without the prior written consent of the Pledgee, the Pledgor shall not enter into any transactions with the Domestic Company.</w:t>
      </w:r>
    </w:p>
    <w:p>
      <w:pPr>
        <w:spacing w:after="0" w:line="225" w:lineRule="exact"/>
        <w:rPr>
          <w:sz w:val="20"/>
          <w:szCs w:val="20"/>
          <w:color w:val="auto"/>
        </w:rPr>
      </w:pPr>
    </w:p>
    <w:p>
      <w:pPr>
        <w:ind w:left="1292" w:right="140" w:hanging="647"/>
        <w:spacing w:after="0" w:line="255" w:lineRule="auto"/>
        <w:tabs>
          <w:tab w:leader="none" w:pos="1272"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During the term of the Equity Pledge, the Pledgor shall deliver to the Pledgee’s custody the original capital contribution certificate for the Pledged Equity and the original equityholders’ register (if any) containing the Equity Pledge within five business days from the execution of this Agreement or from the completion of any re-registration of shareholding if the percentage of equity interests changes (in such case, the Pledgor shall deliver to the Pledgee’s custody the updated original capital contribution certificates for the Pledged Equity and the updated original equityholders’ register (if any) containing the Equity Pledge). The Pledgee shall take custody of such original documents during the entire term of this Agreement.</w:t>
      </w:r>
    </w:p>
    <w:p>
      <w:pPr>
        <w:spacing w:after="0" w:line="193" w:lineRule="exact"/>
        <w:rPr>
          <w:sz w:val="20"/>
          <w:szCs w:val="20"/>
          <w:color w:val="auto"/>
        </w:rPr>
      </w:pPr>
    </w:p>
    <w:p>
      <w:pPr>
        <w:ind w:left="1292" w:right="40" w:hanging="647"/>
        <w:spacing w:after="0" w:line="277" w:lineRule="auto"/>
        <w:tabs>
          <w:tab w:leader="none" w:pos="1272" w:val="left"/>
        </w:tabs>
        <w:rPr>
          <w:sz w:val="20"/>
          <w:szCs w:val="20"/>
          <w:color w:val="auto"/>
        </w:rPr>
      </w:pPr>
      <w:r>
        <w:rPr>
          <w:rFonts w:ascii="Arial" w:cs="Arial" w:eastAsia="Arial" w:hAnsi="Arial"/>
          <w:sz w:val="18"/>
          <w:szCs w:val="18"/>
          <w:color w:val="auto"/>
        </w:rPr>
        <w:t>2.10.</w:t>
        <w:tab/>
        <w:t>The Pledgee shall have the right to collect dividends or any other distribution paid with respect to the Pledged Equity during the term of this Agreement.</w:t>
      </w:r>
    </w:p>
    <w:p>
      <w:pPr>
        <w:spacing w:after="0" w:line="166" w:lineRule="exact"/>
        <w:rPr>
          <w:sz w:val="20"/>
          <w:szCs w:val="20"/>
          <w:color w:val="auto"/>
        </w:rPr>
      </w:pPr>
    </w:p>
    <w:p>
      <w:pPr>
        <w:ind w:left="652" w:hanging="652"/>
        <w:spacing w:after="0"/>
        <w:tabs>
          <w:tab w:leader="none" w:pos="652"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Pledge</w:t>
      </w:r>
    </w:p>
    <w:p>
      <w:pPr>
        <w:spacing w:after="0" w:line="229" w:lineRule="exact"/>
        <w:rPr>
          <w:rFonts w:ascii="Arial" w:cs="Arial" w:eastAsia="Arial" w:hAnsi="Arial"/>
          <w:sz w:val="18"/>
          <w:szCs w:val="18"/>
          <w:b w:val="1"/>
          <w:bCs w:val="1"/>
          <w:color w:val="auto"/>
        </w:rPr>
      </w:pPr>
    </w:p>
    <w:p>
      <w:pPr>
        <w:ind w:left="652" w:righ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Upon full and complete performance by the Pledgor of all of his Contract Obligations (including the full discharge and satisfaction of the Secured Debts), the Pledgee shall, at the request of the Pledgor, release the pledge, and shall cooperate with the Pledgor to go through the formalities to cancel the record of the Equity Pledge in the register of equityholders (if any) of the Domestic Company and the registration with SAIC, and all expenses reasonably incurred in connection with such release shall be borne by the Domestic Company. The Parties shall procure the Domestic Company to bear such expenses.</w:t>
      </w:r>
    </w:p>
    <w:p>
      <w:pPr>
        <w:spacing w:after="0" w:line="184" w:lineRule="exact"/>
        <w:rPr>
          <w:rFonts w:ascii="Arial" w:cs="Arial" w:eastAsia="Arial" w:hAnsi="Arial"/>
          <w:sz w:val="18"/>
          <w:szCs w:val="18"/>
          <w:b w:val="1"/>
          <w:bCs w:val="1"/>
          <w:color w:val="auto"/>
        </w:rPr>
      </w:pPr>
    </w:p>
    <w:p>
      <w:pPr>
        <w:ind w:left="652" w:hanging="652"/>
        <w:spacing w:after="0"/>
        <w:tabs>
          <w:tab w:leader="none" w:pos="652"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Disposal of the Pledged Equity</w:t>
      </w:r>
    </w:p>
    <w:p>
      <w:pPr>
        <w:spacing w:after="0" w:line="229" w:lineRule="exact"/>
        <w:rPr>
          <w:rFonts w:ascii="Arial" w:cs="Arial" w:eastAsia="Arial" w:hAnsi="Arial"/>
          <w:sz w:val="18"/>
          <w:szCs w:val="18"/>
          <w:b w:val="1"/>
          <w:bCs w:val="1"/>
          <w:color w:val="auto"/>
        </w:rPr>
      </w:pPr>
    </w:p>
    <w:p>
      <w:pPr>
        <w:ind w:left="1292" w:right="20" w:hanging="648"/>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color w:val="auto"/>
        </w:rPr>
        <w:t>The Pledgor and the Pledgee hereby agree that, upon the occurrence of any Breaching Event, the Pledgee shall have the right to exercise, upon giving written notice to the Pledgor, all of the rights and powers enjoyed by him under PRC Law, the Transaction Agreements and the terms hereof, including but not limited to being repaid in priority with proceeds from the sale of the Pledged Equity. If the Pledgee disposes of the Pledged Equity in accordance with this Agreement, the Pledgor and the Domestic Company shall provide all necessary assistance to enable the Pledgee to enforce the Equity Pledge in accordance with this Agreement.</w:t>
      </w:r>
    </w:p>
    <w:p>
      <w:pPr>
        <w:spacing w:after="0" w:line="172" w:lineRule="exact"/>
        <w:rPr>
          <w:rFonts w:ascii="Arial" w:cs="Arial" w:eastAsia="Arial" w:hAnsi="Arial"/>
          <w:sz w:val="18"/>
          <w:szCs w:val="18"/>
          <w:b w:val="1"/>
          <w:bCs w:val="1"/>
          <w:color w:val="auto"/>
        </w:rPr>
      </w:pPr>
    </w:p>
    <w:p>
      <w:pPr>
        <w:ind w:left="1292" w:right="4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4.2.The Pledgee shall have the right to designate in writing its legal counsel or other agents to exercise on its behalf any and all rights and powers referred to above, and the Pledgor shall not raise any objection thereto.</w:t>
      </w:r>
    </w:p>
    <w:p>
      <w:pPr>
        <w:spacing w:after="0" w:line="170" w:lineRule="exact"/>
        <w:rPr>
          <w:rFonts w:ascii="Arial" w:cs="Arial" w:eastAsia="Arial" w:hAnsi="Arial"/>
          <w:sz w:val="18"/>
          <w:szCs w:val="18"/>
          <w:b w:val="1"/>
          <w:bCs w:val="1"/>
          <w:color w:val="auto"/>
        </w:rPr>
      </w:pPr>
    </w:p>
    <w:p>
      <w:pPr>
        <w:ind w:left="1292" w:hanging="648"/>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4.3.</w:t>
      </w:r>
      <w:r>
        <w:rPr>
          <w:rFonts w:ascii="Arial" w:cs="Arial" w:eastAsia="Arial" w:hAnsi="Arial"/>
          <w:sz w:val="16"/>
          <w:szCs w:val="16"/>
          <w:color w:val="auto"/>
        </w:rPr>
        <w:t>The reasonable costs incurred by the Pledgee in connection with its exercise of any and all rights and powers set out above shall be borne by the Pledgor, and the Pledgee shall have the right to deduct the costs actually incurred from the proceeds that it acquires from the exercise of</w:t>
      </w:r>
    </w:p>
    <w:p>
      <w:pPr>
        <w:sectPr>
          <w:pgSz w:w="11900" w:h="16975" w:orient="portrait"/>
          <w:cols w:equalWidth="0" w:num="1">
            <w:col w:w="11412"/>
          </w:cols>
          <w:pgMar w:left="248" w:top="125" w:right="239" w:bottom="0" w:gutter="0" w:footer="0" w:header="0"/>
        </w:sectPr>
      </w:pPr>
    </w:p>
    <w:bookmarkStart w:id="147" w:name="page148"/>
    <w:bookmarkEnd w:id="147"/>
    <w:p>
      <w:pPr>
        <w:ind w:left="1292"/>
        <w:spacing w:after="0"/>
        <w:rPr>
          <w:sz w:val="20"/>
          <w:szCs w:val="20"/>
          <w:color w:val="auto"/>
        </w:rPr>
      </w:pPr>
      <w:r>
        <w:rPr>
          <w:rFonts w:ascii="Arial" w:cs="Arial" w:eastAsia="Arial" w:hAnsi="Arial"/>
          <w:sz w:val="18"/>
          <w:szCs w:val="18"/>
          <w:color w:val="auto"/>
        </w:rPr>
        <w:t>its rights and powers.</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proceeds that the Pledgee acquires from the exercise of its rights and powers shall be applied in the following order of priority:</w:t>
      </w:r>
    </w:p>
    <w:p>
      <w:pPr>
        <w:spacing w:after="0" w:line="225" w:lineRule="exact"/>
        <w:rPr>
          <w:sz w:val="20"/>
          <w:szCs w:val="20"/>
          <w:color w:val="auto"/>
        </w:rPr>
      </w:pPr>
    </w:p>
    <w:p>
      <w:pPr>
        <w:ind w:left="1952" w:right="240" w:hanging="655"/>
        <w:spacing w:after="0" w:line="277" w:lineRule="auto"/>
        <w:tabs>
          <w:tab w:leader="none" w:pos="195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first, to pay any cost incurred in connection with the disposal of the Pledged Equity and the exercise by the Pledgee of its rights and powers (including remuneration paid to its legal counsels and agents);</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second, to pay any taxes and levies payable for the disposal of the Pledged Equity (for the avoidance of doubt, such taxes do not include any income tax);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third, to repay the Pledgee for the Secured Debts.</w:t>
      </w:r>
    </w:p>
    <w:p>
      <w:pPr>
        <w:spacing w:after="0" w:line="225" w:lineRule="exact"/>
        <w:rPr>
          <w:sz w:val="20"/>
          <w:szCs w:val="20"/>
          <w:color w:val="auto"/>
        </w:rPr>
      </w:pPr>
    </w:p>
    <w:p>
      <w:pPr>
        <w:ind w:left="1292" w:right="20"/>
        <w:spacing w:after="0" w:line="264" w:lineRule="auto"/>
        <w:rPr>
          <w:sz w:val="20"/>
          <w:szCs w:val="20"/>
          <w:color w:val="auto"/>
        </w:rPr>
      </w:pPr>
      <w:r>
        <w:rPr>
          <w:rFonts w:ascii="Arial" w:cs="Arial" w:eastAsia="Arial" w:hAnsi="Arial"/>
          <w:sz w:val="18"/>
          <w:szCs w:val="18"/>
          <w:color w:val="auto"/>
        </w:rPr>
        <w:t>Any proceeds remaining after payment of the above amounts shall be paid to the Pledgee or its designee. The Pledgee shall have no obligation to account to the Pledgor for proceeds of disposition of the Pledged Equity and the Pledgor hereby waives any rights that he may have to demand such amount from the Pledgee.</w:t>
      </w:r>
    </w:p>
    <w:p>
      <w:pPr>
        <w:spacing w:after="0" w:line="177" w:lineRule="exact"/>
        <w:rPr>
          <w:sz w:val="20"/>
          <w:szCs w:val="20"/>
          <w:color w:val="auto"/>
        </w:rPr>
      </w:pPr>
    </w:p>
    <w:p>
      <w:pPr>
        <w:ind w:left="652" w:hanging="652"/>
        <w:spacing w:after="0"/>
        <w:tabs>
          <w:tab w:leader="none" w:pos="652"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Continuity and No Waiver</w:t>
      </w:r>
    </w:p>
    <w:p>
      <w:pPr>
        <w:spacing w:after="0" w:line="229" w:lineRule="exact"/>
        <w:rPr>
          <w:rFonts w:ascii="Arial" w:cs="Arial" w:eastAsia="Arial" w:hAnsi="Arial"/>
          <w:sz w:val="18"/>
          <w:szCs w:val="18"/>
          <w:b w:val="1"/>
          <w:bCs w:val="1"/>
          <w:color w:val="auto"/>
        </w:rPr>
      </w:pPr>
    </w:p>
    <w:p>
      <w:pPr>
        <w:ind w:left="652"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Equity Pledge hereunder is a continuous security, and will continue to be valid until the full performance of the Contract Obligations or the full discharge and satisfaction of the Secured Debts. Neither exemption or grace period granted by the Pledgee to the Pledgor in respect of any breach, nor delay by the Pledgee in exercising any of its rights under the Transaction Agreements and this Agreement, shall affect the rights of the Pledgee under this Agreement, relevant PRC Law and the Transaction Agreements, the rights of the Pledgee to demand at any time thereafter the strict performance of the Transaction Agreements and this Agreement by the Pledgor or the rights the Pledgee may be entitled to due to any subsequent breach by the Pledgor of his obligations under the Transaction Agreements and/or this Agreement.</w:t>
      </w:r>
    </w:p>
    <w:p>
      <w:pPr>
        <w:spacing w:after="0" w:line="174" w:lineRule="exact"/>
        <w:rPr>
          <w:rFonts w:ascii="Arial" w:cs="Arial" w:eastAsia="Arial" w:hAnsi="Arial"/>
          <w:sz w:val="18"/>
          <w:szCs w:val="18"/>
          <w:b w:val="1"/>
          <w:bCs w:val="1"/>
          <w:color w:val="auto"/>
        </w:rPr>
      </w:pPr>
    </w:p>
    <w:p>
      <w:pPr>
        <w:ind w:left="652" w:hanging="652"/>
        <w:spacing w:after="0"/>
        <w:tabs>
          <w:tab w:leader="none" w:pos="652"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2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6.1.As of the date of this Agreement and during the term of this Agreement through the date of termination or expiration of this Agreement, the Pledgor hereby represents and warrants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Pledgor is a PRC citizen with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100" w:hanging="655"/>
        <w:spacing w:after="0" w:line="286" w:lineRule="auto"/>
        <w:tabs>
          <w:tab w:leader="none" w:pos="1959" w:val="left"/>
        </w:tabs>
        <w:numPr>
          <w:ilvl w:val="1"/>
          <w:numId w:val="262"/>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the Pledgor do not violate any laws and regulations or government approvals, authorizations, notices or other governmental documents having binding effect on or affecting the Pledgor, nor do they violate any agreements between the Pledgor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This Agreement constitutes the lawful, valid and enforceable obligations of the Pledgor.</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560" w:hanging="655"/>
        <w:spacing w:after="0" w:line="277" w:lineRule="auto"/>
        <w:tabs>
          <w:tab w:leader="none" w:pos="195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reports, documents and information provided by the Pledgor to the Pledgee are true, correct and accurate in all material respects.</w:t>
      </w:r>
    </w:p>
    <w:p>
      <w:pPr>
        <w:spacing w:after="0" w:line="170" w:lineRule="exact"/>
        <w:rPr>
          <w:rFonts w:ascii="Arial" w:cs="Arial" w:eastAsia="Arial" w:hAnsi="Arial"/>
          <w:sz w:val="18"/>
          <w:szCs w:val="18"/>
          <w:color w:val="auto"/>
        </w:rPr>
      </w:pPr>
    </w:p>
    <w:p>
      <w:pPr>
        <w:ind w:left="1952" w:right="100" w:hanging="655"/>
        <w:spacing w:after="0" w:line="286" w:lineRule="auto"/>
        <w:tabs>
          <w:tab w:leader="none" w:pos="1963"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 Pledgor constitutes the only legal owner of the Pledged Equity, with no existing dispute concerning the ownership of the Pledged Equity. Except for the restrictions imposed by the Transaction Agreements and this Agreement or as otherwise agreed by the Parties, the Pledgor has the right to dispose of the Pledged Equity or any part thereof.</w:t>
      </w:r>
    </w:p>
    <w:p>
      <w:pPr>
        <w:spacing w:after="0" w:line="165" w:lineRule="exact"/>
        <w:rPr>
          <w:rFonts w:ascii="Arial" w:cs="Arial" w:eastAsia="Arial" w:hAnsi="Arial"/>
          <w:sz w:val="17"/>
          <w:szCs w:val="17"/>
          <w:color w:val="auto"/>
        </w:rPr>
      </w:pPr>
    </w:p>
    <w:p>
      <w:pPr>
        <w:ind w:left="1952" w:right="40" w:hanging="655"/>
        <w:spacing w:after="0" w:line="308" w:lineRule="auto"/>
        <w:tabs>
          <w:tab w:leader="none" w:pos="1956" w:val="left"/>
        </w:tabs>
        <w:numPr>
          <w:ilvl w:val="0"/>
          <w:numId w:val="263"/>
        </w:numPr>
        <w:rPr>
          <w:rFonts w:ascii="Arial" w:cs="Arial" w:eastAsia="Arial" w:hAnsi="Arial"/>
          <w:sz w:val="17"/>
          <w:szCs w:val="17"/>
          <w:color w:val="auto"/>
        </w:rPr>
      </w:pPr>
      <w:r>
        <w:rPr>
          <w:rFonts w:ascii="Arial" w:cs="Arial" w:eastAsia="Arial" w:hAnsi="Arial"/>
          <w:sz w:val="17"/>
          <w:szCs w:val="17"/>
          <w:color w:val="auto"/>
        </w:rPr>
        <w:t>Except for the encumbrance set on the Pledged Equity hereunder and otherwise agreed by the Parties and the rights set forth under the Transaction Agreements, there is no other encumbrance or third party interest over the Pledged Equity.</w:t>
      </w:r>
    </w:p>
    <w:p>
      <w:pPr>
        <w:spacing w:after="0" w:line="146" w:lineRule="exact"/>
        <w:rPr>
          <w:rFonts w:ascii="Arial" w:cs="Arial" w:eastAsia="Arial" w:hAnsi="Arial"/>
          <w:sz w:val="17"/>
          <w:szCs w:val="17"/>
          <w:color w:val="auto"/>
        </w:rPr>
      </w:pPr>
    </w:p>
    <w:p>
      <w:pPr>
        <w:ind w:left="1952" w:right="20" w:hanging="655"/>
        <w:spacing w:after="0" w:line="277" w:lineRule="auto"/>
        <w:tabs>
          <w:tab w:leader="none" w:pos="197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Pledged Equity is capable of being pledged or transferred according to PRC Law, and the Pledgor has the full right and power to pledge the Pledged Equity to the Pledgee according to this Agreement.</w:t>
      </w:r>
    </w:p>
    <w:p>
      <w:pPr>
        <w:spacing w:after="0" w:line="170" w:lineRule="exact"/>
        <w:rPr>
          <w:rFonts w:ascii="Arial" w:cs="Arial" w:eastAsia="Arial" w:hAnsi="Arial"/>
          <w:sz w:val="18"/>
          <w:szCs w:val="18"/>
          <w:color w:val="auto"/>
        </w:rPr>
      </w:pPr>
    </w:p>
    <w:p>
      <w:pPr>
        <w:ind w:left="1952" w:hanging="655"/>
        <w:spacing w:after="0" w:line="259" w:lineRule="auto"/>
        <w:tabs>
          <w:tab w:leader="none" w:pos="1959"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consent, permission, waiver or authorization by any third person, or any approval, permission or exemption by any government authority, or any registration or filing formalities with any government authority to be effected or obtained in respect of the execution and performance hereof and the creation of the Equity Pledge hereunder have been or will be handled or obtained, and will be fully effective during the term of this Agreement.</w:t>
      </w:r>
    </w:p>
    <w:p>
      <w:pPr>
        <w:spacing w:after="0" w:line="186" w:lineRule="exact"/>
        <w:rPr>
          <w:rFonts w:ascii="Arial" w:cs="Arial" w:eastAsia="Arial" w:hAnsi="Arial"/>
          <w:sz w:val="18"/>
          <w:szCs w:val="18"/>
          <w:color w:val="auto"/>
        </w:rPr>
      </w:pPr>
    </w:p>
    <w:p>
      <w:pPr>
        <w:ind w:left="1972" w:hanging="675"/>
        <w:spacing w:after="0"/>
        <w:tabs>
          <w:tab w:leader="none" w:pos="197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Equity Pledge hereunder constitutes a first pledge on the Pledged Equity.</w:t>
      </w:r>
    </w:p>
    <w:p>
      <w:pPr>
        <w:spacing w:after="0" w:line="225" w:lineRule="exact"/>
        <w:rPr>
          <w:rFonts w:ascii="Arial" w:cs="Arial" w:eastAsia="Arial" w:hAnsi="Arial"/>
          <w:sz w:val="18"/>
          <w:szCs w:val="18"/>
          <w:color w:val="auto"/>
        </w:rPr>
      </w:pPr>
    </w:p>
    <w:p>
      <w:pPr>
        <w:ind w:left="1952" w:right="20" w:hanging="655"/>
        <w:spacing w:after="0" w:line="279" w:lineRule="auto"/>
        <w:tabs>
          <w:tab w:leader="none" w:pos="19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There is no pending or, to the knowledge of the Pledgor, threatened litigation, legal process or demand by any court or any arbitral tribunal or by any government authority or any administration authority against the Pledgor, or his property, or the Pledged Equity, which would have a material adverse effect on the economic status of the Pledgor or his capability to perform the obligations hereunder and the Contract Obligations or to discharge and satisfy the Secured Debts.</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As of the date of this Agreement and during the term of this Agreement through the date of termination or expiration of this Agreement, the</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Pledgee hereby represents and warrants as follows:</w:t>
      </w:r>
    </w:p>
    <w:p>
      <w:pPr>
        <w:spacing w:after="0" w:line="211" w:lineRule="exact"/>
        <w:rPr>
          <w:sz w:val="20"/>
          <w:szCs w:val="20"/>
          <w:color w:val="auto"/>
        </w:rPr>
      </w:pPr>
    </w:p>
    <w:p>
      <w:pPr>
        <w:ind w:left="1932" w:hanging="635"/>
        <w:spacing w:after="0"/>
        <w:tabs>
          <w:tab w:leader="none" w:pos="193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Pledgee is a wholly foreign owned enterprise duly registered and existing under PRC Law.</w:t>
      </w:r>
    </w:p>
    <w:p>
      <w:pPr>
        <w:sectPr>
          <w:pgSz w:w="11900" w:h="16838" w:orient="portrait"/>
          <w:cols w:equalWidth="0" w:num="1">
            <w:col w:w="11372"/>
          </w:cols>
          <w:pgMar w:left="248" w:top="125" w:right="279" w:bottom="0" w:gutter="0" w:footer="0" w:header="0"/>
        </w:sectPr>
      </w:pPr>
    </w:p>
    <w:bookmarkStart w:id="148" w:name="page149"/>
    <w:bookmarkEnd w:id="148"/>
    <w:p>
      <w:pPr>
        <w:spacing w:after="0" w:line="32" w:lineRule="exact"/>
        <w:rPr>
          <w:sz w:val="20"/>
          <w:szCs w:val="20"/>
          <w:color w:val="auto"/>
        </w:rPr>
      </w:pPr>
    </w:p>
    <w:p>
      <w:pPr>
        <w:ind w:left="1952" w:right="140" w:hanging="655"/>
        <w:spacing w:after="0" w:line="259" w:lineRule="auto"/>
        <w:tabs>
          <w:tab w:leader="none" w:pos="195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Pledgee has the power to execute and perform its obligations under this Agreement. The execution and performance of this Agreement by the Pledgee is in compliance with the articles of association or other organizational documents of the Pledgee, and the Pledgee has obtained all necessary and appropriate approvals and authorizations for the execution and performance of this Agreement.</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655"/>
        <w:spacing w:after="0"/>
        <w:tabs>
          <w:tab w:leader="none" w:pos="1952"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the Pledgee.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by the Pledgor</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Pledgor hereby undertakes to the Pledgee as follows:</w:t>
      </w:r>
    </w:p>
    <w:p>
      <w:pPr>
        <w:spacing w:after="0" w:line="225" w:lineRule="exact"/>
        <w:rPr>
          <w:rFonts w:ascii="Arial" w:cs="Arial" w:eastAsia="Arial" w:hAnsi="Arial"/>
          <w:sz w:val="18"/>
          <w:szCs w:val="18"/>
          <w:b w:val="1"/>
          <w:bCs w:val="1"/>
          <w:color w:val="auto"/>
        </w:rPr>
      </w:pPr>
    </w:p>
    <w:p>
      <w:pPr>
        <w:ind w:left="1952" w:right="240" w:hanging="655"/>
        <w:spacing w:after="0" w:line="264" w:lineRule="auto"/>
        <w:tabs>
          <w:tab w:leader="none" w:pos="1949"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Without the prior written consent by the Pledgee, the Pledgor shall not establish or permit to establish any further pledge or any other encumbrance on the Pledged Equity. Any pledge or other encumbrance on all or part of the Pledged Equity without such prior written consent shall be null and void.</w:t>
      </w:r>
    </w:p>
    <w:p>
      <w:pPr>
        <w:spacing w:after="0" w:line="181" w:lineRule="exact"/>
        <w:rPr>
          <w:rFonts w:ascii="Arial" w:cs="Arial" w:eastAsia="Arial" w:hAnsi="Arial"/>
          <w:sz w:val="18"/>
          <w:szCs w:val="18"/>
          <w:color w:val="auto"/>
        </w:rPr>
      </w:pPr>
    </w:p>
    <w:p>
      <w:pPr>
        <w:ind w:left="1952" w:right="60" w:hanging="655"/>
        <w:spacing w:after="0" w:line="312" w:lineRule="auto"/>
        <w:tabs>
          <w:tab w:leader="none" w:pos="1959" w:val="left"/>
        </w:tabs>
        <w:numPr>
          <w:ilvl w:val="1"/>
          <w:numId w:val="267"/>
        </w:numPr>
        <w:rPr>
          <w:rFonts w:ascii="Arial" w:cs="Arial" w:eastAsia="Arial" w:hAnsi="Arial"/>
          <w:sz w:val="16"/>
          <w:szCs w:val="16"/>
          <w:color w:val="auto"/>
        </w:rPr>
      </w:pPr>
      <w:r>
        <w:rPr>
          <w:rFonts w:ascii="Arial" w:cs="Arial" w:eastAsia="Arial" w:hAnsi="Arial"/>
          <w:sz w:val="16"/>
          <w:szCs w:val="16"/>
          <w:color w:val="auto"/>
        </w:rPr>
        <w:t>Without having the Pledgee’s prior written consent, the Pledgor shall not transfer the Pledged Equity, and any attempt by the Pledgor to transfer the Pledged Equity shall be null and void. The proceeds from the transfer of the Pledged Equity by the Pledgor shall be used to repay to the Pledgee in advance the Secured Debts or submit the same to the third party agreed with the Pledgee.</w:t>
      </w:r>
    </w:p>
    <w:p>
      <w:pPr>
        <w:spacing w:after="0" w:line="146" w:lineRule="exact"/>
        <w:rPr>
          <w:rFonts w:ascii="Arial" w:cs="Arial" w:eastAsia="Arial" w:hAnsi="Arial"/>
          <w:sz w:val="16"/>
          <w:szCs w:val="16"/>
          <w:color w:val="auto"/>
        </w:rPr>
      </w:pPr>
    </w:p>
    <w:p>
      <w:pPr>
        <w:ind w:left="1952" w:right="20" w:hanging="655"/>
        <w:spacing w:after="0" w:line="279" w:lineRule="auto"/>
        <w:tabs>
          <w:tab w:leader="none" w:pos="1963" w:val="left"/>
        </w:tabs>
        <w:numPr>
          <w:ilvl w:val="1"/>
          <w:numId w:val="267"/>
        </w:numPr>
        <w:rPr>
          <w:rFonts w:ascii="Arial" w:cs="Arial" w:eastAsia="Arial" w:hAnsi="Arial"/>
          <w:sz w:val="17"/>
          <w:szCs w:val="17"/>
          <w:color w:val="auto"/>
        </w:rPr>
      </w:pPr>
      <w:r>
        <w:rPr>
          <w:rFonts w:ascii="Arial" w:cs="Arial" w:eastAsia="Arial" w:hAnsi="Arial"/>
          <w:sz w:val="17"/>
          <w:szCs w:val="17"/>
          <w:color w:val="auto"/>
        </w:rPr>
        <w:t>The Pledgor shall promptly notify the Pledgee of any litigation, arbitration, claim or other proceedings which may adversely affect the interest of the Pledgor or the Pledgee under the Transaction Agreements and hereunder or in respect of the Pledged Equity, shall keep the Pledgee timely informed of developments in connection therewith and shall take all reasonable measures to defend such proceedings and protect the interest of the Pledgee in the Pledged Equity.</w:t>
      </w:r>
    </w:p>
    <w:p>
      <w:pPr>
        <w:spacing w:after="0" w:line="171" w:lineRule="exact"/>
        <w:rPr>
          <w:rFonts w:ascii="Arial" w:cs="Arial" w:eastAsia="Arial" w:hAnsi="Arial"/>
          <w:sz w:val="17"/>
          <w:szCs w:val="17"/>
          <w:color w:val="auto"/>
        </w:rPr>
      </w:pPr>
    </w:p>
    <w:p>
      <w:pPr>
        <w:ind w:left="1952" w:right="40" w:hanging="655"/>
        <w:spacing w:after="0" w:line="277" w:lineRule="auto"/>
        <w:tabs>
          <w:tab w:leader="none" w:pos="1959"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Pledgor shall not take or permit any act or action which may adversely affect the interest of the Pledgee under the Transaction Agreements and hereunder or in respect of the Pledged Equity.</w:t>
      </w:r>
    </w:p>
    <w:p>
      <w:pPr>
        <w:spacing w:after="0" w:line="170" w:lineRule="exact"/>
        <w:rPr>
          <w:rFonts w:ascii="Arial" w:cs="Arial" w:eastAsia="Arial" w:hAnsi="Arial"/>
          <w:sz w:val="18"/>
          <w:szCs w:val="18"/>
          <w:color w:val="auto"/>
        </w:rPr>
      </w:pPr>
    </w:p>
    <w:p>
      <w:pPr>
        <w:ind w:left="1952" w:hanging="655"/>
        <w:spacing w:after="0" w:line="264" w:lineRule="auto"/>
        <w:tabs>
          <w:tab w:leader="none" w:pos="196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At the request of the Pledgee, the Pledgor shall cause the Domestic Company to, within the first month of each calendar quarter, provide the Pledgee with the financial statements, including (but not limited to) the balance sheet, the profit statement and the cash flow statement of the Domestic Company for the previous calendar quarter.</w:t>
      </w:r>
    </w:p>
    <w:p>
      <w:pPr>
        <w:spacing w:after="0" w:line="177" w:lineRule="exact"/>
        <w:rPr>
          <w:rFonts w:ascii="Arial" w:cs="Arial" w:eastAsia="Arial" w:hAnsi="Arial"/>
          <w:sz w:val="18"/>
          <w:szCs w:val="18"/>
          <w:color w:val="auto"/>
        </w:rPr>
      </w:pPr>
    </w:p>
    <w:p>
      <w:pPr>
        <w:ind w:left="652" w:hanging="652"/>
        <w:spacing w:after="0"/>
        <w:tabs>
          <w:tab w:leader="none" w:pos="652"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Circumstances</w:t>
      </w:r>
    </w:p>
    <w:p>
      <w:pPr>
        <w:spacing w:after="0" w:line="229" w:lineRule="exact"/>
        <w:rPr>
          <w:rFonts w:ascii="Arial" w:cs="Arial" w:eastAsia="Arial" w:hAnsi="Arial"/>
          <w:sz w:val="18"/>
          <w:szCs w:val="18"/>
          <w:b w:val="1"/>
          <w:bCs w:val="1"/>
          <w:color w:val="auto"/>
        </w:rPr>
      </w:pPr>
    </w:p>
    <w:p>
      <w:pPr>
        <w:ind w:left="6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Subject to compliance with other terms of the Transaction Agreements and this Agreement, the event of any promulgation or change of any PRC Law, regulations or rules, or change in interpretation or application of such laws, regulations and rules, or the change of the relevant registration procedures which causes the Pledgee to believe that it will be illegal or in conflict with such laws, regulations or rules to further maintain the effectiveness of this Agreement and/or dispose of the Pledged Equity in the manner provided herein, the Pledgor shall, at the written direction of the Pledgee and in accordance with the reasonable request of the Pledgee, promptly take all actions and/or execute any agreement or other document, in order to:</w:t>
      </w:r>
    </w:p>
    <w:p>
      <w:pPr>
        <w:spacing w:after="0" w:line="1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12" w:hanging="664"/>
        <w:spacing w:after="0"/>
        <w:tabs>
          <w:tab w:leader="none" w:pos="131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keep this Agreement valid and effective;</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facilitate the disposal of the Pledged Equity in the manner provided herein; and/or</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268"/>
        </w:numPr>
        <w:rPr>
          <w:rFonts w:ascii="Arial" w:cs="Arial" w:eastAsia="Arial" w:hAnsi="Arial"/>
          <w:sz w:val="18"/>
          <w:szCs w:val="18"/>
          <w:color w:val="auto"/>
        </w:rPr>
      </w:pPr>
      <w:r>
        <w:rPr>
          <w:rFonts w:ascii="Arial" w:cs="Arial" w:eastAsia="Arial" w:hAnsi="Arial"/>
          <w:sz w:val="18"/>
          <w:szCs w:val="18"/>
          <w:color w:val="auto"/>
        </w:rPr>
        <w:t>maintain or realize the intention or the security established hereunder.</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and Term of the Agreement</w:t>
      </w:r>
    </w:p>
    <w:p>
      <w:pPr>
        <w:spacing w:after="0" w:line="229" w:lineRule="exact"/>
        <w:rPr>
          <w:rFonts w:ascii="Arial" w:cs="Arial" w:eastAsia="Arial" w:hAnsi="Arial"/>
          <w:sz w:val="18"/>
          <w:szCs w:val="18"/>
          <w:b w:val="1"/>
          <w:bCs w:val="1"/>
          <w:color w:val="auto"/>
        </w:rPr>
      </w:pPr>
    </w:p>
    <w:p>
      <w:pPr>
        <w:ind w:left="1292"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9.1.This Agreement shall become effective when it has been duly executed by the parties hereto and recorded in the register of equityholders (if any) of the Domestic Company, and the Equity Pledge under this Agreement or the Registration Version, as applicable, shall become effective when it has been registered with SAIC to the extent permitted by SAIC. The Pledgor shall carry out all the approval and registration formalities in a timely manner as required by PRC Law (including but not limited to the registration of the Equity Pledge with SAIC to the extent permitted by SAIC) and shall take all other necessary actions required for completing such approval and/or registration formalities.</w:t>
      </w:r>
    </w:p>
    <w:p>
      <w:pPr>
        <w:spacing w:after="0" w:line="193" w:lineRule="exact"/>
        <w:rPr>
          <w:rFonts w:ascii="Arial" w:cs="Arial" w:eastAsia="Arial" w:hAnsi="Arial"/>
          <w:sz w:val="18"/>
          <w:szCs w:val="18"/>
          <w:b w:val="1"/>
          <w:bCs w:val="1"/>
          <w:color w:val="auto"/>
        </w:rPr>
      </w:pPr>
    </w:p>
    <w:p>
      <w:pPr>
        <w:ind w:left="1292" w:right="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9.2.This Agreement shall continue to be valid until the full performance of the Contract Obligations or the full discharge and satisfaction of the Secured Debts.</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8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If to Pledgee: NetEase Media Technology (Beijing) Co., Ltd.</w:t>
      </w:r>
    </w:p>
    <w:p>
      <w:pPr>
        <w:sectPr>
          <w:pgSz w:w="11900" w:h="16870" w:orient="portrait"/>
          <w:cols w:equalWidth="0" w:num="1">
            <w:col w:w="11372"/>
          </w:cols>
          <w:pgMar w:left="248" w:top="125" w:right="279" w:bottom="0" w:gutter="0" w:footer="0" w:header="0"/>
        </w:sectPr>
      </w:pPr>
    </w:p>
    <w:bookmarkStart w:id="149" w:name="page150"/>
    <w:bookmarkEnd w:id="149"/>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ind w:left="1960"/>
              <w:spacing w:after="0"/>
              <w:rPr>
                <w:sz w:val="20"/>
                <w:szCs w:val="20"/>
                <w:color w:val="auto"/>
              </w:rPr>
            </w:pPr>
            <w:r>
              <w:rPr>
                <w:rFonts w:ascii="Arial" w:cs="Arial" w:eastAsia="Arial" w:hAnsi="Arial"/>
                <w:sz w:val="18"/>
                <w:szCs w:val="18"/>
                <w:color w:val="auto"/>
              </w:rPr>
              <w:t>Address:</w:t>
            </w:r>
          </w:p>
        </w:tc>
        <w:tc>
          <w:tcPr>
            <w:tcW w:w="8240" w:type="dxa"/>
            <w:vAlign w:val="bottom"/>
          </w:tcPr>
          <w:p>
            <w:pPr>
              <w:ind w:left="560"/>
              <w:spacing w:after="0"/>
              <w:rPr>
                <w:sz w:val="20"/>
                <w:szCs w:val="20"/>
                <w:color w:val="auto"/>
              </w:rPr>
            </w:pPr>
            <w:r>
              <w:rPr>
                <w:rFonts w:ascii="Arial" w:cs="Arial" w:eastAsia="Arial" w:hAnsi="Arial"/>
                <w:sz w:val="18"/>
                <w:szCs w:val="18"/>
                <w:color w:val="auto"/>
              </w:rPr>
              <w:t>Building No. 7, West Zone, Zhongguancun Software Park (Phase II), No.10</w:t>
            </w:r>
          </w:p>
        </w:tc>
      </w:tr>
      <w:tr>
        <w:trPr>
          <w:trHeight w:val="230"/>
        </w:trPr>
        <w:tc>
          <w:tcPr>
            <w:tcW w:w="3220" w:type="dxa"/>
            <w:vAlign w:val="bottom"/>
          </w:tcPr>
          <w:p>
            <w:pPr>
              <w:spacing w:after="0"/>
              <w:rPr>
                <w:sz w:val="20"/>
                <w:szCs w:val="20"/>
                <w:color w:val="auto"/>
              </w:rPr>
            </w:pPr>
          </w:p>
        </w:tc>
        <w:tc>
          <w:tcPr>
            <w:tcW w:w="8240" w:type="dxa"/>
            <w:vAlign w:val="bottom"/>
          </w:tcPr>
          <w:p>
            <w:pPr>
              <w:ind w:left="560"/>
              <w:spacing w:after="0"/>
              <w:rPr>
                <w:sz w:val="20"/>
                <w:szCs w:val="20"/>
                <w:color w:val="auto"/>
              </w:rPr>
            </w:pPr>
            <w:r>
              <w:rPr>
                <w:rFonts w:ascii="Arial" w:cs="Arial" w:eastAsia="Arial" w:hAnsi="Arial"/>
                <w:sz w:val="18"/>
                <w:szCs w:val="18"/>
                <w:color w:val="auto"/>
              </w:rPr>
              <w:t>Xibeiwang East Road, Haidian District, Beijing, China</w:t>
            </w:r>
          </w:p>
        </w:tc>
      </w:tr>
      <w:tr>
        <w:trPr>
          <w:trHeight w:val="432"/>
        </w:trPr>
        <w:tc>
          <w:tcPr>
            <w:tcW w:w="3220" w:type="dxa"/>
            <w:vAlign w:val="bottom"/>
          </w:tcPr>
          <w:p>
            <w:pPr>
              <w:ind w:left="1960"/>
              <w:spacing w:after="0"/>
              <w:rPr>
                <w:sz w:val="20"/>
                <w:szCs w:val="20"/>
                <w:color w:val="auto"/>
              </w:rPr>
            </w:pPr>
            <w:r>
              <w:rPr>
                <w:rFonts w:ascii="Arial" w:cs="Arial" w:eastAsia="Arial" w:hAnsi="Arial"/>
                <w:sz w:val="18"/>
                <w:szCs w:val="18"/>
                <w:color w:val="auto"/>
              </w:rPr>
              <w:t>Fax:</w:t>
            </w:r>
          </w:p>
        </w:tc>
        <w:tc>
          <w:tcPr>
            <w:tcW w:w="8240" w:type="dxa"/>
            <w:vAlign w:val="bottom"/>
          </w:tcPr>
          <w:p>
            <w:pPr>
              <w:ind w:left="560"/>
              <w:spacing w:after="0"/>
              <w:rPr>
                <w:sz w:val="20"/>
                <w:szCs w:val="20"/>
                <w:color w:val="auto"/>
              </w:rPr>
            </w:pPr>
            <w:r>
              <w:rPr>
                <w:rFonts w:ascii="Arial" w:cs="Arial" w:eastAsia="Arial" w:hAnsi="Arial"/>
                <w:sz w:val="18"/>
                <w:szCs w:val="18"/>
                <w:color w:val="auto"/>
              </w:rPr>
              <w:t>(86) 010-82625163</w:t>
            </w:r>
          </w:p>
        </w:tc>
      </w:tr>
      <w:tr>
        <w:trPr>
          <w:trHeight w:val="432"/>
        </w:trPr>
        <w:tc>
          <w:tcPr>
            <w:tcW w:w="3220" w:type="dxa"/>
            <w:vAlign w:val="bottom"/>
          </w:tcPr>
          <w:p>
            <w:pPr>
              <w:ind w:left="1960"/>
              <w:spacing w:after="0"/>
              <w:rPr>
                <w:sz w:val="20"/>
                <w:szCs w:val="20"/>
                <w:color w:val="auto"/>
              </w:rPr>
            </w:pPr>
            <w:r>
              <w:rPr>
                <w:rFonts w:ascii="Arial" w:cs="Arial" w:eastAsia="Arial" w:hAnsi="Arial"/>
                <w:sz w:val="18"/>
                <w:szCs w:val="18"/>
                <w:color w:val="auto"/>
              </w:rPr>
              <w:t>Email:</w:t>
            </w:r>
          </w:p>
        </w:tc>
        <w:tc>
          <w:tcPr>
            <w:tcW w:w="8240" w:type="dxa"/>
            <w:vAlign w:val="bottom"/>
          </w:tcPr>
          <w:p>
            <w:pPr>
              <w:ind w:left="560"/>
              <w:spacing w:after="0"/>
              <w:rPr>
                <w:sz w:val="20"/>
                <w:szCs w:val="20"/>
                <w:color w:val="auto"/>
              </w:rPr>
            </w:pPr>
            <w:r>
              <w:rPr>
                <w:rFonts w:ascii="Arial" w:cs="Arial" w:eastAsia="Arial" w:hAnsi="Arial"/>
                <w:sz w:val="18"/>
                <w:szCs w:val="18"/>
                <w:color w:val="auto"/>
              </w:rPr>
              <w:t>ochoi@corp.netease.com</w:t>
            </w:r>
          </w:p>
        </w:tc>
      </w:tr>
      <w:tr>
        <w:trPr>
          <w:trHeight w:val="432"/>
        </w:trPr>
        <w:tc>
          <w:tcPr>
            <w:tcW w:w="3220" w:type="dxa"/>
            <w:vAlign w:val="bottom"/>
          </w:tcPr>
          <w:p>
            <w:pPr>
              <w:ind w:left="1960"/>
              <w:spacing w:after="0"/>
              <w:rPr>
                <w:sz w:val="20"/>
                <w:szCs w:val="20"/>
                <w:color w:val="auto"/>
              </w:rPr>
            </w:pPr>
            <w:r>
              <w:rPr>
                <w:rFonts w:ascii="Arial" w:cs="Arial" w:eastAsia="Arial" w:hAnsi="Arial"/>
                <w:sz w:val="18"/>
                <w:szCs w:val="18"/>
                <w:color w:val="auto"/>
              </w:rPr>
              <w:t>Attention:</w:t>
            </w:r>
          </w:p>
        </w:tc>
        <w:tc>
          <w:tcPr>
            <w:tcW w:w="8240" w:type="dxa"/>
            <w:vAlign w:val="bottom"/>
          </w:tcPr>
          <w:p>
            <w:pPr>
              <w:ind w:left="560"/>
              <w:spacing w:after="0"/>
              <w:rPr>
                <w:sz w:val="20"/>
                <w:szCs w:val="20"/>
                <w:color w:val="auto"/>
              </w:rPr>
            </w:pPr>
            <w:r>
              <w:rPr>
                <w:rFonts w:ascii="Arial" w:cs="Arial" w:eastAsia="Arial" w:hAnsi="Arial"/>
                <w:sz w:val="18"/>
                <w:szCs w:val="18"/>
                <w:color w:val="auto"/>
              </w:rPr>
              <w:t>Onward Choi</w:t>
            </w:r>
          </w:p>
        </w:tc>
      </w:tr>
      <w:tr>
        <w:trPr>
          <w:trHeight w:val="432"/>
        </w:trPr>
        <w:tc>
          <w:tcPr>
            <w:tcW w:w="3220" w:type="dxa"/>
            <w:vAlign w:val="bottom"/>
          </w:tcPr>
          <w:p>
            <w:pPr>
              <w:spacing w:after="0"/>
              <w:rPr>
                <w:sz w:val="24"/>
                <w:szCs w:val="24"/>
                <w:color w:val="auto"/>
              </w:rPr>
            </w:pPr>
          </w:p>
        </w:tc>
        <w:tc>
          <w:tcPr>
            <w:tcW w:w="8240" w:type="dxa"/>
            <w:vAlign w:val="bottom"/>
          </w:tcPr>
          <w:p>
            <w:pPr>
              <w:ind w:left="2440"/>
              <w:spacing w:after="0"/>
              <w:rPr>
                <w:sz w:val="20"/>
                <w:szCs w:val="20"/>
                <w:color w:val="auto"/>
              </w:rPr>
            </w:pPr>
            <w:r>
              <w:rPr>
                <w:rFonts w:ascii="Arial" w:cs="Arial" w:eastAsia="Arial" w:hAnsi="Arial"/>
                <w:sz w:val="18"/>
                <w:szCs w:val="18"/>
                <w:color w:val="auto"/>
              </w:rPr>
              <w:t>8</w:t>
            </w:r>
          </w:p>
        </w:tc>
      </w:tr>
      <w:tr>
        <w:trPr>
          <w:trHeight w:val="132"/>
        </w:trPr>
        <w:tc>
          <w:tcPr>
            <w:tcW w:w="3220" w:type="dxa"/>
            <w:vAlign w:val="bottom"/>
            <w:tcBorders>
              <w:bottom w:val="single" w:sz="8" w:color="808080"/>
            </w:tcBorders>
          </w:tcPr>
          <w:p>
            <w:pPr>
              <w:spacing w:after="0"/>
              <w:rPr>
                <w:sz w:val="11"/>
                <w:szCs w:val="11"/>
                <w:color w:val="auto"/>
              </w:rPr>
            </w:pPr>
          </w:p>
        </w:tc>
        <w:tc>
          <w:tcPr>
            <w:tcW w:w="8240" w:type="dxa"/>
            <w:vAlign w:val="bottom"/>
            <w:tcBorders>
              <w:bottom w:val="single" w:sz="8" w:color="808080"/>
            </w:tcBorders>
          </w:tcPr>
          <w:p>
            <w:pPr>
              <w:spacing w:after="0"/>
              <w:rPr>
                <w:sz w:val="11"/>
                <w:szCs w:val="11"/>
                <w:color w:val="auto"/>
              </w:rPr>
            </w:pPr>
          </w:p>
        </w:tc>
      </w:tr>
      <w:tr>
        <w:trPr>
          <w:trHeight w:val="780"/>
        </w:trPr>
        <w:tc>
          <w:tcPr>
            <w:tcW w:w="3220" w:type="dxa"/>
            <w:vAlign w:val="bottom"/>
          </w:tcPr>
          <w:p>
            <w:pPr>
              <w:ind w:left="660"/>
              <w:spacing w:after="0"/>
              <w:rPr>
                <w:sz w:val="20"/>
                <w:szCs w:val="20"/>
                <w:color w:val="auto"/>
              </w:rPr>
            </w:pPr>
            <w:r>
              <w:rPr>
                <w:rFonts w:ascii="Arial" w:cs="Arial" w:eastAsia="Arial" w:hAnsi="Arial"/>
                <w:sz w:val="18"/>
                <w:szCs w:val="18"/>
                <w:b w:val="1"/>
                <w:bCs w:val="1"/>
                <w:color w:val="auto"/>
              </w:rPr>
              <w:t>If to Pledgor: Li Li</w:t>
            </w:r>
          </w:p>
        </w:tc>
        <w:tc>
          <w:tcPr>
            <w:tcW w:w="8240" w:type="dxa"/>
            <w:vAlign w:val="bottom"/>
          </w:tcPr>
          <w:p>
            <w:pPr>
              <w:spacing w:after="0"/>
              <w:rPr>
                <w:sz w:val="24"/>
                <w:szCs w:val="24"/>
                <w:color w:val="auto"/>
              </w:rPr>
            </w:pPr>
          </w:p>
        </w:tc>
      </w:tr>
      <w:tr>
        <w:trPr>
          <w:trHeight w:val="418"/>
        </w:trPr>
        <w:tc>
          <w:tcPr>
            <w:tcW w:w="3220" w:type="dxa"/>
            <w:vAlign w:val="bottom"/>
          </w:tcPr>
          <w:p>
            <w:pPr>
              <w:ind w:left="1960"/>
              <w:spacing w:after="0"/>
              <w:rPr>
                <w:sz w:val="20"/>
                <w:szCs w:val="20"/>
                <w:color w:val="auto"/>
              </w:rPr>
            </w:pPr>
            <w:r>
              <w:rPr>
                <w:rFonts w:ascii="Arial" w:cs="Arial" w:eastAsia="Arial" w:hAnsi="Arial"/>
                <w:sz w:val="18"/>
                <w:szCs w:val="18"/>
                <w:color w:val="auto"/>
              </w:rPr>
              <w:t>Address:</w:t>
            </w:r>
          </w:p>
        </w:tc>
        <w:tc>
          <w:tcPr>
            <w:tcW w:w="8240" w:type="dxa"/>
            <w:vAlign w:val="bottom"/>
          </w:tcPr>
          <w:p>
            <w:pPr>
              <w:ind w:left="560"/>
              <w:spacing w:after="0"/>
              <w:rPr>
                <w:sz w:val="20"/>
                <w:szCs w:val="20"/>
                <w:color w:val="auto"/>
              </w:rPr>
            </w:pPr>
            <w:r>
              <w:rPr>
                <w:rFonts w:ascii="Arial" w:cs="Arial" w:eastAsia="Arial" w:hAnsi="Arial"/>
                <w:sz w:val="18"/>
                <w:szCs w:val="18"/>
                <w:color w:val="auto"/>
              </w:rPr>
              <w:t>NO.7, Unit 4, Building 16, Changqing Yuan,</w:t>
            </w:r>
          </w:p>
        </w:tc>
      </w:tr>
      <w:tr>
        <w:trPr>
          <w:trHeight w:val="230"/>
        </w:trPr>
        <w:tc>
          <w:tcPr>
            <w:tcW w:w="3220" w:type="dxa"/>
            <w:vAlign w:val="bottom"/>
          </w:tcPr>
          <w:p>
            <w:pPr>
              <w:spacing w:after="0"/>
              <w:rPr>
                <w:sz w:val="20"/>
                <w:szCs w:val="20"/>
                <w:color w:val="auto"/>
              </w:rPr>
            </w:pPr>
          </w:p>
        </w:tc>
        <w:tc>
          <w:tcPr>
            <w:tcW w:w="8240" w:type="dxa"/>
            <w:vAlign w:val="bottom"/>
          </w:tcPr>
          <w:p>
            <w:pPr>
              <w:ind w:left="560"/>
              <w:spacing w:after="0"/>
              <w:rPr>
                <w:sz w:val="20"/>
                <w:szCs w:val="20"/>
                <w:color w:val="auto"/>
              </w:rPr>
            </w:pPr>
            <w:r>
              <w:rPr>
                <w:rFonts w:ascii="Arial" w:cs="Arial" w:eastAsia="Arial" w:hAnsi="Arial"/>
                <w:sz w:val="18"/>
                <w:szCs w:val="18"/>
                <w:color w:val="auto"/>
              </w:rPr>
              <w:t>Chongwen District, Beijing</w:t>
            </w:r>
          </w:p>
        </w:tc>
      </w:tr>
      <w:tr>
        <w:trPr>
          <w:trHeight w:val="432"/>
        </w:trPr>
        <w:tc>
          <w:tcPr>
            <w:tcW w:w="3220" w:type="dxa"/>
            <w:vAlign w:val="bottom"/>
          </w:tcPr>
          <w:p>
            <w:pPr>
              <w:ind w:left="1960"/>
              <w:spacing w:after="0"/>
              <w:rPr>
                <w:sz w:val="20"/>
                <w:szCs w:val="20"/>
                <w:color w:val="auto"/>
              </w:rPr>
            </w:pPr>
            <w:r>
              <w:rPr>
                <w:rFonts w:ascii="Arial" w:cs="Arial" w:eastAsia="Arial" w:hAnsi="Arial"/>
                <w:sz w:val="18"/>
                <w:szCs w:val="18"/>
                <w:color w:val="auto"/>
              </w:rPr>
              <w:t>Fax:</w:t>
            </w:r>
          </w:p>
        </w:tc>
        <w:tc>
          <w:tcPr>
            <w:tcW w:w="8240" w:type="dxa"/>
            <w:vAlign w:val="bottom"/>
          </w:tcPr>
          <w:p>
            <w:pPr>
              <w:ind w:left="560"/>
              <w:spacing w:after="0"/>
              <w:rPr>
                <w:sz w:val="20"/>
                <w:szCs w:val="20"/>
                <w:color w:val="auto"/>
              </w:rPr>
            </w:pPr>
            <w:r>
              <w:rPr>
                <w:rFonts w:ascii="Arial" w:cs="Arial" w:eastAsia="Arial" w:hAnsi="Arial"/>
                <w:sz w:val="18"/>
                <w:szCs w:val="18"/>
                <w:color w:val="auto"/>
              </w:rPr>
              <w:t>(86) 010-82625163</w:t>
            </w:r>
          </w:p>
        </w:tc>
      </w:tr>
      <w:tr>
        <w:trPr>
          <w:trHeight w:val="432"/>
        </w:trPr>
        <w:tc>
          <w:tcPr>
            <w:tcW w:w="3220" w:type="dxa"/>
            <w:vAlign w:val="bottom"/>
          </w:tcPr>
          <w:p>
            <w:pPr>
              <w:ind w:left="1960"/>
              <w:spacing w:after="0"/>
              <w:rPr>
                <w:sz w:val="20"/>
                <w:szCs w:val="20"/>
                <w:color w:val="auto"/>
              </w:rPr>
            </w:pPr>
            <w:r>
              <w:rPr>
                <w:rFonts w:ascii="Arial" w:cs="Arial" w:eastAsia="Arial" w:hAnsi="Arial"/>
                <w:sz w:val="18"/>
                <w:szCs w:val="18"/>
                <w:color w:val="auto"/>
              </w:rPr>
              <w:t>Email:</w:t>
            </w:r>
          </w:p>
        </w:tc>
        <w:tc>
          <w:tcPr>
            <w:tcW w:w="8240" w:type="dxa"/>
            <w:vAlign w:val="bottom"/>
          </w:tcPr>
          <w:p>
            <w:pPr>
              <w:ind w:left="560"/>
              <w:spacing w:after="0"/>
              <w:rPr>
                <w:sz w:val="20"/>
                <w:szCs w:val="20"/>
                <w:color w:val="auto"/>
              </w:rPr>
            </w:pPr>
            <w:r>
              <w:rPr>
                <w:rFonts w:ascii="Arial" w:cs="Arial" w:eastAsia="Arial" w:hAnsi="Arial"/>
                <w:sz w:val="18"/>
                <w:szCs w:val="18"/>
                <w:color w:val="auto"/>
              </w:rPr>
              <w:t>lilyli@corp.netease.com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640" w:hanging="632"/>
        <w:spacing w:after="0"/>
        <w:tabs>
          <w:tab w:leader="none" w:pos="6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60" w:right="1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300" w:right="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12.1. The formation, validity, interpretation, performance, amendment, termination and dispute resolution of this Agreement shall be governed by PRC Law.</w:t>
      </w:r>
    </w:p>
    <w:p>
      <w:pPr>
        <w:spacing w:after="0" w:line="170" w:lineRule="exact"/>
        <w:rPr>
          <w:rFonts w:ascii="Arial" w:cs="Arial" w:eastAsia="Arial" w:hAnsi="Arial"/>
          <w:sz w:val="18"/>
          <w:szCs w:val="18"/>
          <w:b w:val="1"/>
          <w:bCs w:val="1"/>
          <w:color w:val="auto"/>
        </w:rPr>
      </w:pPr>
    </w:p>
    <w:p>
      <w:pPr>
        <w:ind w:left="1300" w:right="80" w:hanging="648"/>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12.2. 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560" w:hanging="647"/>
        <w:spacing w:after="0" w:line="308" w:lineRule="auto"/>
        <w:tabs>
          <w:tab w:leader="none" w:pos="128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3"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300" w:right="18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13.1. The Pledgee may, upon notice to the Pledgor but without the Pledgor’s consent, assign the Pledgee’s rights and/or obligations hereunder to any third party. In the event of an assignment by the Pledgee hereunder, the Pledgor shall, at the request of the Pledgee, execute a new pledge agreement with the assignee on the same terms and conditions as this Agreement and register such change with the SAIC. The Pledgor may not, without the Pledgee’s prior written consent, assign any of the Pledgor’s rights, obligations and/or liabilities hereunder to any third party. Successors or permitted assignees (if any) of the Pledgor shall be bound by, and continue to perform, the obligations of the Pledgor under this Agreement.</w:t>
      </w:r>
    </w:p>
    <w:p>
      <w:pPr>
        <w:spacing w:after="0" w:line="193" w:lineRule="exact"/>
        <w:rPr>
          <w:rFonts w:ascii="Arial" w:cs="Arial" w:eastAsia="Arial" w:hAnsi="Arial"/>
          <w:sz w:val="18"/>
          <w:szCs w:val="18"/>
          <w:b w:val="1"/>
          <w:bCs w:val="1"/>
          <w:color w:val="auto"/>
        </w:rPr>
      </w:pPr>
    </w:p>
    <w:p>
      <w:pPr>
        <w:ind w:left="1300" w:right="1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13.2. The amount of Secured Debts determined by the Pledgee in exercising its rights over the Pledged Equity in accordance with the provisions contained herein shall be conclusive evidence of the amount of the Secured Debts hereunder.</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13.3.   This Agreement may not be amended or modified in any manner except by an instrument in writing signed by the Parties hereto.</w:t>
      </w:r>
    </w:p>
    <w:p>
      <w:pPr>
        <w:spacing w:after="0" w:line="225" w:lineRule="exact"/>
        <w:rPr>
          <w:rFonts w:ascii="Arial" w:cs="Arial" w:eastAsia="Arial" w:hAnsi="Arial"/>
          <w:sz w:val="18"/>
          <w:szCs w:val="18"/>
          <w:b w:val="1"/>
          <w:bCs w:val="1"/>
          <w:color w:val="auto"/>
        </w:rPr>
      </w:pPr>
    </w:p>
    <w:p>
      <w:pPr>
        <w:jc w:val="right"/>
        <w:ind w:left="1300" w:right="180" w:hanging="648"/>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13.4.   No waiver of any provision of this Agreement shall be effective unless made in writing and signed by the Parties. The waiver by any Party of a breach of any provision of this Agreement shall not operate or be construed as a waiver of any preceding or succeeding breach and no</w:t>
      </w:r>
    </w:p>
    <w:p>
      <w:pPr>
        <w:sectPr>
          <w:pgSz w:w="11900" w:h="16975" w:orient="portrait"/>
          <w:cols w:equalWidth="0" w:num="1">
            <w:col w:w="11460"/>
          </w:cols>
          <w:pgMar w:left="240" w:top="341" w:right="199" w:bottom="0" w:gutter="0" w:footer="0" w:header="0"/>
        </w:sectPr>
      </w:pPr>
    </w:p>
    <w:bookmarkStart w:id="150" w:name="page151"/>
    <w:bookmarkEnd w:id="150"/>
    <w:p>
      <w:pPr>
        <w:ind w:left="1300" w:right="80"/>
        <w:spacing w:after="0" w:line="277" w:lineRule="auto"/>
        <w:rPr>
          <w:sz w:val="20"/>
          <w:szCs w:val="20"/>
          <w:color w:val="auto"/>
        </w:rPr>
      </w:pPr>
      <w:r>
        <w:rPr>
          <w:rFonts w:ascii="Arial" w:cs="Arial" w:eastAsia="Arial" w:hAnsi="Arial"/>
          <w:sz w:val="18"/>
          <w:szCs w:val="18"/>
          <w:color w:val="auto"/>
        </w:rPr>
        <w:t>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70" w:lineRule="exact"/>
        <w:rPr>
          <w:sz w:val="20"/>
          <w:szCs w:val="20"/>
          <w:color w:val="auto"/>
        </w:rPr>
      </w:pPr>
    </w:p>
    <w:p>
      <w:pPr>
        <w:ind w:left="1300" w:right="60" w:hanging="647"/>
        <w:spacing w:after="0" w:line="291" w:lineRule="auto"/>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In the event the Registration Version is used for the purposes of the Registration of the Equity Pledge, the Parties agree that, to the extent there is any discrepancy between this Agreement and the Registration Version and/or to the extent any contents of this Agreement supplement the Registration Version, this Agreement shall prevail. 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 and the Parties will negotiate in good faith to amend this Agreement with respect to the unenforceable provision to replace it with an enforceable provision which as closely as possible reflects the intent of the Parties.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180" w:hanging="647"/>
        <w:spacing w:after="0" w:line="258" w:lineRule="auto"/>
        <w:tabs>
          <w:tab w:leader="none" w:pos="1280" w:val="left"/>
        </w:tabs>
        <w:rPr>
          <w:sz w:val="20"/>
          <w:szCs w:val="20"/>
          <w:color w:val="auto"/>
        </w:rPr>
      </w:pPr>
      <w:r>
        <w:rPr>
          <w:rFonts w:ascii="Arial" w:cs="Arial" w:eastAsia="Arial" w:hAnsi="Arial"/>
          <w:sz w:val="18"/>
          <w:szCs w:val="18"/>
          <w:color w:val="auto"/>
        </w:rPr>
        <w:t>13.6.</w:t>
        <w:tab/>
        <w:t>Upon the execution of this Agreement, the Pledgor shall enter into a power of attorney (the “</w:t>
      </w:r>
      <w:r>
        <w:rPr>
          <w:rFonts w:ascii="Arial" w:cs="Arial" w:eastAsia="Arial" w:hAnsi="Arial"/>
          <w:sz w:val="18"/>
          <w:szCs w:val="18"/>
          <w:b w:val="1"/>
          <w:bCs w:val="1"/>
          <w:color w:val="auto"/>
        </w:rPr>
        <w:t>Power of Attorney</w:t>
      </w:r>
      <w:r>
        <w:rPr>
          <w:rFonts w:ascii="Arial" w:cs="Arial" w:eastAsia="Arial" w:hAnsi="Arial"/>
          <w:sz w:val="18"/>
          <w:szCs w:val="18"/>
          <w:color w:val="auto"/>
        </w:rPr>
        <w:t xml:space="preserve">”, the form of which is set forth in </w:t>
      </w:r>
      <w:r>
        <w:rPr>
          <w:rFonts w:ascii="Arial" w:cs="Arial" w:eastAsia="Arial" w:hAnsi="Arial"/>
          <w:sz w:val="18"/>
          <w:szCs w:val="18"/>
          <w:u w:val="single" w:color="auto"/>
          <w:color w:val="auto"/>
        </w:rPr>
        <w:t>Appendix II</w:t>
      </w:r>
      <w:r>
        <w:rPr>
          <w:rFonts w:ascii="Arial" w:cs="Arial" w:eastAsia="Arial" w:hAnsi="Arial"/>
          <w:sz w:val="18"/>
          <w:szCs w:val="18"/>
          <w:color w:val="auto"/>
        </w:rPr>
        <w:t xml:space="preserve"> attached hereto) to authorize a person acceptable to the Pledgee to sign, on behalf of the Pledgor and according to this Agreement, any and all legal documents necessary for the exercise of the Pledgee’s rights hereunder. Such Power of Attorney shall be delivered to the Pledgee and the Pledgee may, at any time if necessary, require the Pledgor to execute multiple copies of the Power of Attorney and deliver the same to the relevant government authority.</w:t>
      </w:r>
    </w:p>
    <w:p>
      <w:pPr>
        <w:spacing w:after="0" w:line="188" w:lineRule="exact"/>
        <w:rPr>
          <w:sz w:val="20"/>
          <w:szCs w:val="20"/>
          <w:color w:val="auto"/>
        </w:rPr>
      </w:pPr>
    </w:p>
    <w:p>
      <w:pPr>
        <w:ind w:left="1300" w:right="60" w:hanging="647"/>
        <w:spacing w:after="0" w:line="290" w:lineRule="auto"/>
        <w:tabs>
          <w:tab w:leader="none" w:pos="128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Each Party shall use all reasonable efforts to do and perform, or cause to be done and performed, all such further acts and things and shall execute and deliver all such other agreements, certificates, instruments and documents as may be necessary or desirable to give effect to the terms and intent of this Agreement and any ancillary documents. If required under any applicable law, regulations or listing rules or required or deemed desirable by any stock exchange, government or other regulatory authority having competent jurisdiction over the Parties or their affiliates (the “</w:t>
      </w:r>
      <w:r>
        <w:rPr>
          <w:rFonts w:ascii="Arial" w:cs="Arial" w:eastAsia="Arial" w:hAnsi="Arial"/>
          <w:sz w:val="16"/>
          <w:szCs w:val="16"/>
          <w:b w:val="1"/>
          <w:bCs w:val="1"/>
          <w:color w:val="auto"/>
        </w:rPr>
        <w:t>Applicable Requirements</w:t>
      </w:r>
      <w:r>
        <w:rPr>
          <w:rFonts w:ascii="Arial" w:cs="Arial" w:eastAsia="Arial" w:hAnsi="Arial"/>
          <w:sz w:val="16"/>
          <w:szCs w:val="16"/>
          <w:color w:val="auto"/>
        </w:rPr>
        <w:t>”), the Pledgor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three (3) Business Days from demand by the Pledgee.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ind w:left="5720"/>
              <w:spacing w:after="0"/>
              <w:rPr>
                <w:sz w:val="20"/>
                <w:szCs w:val="20"/>
                <w:color w:val="auto"/>
              </w:rPr>
            </w:pPr>
            <w:r>
              <w:rPr>
                <w:rFonts w:ascii="Arial" w:cs="Arial" w:eastAsia="Arial" w:hAnsi="Arial"/>
                <w:sz w:val="18"/>
                <w:szCs w:val="18"/>
                <w:b w:val="1"/>
                <w:bCs w:val="1"/>
                <w:color w:val="auto"/>
              </w:rPr>
              <w:t>Pledgee:</w:t>
            </w:r>
          </w:p>
        </w:tc>
        <w:tc>
          <w:tcPr>
            <w:tcW w:w="4760" w:type="dxa"/>
            <w:vAlign w:val="bottom"/>
          </w:tcPr>
          <w:p>
            <w:pPr>
              <w:spacing w:after="0"/>
              <w:rPr>
                <w:sz w:val="20"/>
                <w:szCs w:val="20"/>
                <w:color w:val="auto"/>
              </w:rPr>
            </w:pPr>
            <w:r>
              <w:rPr>
                <w:rFonts w:ascii="Arial" w:cs="Arial" w:eastAsia="Arial" w:hAnsi="Arial"/>
                <w:sz w:val="18"/>
                <w:szCs w:val="18"/>
                <w:b w:val="1"/>
                <w:bCs w:val="1"/>
                <w:color w:val="auto"/>
              </w:rPr>
              <w:t>NetEase Media Technology (Beijing) Co.,</w:t>
            </w:r>
          </w:p>
        </w:tc>
        <w:tc>
          <w:tcPr>
            <w:tcW w:w="40" w:type="dxa"/>
            <w:vAlign w:val="bottom"/>
          </w:tcPr>
          <w:p>
            <w:pPr>
              <w:spacing w:after="0"/>
              <w:rPr>
                <w:sz w:val="18"/>
                <w:szCs w:val="18"/>
                <w:color w:val="auto"/>
              </w:rPr>
            </w:pPr>
          </w:p>
        </w:tc>
      </w:tr>
      <w:tr>
        <w:trPr>
          <w:trHeight w:val="234"/>
        </w:trPr>
        <w:tc>
          <w:tcPr>
            <w:tcW w:w="66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Ltd.</w:t>
            </w:r>
          </w:p>
        </w:tc>
        <w:tc>
          <w:tcPr>
            <w:tcW w:w="40" w:type="dxa"/>
            <w:vAlign w:val="bottom"/>
          </w:tcPr>
          <w:p>
            <w:pPr>
              <w:spacing w:after="0"/>
              <w:rPr>
                <w:sz w:val="20"/>
                <w:szCs w:val="20"/>
                <w:color w:val="auto"/>
              </w:rPr>
            </w:pPr>
          </w:p>
        </w:tc>
      </w:tr>
      <w:tr>
        <w:trPr>
          <w:trHeight w:val="432"/>
        </w:trPr>
        <w:tc>
          <w:tcPr>
            <w:tcW w:w="6660" w:type="dxa"/>
            <w:vAlign w:val="bottom"/>
          </w:tcPr>
          <w:p>
            <w:pPr>
              <w:spacing w:after="0"/>
              <w:rPr>
                <w:sz w:val="24"/>
                <w:szCs w:val="24"/>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(Seal)</w:t>
            </w:r>
          </w:p>
        </w:tc>
        <w:tc>
          <w:tcPr>
            <w:tcW w:w="40" w:type="dxa"/>
            <w:vAlign w:val="bottom"/>
          </w:tcPr>
          <w:p>
            <w:pPr>
              <w:spacing w:after="0"/>
              <w:rPr>
                <w:sz w:val="24"/>
                <w:szCs w:val="24"/>
                <w:color w:val="auto"/>
              </w:rPr>
            </w:pPr>
          </w:p>
        </w:tc>
      </w:tr>
      <w:tr>
        <w:trPr>
          <w:trHeight w:val="648"/>
        </w:trPr>
        <w:tc>
          <w:tcPr>
            <w:tcW w:w="6660" w:type="dxa"/>
            <w:vAlign w:val="bottom"/>
          </w:tcPr>
          <w:p>
            <w:pPr>
              <w:ind w:left="5720"/>
              <w:spacing w:after="0"/>
              <w:rPr>
                <w:sz w:val="20"/>
                <w:szCs w:val="20"/>
                <w:color w:val="auto"/>
              </w:rPr>
            </w:pPr>
            <w:r>
              <w:rPr>
                <w:rFonts w:ascii="Arial" w:cs="Arial" w:eastAsia="Arial" w:hAnsi="Arial"/>
                <w:sz w:val="18"/>
                <w:szCs w:val="18"/>
                <w:b w:val="1"/>
                <w:bCs w:val="1"/>
                <w:color w:val="auto"/>
              </w:rPr>
              <w:t>Pledgor:</w:t>
            </w:r>
          </w:p>
        </w:tc>
        <w:tc>
          <w:tcPr>
            <w:tcW w:w="4760" w:type="dxa"/>
            <w:vAlign w:val="bottom"/>
          </w:tcPr>
          <w:p>
            <w:pPr>
              <w:spacing w:after="0"/>
              <w:rPr>
                <w:sz w:val="20"/>
                <w:szCs w:val="20"/>
                <w:color w:val="auto"/>
              </w:rPr>
            </w:pPr>
            <w:r>
              <w:rPr>
                <w:rFonts w:ascii="Arial" w:cs="Arial" w:eastAsia="Arial" w:hAnsi="Arial"/>
                <w:sz w:val="18"/>
                <w:szCs w:val="18"/>
                <w:b w:val="1"/>
                <w:bCs w:val="1"/>
                <w:color w:val="auto"/>
              </w:rPr>
              <w:t>Li Li</w:t>
            </w:r>
          </w:p>
        </w:tc>
        <w:tc>
          <w:tcPr>
            <w:tcW w:w="40" w:type="dxa"/>
            <w:vAlign w:val="bottom"/>
          </w:tcPr>
          <w:p>
            <w:pPr>
              <w:spacing w:after="0"/>
              <w:rPr>
                <w:sz w:val="24"/>
                <w:szCs w:val="24"/>
                <w:color w:val="auto"/>
              </w:rPr>
            </w:pPr>
          </w:p>
        </w:tc>
      </w:tr>
      <w:tr>
        <w:trPr>
          <w:trHeight w:val="432"/>
        </w:trPr>
        <w:tc>
          <w:tcPr>
            <w:tcW w:w="6660" w:type="dxa"/>
            <w:vAlign w:val="bottom"/>
          </w:tcPr>
          <w:p>
            <w:pPr>
              <w:spacing w:after="0"/>
              <w:rPr>
                <w:sz w:val="24"/>
                <w:szCs w:val="24"/>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 Li</w:t>
            </w:r>
          </w:p>
        </w:tc>
        <w:tc>
          <w:tcPr>
            <w:tcW w:w="40" w:type="dxa"/>
            <w:vAlign w:val="bottom"/>
          </w:tcPr>
          <w:p>
            <w:pPr>
              <w:spacing w:after="0"/>
              <w:rPr>
                <w:sz w:val="24"/>
                <w:szCs w:val="24"/>
                <w:color w:val="auto"/>
              </w:rPr>
            </w:pPr>
          </w:p>
        </w:tc>
      </w:tr>
      <w:tr>
        <w:trPr>
          <w:trHeight w:val="341"/>
        </w:trPr>
        <w:tc>
          <w:tcPr>
            <w:tcW w:w="666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180" w:type="dxa"/>
            <w:vAlign w:val="bottom"/>
            <w:gridSpan w:val="2"/>
          </w:tcPr>
          <w:p>
            <w:pPr>
              <w:jc w:val="center"/>
              <w:ind w:right="5320"/>
              <w:spacing w:after="0"/>
              <w:rPr>
                <w:sz w:val="20"/>
                <w:szCs w:val="20"/>
                <w:color w:val="auto"/>
              </w:rPr>
            </w:pPr>
            <w:r>
              <w:rPr>
                <w:rFonts w:ascii="Arial" w:cs="Arial" w:eastAsia="Arial" w:hAnsi="Arial"/>
                <w:sz w:val="18"/>
                <w:szCs w:val="18"/>
                <w:b w:val="1"/>
                <w:bCs w:val="1"/>
                <w:color w:val="auto"/>
                <w:w w:val="93"/>
              </w:rPr>
              <w:t>Appendix I</w:t>
            </w:r>
          </w:p>
        </w:tc>
      </w:tr>
      <w:tr>
        <w:trPr>
          <w:trHeight w:val="20"/>
        </w:trPr>
        <w:tc>
          <w:tcPr>
            <w:tcW w:w="2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53"/>
        </w:trPr>
        <w:tc>
          <w:tcPr>
            <w:tcW w:w="2160" w:type="dxa"/>
            <w:vAlign w:val="bottom"/>
          </w:tcPr>
          <w:p>
            <w:pPr>
              <w:spacing w:after="0"/>
              <w:rPr>
                <w:sz w:val="24"/>
                <w:szCs w:val="24"/>
                <w:color w:val="auto"/>
              </w:rPr>
            </w:pPr>
          </w:p>
        </w:tc>
        <w:tc>
          <w:tcPr>
            <w:tcW w:w="9300" w:type="dxa"/>
            <w:vAlign w:val="bottom"/>
            <w:gridSpan w:val="3"/>
          </w:tcPr>
          <w:p>
            <w:pPr>
              <w:jc w:val="center"/>
              <w:ind w:right="2200"/>
              <w:spacing w:after="0"/>
              <w:rPr>
                <w:sz w:val="20"/>
                <w:szCs w:val="20"/>
                <w:color w:val="auto"/>
              </w:rPr>
            </w:pPr>
            <w:r>
              <w:rPr>
                <w:rFonts w:ascii="Arial" w:cs="Arial" w:eastAsia="Arial" w:hAnsi="Arial"/>
                <w:sz w:val="18"/>
                <w:szCs w:val="18"/>
                <w:b w:val="1"/>
                <w:bCs w:val="1"/>
                <w:color w:val="auto"/>
                <w:w w:val="90"/>
              </w:rPr>
              <w:t>Basic Information of the Domestic Company</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Company Name:</w:t>
            </w: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Beijing Guangyitong Advertising Co., Ltd.</w:t>
            </w:r>
          </w:p>
        </w:tc>
      </w:tr>
      <w:tr>
        <w:trPr>
          <w:trHeight w:val="418"/>
        </w:trPr>
        <w:tc>
          <w:tcPr>
            <w:tcW w:w="2160" w:type="dxa"/>
            <w:vAlign w:val="bottom"/>
          </w:tcPr>
          <w:p>
            <w:pPr>
              <w:spacing w:after="0"/>
              <w:rPr>
                <w:sz w:val="20"/>
                <w:szCs w:val="20"/>
                <w:color w:val="auto"/>
              </w:rPr>
            </w:pPr>
            <w:r>
              <w:rPr>
                <w:rFonts w:ascii="Arial" w:cs="Arial" w:eastAsia="Arial" w:hAnsi="Arial"/>
                <w:sz w:val="18"/>
                <w:szCs w:val="18"/>
                <w:color w:val="auto"/>
              </w:rPr>
              <w:t>Registered Address:</w:t>
            </w: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Room F112,-1/F, Tower 5th, YongDingMenWai Street NO.86,</w:t>
            </w:r>
          </w:p>
        </w:tc>
      </w:tr>
      <w:tr>
        <w:trPr>
          <w:trHeight w:val="230"/>
        </w:trPr>
        <w:tc>
          <w:tcPr>
            <w:tcW w:w="2160" w:type="dxa"/>
            <w:vAlign w:val="bottom"/>
          </w:tcPr>
          <w:p>
            <w:pPr>
              <w:spacing w:after="0"/>
              <w:rPr>
                <w:sz w:val="20"/>
                <w:szCs w:val="20"/>
                <w:color w:val="auto"/>
              </w:rPr>
            </w:pP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Dongcheng District, Beijing</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Registered Capital:</w:t>
            </w: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RMB 10,000,000</w:t>
            </w:r>
          </w:p>
        </w:tc>
      </w:tr>
      <w:tr>
        <w:trPr>
          <w:trHeight w:val="418"/>
        </w:trPr>
        <w:tc>
          <w:tcPr>
            <w:tcW w:w="2160" w:type="dxa"/>
            <w:vAlign w:val="bottom"/>
          </w:tcPr>
          <w:p>
            <w:pPr>
              <w:spacing w:after="0"/>
              <w:rPr>
                <w:sz w:val="20"/>
                <w:szCs w:val="20"/>
                <w:color w:val="auto"/>
              </w:rPr>
            </w:pPr>
            <w:r>
              <w:rPr>
                <w:rFonts w:ascii="Arial" w:cs="Arial" w:eastAsia="Arial" w:hAnsi="Arial"/>
                <w:sz w:val="18"/>
                <w:szCs w:val="18"/>
                <w:color w:val="auto"/>
              </w:rPr>
              <w:t>Equity Structure:</w:t>
            </w: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William Lei Ding — 99%</w:t>
            </w:r>
          </w:p>
        </w:tc>
      </w:tr>
      <w:tr>
        <w:trPr>
          <w:trHeight w:val="230"/>
        </w:trPr>
        <w:tc>
          <w:tcPr>
            <w:tcW w:w="2160" w:type="dxa"/>
            <w:vAlign w:val="bottom"/>
          </w:tcPr>
          <w:p>
            <w:pPr>
              <w:spacing w:after="0"/>
              <w:rPr>
                <w:sz w:val="20"/>
                <w:szCs w:val="20"/>
                <w:color w:val="auto"/>
              </w:rPr>
            </w:pPr>
          </w:p>
        </w:tc>
        <w:tc>
          <w:tcPr>
            <w:tcW w:w="9300" w:type="dxa"/>
            <w:vAlign w:val="bottom"/>
            <w:gridSpan w:val="3"/>
          </w:tcPr>
          <w:p>
            <w:pPr>
              <w:ind w:left="720"/>
              <w:spacing w:after="0"/>
              <w:rPr>
                <w:sz w:val="20"/>
                <w:szCs w:val="20"/>
                <w:color w:val="auto"/>
              </w:rPr>
            </w:pPr>
            <w:r>
              <w:rPr>
                <w:rFonts w:ascii="Arial" w:cs="Arial" w:eastAsia="Arial" w:hAnsi="Arial"/>
                <w:sz w:val="18"/>
                <w:szCs w:val="18"/>
                <w:color w:val="auto"/>
              </w:rPr>
              <w:t>Li Li — 1%</w:t>
            </w:r>
          </w:p>
        </w:tc>
      </w:tr>
      <w:tr>
        <w:trPr>
          <w:trHeight w:val="348"/>
        </w:trPr>
        <w:tc>
          <w:tcPr>
            <w:tcW w:w="2160" w:type="dxa"/>
            <w:vAlign w:val="bottom"/>
            <w:tcBorders>
              <w:bottom w:val="single" w:sz="8" w:color="808080"/>
            </w:tcBorders>
          </w:tcPr>
          <w:p>
            <w:pPr>
              <w:spacing w:after="0"/>
              <w:rPr>
                <w:sz w:val="24"/>
                <w:szCs w:val="24"/>
                <w:color w:val="auto"/>
              </w:rPr>
            </w:pPr>
          </w:p>
        </w:tc>
        <w:tc>
          <w:tcPr>
            <w:tcW w:w="31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74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96"/>
              </w:rPr>
              <w:t>Appendix II</w:t>
            </w:r>
          </w:p>
        </w:tc>
        <w:tc>
          <w:tcPr>
            <w:tcW w:w="3080" w:type="dxa"/>
            <w:vAlign w:val="bottom"/>
          </w:tcPr>
          <w:p>
            <w:pPr>
              <w:spacing w:after="0"/>
              <w:rPr>
                <w:sz w:val="17"/>
                <w:szCs w:val="17"/>
                <w:color w:val="auto"/>
              </w:rPr>
            </w:pPr>
          </w:p>
        </w:tc>
      </w:tr>
      <w:tr>
        <w:trPr>
          <w:trHeight w:val="20"/>
        </w:trPr>
        <w:tc>
          <w:tcPr>
            <w:tcW w:w="3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53"/>
        </w:trPr>
        <w:tc>
          <w:tcPr>
            <w:tcW w:w="3220" w:type="dxa"/>
            <w:vAlign w:val="bottom"/>
          </w:tcPr>
          <w:p>
            <w:pPr>
              <w:spacing w:after="0"/>
              <w:rPr>
                <w:sz w:val="24"/>
                <w:szCs w:val="24"/>
                <w:color w:val="auto"/>
              </w:rPr>
            </w:pPr>
          </w:p>
        </w:tc>
        <w:tc>
          <w:tcPr>
            <w:tcW w:w="476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1"/>
              </w:rPr>
              <w:t>Power of Attorney</w:t>
            </w:r>
          </w:p>
        </w:tc>
        <w:tc>
          <w:tcPr>
            <w:tcW w:w="3080" w:type="dxa"/>
            <w:vAlign w:val="bottom"/>
          </w:tcPr>
          <w:p>
            <w:pPr>
              <w:spacing w:after="0"/>
              <w:rPr>
                <w:sz w:val="24"/>
                <w:szCs w:val="24"/>
                <w:color w:val="auto"/>
              </w:rPr>
            </w:pP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I, Li Li, hereby irrevocably entrust</w:t>
            </w:r>
          </w:p>
        </w:tc>
        <w:tc>
          <w:tcPr>
            <w:tcW w:w="7840" w:type="dxa"/>
            <w:vAlign w:val="bottom"/>
            <w:gridSpan w:val="4"/>
          </w:tcPr>
          <w:p>
            <w:pPr>
              <w:ind w:left="360"/>
              <w:spacing w:after="0"/>
              <w:rPr>
                <w:sz w:val="20"/>
                <w:szCs w:val="20"/>
                <w:color w:val="auto"/>
              </w:rPr>
            </w:pPr>
            <w:r>
              <w:rPr>
                <w:rFonts w:ascii="Arial" w:cs="Arial" w:eastAsia="Arial" w:hAnsi="Arial"/>
                <w:sz w:val="18"/>
                <w:szCs w:val="18"/>
                <w:color w:val="auto"/>
                <w:w w:val="91"/>
              </w:rPr>
              <w:t>as my authorized representative, to sign all legal documents necessary for NetEase Media Technology</w:t>
            </w:r>
          </w:p>
        </w:tc>
      </w:tr>
      <w:tr>
        <w:trPr>
          <w:trHeight w:val="216"/>
        </w:trPr>
        <w:tc>
          <w:tcPr>
            <w:tcW w:w="7980" w:type="dxa"/>
            <w:vAlign w:val="bottom"/>
            <w:gridSpan w:val="4"/>
          </w:tcPr>
          <w:p>
            <w:pPr>
              <w:spacing w:after="0"/>
              <w:rPr>
                <w:sz w:val="20"/>
                <w:szCs w:val="20"/>
                <w:color w:val="auto"/>
              </w:rPr>
            </w:pPr>
            <w:r>
              <w:rPr>
                <w:rFonts w:ascii="Arial" w:cs="Arial" w:eastAsia="Arial" w:hAnsi="Arial"/>
                <w:sz w:val="18"/>
                <w:szCs w:val="18"/>
                <w:color w:val="auto"/>
                <w:w w:val="94"/>
              </w:rPr>
              <w:t>(Beijing) Co., Ltd. as the pledgee to exercise its rights under the Equity Pledge Agreement entered into on</w:t>
            </w:r>
          </w:p>
        </w:tc>
        <w:tc>
          <w:tcPr>
            <w:tcW w:w="3080" w:type="dxa"/>
            <w:vAlign w:val="bottom"/>
          </w:tcPr>
          <w:p>
            <w:pPr>
              <w:ind w:left="340"/>
              <w:spacing w:after="0"/>
              <w:rPr>
                <w:sz w:val="20"/>
                <w:szCs w:val="20"/>
                <w:color w:val="auto"/>
              </w:rPr>
            </w:pPr>
            <w:r>
              <w:rPr>
                <w:rFonts w:ascii="Arial" w:cs="Arial" w:eastAsia="Arial" w:hAnsi="Arial"/>
                <w:sz w:val="18"/>
                <w:szCs w:val="18"/>
                <w:color w:val="auto"/>
                <w:w w:val="92"/>
              </w:rPr>
              <w:t>, 20  by and between NetEase Media</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Technology (Beijing) Co., Ltd. and me.</w:t>
            </w:r>
          </w:p>
        </w:tc>
        <w:tc>
          <w:tcPr>
            <w:tcW w:w="2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80" w:type="dxa"/>
            <w:vAlign w:val="bottom"/>
          </w:tcPr>
          <w:p>
            <w:pPr>
              <w:spacing w:after="0"/>
              <w:rPr>
                <w:sz w:val="20"/>
                <w:szCs w:val="20"/>
                <w:color w:val="auto"/>
              </w:rPr>
            </w:pPr>
          </w:p>
        </w:tc>
      </w:tr>
    </w:tbl>
    <w:p>
      <w:pPr>
        <w:sectPr>
          <w:pgSz w:w="11900" w:h="16838" w:orient="portrait"/>
          <w:cols w:equalWidth="0" w:num="1">
            <w:col w:w="11460"/>
          </w:cols>
          <w:pgMar w:left="240" w:top="125" w:right="199" w:bottom="0" w:gutter="0" w:footer="0" w:header="0"/>
        </w:sectPr>
      </w:pPr>
    </w:p>
    <w:bookmarkStart w:id="151" w:name="page152"/>
    <w:bookmarkEnd w:id="151"/>
    <w:p>
      <w:pPr>
        <w:ind w:left="4520"/>
        <w:spacing w:after="0"/>
        <w:rPr>
          <w:sz w:val="20"/>
          <w:szCs w:val="20"/>
          <w:color w:val="auto"/>
        </w:rPr>
      </w:pPr>
      <w:r>
        <w:rPr>
          <w:rFonts w:ascii="Arial" w:cs="Arial" w:eastAsia="Arial" w:hAnsi="Arial"/>
          <w:sz w:val="16"/>
          <w:szCs w:val="16"/>
          <w:b w:val="1"/>
          <w:bCs w:val="1"/>
          <w:color w:val="auto"/>
        </w:rPr>
        <w:t>Signature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3531235</wp:posOffset>
            </wp:positionH>
            <wp:positionV relativeFrom="paragraph">
              <wp:posOffset>31750</wp:posOffset>
            </wp:positionV>
            <wp:extent cx="295846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244475</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4.41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PURCHASE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Exclusive Purchase Option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November 30, 3015, among the following parties in Beijing:</w:t>
      </w:r>
    </w:p>
    <w:p>
      <w:pPr>
        <w:spacing w:after="0" w:line="22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Party A:</w:t>
      </w:r>
      <w:r>
        <w:rPr>
          <w:sz w:val="20"/>
          <w:szCs w:val="20"/>
          <w:color w:val="auto"/>
        </w:rPr>
        <w:tab/>
      </w:r>
      <w:r>
        <w:rPr>
          <w:rFonts w:ascii="Arial" w:cs="Arial" w:eastAsia="Arial" w:hAnsi="Arial"/>
          <w:sz w:val="16"/>
          <w:szCs w:val="16"/>
          <w:color w:val="auto"/>
        </w:rPr>
        <w:t>NetEase Media Technology (Beijing) Co., Ltd.</w:t>
      </w:r>
    </w:p>
    <w:p>
      <w:pPr>
        <w:spacing w:after="0" w:line="22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Legal Address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20-22/F, Tower 8, NO.86 Zhongguancun East Road, Haidian District, Beijing</w:t>
      </w:r>
    </w:p>
    <w:p>
      <w:pPr>
        <w:spacing w:after="0" w:line="22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Party B:</w:t>
      </w:r>
      <w:r>
        <w:rPr>
          <w:sz w:val="20"/>
          <w:szCs w:val="20"/>
          <w:color w:val="auto"/>
        </w:rPr>
        <w:tab/>
      </w:r>
      <w:r>
        <w:rPr>
          <w:rFonts w:ascii="Arial" w:cs="Arial" w:eastAsia="Arial" w:hAnsi="Arial"/>
          <w:sz w:val="17"/>
          <w:szCs w:val="17"/>
          <w:color w:val="auto"/>
        </w:rPr>
        <w:t>William Lei Ding</w:t>
      </w:r>
    </w:p>
    <w:p>
      <w:pPr>
        <w:spacing w:after="0" w:line="2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ID Number:</w:t>
      </w:r>
      <w:r>
        <w:rPr>
          <w:sz w:val="20"/>
          <w:szCs w:val="20"/>
          <w:color w:val="auto"/>
        </w:rPr>
        <w:tab/>
      </w:r>
      <w:r>
        <w:rPr>
          <w:rFonts w:ascii="Arial" w:cs="Arial" w:eastAsia="Arial" w:hAnsi="Arial"/>
          <w:sz w:val="16"/>
          <w:szCs w:val="16"/>
          <w:color w:val="auto"/>
        </w:rPr>
        <w:t>330224197110180074</w:t>
      </w:r>
    </w:p>
    <w:p>
      <w:pPr>
        <w:spacing w:after="0" w:line="9"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Legal Address:</w:t>
      </w:r>
      <w:r>
        <w:rPr>
          <w:sz w:val="20"/>
          <w:szCs w:val="20"/>
          <w:color w:val="auto"/>
        </w:rPr>
        <w:tab/>
      </w:r>
      <w:r>
        <w:rPr>
          <w:rFonts w:ascii="Arial" w:cs="Arial" w:eastAsia="Arial" w:hAnsi="Arial"/>
          <w:sz w:val="16"/>
          <w:szCs w:val="16"/>
          <w:color w:val="auto"/>
        </w:rPr>
        <w:t>Room 6-401, A90, Shuguang Road, Jiangdong District, Ningbo, Zhejiang Province</w:t>
      </w:r>
    </w:p>
    <w:p>
      <w:pPr>
        <w:spacing w:after="0" w:line="20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Party C:</w:t>
      </w:r>
      <w:r>
        <w:rPr>
          <w:sz w:val="20"/>
          <w:szCs w:val="20"/>
          <w:color w:val="auto"/>
        </w:rPr>
        <w:tab/>
      </w:r>
      <w:r>
        <w:rPr>
          <w:rFonts w:ascii="Arial" w:cs="Arial" w:eastAsia="Arial" w:hAnsi="Arial"/>
          <w:sz w:val="17"/>
          <w:szCs w:val="17"/>
          <w:color w:val="auto"/>
        </w:rPr>
        <w:t>Beijing Guangyitong Advertising Co., Ltd.</w:t>
      </w:r>
    </w:p>
    <w:p>
      <w:pPr>
        <w:spacing w:after="0" w:line="225"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Legal Address:</w:t>
      </w:r>
      <w:r>
        <w:rPr>
          <w:sz w:val="20"/>
          <w:szCs w:val="20"/>
          <w:color w:val="auto"/>
        </w:rPr>
        <w:tab/>
      </w:r>
      <w:r>
        <w:rPr>
          <w:rFonts w:ascii="Arial" w:cs="Arial" w:eastAsia="Arial" w:hAnsi="Arial"/>
          <w:sz w:val="16"/>
          <w:szCs w:val="16"/>
          <w:color w:val="auto"/>
        </w:rPr>
        <w:t>Room F112, -1/F, Tower 5th, YongDingMenWai Street NO.86, Dongcheng District, Beijing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and Party C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Party A is a wholly foreign-owned enterprise incorporated under the laws of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Party C, a limited liability company incorporated in the PRC, is principally engaged in the business of online portal and media entertainment;</w:t>
      </w:r>
    </w:p>
    <w:p>
      <w:pPr>
        <w:spacing w:after="0" w:line="232" w:lineRule="exact"/>
        <w:rPr>
          <w:rFonts w:ascii="Arial" w:cs="Arial" w:eastAsia="Arial" w:hAnsi="Arial"/>
          <w:sz w:val="17"/>
          <w:szCs w:val="17"/>
          <w:color w:val="auto"/>
        </w:rPr>
      </w:pPr>
    </w:p>
    <w:p>
      <w:pPr>
        <w:ind w:left="660" w:hanging="652"/>
        <w:spacing w:after="0"/>
        <w:tabs>
          <w:tab w:leader="none" w:pos="6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Party B is a shareholder of Party C. Party B has ownership of 99% of the equity interest in Party C (the “</w:t>
      </w:r>
      <w:r>
        <w:rPr>
          <w:rFonts w:ascii="Arial" w:cs="Arial" w:eastAsia="Arial" w:hAnsi="Arial"/>
          <w:sz w:val="18"/>
          <w:szCs w:val="18"/>
          <w:b w:val="1"/>
          <w:bCs w:val="1"/>
          <w:color w:val="auto"/>
        </w:rPr>
        <w:t>Equity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hanging="652"/>
        <w:spacing w:after="0" w:line="314" w:lineRule="auto"/>
        <w:tabs>
          <w:tab w:leader="none" w:pos="66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Party A and Party B entered into a loan agreement (as the same may be amended and supplemented from time to time, the “</w:t>
      </w:r>
      <w:r>
        <w:rPr>
          <w:rFonts w:ascii="Arial" w:cs="Arial" w:eastAsia="Arial" w:hAnsi="Arial"/>
          <w:sz w:val="16"/>
          <w:szCs w:val="16"/>
          <w:b w:val="1"/>
          <w:bCs w:val="1"/>
          <w:color w:val="auto"/>
        </w:rPr>
        <w:t>Loan Agreement</w:t>
      </w:r>
      <w:r>
        <w:rPr>
          <w:rFonts w:ascii="Arial" w:cs="Arial" w:eastAsia="Arial" w:hAnsi="Arial"/>
          <w:sz w:val="16"/>
          <w:szCs w:val="16"/>
          <w:color w:val="auto"/>
        </w:rPr>
        <w:t>”), on November 30, 3015, pursuant to which Party A made a loan, and may make additional loans from time to time, to Party B (such loans are hereinafter collectively referred to as the “</w:t>
      </w:r>
      <w:r>
        <w:rPr>
          <w:rFonts w:ascii="Arial" w:cs="Arial" w:eastAsia="Arial" w:hAnsi="Arial"/>
          <w:sz w:val="16"/>
          <w:szCs w:val="16"/>
          <w:b w:val="1"/>
          <w:bCs w:val="1"/>
          <w:color w:val="auto"/>
        </w:rPr>
        <w:t>Loan</w:t>
      </w:r>
      <w:r>
        <w:rPr>
          <w:rFonts w:ascii="Arial" w:cs="Arial" w:eastAsia="Arial" w:hAnsi="Arial"/>
          <w:sz w:val="16"/>
          <w:szCs w:val="16"/>
          <w:color w:val="auto"/>
        </w:rPr>
        <w:t>”), so that Party B could invest the proceeds from the Loan in Party C as a capital contribution; and</w:t>
      </w:r>
    </w:p>
    <w:p>
      <w:pPr>
        <w:spacing w:after="0" w:line="142" w:lineRule="exact"/>
        <w:rPr>
          <w:rFonts w:ascii="Arial" w:cs="Arial" w:eastAsia="Arial" w:hAnsi="Arial"/>
          <w:sz w:val="16"/>
          <w:szCs w:val="16"/>
          <w:color w:val="auto"/>
        </w:rPr>
      </w:pPr>
    </w:p>
    <w:p>
      <w:pPr>
        <w:ind w:left="660" w:right="2080" w:hanging="652"/>
        <w:spacing w:after="0" w:line="533" w:lineRule="auto"/>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Party A and Party B entered into an equity pledge agreement (the “</w:t>
      </w:r>
      <w:r>
        <w:rPr>
          <w:rFonts w:ascii="Arial" w:cs="Arial" w:eastAsia="Arial" w:hAnsi="Arial"/>
          <w:sz w:val="17"/>
          <w:szCs w:val="17"/>
          <w:b w:val="1"/>
          <w:bCs w:val="1"/>
          <w:color w:val="auto"/>
        </w:rPr>
        <w:t>Equity Pledge Agreement</w:t>
      </w:r>
      <w:r>
        <w:rPr>
          <w:rFonts w:ascii="Arial" w:cs="Arial" w:eastAsia="Arial" w:hAnsi="Arial"/>
          <w:sz w:val="17"/>
          <w:szCs w:val="17"/>
          <w:color w:val="auto"/>
        </w:rPr>
        <w:t xml:space="preserve">”) on November 30, 3015. </w:t>
      </w:r>
      <w:r>
        <w:rPr>
          <w:rFonts w:ascii="Arial" w:cs="Arial" w:eastAsia="Arial" w:hAnsi="Arial"/>
          <w:sz w:val="17"/>
          <w:szCs w:val="17"/>
          <w:b w:val="1"/>
          <w:bCs w:val="1"/>
          <w:color w:val="auto"/>
        </w:rPr>
        <w:t>NOW, THEREFORE</w:t>
      </w:r>
      <w:r>
        <w:rPr>
          <w:rFonts w:ascii="Arial" w:cs="Arial" w:eastAsia="Arial" w:hAnsi="Arial"/>
          <w:sz w:val="17"/>
          <w:szCs w:val="17"/>
          <w:color w:val="auto"/>
        </w:rPr>
        <w:t>, through negotiations, all parties to this Agreement hereby agree as follows:</w:t>
      </w: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Purchase and Sale of Interest</w:t>
      </w:r>
    </w:p>
    <w:p>
      <w:pPr>
        <w:spacing w:after="0" w:line="22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Granting of Rights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Equity Option</w:t>
      </w:r>
    </w:p>
    <w:p>
      <w:pPr>
        <w:spacing w:after="0" w:line="225" w:lineRule="exact"/>
        <w:rPr>
          <w:sz w:val="20"/>
          <w:szCs w:val="20"/>
          <w:color w:val="auto"/>
        </w:rPr>
      </w:pPr>
    </w:p>
    <w:p>
      <w:pPr>
        <w:ind w:left="1300" w:right="120"/>
        <w:spacing w:after="0" w:line="293" w:lineRule="auto"/>
        <w:rPr>
          <w:sz w:val="20"/>
          <w:szCs w:val="20"/>
          <w:color w:val="auto"/>
        </w:rPr>
      </w:pPr>
      <w:r>
        <w:rPr>
          <w:rFonts w:ascii="Arial" w:cs="Arial" w:eastAsia="Arial" w:hAnsi="Arial"/>
          <w:sz w:val="16"/>
          <w:szCs w:val="16"/>
          <w:color w:val="auto"/>
        </w:rPr>
        <w:t>Party B hereby irrevocably grants to Party A an option (exercisable one or more times) to purchase or cause any one or more persons designated by Party A (“</w:t>
      </w:r>
      <w:r>
        <w:rPr>
          <w:rFonts w:ascii="Arial" w:cs="Arial" w:eastAsia="Arial" w:hAnsi="Arial"/>
          <w:sz w:val="16"/>
          <w:szCs w:val="16"/>
          <w:b w:val="1"/>
          <w:bCs w:val="1"/>
          <w:color w:val="auto"/>
        </w:rPr>
        <w:t>Designated Persons</w:t>
      </w:r>
      <w:r>
        <w:rPr>
          <w:rFonts w:ascii="Arial" w:cs="Arial" w:eastAsia="Arial" w:hAnsi="Arial"/>
          <w:sz w:val="16"/>
          <w:szCs w:val="16"/>
          <w:color w:val="auto"/>
        </w:rPr>
        <w:t>”) to purchase, to the extent permitted under PRC law, according to the steps determined by Party A, at the price specified in Article 1.3 of this Agreement, and at any time from Party B, a portion of, or all of, the Equity Interest (the “</w:t>
      </w:r>
      <w:r>
        <w:rPr>
          <w:rFonts w:ascii="Arial" w:cs="Arial" w:eastAsia="Arial" w:hAnsi="Arial"/>
          <w:sz w:val="16"/>
          <w:szCs w:val="16"/>
          <w:b w:val="1"/>
          <w:bCs w:val="1"/>
          <w:color w:val="auto"/>
        </w:rPr>
        <w:t>Equity Option</w:t>
      </w:r>
      <w:r>
        <w:rPr>
          <w:rFonts w:ascii="Arial" w:cs="Arial" w:eastAsia="Arial" w:hAnsi="Arial"/>
          <w:sz w:val="16"/>
          <w:szCs w:val="16"/>
          <w:color w:val="auto"/>
        </w:rPr>
        <w:t>”). No Equity Option shall be granted to any third party other than Party A and/or the Designated Persons. Party C hereby agrees to the granting of the Equity Option by Party B to Party A and/or the Designated Persons. The term “</w:t>
      </w:r>
      <w:r>
        <w:rPr>
          <w:rFonts w:ascii="Arial" w:cs="Arial" w:eastAsia="Arial" w:hAnsi="Arial"/>
          <w:sz w:val="16"/>
          <w:szCs w:val="16"/>
          <w:b w:val="1"/>
          <w:bCs w:val="1"/>
          <w:color w:val="auto"/>
        </w:rPr>
        <w:t>person</w:t>
      </w:r>
      <w:r>
        <w:rPr>
          <w:rFonts w:ascii="Arial" w:cs="Arial" w:eastAsia="Arial" w:hAnsi="Arial"/>
          <w:sz w:val="16"/>
          <w:szCs w:val="16"/>
          <w:color w:val="auto"/>
        </w:rPr>
        <w:t>” in this Agreement means an individual person, corporation, joint venture, partnership, enterprise, trust or a non-corporation organization.</w:t>
      </w:r>
    </w:p>
    <w:p>
      <w:pPr>
        <w:spacing w:after="0" w:line="1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Asset Option</w:t>
      </w:r>
    </w:p>
    <w:p>
      <w:pPr>
        <w:spacing w:after="0" w:line="225" w:lineRule="exact"/>
        <w:rPr>
          <w:sz w:val="20"/>
          <w:szCs w:val="20"/>
          <w:color w:val="auto"/>
        </w:rPr>
      </w:pPr>
    </w:p>
    <w:p>
      <w:pPr>
        <w:ind w:left="1300" w:right="20"/>
        <w:spacing w:after="0" w:line="253" w:lineRule="auto"/>
        <w:rPr>
          <w:sz w:val="20"/>
          <w:szCs w:val="20"/>
          <w:color w:val="auto"/>
        </w:rPr>
      </w:pPr>
      <w:r>
        <w:rPr>
          <w:rFonts w:ascii="Arial" w:cs="Arial" w:eastAsia="Arial" w:hAnsi="Arial"/>
          <w:sz w:val="18"/>
          <w:szCs w:val="18"/>
          <w:color w:val="auto"/>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Arial" w:cs="Arial" w:eastAsia="Arial" w:hAnsi="Arial"/>
          <w:sz w:val="18"/>
          <w:szCs w:val="18"/>
          <w:b w:val="1"/>
          <w:bCs w:val="1"/>
          <w:color w:val="auto"/>
        </w:rPr>
        <w:t>Asset Option</w:t>
      </w:r>
      <w:r>
        <w:rPr>
          <w:rFonts w:ascii="Arial" w:cs="Arial" w:eastAsia="Arial" w:hAnsi="Arial"/>
          <w:sz w:val="18"/>
          <w:szCs w:val="18"/>
          <w:color w:val="auto"/>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Arial" w:cs="Arial" w:eastAsia="Arial" w:hAnsi="Arial"/>
          <w:sz w:val="18"/>
          <w:szCs w:val="18"/>
          <w:b w:val="1"/>
          <w:bCs w:val="1"/>
          <w:color w:val="auto"/>
        </w:rPr>
        <w:t>Option</w:t>
      </w:r>
      <w:r>
        <w:rPr>
          <w:rFonts w:ascii="Arial" w:cs="Arial" w:eastAsia="Arial" w:hAnsi="Arial"/>
          <w:sz w:val="18"/>
          <w:szCs w:val="18"/>
          <w:color w:val="auto"/>
        </w:rPr>
        <w:t>” in this Agreement means either the Equity Option or the Asset Option. The term “</w:t>
      </w:r>
      <w:r>
        <w:rPr>
          <w:rFonts w:ascii="Arial" w:cs="Arial" w:eastAsia="Arial" w:hAnsi="Arial"/>
          <w:sz w:val="18"/>
          <w:szCs w:val="18"/>
          <w:b w:val="1"/>
          <w:bCs w:val="1"/>
          <w:color w:val="auto"/>
        </w:rPr>
        <w:t>Transferor</w:t>
      </w:r>
      <w:r>
        <w:rPr>
          <w:rFonts w:ascii="Arial" w:cs="Arial" w:eastAsia="Arial" w:hAnsi="Arial"/>
          <w:sz w:val="18"/>
          <w:szCs w:val="18"/>
          <w:color w:val="auto"/>
        </w:rPr>
        <w:t>” in this Agreement means (i) Party B, in reference to the Equity Option and (ii) Party C, in reference to the Asset Option.</w:t>
      </w:r>
    </w:p>
    <w:p>
      <w:pPr>
        <w:spacing w:after="0" w:line="197"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Exercise Steps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Option Exercise</w:t>
      </w:r>
    </w:p>
    <w:p>
      <w:pPr>
        <w:spacing w:after="0" w:line="225" w:lineRule="exact"/>
        <w:rPr>
          <w:sz w:val="20"/>
          <w:szCs w:val="20"/>
          <w:color w:val="auto"/>
        </w:rPr>
      </w:pPr>
    </w:p>
    <w:p>
      <w:pPr>
        <w:ind w:left="1300" w:right="100"/>
        <w:spacing w:after="0" w:line="257" w:lineRule="auto"/>
        <w:rPr>
          <w:sz w:val="20"/>
          <w:szCs w:val="20"/>
          <w:color w:val="auto"/>
        </w:rPr>
      </w:pPr>
      <w:r>
        <w:rPr>
          <w:rFonts w:ascii="Arial" w:cs="Arial" w:eastAsia="Arial" w:hAnsi="Arial"/>
          <w:sz w:val="18"/>
          <w:szCs w:val="18"/>
          <w:color w:val="auto"/>
        </w:rPr>
        <w:t>Subject to PRC law and regulations, Party A and/or the Designated Persons may exercise either Option, one or more times to the extent the relevant Transferor still owns any Equity Interest or assets subject to an Option, by issuing a written notice in the form attached hereto as Exhibit A (the “</w:t>
      </w:r>
      <w:r>
        <w:rPr>
          <w:rFonts w:ascii="Arial" w:cs="Arial" w:eastAsia="Arial" w:hAnsi="Arial"/>
          <w:sz w:val="18"/>
          <w:szCs w:val="18"/>
          <w:b w:val="1"/>
          <w:bCs w:val="1"/>
          <w:color w:val="auto"/>
        </w:rPr>
        <w:t>Notice</w:t>
      </w:r>
      <w:r>
        <w:rPr>
          <w:rFonts w:ascii="Arial" w:cs="Arial" w:eastAsia="Arial" w:hAnsi="Arial"/>
          <w:sz w:val="18"/>
          <w:szCs w:val="18"/>
          <w:color w:val="auto"/>
        </w:rPr>
        <w:t>”) (i) in the case of the Equity Option, to Party B as the Transferor, specifying the Equity Interest and (ii) in the case of the Asset Option, to Party C as the Transferor, specifying the assets to be purchased (such Equity Interest or assets, as the case may be, the “</w:t>
      </w:r>
      <w:r>
        <w:rPr>
          <w:rFonts w:ascii="Arial" w:cs="Arial" w:eastAsia="Arial" w:hAnsi="Arial"/>
          <w:sz w:val="18"/>
          <w:szCs w:val="18"/>
          <w:b w:val="1"/>
          <w:bCs w:val="1"/>
          <w:color w:val="auto"/>
        </w:rPr>
        <w:t>Purchased Interest</w:t>
      </w:r>
      <w:r>
        <w:rPr>
          <w:rFonts w:ascii="Arial" w:cs="Arial" w:eastAsia="Arial" w:hAnsi="Arial"/>
          <w:sz w:val="18"/>
          <w:szCs w:val="18"/>
          <w:color w:val="auto"/>
        </w:rPr>
        <w:t>”) and the manner of such purchase.</w:t>
      </w:r>
    </w:p>
    <w:p>
      <w:pPr>
        <w:sectPr>
          <w:pgSz w:w="11900" w:h="16838" w:orient="portrait"/>
          <w:cols w:equalWidth="0" w:num="1">
            <w:col w:w="11420"/>
          </w:cols>
          <w:pgMar w:left="240" w:top="121"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153" w:name="page154"/>
    <w:bookmarkEnd w:id="153"/>
    <w:p>
      <w:pPr>
        <w:ind w:left="1292"/>
        <w:spacing w:after="0"/>
        <w:tabs>
          <w:tab w:leader="none" w:pos="19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1.2.2</w:t>
      </w:r>
      <w:r>
        <w:rPr>
          <w:sz w:val="20"/>
          <w:szCs w:val="20"/>
          <w:color w:val="auto"/>
        </w:rPr>
        <w:tab/>
      </w:r>
      <w:r>
        <w:rPr>
          <w:rFonts w:ascii="Arial" w:cs="Arial" w:eastAsia="Arial" w:hAnsi="Arial"/>
          <w:sz w:val="16"/>
          <w:szCs w:val="16"/>
          <w:color w:val="auto"/>
        </w:rPr>
        <w:t>Transferor Obligations</w:t>
      </w:r>
    </w:p>
    <w:p>
      <w:pPr>
        <w:spacing w:after="0" w:line="225" w:lineRule="exact"/>
        <w:rPr>
          <w:sz w:val="20"/>
          <w:szCs w:val="20"/>
          <w:color w:val="auto"/>
        </w:rPr>
      </w:pPr>
    </w:p>
    <w:p>
      <w:pPr>
        <w:ind w:left="1292" w:right="80"/>
        <w:spacing w:after="0" w:line="276" w:lineRule="auto"/>
        <w:rPr>
          <w:sz w:val="20"/>
          <w:szCs w:val="20"/>
          <w:color w:val="auto"/>
        </w:rPr>
      </w:pPr>
      <w:r>
        <w:rPr>
          <w:rFonts w:ascii="Arial" w:cs="Arial" w:eastAsia="Arial" w:hAnsi="Arial"/>
          <w:sz w:val="17"/>
          <w:szCs w:val="17"/>
          <w:color w:val="auto"/>
        </w:rPr>
        <w:t>Before or upon execution of this Agreement, each of Party B and Party C shall execute a power of attorney in the form attached hereto as Exhibit B,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Exhibit B) to effect the transfer of the Purchased Interest to Party A and/or the Designated Persons.</w:t>
      </w:r>
    </w:p>
    <w:p>
      <w:pPr>
        <w:spacing w:after="0" w:line="173"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Purchase Price</w:t>
      </w:r>
    </w:p>
    <w:p>
      <w:pPr>
        <w:spacing w:after="0" w:line="221" w:lineRule="exact"/>
        <w:rPr>
          <w:sz w:val="20"/>
          <w:szCs w:val="20"/>
          <w:color w:val="auto"/>
        </w:rPr>
      </w:pPr>
    </w:p>
    <w:p>
      <w:pPr>
        <w:ind w:left="1932" w:hanging="647"/>
        <w:spacing w:after="0" w:line="289" w:lineRule="auto"/>
        <w:tabs>
          <w:tab w:leader="none" w:pos="191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If Party A exercises either Option, the purchase price of the Purchased Interest (“</w:t>
      </w:r>
      <w:r>
        <w:rPr>
          <w:rFonts w:ascii="Arial" w:cs="Arial" w:eastAsia="Arial" w:hAnsi="Arial"/>
          <w:sz w:val="17"/>
          <w:szCs w:val="17"/>
          <w:b w:val="1"/>
          <w:bCs w:val="1"/>
          <w:color w:val="auto"/>
        </w:rPr>
        <w:t>Purchase Price</w:t>
      </w:r>
      <w:r>
        <w:rPr>
          <w:rFonts w:ascii="Arial" w:cs="Arial" w:eastAsia="Arial" w:hAnsi="Arial"/>
          <w:sz w:val="17"/>
          <w:szCs w:val="17"/>
          <w:color w:val="auto"/>
        </w:rPr>
        <w:t>”) shall be: (i) in the case of the Equity Option, equal to the original and any additional paid-in capital paid by the Transferor for such Equity Interest, and (ii) in the case of the Asset Option, equal to the net book value of the assets as shown in Party C’s financial statements.</w:t>
      </w:r>
    </w:p>
    <w:p>
      <w:pPr>
        <w:spacing w:after="0" w:line="162"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Transfer of the Purchased Interest</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 each exercise of either Option:</w:t>
      </w:r>
    </w:p>
    <w:p>
      <w:pPr>
        <w:spacing w:after="0" w:line="225" w:lineRule="exact"/>
        <w:rPr>
          <w:sz w:val="20"/>
          <w:szCs w:val="20"/>
          <w:color w:val="auto"/>
        </w:rPr>
      </w:pPr>
    </w:p>
    <w:p>
      <w:pPr>
        <w:ind w:left="1932" w:right="100" w:hanging="647"/>
        <w:spacing w:after="0" w:line="342" w:lineRule="auto"/>
        <w:tabs>
          <w:tab w:leader="none" w:pos="191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Party C shall (and Party B shall cause Party C to) convene a shareholders’ meeting. During the meeting, resolutions approving the transfer of the Purchased Interest from the Transferor to Party A and/or the Designated Persons shall be adopted;</w:t>
      </w:r>
    </w:p>
    <w:p>
      <w:pPr>
        <w:spacing w:after="0" w:line="124" w:lineRule="exact"/>
        <w:rPr>
          <w:sz w:val="20"/>
          <w:szCs w:val="20"/>
          <w:color w:val="auto"/>
        </w:rPr>
      </w:pPr>
    </w:p>
    <w:p>
      <w:pPr>
        <w:ind w:left="1932" w:right="160" w:hanging="647"/>
        <w:spacing w:after="0" w:line="264" w:lineRule="auto"/>
        <w:tabs>
          <w:tab w:leader="none" w:pos="1912" w:val="left"/>
        </w:tabs>
        <w:rPr>
          <w:sz w:val="20"/>
          <w:szCs w:val="20"/>
          <w:color w:val="auto"/>
        </w:rPr>
      </w:pPr>
      <w:r>
        <w:rPr>
          <w:rFonts w:ascii="Arial" w:cs="Arial" w:eastAsia="Arial" w:hAnsi="Arial"/>
          <w:sz w:val="18"/>
          <w:szCs w:val="18"/>
          <w:color w:val="auto"/>
        </w:rPr>
        <w:t>1.4.2</w:t>
        <w:tab/>
        <w:t>The Transferor shall, in accordance with the terms and conditions of this Agreement and the Notice in connection with the Purchased Interest, enter into a transfer agreement with Party A and/or the Designated Persons (as applicable) for each transfer in the form attached hereto as Exhibit C (“</w:t>
      </w:r>
      <w:r>
        <w:rPr>
          <w:rFonts w:ascii="Arial" w:cs="Arial" w:eastAsia="Arial" w:hAnsi="Arial"/>
          <w:sz w:val="18"/>
          <w:szCs w:val="18"/>
          <w:b w:val="1"/>
          <w:bCs w:val="1"/>
          <w:color w:val="auto"/>
        </w:rPr>
        <w:t>Transfer Agreement</w:t>
      </w:r>
      <w:r>
        <w:rPr>
          <w:rFonts w:ascii="Arial" w:cs="Arial" w:eastAsia="Arial" w:hAnsi="Arial"/>
          <w:sz w:val="18"/>
          <w:szCs w:val="18"/>
          <w:color w:val="auto"/>
        </w:rPr>
        <w:t>”);</w:t>
      </w:r>
    </w:p>
    <w:p>
      <w:pPr>
        <w:spacing w:after="0" w:line="181" w:lineRule="exact"/>
        <w:rPr>
          <w:sz w:val="20"/>
          <w:szCs w:val="20"/>
          <w:color w:val="auto"/>
        </w:rPr>
      </w:pPr>
    </w:p>
    <w:p>
      <w:pPr>
        <w:jc w:val="center"/>
        <w:ind w:left="1240"/>
        <w:spacing w:after="0"/>
        <w:tabs>
          <w:tab w:leader="none" w:pos="2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relevant parties shall execute all other requisite contracts, agreements or documents, obtain all requisite government approvals</w:t>
      </w:r>
    </w:p>
    <w:p>
      <w:pPr>
        <w:spacing w:after="0" w:line="23" w:lineRule="exact"/>
        <w:rPr>
          <w:sz w:val="20"/>
          <w:szCs w:val="20"/>
          <w:color w:val="auto"/>
        </w:rPr>
      </w:pPr>
    </w:p>
    <w:p>
      <w:pPr>
        <w:ind w:left="1952" w:right="80"/>
        <w:spacing w:after="0" w:line="292" w:lineRule="auto"/>
        <w:rPr>
          <w:sz w:val="20"/>
          <w:szCs w:val="20"/>
          <w:color w:val="auto"/>
        </w:rPr>
      </w:pPr>
      <w:r>
        <w:rPr>
          <w:rFonts w:ascii="Arial" w:cs="Arial" w:eastAsia="Arial" w:hAnsi="Arial"/>
          <w:sz w:val="16"/>
          <w:szCs w:val="16"/>
          <w:color w:val="auto"/>
        </w:rPr>
        <w:t>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Arial" w:cs="Arial" w:eastAsia="Arial" w:hAnsi="Arial"/>
          <w:sz w:val="16"/>
          <w:szCs w:val="16"/>
          <w:b w:val="1"/>
          <w:bCs w:val="1"/>
          <w:color w:val="auto"/>
        </w:rPr>
        <w:t>Security Interest</w:t>
      </w:r>
      <w:r>
        <w:rPr>
          <w:rFonts w:ascii="Arial" w:cs="Arial" w:eastAsia="Arial" w:hAnsi="Arial"/>
          <w:sz w:val="16"/>
          <w:szCs w:val="16"/>
          <w:color w:val="auto"/>
        </w:rPr>
        <w:t>” 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Payment</w:t>
      </w:r>
    </w:p>
    <w:p>
      <w:pPr>
        <w:spacing w:after="0" w:line="225" w:lineRule="exact"/>
        <w:rPr>
          <w:sz w:val="20"/>
          <w:szCs w:val="20"/>
          <w:color w:val="auto"/>
        </w:rPr>
      </w:pPr>
    </w:p>
    <w:p>
      <w:pPr>
        <w:ind w:left="1292" w:right="140"/>
        <w:spacing w:after="0" w:line="264" w:lineRule="auto"/>
        <w:rPr>
          <w:sz w:val="20"/>
          <w:szCs w:val="20"/>
          <w:color w:val="auto"/>
        </w:rPr>
      </w:pPr>
      <w:r>
        <w:rPr>
          <w:rFonts w:ascii="Arial" w:cs="Arial" w:eastAsia="Arial" w:hAnsi="Arial"/>
          <w:sz w:val="18"/>
          <w:szCs w:val="18"/>
          <w:color w:val="auto"/>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p>
      <w:pPr>
        <w:spacing w:after="0" w:line="181"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Offset Payment for Equity Option</w:t>
      </w:r>
    </w:p>
    <w:p>
      <w:pPr>
        <w:spacing w:after="0" w:line="225" w:lineRule="exact"/>
        <w:rPr>
          <w:sz w:val="20"/>
          <w:szCs w:val="20"/>
          <w:color w:val="auto"/>
        </w:rPr>
      </w:pPr>
    </w:p>
    <w:p>
      <w:pPr>
        <w:ind w:left="1952" w:right="20"/>
        <w:spacing w:after="0" w:line="273" w:lineRule="auto"/>
        <w:rPr>
          <w:sz w:val="20"/>
          <w:szCs w:val="20"/>
          <w:color w:val="auto"/>
        </w:rPr>
      </w:pPr>
      <w:r>
        <w:rPr>
          <w:rFonts w:ascii="Arial" w:cs="Arial" w:eastAsia="Arial" w:hAnsi="Arial"/>
          <w:sz w:val="17"/>
          <w:szCs w:val="17"/>
          <w:color w:val="auto"/>
        </w:rPr>
        <w:t>Each time Party A exercises the Equity Option, the Purchase Price that is payable by Party A and/or the Designated Persons to the Transferor in connection with the Purchased Interest shall be used to offset the amount outstanding on the Loan (with such offset applied to the principal, interest and capital utilization costs for the Loan), provided that if there is any tax and/or other expenses paid or payable by Party B in connection with the transfer of the Purchased Interest in accordance with this Agreement, then a portion of the Purchase Price equal to the amount of such tax and/or other expenses shall be paid to Party B in cash and not applied as an offset to the amount outstanding on the Loan.</w:t>
      </w:r>
    </w:p>
    <w:p>
      <w:pPr>
        <w:spacing w:after="0" w:line="178"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Cash Payment for Asset Option</w:t>
      </w:r>
    </w:p>
    <w:p>
      <w:pPr>
        <w:spacing w:after="0" w:line="225" w:lineRule="exact"/>
        <w:rPr>
          <w:sz w:val="20"/>
          <w:szCs w:val="20"/>
          <w:color w:val="auto"/>
        </w:rPr>
      </w:pPr>
    </w:p>
    <w:p>
      <w:pPr>
        <w:ind w:left="1952" w:right="180"/>
        <w:spacing w:after="0" w:line="264" w:lineRule="auto"/>
        <w:rPr>
          <w:sz w:val="20"/>
          <w:szCs w:val="20"/>
          <w:color w:val="auto"/>
        </w:rPr>
      </w:pPr>
      <w:r>
        <w:rPr>
          <w:rFonts w:ascii="Arial" w:cs="Arial" w:eastAsia="Arial" w:hAnsi="Arial"/>
          <w:sz w:val="18"/>
          <w:szCs w:val="18"/>
          <w:color w:val="auto"/>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p>
      <w:pPr>
        <w:spacing w:after="0" w:line="181"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Restrictions on Purchase Price</w:t>
      </w:r>
    </w:p>
    <w:p>
      <w:pPr>
        <w:spacing w:after="0" w:line="225" w:lineRule="exact"/>
        <w:rPr>
          <w:sz w:val="20"/>
          <w:szCs w:val="20"/>
          <w:color w:val="auto"/>
        </w:rPr>
      </w:pPr>
    </w:p>
    <w:p>
      <w:pPr>
        <w:ind w:left="1292" w:right="260"/>
        <w:spacing w:after="0" w:line="264" w:lineRule="auto"/>
        <w:rPr>
          <w:sz w:val="20"/>
          <w:szCs w:val="20"/>
          <w:color w:val="auto"/>
        </w:rPr>
      </w:pPr>
      <w:r>
        <w:rPr>
          <w:rFonts w:ascii="Arial" w:cs="Arial" w:eastAsia="Arial" w:hAnsi="Arial"/>
          <w:sz w:val="18"/>
          <w:szCs w:val="18"/>
          <w:color w:val="auto"/>
        </w:rPr>
        <w:t>Notwithstanding anything to the contrary in this Agreement, if the then applicable PRC laws or regulations require appraisal of the Purchased Interest or stipulate other restrictions on the Purchase Price at the time that Party A exercises the Option, the Parties agree that the Purchase Price shall be set at the lowest price permissible under applicable law.</w:t>
      </w:r>
    </w:p>
    <w:p>
      <w:pPr>
        <w:spacing w:after="0" w:line="181" w:lineRule="exact"/>
        <w:rPr>
          <w:sz w:val="20"/>
          <w:szCs w:val="20"/>
          <w:color w:val="auto"/>
        </w:rPr>
      </w:pPr>
    </w:p>
    <w:p>
      <w:pPr>
        <w:ind w:left="652" w:hanging="652"/>
        <w:spacing w:after="0"/>
        <w:tabs>
          <w:tab w:leader="none" w:pos="652"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Covenants Relating to the Purchased Interest</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Covenants Relating to Party B and Party C</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Each of Party B and Party C hereby covenants:</w:t>
      </w:r>
    </w:p>
    <w:p>
      <w:pPr>
        <w:spacing w:after="0" w:line="225" w:lineRule="exact"/>
        <w:rPr>
          <w:sz w:val="20"/>
          <w:szCs w:val="20"/>
          <w:color w:val="auto"/>
        </w:rPr>
      </w:pPr>
    </w:p>
    <w:p>
      <w:pPr>
        <w:ind w:left="1932" w:right="20" w:hanging="647"/>
        <w:spacing w:after="0" w:line="277" w:lineRule="auto"/>
        <w:tabs>
          <w:tab w:leader="none" w:pos="1912" w:val="left"/>
        </w:tabs>
        <w:rPr>
          <w:sz w:val="20"/>
          <w:szCs w:val="20"/>
          <w:color w:val="auto"/>
        </w:rPr>
      </w:pPr>
      <w:r>
        <w:rPr>
          <w:rFonts w:ascii="Arial" w:cs="Arial" w:eastAsia="Arial" w:hAnsi="Arial"/>
          <w:sz w:val="18"/>
          <w:szCs w:val="18"/>
          <w:color w:val="auto"/>
        </w:rPr>
        <w:t>2.1.1</w:t>
        <w:tab/>
        <w:t>Not to supplement, amend or modify Party C’s articles of association in any way, or to increase or decrease its registered capital, or to change its registered capital structure in any way without Party A’s prior written consent;</w:t>
      </w:r>
    </w:p>
    <w:p>
      <w:pPr>
        <w:sectPr>
          <w:pgSz w:w="11900" w:h="16838" w:orient="portrait"/>
          <w:cols w:equalWidth="0" w:num="1">
            <w:col w:w="11412"/>
          </w:cols>
          <w:pgMar w:left="248" w:top="733" w:right="239" w:bottom="85" w:gutter="0" w:footer="0" w:header="0"/>
        </w:sectPr>
      </w:pPr>
    </w:p>
    <w:bookmarkStart w:id="154" w:name="page155"/>
    <w:bookmarkEnd w:id="154"/>
    <w:p>
      <w:pPr>
        <w:spacing w:after="0" w:line="137" w:lineRule="exact"/>
        <w:rPr>
          <w:sz w:val="20"/>
          <w:szCs w:val="20"/>
          <w:color w:val="auto"/>
        </w:rPr>
      </w:pPr>
    </w:p>
    <w:p>
      <w:pPr>
        <w:ind w:left="880" w:right="180" w:hanging="647"/>
        <w:spacing w:after="0" w:line="277" w:lineRule="auto"/>
        <w:tabs>
          <w:tab w:leader="none" w:pos="860" w:val="left"/>
        </w:tabs>
        <w:rPr>
          <w:sz w:val="20"/>
          <w:szCs w:val="20"/>
          <w:color w:val="auto"/>
        </w:rPr>
      </w:pPr>
      <w:r>
        <w:rPr>
          <w:rFonts w:ascii="Arial" w:cs="Arial" w:eastAsia="Arial" w:hAnsi="Arial"/>
          <w:sz w:val="18"/>
          <w:szCs w:val="18"/>
          <w:color w:val="auto"/>
        </w:rPr>
        <w:t>2.1.2</w:t>
        <w:tab/>
        <w:t>To maintain the corporate existence of Party C and operate its business and deal with matters prudently and effectively according to good financial and business rules and practices;</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2.1.3</w:t>
        <w:tab/>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p>
      <w:pPr>
        <w:spacing w:after="0" w:line="181" w:lineRule="exact"/>
        <w:rPr>
          <w:sz w:val="20"/>
          <w:szCs w:val="20"/>
          <w:color w:val="auto"/>
        </w:rPr>
      </w:pPr>
    </w:p>
    <w:p>
      <w:pPr>
        <w:ind w:left="880" w:right="120" w:hanging="647"/>
        <w:spacing w:after="0" w:line="264" w:lineRule="auto"/>
        <w:tabs>
          <w:tab w:leader="none" w:pos="860" w:val="left"/>
        </w:tabs>
        <w:rPr>
          <w:sz w:val="20"/>
          <w:szCs w:val="20"/>
          <w:color w:val="auto"/>
        </w:rPr>
      </w:pPr>
      <w:r>
        <w:rPr>
          <w:rFonts w:ascii="Arial" w:cs="Arial" w:eastAsia="Arial" w:hAnsi="Arial"/>
          <w:sz w:val="18"/>
          <w:szCs w:val="18"/>
          <w:color w:val="auto"/>
        </w:rPr>
        <w:t>2.1.4</w:t>
        <w:tab/>
        <w:t>Not to create, succeed to, guarantee or permit any liability, without Party A’s prior written consent, except (i) liabilities arising from the normal course of business, but not arising from loans; and (ii) liabilities disclosed to Party A and approved by Party A in writing;</w:t>
      </w:r>
    </w:p>
    <w:p>
      <w:pPr>
        <w:spacing w:after="0" w:line="181" w:lineRule="exact"/>
        <w:rPr>
          <w:sz w:val="20"/>
          <w:szCs w:val="20"/>
          <w:color w:val="auto"/>
        </w:rPr>
      </w:pPr>
    </w:p>
    <w:p>
      <w:pPr>
        <w:ind w:left="880" w:right="100" w:hanging="647"/>
        <w:spacing w:after="0" w:line="277" w:lineRule="auto"/>
        <w:tabs>
          <w:tab w:leader="none" w:pos="860" w:val="left"/>
        </w:tabs>
        <w:rPr>
          <w:sz w:val="20"/>
          <w:szCs w:val="20"/>
          <w:color w:val="auto"/>
        </w:rPr>
      </w:pPr>
      <w:r>
        <w:rPr>
          <w:rFonts w:ascii="Arial" w:cs="Arial" w:eastAsia="Arial" w:hAnsi="Arial"/>
          <w:sz w:val="18"/>
          <w:szCs w:val="18"/>
          <w:color w:val="auto"/>
        </w:rPr>
        <w:t>2.1.5</w:t>
        <w:tab/>
        <w:t>To operate all the business in the normal course of business to maintain the value of Party C’s assets, and not to commit any act or omission that would adversely affect Party C’s operations and asset value;</w:t>
      </w:r>
    </w:p>
    <w:p>
      <w:pPr>
        <w:spacing w:after="0" w:line="170" w:lineRule="exact"/>
        <w:rPr>
          <w:sz w:val="20"/>
          <w:szCs w:val="20"/>
          <w:color w:val="auto"/>
        </w:rPr>
      </w:pPr>
    </w:p>
    <w:p>
      <w:pPr>
        <w:ind w:left="880" w:hanging="647"/>
        <w:spacing w:after="0" w:line="342" w:lineRule="auto"/>
        <w:tabs>
          <w:tab w:leader="none" w:pos="8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Without prior written consent by Party A, not to enter into any material agreement, other than agreements entered into in Party C’s normal course of business (for purpose of this paragraph, an agreement will be deemed material if its value exceeds RMB100,000);</w:t>
      </w:r>
    </w:p>
    <w:p>
      <w:pPr>
        <w:spacing w:after="0" w:line="124"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Not to provide loans or credit to any person (other than in the normal course of business) without Party A’s prior written consent;</w:t>
      </w:r>
    </w:p>
    <w:p>
      <w:pPr>
        <w:spacing w:after="0" w:line="225"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To provide all information relating to Party C’s operations and financial conditions upon the request of Party A;</w:t>
      </w:r>
    </w:p>
    <w:p>
      <w:pPr>
        <w:spacing w:after="0" w:line="225" w:lineRule="exact"/>
        <w:rPr>
          <w:sz w:val="20"/>
          <w:szCs w:val="20"/>
          <w:color w:val="auto"/>
        </w:rPr>
      </w:pPr>
    </w:p>
    <w:p>
      <w:pPr>
        <w:ind w:left="880" w:right="160" w:hanging="647"/>
        <w:spacing w:after="0" w:line="264" w:lineRule="auto"/>
        <w:tabs>
          <w:tab w:leader="none" w:pos="860" w:val="left"/>
        </w:tabs>
        <w:rPr>
          <w:sz w:val="20"/>
          <w:szCs w:val="20"/>
          <w:color w:val="auto"/>
        </w:rPr>
      </w:pPr>
      <w:r>
        <w:rPr>
          <w:rFonts w:ascii="Arial" w:cs="Arial" w:eastAsia="Arial" w:hAnsi="Arial"/>
          <w:sz w:val="18"/>
          <w:szCs w:val="18"/>
          <w:color w:val="auto"/>
        </w:rPr>
        <w:t>2.1.9</w:t>
        <w:tab/>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p>
      <w:pPr>
        <w:spacing w:after="0" w:line="18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Not to merge or consolidate with, or acquire or invest in, any person without Party A’s prior written consent;</w:t>
      </w:r>
    </w:p>
    <w:p>
      <w:pPr>
        <w:spacing w:after="0" w:line="225" w:lineRule="exact"/>
        <w:rPr>
          <w:sz w:val="20"/>
          <w:szCs w:val="20"/>
          <w:color w:val="auto"/>
        </w:rPr>
      </w:pPr>
    </w:p>
    <w:p>
      <w:pPr>
        <w:ind w:left="880" w:hanging="647"/>
        <w:spacing w:after="0" w:line="277" w:lineRule="auto"/>
        <w:tabs>
          <w:tab w:leader="none" w:pos="860" w:val="left"/>
        </w:tabs>
        <w:rPr>
          <w:sz w:val="20"/>
          <w:szCs w:val="20"/>
          <w:color w:val="auto"/>
        </w:rPr>
      </w:pPr>
      <w:r>
        <w:rPr>
          <w:rFonts w:ascii="Arial" w:cs="Arial" w:eastAsia="Arial" w:hAnsi="Arial"/>
          <w:sz w:val="18"/>
          <w:szCs w:val="18"/>
          <w:color w:val="auto"/>
        </w:rPr>
        <w:t>2.1.11</w:t>
        <w:tab/>
        <w:t>To promptly notify Party A of any pending or threatened suit, arbitration or administrative proceedings concerning Party C’s assets, business or revenue;</w:t>
      </w:r>
    </w:p>
    <w:p>
      <w:pPr>
        <w:spacing w:after="0" w:line="170" w:lineRule="exact"/>
        <w:rPr>
          <w:sz w:val="20"/>
          <w:szCs w:val="20"/>
          <w:color w:val="auto"/>
        </w:rPr>
      </w:pPr>
    </w:p>
    <w:p>
      <w:pPr>
        <w:jc w:val="both"/>
        <w:ind w:left="880" w:right="600" w:hanging="647"/>
        <w:spacing w:after="0" w:line="264" w:lineRule="auto"/>
        <w:tabs>
          <w:tab w:leader="none" w:pos="860" w:val="left"/>
        </w:tabs>
        <w:rPr>
          <w:sz w:val="20"/>
          <w:szCs w:val="20"/>
          <w:color w:val="auto"/>
        </w:rPr>
      </w:pPr>
      <w:r>
        <w:rPr>
          <w:rFonts w:ascii="Arial" w:cs="Arial" w:eastAsia="Arial" w:hAnsi="Arial"/>
          <w:sz w:val="18"/>
          <w:szCs w:val="18"/>
          <w:color w:val="auto"/>
        </w:rPr>
        <w:t>2.1.12</w:t>
        <w:tab/>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p>
      <w:pPr>
        <w:spacing w:after="0" w:line="181" w:lineRule="exact"/>
        <w:rPr>
          <w:sz w:val="20"/>
          <w:szCs w:val="20"/>
          <w:color w:val="auto"/>
        </w:rPr>
      </w:pPr>
    </w:p>
    <w:p>
      <w:pPr>
        <w:ind w:left="880" w:right="260" w:hanging="647"/>
        <w:spacing w:after="0" w:line="277" w:lineRule="auto"/>
        <w:tabs>
          <w:tab w:leader="none" w:pos="860" w:val="left"/>
        </w:tabs>
        <w:rPr>
          <w:sz w:val="20"/>
          <w:szCs w:val="20"/>
          <w:color w:val="auto"/>
        </w:rPr>
      </w:pPr>
      <w:r>
        <w:rPr>
          <w:rFonts w:ascii="Arial" w:cs="Arial" w:eastAsia="Arial" w:hAnsi="Arial"/>
          <w:sz w:val="18"/>
          <w:szCs w:val="18"/>
          <w:color w:val="auto"/>
        </w:rPr>
        <w:t>2.1.13</w:t>
        <w:tab/>
        <w:t>Not to distribute dividends to Party C’s shareholders in any way without Party A’s prior written consent. However, Party C shall promptly distribute all or part of its distributable profits to its shareholders upon Party A’s request; and</w:t>
      </w:r>
    </w:p>
    <w:p>
      <w:pPr>
        <w:spacing w:after="0" w:line="1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Covenants Relating to Party B</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Party B hereby covenants:</w:t>
      </w:r>
    </w:p>
    <w:p>
      <w:pPr>
        <w:spacing w:after="0" w:line="225" w:lineRule="exact"/>
        <w:rPr>
          <w:sz w:val="20"/>
          <w:szCs w:val="20"/>
          <w:color w:val="auto"/>
        </w:rPr>
      </w:pPr>
    </w:p>
    <w:p>
      <w:pPr>
        <w:jc w:val="both"/>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2.2.1</w:t>
        <w:tab/>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p>
      <w:pPr>
        <w:spacing w:after="0" w:line="181" w:lineRule="exact"/>
        <w:rPr>
          <w:sz w:val="20"/>
          <w:szCs w:val="20"/>
          <w:color w:val="auto"/>
        </w:rPr>
      </w:pPr>
    </w:p>
    <w:p>
      <w:pPr>
        <w:ind w:left="880" w:right="120" w:hanging="647"/>
        <w:spacing w:after="0" w:line="259" w:lineRule="auto"/>
        <w:tabs>
          <w:tab w:leader="none" w:pos="860" w:val="left"/>
        </w:tabs>
        <w:rPr>
          <w:sz w:val="20"/>
          <w:szCs w:val="20"/>
          <w:color w:val="auto"/>
        </w:rPr>
      </w:pPr>
      <w:r>
        <w:rPr>
          <w:rFonts w:ascii="Arial" w:cs="Arial" w:eastAsia="Arial" w:hAnsi="Arial"/>
          <w:sz w:val="18"/>
          <w:szCs w:val="18"/>
          <w:color w:val="auto"/>
        </w:rPr>
        <w:t>2.2.2</w:t>
        <w:tab/>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p>
      <w:pPr>
        <w:spacing w:after="0" w:line="187" w:lineRule="exact"/>
        <w:rPr>
          <w:sz w:val="20"/>
          <w:szCs w:val="20"/>
          <w:color w:val="auto"/>
        </w:rPr>
      </w:pPr>
    </w:p>
    <w:p>
      <w:pPr>
        <w:ind w:left="880" w:right="120" w:hanging="647"/>
        <w:spacing w:after="0" w:line="277" w:lineRule="auto"/>
        <w:tabs>
          <w:tab w:leader="none" w:pos="860" w:val="left"/>
        </w:tabs>
        <w:rPr>
          <w:sz w:val="20"/>
          <w:szCs w:val="20"/>
          <w:color w:val="auto"/>
        </w:rPr>
      </w:pPr>
      <w:r>
        <w:rPr>
          <w:rFonts w:ascii="Arial" w:cs="Arial" w:eastAsia="Arial" w:hAnsi="Arial"/>
          <w:sz w:val="18"/>
          <w:szCs w:val="18"/>
          <w:color w:val="auto"/>
        </w:rPr>
        <w:t>2.2.3</w:t>
        <w:tab/>
        <w:t>Without Party A’s prior written consent, not to vote for or sign any shareholders’ resolution at Party C’s shareholders’ meetings to approve Party C’s merger or consolidation with, acquisition of or investment in, any person;</w:t>
      </w:r>
    </w:p>
    <w:p>
      <w:pPr>
        <w:spacing w:after="0" w:line="170" w:lineRule="exact"/>
        <w:rPr>
          <w:sz w:val="20"/>
          <w:szCs w:val="20"/>
          <w:color w:val="auto"/>
        </w:rPr>
      </w:pPr>
    </w:p>
    <w:p>
      <w:pPr>
        <w:ind w:left="880" w:right="420" w:hanging="647"/>
        <w:spacing w:after="0" w:line="277" w:lineRule="auto"/>
        <w:tabs>
          <w:tab w:leader="none" w:pos="860" w:val="left"/>
        </w:tabs>
        <w:rPr>
          <w:sz w:val="20"/>
          <w:szCs w:val="20"/>
          <w:color w:val="auto"/>
        </w:rPr>
      </w:pPr>
      <w:r>
        <w:rPr>
          <w:rFonts w:ascii="Arial" w:cs="Arial" w:eastAsia="Arial" w:hAnsi="Arial"/>
          <w:sz w:val="18"/>
          <w:szCs w:val="18"/>
          <w:color w:val="auto"/>
        </w:rPr>
        <w:t>2.2.4</w:t>
        <w:tab/>
        <w:t>To promptly notify Party A of any pending or threatened suit, arbitration or administrative proceedings concerning the Equity Interest owned by it;</w:t>
      </w:r>
    </w:p>
    <w:p>
      <w:pPr>
        <w:spacing w:after="0" w:line="1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To cause any relevant shareholders’ meeting to approve the transfer of any Purchased Interest under this Agreement;</w:t>
      </w:r>
    </w:p>
    <w:p>
      <w:pPr>
        <w:spacing w:after="0" w:line="225" w:lineRule="exact"/>
        <w:rPr>
          <w:sz w:val="20"/>
          <w:szCs w:val="20"/>
          <w:color w:val="auto"/>
        </w:rPr>
      </w:pPr>
    </w:p>
    <w:p>
      <w:pPr>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2.2.6</w:t>
        <w:tab/>
        <w:t>To execute all necessary or appropriate documents, to take all necessary or appropriate actions and to bring all necessary or appropriate claims or to make all necessary and appropriate defenses against all claims in order to maintain his/her ownership over the Equity Interest;</w:t>
      </w:r>
    </w:p>
    <w:p>
      <w:pPr>
        <w:spacing w:after="0" w:line="18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ind w:left="880" w:right="120" w:hanging="647"/>
        <w:spacing w:after="0" w:line="342" w:lineRule="auto"/>
        <w:tabs>
          <w:tab w:leader="none" w:pos="8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At any time, upon the request of Party A, to transfer its Purchased Interest immediately and unconditionally to the representative designated by Party A, and, in the case of a purchase of any Equity Interest, waive its preemptive right with respect to the transfer</w:t>
      </w:r>
    </w:p>
    <w:p>
      <w:pPr>
        <w:sectPr>
          <w:pgSz w:w="11900" w:h="16975" w:orient="portrait"/>
          <w:cols w:equalWidth="0" w:num="1">
            <w:col w:w="10360"/>
          </w:cols>
          <w:pgMar w:left="1300" w:top="125" w:right="239" w:bottom="0" w:gutter="0" w:footer="0" w:header="0"/>
        </w:sectPr>
      </w:pPr>
    </w:p>
    <w:bookmarkStart w:id="155" w:name="page156"/>
    <w:bookmarkEnd w:id="155"/>
    <w:p>
      <w:pPr>
        <w:spacing w:after="0" w:line="103"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of such Equity Interest by any other shareholder of Party C; and</w:t>
      </w:r>
    </w:p>
    <w:p>
      <w:pPr>
        <w:spacing w:after="0" w:line="225" w:lineRule="exact"/>
        <w:rPr>
          <w:sz w:val="20"/>
          <w:szCs w:val="20"/>
          <w:color w:val="auto"/>
        </w:rPr>
      </w:pPr>
    </w:p>
    <w:p>
      <w:pPr>
        <w:jc w:val="both"/>
        <w:ind w:left="1932" w:right="20" w:hanging="647"/>
        <w:spacing w:after="0" w:line="264" w:lineRule="auto"/>
        <w:tabs>
          <w:tab w:leader="none" w:pos="1912" w:val="left"/>
        </w:tabs>
        <w:rPr>
          <w:sz w:val="20"/>
          <w:szCs w:val="20"/>
          <w:color w:val="auto"/>
        </w:rPr>
      </w:pPr>
      <w:r>
        <w:rPr>
          <w:rFonts w:ascii="Arial" w:cs="Arial" w:eastAsia="Arial" w:hAnsi="Arial"/>
          <w:sz w:val="18"/>
          <w:szCs w:val="18"/>
          <w:color w:val="auto"/>
        </w:rPr>
        <w:t>2.2.9</w:t>
        <w:tab/>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652" w:right="580"/>
        <w:spacing w:after="0" w:line="277" w:lineRule="auto"/>
        <w:rPr>
          <w:sz w:val="20"/>
          <w:szCs w:val="20"/>
          <w:color w:val="auto"/>
        </w:rPr>
      </w:pPr>
      <w:r>
        <w:rPr>
          <w:rFonts w:ascii="Arial" w:cs="Arial" w:eastAsia="Arial" w:hAnsi="Arial"/>
          <w:sz w:val="18"/>
          <w:szCs w:val="18"/>
          <w:color w:val="auto"/>
        </w:rPr>
        <w:t>As of the execution date of this Agreement and every transfer date, each of Party B and Party C hereby represents and warrants to Party A as follows:</w:t>
      </w:r>
    </w:p>
    <w:p>
      <w:pPr>
        <w:spacing w:after="0" w:line="170" w:lineRule="exact"/>
        <w:rPr>
          <w:sz w:val="20"/>
          <w:szCs w:val="20"/>
          <w:color w:val="auto"/>
        </w:rPr>
      </w:pPr>
    </w:p>
    <w:p>
      <w:pPr>
        <w:ind w:left="1692" w:right="80" w:hanging="647"/>
        <w:spacing w:after="0" w:line="259" w:lineRule="auto"/>
        <w:tabs>
          <w:tab w:leader="none" w:pos="167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 constitute a legal, valid and binding obligation of it enforceable against it in accordance with its terms;</w:t>
      </w:r>
    </w:p>
    <w:p>
      <w:pPr>
        <w:spacing w:after="0" w:line="187" w:lineRule="exact"/>
        <w:rPr>
          <w:sz w:val="20"/>
          <w:szCs w:val="20"/>
          <w:color w:val="auto"/>
        </w:rPr>
      </w:pPr>
    </w:p>
    <w:p>
      <w:pPr>
        <w:ind w:left="1692" w:right="80" w:hanging="647"/>
        <w:spacing w:after="0" w:line="257" w:lineRule="auto"/>
        <w:tabs>
          <w:tab w:leader="none" w:pos="16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p>
      <w:pPr>
        <w:spacing w:after="0" w:line="188"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Party C has good and marketable ownership interest in all of its assets and has not created any Security Interest on the said assets;</w:t>
      </w:r>
    </w:p>
    <w:p>
      <w:pPr>
        <w:spacing w:after="0" w:line="225" w:lineRule="exact"/>
        <w:rPr>
          <w:sz w:val="20"/>
          <w:szCs w:val="20"/>
          <w:color w:val="auto"/>
        </w:rPr>
      </w:pPr>
    </w:p>
    <w:p>
      <w:pPr>
        <w:ind w:left="1692" w:right="20" w:hanging="647"/>
        <w:spacing w:after="0" w:line="277" w:lineRule="auto"/>
        <w:tabs>
          <w:tab w:leader="none" w:pos="16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Party C has no outstanding liabilities, except (i) liabilities arising in its normal course of business; and (ii) liabilities disclosed to Party A and approved by Party A in writing;</w:t>
      </w:r>
    </w:p>
    <w:p>
      <w:pPr>
        <w:spacing w:after="0" w:line="170"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Party C complies with all PRC laws and regulations applicable to the acquisition of assets;</w:t>
      </w:r>
    </w:p>
    <w:p>
      <w:pPr>
        <w:spacing w:after="0" w:line="225" w:lineRule="exact"/>
        <w:rPr>
          <w:sz w:val="20"/>
          <w:szCs w:val="20"/>
          <w:color w:val="auto"/>
        </w:rPr>
      </w:pPr>
    </w:p>
    <w:p>
      <w:pPr>
        <w:ind w:left="1692" w:right="560" w:hanging="647"/>
        <w:spacing w:after="0" w:line="277" w:lineRule="auto"/>
        <w:tabs>
          <w:tab w:leader="none" w:pos="167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There are currently no existing, pending or threatened litigation, arbitration or administrative proceedings related to the Equity Interest, Party C’s assets or Party C; and</w:t>
      </w:r>
    </w:p>
    <w:p>
      <w:pPr>
        <w:spacing w:after="0" w:line="170" w:lineRule="exact"/>
        <w:rPr>
          <w:sz w:val="20"/>
          <w:szCs w:val="20"/>
          <w:color w:val="auto"/>
        </w:rPr>
      </w:pPr>
    </w:p>
    <w:p>
      <w:pPr>
        <w:ind w:left="1692" w:right="280" w:hanging="647"/>
        <w:spacing w:after="0" w:line="277" w:lineRule="auto"/>
        <w:tabs>
          <w:tab w:leader="none" w:pos="167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has good and marketable ownership interest in the Equity Interest and has not created any Security Interest on such Equity Interest, other than the Security Interest pursuant to the Equity Pledge Agreement.</w:t>
      </w:r>
    </w:p>
    <w:p>
      <w:pPr>
        <w:spacing w:after="0" w:line="170" w:lineRule="exact"/>
        <w:rPr>
          <w:sz w:val="20"/>
          <w:szCs w:val="20"/>
          <w:color w:val="auto"/>
        </w:rPr>
      </w:pPr>
    </w:p>
    <w:p>
      <w:pPr>
        <w:ind w:left="652" w:hanging="652"/>
        <w:spacing w:after="0"/>
        <w:tabs>
          <w:tab w:leader="none" w:pos="652"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Assignment of Agreement</w:t>
      </w:r>
    </w:p>
    <w:p>
      <w:pPr>
        <w:spacing w:after="0" w:line="225" w:lineRule="exact"/>
        <w:rPr>
          <w:sz w:val="20"/>
          <w:szCs w:val="20"/>
          <w:color w:val="auto"/>
        </w:rPr>
      </w:pPr>
    </w:p>
    <w:p>
      <w:pPr>
        <w:ind w:left="1692" w:right="400" w:hanging="647"/>
        <w:spacing w:after="0" w:line="277" w:lineRule="auto"/>
        <w:tabs>
          <w:tab w:leader="none" w:pos="167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Party B and Party C shall not assign their rights and obligations under this Agreement to any third party without the prior written consent of Party A.</w:t>
      </w:r>
    </w:p>
    <w:p>
      <w:pPr>
        <w:spacing w:after="0" w:line="170" w:lineRule="exact"/>
        <w:rPr>
          <w:sz w:val="20"/>
          <w:szCs w:val="20"/>
          <w:color w:val="auto"/>
        </w:rPr>
      </w:pPr>
    </w:p>
    <w:p>
      <w:pPr>
        <w:ind w:left="1692" w:right="140" w:hanging="647"/>
        <w:spacing w:after="0" w:line="308" w:lineRule="auto"/>
        <w:tabs>
          <w:tab w:leader="none" w:pos="167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Party B and Party C hereby agree that Party A may assign all its rights and obligations under this Agreement to a third party without the consent of Party B and Party C, but such assignment shall be notified in writing to Party B and Party C.</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Effective Date and Term</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Agreement shall be effective as of the date first set forth above.</w:t>
      </w:r>
    </w:p>
    <w:p>
      <w:pPr>
        <w:spacing w:after="0" w:line="225" w:lineRule="exact"/>
        <w:rPr>
          <w:sz w:val="20"/>
          <w:szCs w:val="20"/>
          <w:color w:val="auto"/>
        </w:rPr>
      </w:pPr>
    </w:p>
    <w:p>
      <w:pPr>
        <w:ind w:left="1692" w:hanging="647"/>
        <w:spacing w:after="0" w:line="273" w:lineRule="auto"/>
        <w:tabs>
          <w:tab w:leader="none" w:pos="16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This Agreement shall remain in full force and effect until the earlier of (i) the date on which all of the Equity Interest held by Party B or all of the assets of Party C held by Party C or its subsidiaries have been acquired by Party A directly and/or through its Designated Persons in accordance with this Agreement, (ii) the unilateral termination of this Agreement by Party A at its sole and absolute discretion by giving thirty (30) days prior written notice to the other Parties of its intention to terminate this Agreement, and (iii) if the duration of operation (including any extension thereof) of Party A or Party C is expired or terminated, except in the situation where Party A has assigned its rights and obligations in accordance with Article 4.2 hereof.</w:t>
      </w:r>
    </w:p>
    <w:p>
      <w:pPr>
        <w:spacing w:after="0" w:line="178" w:lineRule="exact"/>
        <w:rPr>
          <w:sz w:val="20"/>
          <w:szCs w:val="20"/>
          <w:color w:val="auto"/>
        </w:rPr>
      </w:pPr>
    </w:p>
    <w:p>
      <w:pPr>
        <w:ind w:left="652" w:hanging="652"/>
        <w:spacing w:after="0"/>
        <w:tabs>
          <w:tab w:leader="none" w:pos="652"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Applicable Laws and Dispute Resolution</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Applicable Law</w:t>
      </w:r>
    </w:p>
    <w:p>
      <w:pPr>
        <w:spacing w:after="0" w:line="225"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w:t>
      </w:r>
    </w:p>
    <w:p>
      <w:pPr>
        <w:spacing w:after="0" w:line="170"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1292" w:right="40"/>
        <w:spacing w:after="0" w:line="297" w:lineRule="auto"/>
        <w:rPr>
          <w:sz w:val="20"/>
          <w:szCs w:val="20"/>
          <w:color w:val="auto"/>
        </w:rPr>
      </w:pPr>
      <w:r>
        <w:rPr>
          <w:rFonts w:ascii="Arial" w:cs="Arial" w:eastAsia="Arial" w:hAnsi="Arial"/>
          <w:sz w:val="16"/>
          <w:szCs w:val="16"/>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w:t>
      </w:r>
    </w:p>
    <w:p>
      <w:pPr>
        <w:sectPr>
          <w:pgSz w:w="11900" w:h="16941" w:orient="portrait"/>
          <w:cols w:equalWidth="0" w:num="1">
            <w:col w:w="11372"/>
          </w:cols>
          <w:pgMar w:left="248" w:top="125" w:right="279" w:bottom="0" w:gutter="0" w:footer="0" w:header="0"/>
        </w:sectPr>
      </w:pPr>
    </w:p>
    <w:bookmarkStart w:id="156" w:name="page157"/>
    <w:bookmarkEnd w:id="156"/>
    <w:p>
      <w:pPr>
        <w:ind w:left="1300" w:right="100"/>
        <w:spacing w:after="0" w:line="253" w:lineRule="auto"/>
        <w:rPr>
          <w:sz w:val="20"/>
          <w:szCs w:val="20"/>
          <w:color w:val="auto"/>
        </w:rPr>
      </w:pPr>
      <w:r>
        <w:rPr>
          <w:rFonts w:ascii="Arial" w:cs="Arial" w:eastAsia="Arial" w:hAnsi="Arial"/>
          <w:sz w:val="18"/>
          <w:szCs w:val="18"/>
          <w:color w:val="auto"/>
        </w:rPr>
        <w:t>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Taxes and Expenses</w:t>
      </w:r>
    </w:p>
    <w:p>
      <w:pPr>
        <w:spacing w:after="0" w:line="225" w:lineRule="exact"/>
        <w:rPr>
          <w:rFonts w:ascii="Arial" w:cs="Arial" w:eastAsia="Arial" w:hAnsi="Arial"/>
          <w:sz w:val="18"/>
          <w:szCs w:val="18"/>
          <w:color w:val="auto"/>
        </w:rPr>
      </w:pPr>
    </w:p>
    <w:p>
      <w:pPr>
        <w:ind w:left="660" w:right="160"/>
        <w:spacing w:after="0" w:line="264" w:lineRule="auto"/>
        <w:rPr>
          <w:rFonts w:ascii="Arial" w:cs="Arial" w:eastAsia="Arial" w:hAnsi="Arial"/>
          <w:sz w:val="18"/>
          <w:szCs w:val="18"/>
          <w:color w:val="auto"/>
        </w:rPr>
      </w:pPr>
      <w:r>
        <w:rPr>
          <w:rFonts w:ascii="Arial" w:cs="Arial" w:eastAsia="Arial" w:hAnsi="Arial"/>
          <w:sz w:val="18"/>
          <w:szCs w:val="18"/>
          <w:color w:val="auto"/>
        </w:rPr>
        <w:t>Party A shall bear any and all transfer and registration taxes, expenses and charges incurred by or levied on it, Party B or Party C with respect to the preparation and execution of this Agreement and each Transfer Agreement and the consummation of the transactions contemplated under this Agreement and each Transfer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ind w:left="1700" w:right="120" w:hanging="647"/>
        <w:spacing w:after="0" w:line="290" w:lineRule="auto"/>
        <w:tabs>
          <w:tab w:leader="none" w:pos="1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p>
      <w:pPr>
        <w:spacing w:after="0" w:line="166"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All parties agree that this Article 8 shall survive the invalidity, cancellation, termination or unenforceability of this Agreement.</w:t>
      </w:r>
    </w:p>
    <w:p>
      <w:pPr>
        <w:spacing w:after="0" w:line="225" w:lineRule="exact"/>
        <w:rPr>
          <w:sz w:val="20"/>
          <w:szCs w:val="20"/>
          <w:color w:val="auto"/>
        </w:rPr>
      </w:pPr>
    </w:p>
    <w:p>
      <w:pPr>
        <w:ind w:left="660" w:hanging="652"/>
        <w:spacing w:after="0"/>
        <w:tabs>
          <w:tab w:leader="none" w:pos="66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rFonts w:ascii="Arial" w:cs="Arial" w:eastAsia="Arial" w:hAnsi="Arial"/>
          <w:sz w:val="18"/>
          <w:szCs w:val="18"/>
          <w:color w:val="auto"/>
        </w:rPr>
      </w:pPr>
    </w:p>
    <w:p>
      <w:pPr>
        <w:ind w:left="660" w:right="160"/>
        <w:spacing w:after="0" w:line="293" w:lineRule="auto"/>
        <w:rPr>
          <w:rFonts w:ascii="Arial" w:cs="Arial" w:eastAsia="Arial" w:hAnsi="Arial"/>
          <w:sz w:val="18"/>
          <w:szCs w:val="18"/>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any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If to Party A: </w:t>
      </w:r>
      <w:r>
        <w:rPr>
          <w:rFonts w:ascii="Arial" w:cs="Arial" w:eastAsia="Arial" w:hAnsi="Arial"/>
          <w:sz w:val="18"/>
          <w:szCs w:val="18"/>
          <w:color w:val="auto"/>
        </w:rPr>
        <w:t>NetEase Media Technology (Beijing)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ind w:left="1300"/>
              <w:spacing w:after="0"/>
              <w:rPr>
                <w:sz w:val="20"/>
                <w:szCs w:val="20"/>
                <w:color w:val="auto"/>
              </w:rPr>
            </w:pPr>
            <w:r>
              <w:rPr>
                <w:rFonts w:ascii="Arial" w:cs="Arial" w:eastAsia="Arial" w:hAnsi="Arial"/>
                <w:sz w:val="18"/>
                <w:szCs w:val="18"/>
                <w:color w:val="auto"/>
              </w:rPr>
              <w:t>Address:</w:t>
            </w:r>
          </w:p>
        </w:tc>
        <w:tc>
          <w:tcPr>
            <w:tcW w:w="7960" w:type="dxa"/>
            <w:vAlign w:val="bottom"/>
          </w:tcPr>
          <w:p>
            <w:pPr>
              <w:ind w:left="580"/>
              <w:spacing w:after="0"/>
              <w:rPr>
                <w:sz w:val="20"/>
                <w:szCs w:val="20"/>
                <w:color w:val="auto"/>
              </w:rPr>
            </w:pPr>
            <w:r>
              <w:rPr>
                <w:rFonts w:ascii="Arial" w:cs="Arial" w:eastAsia="Arial" w:hAnsi="Arial"/>
                <w:sz w:val="18"/>
                <w:szCs w:val="18"/>
                <w:color w:val="auto"/>
              </w:rPr>
              <w:t>Building No. 7, West Zone, Zhongguancun Software Park (Phase II), No.10</w:t>
            </w:r>
          </w:p>
        </w:tc>
      </w:tr>
      <w:tr>
        <w:trPr>
          <w:trHeight w:val="230"/>
        </w:trPr>
        <w:tc>
          <w:tcPr>
            <w:tcW w:w="3500" w:type="dxa"/>
            <w:vAlign w:val="bottom"/>
          </w:tcPr>
          <w:p>
            <w:pPr>
              <w:spacing w:after="0"/>
              <w:rPr>
                <w:sz w:val="20"/>
                <w:szCs w:val="20"/>
                <w:color w:val="auto"/>
              </w:rPr>
            </w:pPr>
          </w:p>
        </w:tc>
        <w:tc>
          <w:tcPr>
            <w:tcW w:w="7960" w:type="dxa"/>
            <w:vAlign w:val="bottom"/>
          </w:tcPr>
          <w:p>
            <w:pPr>
              <w:ind w:left="580"/>
              <w:spacing w:after="0"/>
              <w:rPr>
                <w:sz w:val="20"/>
                <w:szCs w:val="20"/>
                <w:color w:val="auto"/>
              </w:rPr>
            </w:pPr>
            <w:r>
              <w:rPr>
                <w:rFonts w:ascii="Arial" w:cs="Arial" w:eastAsia="Arial" w:hAnsi="Arial"/>
                <w:sz w:val="18"/>
                <w:szCs w:val="18"/>
                <w:color w:val="auto"/>
              </w:rPr>
              <w:t>Xibeiwang East Road, Haidian District, Beijing, China</w:t>
            </w:r>
          </w:p>
        </w:tc>
      </w:tr>
      <w:tr>
        <w:trPr>
          <w:trHeight w:val="432"/>
        </w:trPr>
        <w:tc>
          <w:tcPr>
            <w:tcW w:w="3500" w:type="dxa"/>
            <w:vAlign w:val="bottom"/>
          </w:tcPr>
          <w:p>
            <w:pPr>
              <w:ind w:left="1300"/>
              <w:spacing w:after="0"/>
              <w:rPr>
                <w:sz w:val="20"/>
                <w:szCs w:val="20"/>
                <w:color w:val="auto"/>
              </w:rPr>
            </w:pPr>
            <w:r>
              <w:rPr>
                <w:rFonts w:ascii="Arial" w:cs="Arial" w:eastAsia="Arial" w:hAnsi="Arial"/>
                <w:sz w:val="18"/>
                <w:szCs w:val="18"/>
                <w:color w:val="auto"/>
              </w:rPr>
              <w:t>Fax:</w:t>
            </w:r>
          </w:p>
        </w:tc>
        <w:tc>
          <w:tcPr>
            <w:tcW w:w="7960" w:type="dxa"/>
            <w:vAlign w:val="bottom"/>
          </w:tcPr>
          <w:p>
            <w:pPr>
              <w:ind w:left="580"/>
              <w:spacing w:after="0"/>
              <w:rPr>
                <w:sz w:val="20"/>
                <w:szCs w:val="20"/>
                <w:color w:val="auto"/>
              </w:rPr>
            </w:pPr>
            <w:r>
              <w:rPr>
                <w:rFonts w:ascii="Arial" w:cs="Arial" w:eastAsia="Arial" w:hAnsi="Arial"/>
                <w:sz w:val="18"/>
                <w:szCs w:val="18"/>
                <w:color w:val="auto"/>
              </w:rPr>
              <w:t>(86) 010-82625163</w:t>
            </w:r>
          </w:p>
        </w:tc>
      </w:tr>
      <w:tr>
        <w:trPr>
          <w:trHeight w:val="432"/>
        </w:trPr>
        <w:tc>
          <w:tcPr>
            <w:tcW w:w="3500" w:type="dxa"/>
            <w:vAlign w:val="bottom"/>
          </w:tcPr>
          <w:p>
            <w:pPr>
              <w:ind w:left="1300"/>
              <w:spacing w:after="0"/>
              <w:rPr>
                <w:sz w:val="20"/>
                <w:szCs w:val="20"/>
                <w:color w:val="auto"/>
              </w:rPr>
            </w:pPr>
            <w:r>
              <w:rPr>
                <w:rFonts w:ascii="Arial" w:cs="Arial" w:eastAsia="Arial" w:hAnsi="Arial"/>
                <w:sz w:val="18"/>
                <w:szCs w:val="18"/>
                <w:color w:val="auto"/>
              </w:rPr>
              <w:t>Email:</w:t>
            </w:r>
          </w:p>
        </w:tc>
        <w:tc>
          <w:tcPr>
            <w:tcW w:w="7960" w:type="dxa"/>
            <w:vAlign w:val="bottom"/>
          </w:tcPr>
          <w:p>
            <w:pPr>
              <w:ind w:left="580"/>
              <w:spacing w:after="0"/>
              <w:rPr>
                <w:sz w:val="20"/>
                <w:szCs w:val="20"/>
                <w:color w:val="auto"/>
              </w:rPr>
            </w:pPr>
            <w:r>
              <w:rPr>
                <w:rFonts w:ascii="Arial" w:cs="Arial" w:eastAsia="Arial" w:hAnsi="Arial"/>
                <w:sz w:val="18"/>
                <w:szCs w:val="18"/>
                <w:color w:val="auto"/>
              </w:rPr>
              <w:t>ochoi@corp.netease.com</w:t>
            </w:r>
          </w:p>
        </w:tc>
      </w:tr>
      <w:tr>
        <w:trPr>
          <w:trHeight w:val="432"/>
        </w:trPr>
        <w:tc>
          <w:tcPr>
            <w:tcW w:w="3500" w:type="dxa"/>
            <w:vAlign w:val="bottom"/>
          </w:tcPr>
          <w:p>
            <w:pPr>
              <w:ind w:left="1300"/>
              <w:spacing w:after="0"/>
              <w:rPr>
                <w:sz w:val="20"/>
                <w:szCs w:val="20"/>
                <w:color w:val="auto"/>
              </w:rPr>
            </w:pPr>
            <w:r>
              <w:rPr>
                <w:rFonts w:ascii="Arial" w:cs="Arial" w:eastAsia="Arial" w:hAnsi="Arial"/>
                <w:sz w:val="18"/>
                <w:szCs w:val="18"/>
                <w:color w:val="auto"/>
              </w:rPr>
              <w:t>Attention:</w:t>
            </w:r>
          </w:p>
        </w:tc>
        <w:tc>
          <w:tcPr>
            <w:tcW w:w="7960" w:type="dxa"/>
            <w:vAlign w:val="bottom"/>
          </w:tcPr>
          <w:p>
            <w:pPr>
              <w:ind w:left="580"/>
              <w:spacing w:after="0"/>
              <w:rPr>
                <w:sz w:val="20"/>
                <w:szCs w:val="20"/>
                <w:color w:val="auto"/>
              </w:rPr>
            </w:pPr>
            <w:r>
              <w:rPr>
                <w:rFonts w:ascii="Arial" w:cs="Arial" w:eastAsia="Arial" w:hAnsi="Arial"/>
                <w:sz w:val="18"/>
                <w:szCs w:val="18"/>
                <w:color w:val="auto"/>
              </w:rPr>
              <w:t>Onward Choi</w:t>
            </w:r>
          </w:p>
        </w:tc>
      </w:tr>
      <w:tr>
        <w:trPr>
          <w:trHeight w:val="432"/>
        </w:trPr>
        <w:tc>
          <w:tcPr>
            <w:tcW w:w="3500" w:type="dxa"/>
            <w:vAlign w:val="bottom"/>
          </w:tcPr>
          <w:p>
            <w:pPr>
              <w:spacing w:after="0"/>
              <w:rPr>
                <w:sz w:val="24"/>
                <w:szCs w:val="24"/>
                <w:color w:val="auto"/>
              </w:rPr>
            </w:pPr>
          </w:p>
        </w:tc>
        <w:tc>
          <w:tcPr>
            <w:tcW w:w="7960" w:type="dxa"/>
            <w:vAlign w:val="bottom"/>
          </w:tcPr>
          <w:p>
            <w:pPr>
              <w:ind w:left="2160"/>
              <w:spacing w:after="0"/>
              <w:rPr>
                <w:sz w:val="20"/>
                <w:szCs w:val="20"/>
                <w:color w:val="auto"/>
              </w:rPr>
            </w:pPr>
            <w:r>
              <w:rPr>
                <w:rFonts w:ascii="Arial" w:cs="Arial" w:eastAsia="Arial" w:hAnsi="Arial"/>
                <w:sz w:val="18"/>
                <w:szCs w:val="18"/>
                <w:color w:val="auto"/>
              </w:rPr>
              <w:t>9</w:t>
            </w:r>
          </w:p>
        </w:tc>
      </w:tr>
      <w:tr>
        <w:trPr>
          <w:trHeight w:val="132"/>
        </w:trPr>
        <w:tc>
          <w:tcPr>
            <w:tcW w:w="3500" w:type="dxa"/>
            <w:vAlign w:val="bottom"/>
            <w:tcBorders>
              <w:bottom w:val="single" w:sz="8" w:color="808080"/>
            </w:tcBorders>
          </w:tcPr>
          <w:p>
            <w:pPr>
              <w:spacing w:after="0"/>
              <w:rPr>
                <w:sz w:val="11"/>
                <w:szCs w:val="11"/>
                <w:color w:val="auto"/>
              </w:rPr>
            </w:pPr>
          </w:p>
        </w:tc>
        <w:tc>
          <w:tcPr>
            <w:tcW w:w="7960" w:type="dxa"/>
            <w:vAlign w:val="bottom"/>
            <w:tcBorders>
              <w:bottom w:val="single" w:sz="8" w:color="808080"/>
            </w:tcBorders>
          </w:tcPr>
          <w:p>
            <w:pPr>
              <w:spacing w:after="0"/>
              <w:rPr>
                <w:sz w:val="11"/>
                <w:szCs w:val="11"/>
                <w:color w:val="auto"/>
              </w:rPr>
            </w:pPr>
          </w:p>
        </w:tc>
      </w:tr>
      <w:tr>
        <w:trPr>
          <w:trHeight w:val="780"/>
        </w:trPr>
        <w:tc>
          <w:tcPr>
            <w:tcW w:w="3500" w:type="dxa"/>
            <w:vAlign w:val="bottom"/>
          </w:tcPr>
          <w:p>
            <w:pPr>
              <w:ind w:left="660"/>
              <w:spacing w:after="0"/>
              <w:rPr>
                <w:sz w:val="20"/>
                <w:szCs w:val="20"/>
                <w:color w:val="auto"/>
              </w:rPr>
            </w:pPr>
            <w:r>
              <w:rPr>
                <w:rFonts w:ascii="Arial" w:cs="Arial" w:eastAsia="Arial" w:hAnsi="Arial"/>
                <w:sz w:val="18"/>
                <w:szCs w:val="18"/>
                <w:b w:val="1"/>
                <w:bCs w:val="1"/>
                <w:color w:val="auto"/>
              </w:rPr>
              <w:t xml:space="preserve">If to Party B: </w:t>
            </w:r>
            <w:r>
              <w:rPr>
                <w:rFonts w:ascii="Arial" w:cs="Arial" w:eastAsia="Arial" w:hAnsi="Arial"/>
                <w:sz w:val="18"/>
                <w:szCs w:val="18"/>
                <w:color w:val="auto"/>
              </w:rPr>
              <w:t>William Lei Ding</w:t>
            </w:r>
          </w:p>
        </w:tc>
        <w:tc>
          <w:tcPr>
            <w:tcW w:w="7960" w:type="dxa"/>
            <w:vAlign w:val="bottom"/>
          </w:tcPr>
          <w:p>
            <w:pPr>
              <w:spacing w:after="0"/>
              <w:rPr>
                <w:sz w:val="24"/>
                <w:szCs w:val="24"/>
                <w:color w:val="auto"/>
              </w:rPr>
            </w:pPr>
          </w:p>
        </w:tc>
      </w:tr>
      <w:tr>
        <w:trPr>
          <w:trHeight w:val="432"/>
        </w:trPr>
        <w:tc>
          <w:tcPr>
            <w:tcW w:w="3500" w:type="dxa"/>
            <w:vAlign w:val="bottom"/>
          </w:tcPr>
          <w:p>
            <w:pPr>
              <w:ind w:left="1300"/>
              <w:spacing w:after="0"/>
              <w:rPr>
                <w:sz w:val="20"/>
                <w:szCs w:val="20"/>
                <w:color w:val="auto"/>
              </w:rPr>
            </w:pPr>
            <w:r>
              <w:rPr>
                <w:rFonts w:ascii="Arial" w:cs="Arial" w:eastAsia="Arial" w:hAnsi="Arial"/>
                <w:sz w:val="18"/>
                <w:szCs w:val="18"/>
                <w:color w:val="auto"/>
              </w:rPr>
              <w:t>Address:</w:t>
            </w:r>
          </w:p>
        </w:tc>
        <w:tc>
          <w:tcPr>
            <w:tcW w:w="7960" w:type="dxa"/>
            <w:vAlign w:val="bottom"/>
          </w:tcPr>
          <w:p>
            <w:pPr>
              <w:ind w:left="440"/>
              <w:spacing w:after="0"/>
              <w:rPr>
                <w:sz w:val="20"/>
                <w:szCs w:val="20"/>
                <w:color w:val="auto"/>
              </w:rPr>
            </w:pPr>
            <w:r>
              <w:rPr>
                <w:rFonts w:ascii="Arial" w:cs="Arial" w:eastAsia="Arial" w:hAnsi="Arial"/>
                <w:sz w:val="18"/>
                <w:szCs w:val="18"/>
                <w:color w:val="auto"/>
              </w:rPr>
              <w:t>Room 6-401, A90, Shuguang Road, Jiangdong District, Ningbo, Zhejiang Province</w:t>
            </w:r>
          </w:p>
        </w:tc>
      </w:tr>
      <w:tr>
        <w:trPr>
          <w:trHeight w:val="432"/>
        </w:trPr>
        <w:tc>
          <w:tcPr>
            <w:tcW w:w="3500" w:type="dxa"/>
            <w:vAlign w:val="bottom"/>
          </w:tcPr>
          <w:p>
            <w:pPr>
              <w:ind w:left="1300"/>
              <w:spacing w:after="0"/>
              <w:rPr>
                <w:sz w:val="20"/>
                <w:szCs w:val="20"/>
                <w:color w:val="auto"/>
              </w:rPr>
            </w:pPr>
            <w:r>
              <w:rPr>
                <w:rFonts w:ascii="Arial" w:cs="Arial" w:eastAsia="Arial" w:hAnsi="Arial"/>
                <w:sz w:val="18"/>
                <w:szCs w:val="18"/>
                <w:color w:val="auto"/>
              </w:rPr>
              <w:t>Fax:</w:t>
            </w:r>
          </w:p>
        </w:tc>
        <w:tc>
          <w:tcPr>
            <w:tcW w:w="7960" w:type="dxa"/>
            <w:vAlign w:val="bottom"/>
          </w:tcPr>
          <w:p>
            <w:pPr>
              <w:ind w:left="440"/>
              <w:spacing w:after="0"/>
              <w:rPr>
                <w:sz w:val="20"/>
                <w:szCs w:val="20"/>
                <w:color w:val="auto"/>
              </w:rPr>
            </w:pPr>
            <w:r>
              <w:rPr>
                <w:rFonts w:ascii="Arial" w:cs="Arial" w:eastAsia="Arial" w:hAnsi="Arial"/>
                <w:sz w:val="18"/>
                <w:szCs w:val="18"/>
                <w:color w:val="auto"/>
              </w:rPr>
              <w:t>0571-89852163</w:t>
            </w:r>
          </w:p>
        </w:tc>
      </w:tr>
      <w:tr>
        <w:trPr>
          <w:trHeight w:val="432"/>
        </w:trPr>
        <w:tc>
          <w:tcPr>
            <w:tcW w:w="3500" w:type="dxa"/>
            <w:vAlign w:val="bottom"/>
          </w:tcPr>
          <w:p>
            <w:pPr>
              <w:ind w:left="1300"/>
              <w:spacing w:after="0"/>
              <w:rPr>
                <w:sz w:val="20"/>
                <w:szCs w:val="20"/>
                <w:color w:val="auto"/>
              </w:rPr>
            </w:pPr>
            <w:r>
              <w:rPr>
                <w:rFonts w:ascii="Arial" w:cs="Arial" w:eastAsia="Arial" w:hAnsi="Arial"/>
                <w:sz w:val="18"/>
                <w:szCs w:val="18"/>
                <w:color w:val="auto"/>
              </w:rPr>
              <w:t>Email:</w:t>
            </w:r>
          </w:p>
        </w:tc>
        <w:tc>
          <w:tcPr>
            <w:tcW w:w="7960" w:type="dxa"/>
            <w:vAlign w:val="bottom"/>
          </w:tcPr>
          <w:p>
            <w:pPr>
              <w:ind w:left="440"/>
              <w:spacing w:after="0"/>
              <w:rPr>
                <w:sz w:val="20"/>
                <w:szCs w:val="20"/>
                <w:color w:val="auto"/>
              </w:rPr>
            </w:pPr>
            <w:r>
              <w:rPr>
                <w:rFonts w:ascii="Arial" w:cs="Arial" w:eastAsia="Arial" w:hAnsi="Arial"/>
                <w:sz w:val="18"/>
                <w:szCs w:val="18"/>
                <w:color w:val="auto"/>
              </w:rPr>
              <w:t>wding@corp.netease.com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If to Party C: </w:t>
      </w:r>
      <w:r>
        <w:rPr>
          <w:rFonts w:ascii="Arial" w:cs="Arial" w:eastAsia="Arial" w:hAnsi="Arial"/>
          <w:sz w:val="18"/>
          <w:szCs w:val="18"/>
          <w:color w:val="auto"/>
        </w:rPr>
        <w:t>Beijing Guangyitong Advertising Co., Ltd.</w:t>
      </w:r>
    </w:p>
    <w:p>
      <w:pPr>
        <w:sectPr>
          <w:pgSz w:w="11900" w:h="16838" w:orient="portrait"/>
          <w:cols w:equalWidth="0" w:num="1">
            <w:col w:w="11460"/>
          </w:cols>
          <w:pgMar w:left="240" w:top="125" w:right="199" w:bottom="0" w:gutter="0" w:footer="0" w:header="0"/>
        </w:sectPr>
      </w:pP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Building No. 7, West Zone, Zhongguancun Software Park (Phase II), No.10 Xibeiwang East Road, Haidian District, Beijing, China</w:t>
      </w:r>
    </w:p>
    <w:p>
      <w:pPr>
        <w:spacing w:after="0" w:line="170" w:lineRule="exact"/>
        <w:rPr>
          <w:sz w:val="20"/>
          <w:szCs w:val="20"/>
          <w:color w:val="auto"/>
        </w:rPr>
      </w:pPr>
    </w:p>
    <w:p>
      <w:pPr>
        <w:sectPr>
          <w:pgSz w:w="11900" w:h="16838" w:orient="portrait"/>
          <w:cols w:equalWidth="0" w:num="2">
            <w:col w:w="3220" w:space="720"/>
            <w:col w:w="7520"/>
          </w:cols>
          <w:pgMar w:left="240" w:top="125" w:right="199" w:bottom="0" w:gutter="0" w:footer="0" w:header="0"/>
          <w:type w:val="continuous"/>
        </w:sectPr>
      </w:pPr>
    </w:p>
    <w:p>
      <w:pPr>
        <w:ind w:left="1300"/>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(86) 010-82625163</w:t>
      </w:r>
    </w:p>
    <w:p>
      <w:pPr>
        <w:spacing w:after="0" w:line="200" w:lineRule="exact"/>
        <w:rPr>
          <w:sz w:val="20"/>
          <w:szCs w:val="20"/>
          <w:color w:val="auto"/>
        </w:rPr>
      </w:pPr>
    </w:p>
    <w:p>
      <w:pPr>
        <w:sectPr>
          <w:pgSz w:w="11900" w:h="16838" w:orient="portrait"/>
          <w:cols w:equalWidth="0" w:num="2">
            <w:col w:w="3220" w:space="720"/>
            <w:col w:w="7520"/>
          </w:cols>
          <w:pgMar w:left="240" w:top="125" w:right="199" w:bottom="0" w:gutter="0" w:footer="0" w:header="0"/>
          <w:type w:val="continuous"/>
        </w:sectPr>
      </w:pPr>
    </w:p>
    <w:p>
      <w:pPr>
        <w:spacing w:after="0" w:line="4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ochoi@corp.netease.com</w:t>
      </w:r>
    </w:p>
    <w:p>
      <w:pPr>
        <w:spacing w:after="0" w:line="211" w:lineRule="exact"/>
        <w:rPr>
          <w:sz w:val="20"/>
          <w:szCs w:val="20"/>
          <w:color w:val="auto"/>
        </w:rPr>
      </w:pPr>
    </w:p>
    <w:p>
      <w:pPr>
        <w:sectPr>
          <w:pgSz w:w="11900" w:h="16838" w:orient="portrait"/>
          <w:cols w:equalWidth="0" w:num="2">
            <w:col w:w="3220" w:space="720"/>
            <w:col w:w="7520"/>
          </w:cols>
          <w:pgMar w:left="240" w:top="125" w:right="199" w:bottom="0" w:gutter="0" w:footer="0" w:header="0"/>
          <w:type w:val="continuous"/>
        </w:sectPr>
      </w:pPr>
    </w:p>
    <w:p>
      <w:pPr>
        <w:spacing w:after="0" w:line="3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Onward Choi</w:t>
      </w:r>
    </w:p>
    <w:p>
      <w:pPr>
        <w:sectPr>
          <w:pgSz w:w="11900" w:h="16838" w:orient="portrait"/>
          <w:cols w:equalWidth="0" w:num="2">
            <w:col w:w="3220" w:space="720"/>
            <w:col w:w="7520"/>
          </w:cols>
          <w:pgMar w:left="240" w:top="125" w:right="199" w:bottom="0" w:gutter="0" w:footer="0" w:header="0"/>
          <w:type w:val="continuous"/>
        </w:sectPr>
      </w:pPr>
    </w:p>
    <w:bookmarkStart w:id="157" w:name="page158"/>
    <w:bookmarkEnd w:id="157"/>
    <w:p>
      <w:pPr>
        <w:ind w:left="660" w:hanging="652"/>
        <w:spacing w:after="0"/>
        <w:tabs>
          <w:tab w:leader="none" w:pos="66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Parties agree to promptly execute documents and take further actions that are reasonably required for, or beneficial to, the purpose of performing the provisions and carrying out the intent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Amendment, Modification or Supplement</w:t>
      </w:r>
    </w:p>
    <w:p>
      <w:pPr>
        <w:spacing w:after="0" w:line="225" w:lineRule="exact"/>
        <w:rPr>
          <w:sz w:val="20"/>
          <w:szCs w:val="20"/>
          <w:color w:val="auto"/>
        </w:rPr>
      </w:pPr>
    </w:p>
    <w:p>
      <w:pPr>
        <w:ind w:left="1300" w:right="180"/>
        <w:spacing w:after="0" w:line="308" w:lineRule="auto"/>
        <w:rPr>
          <w:sz w:val="20"/>
          <w:szCs w:val="20"/>
          <w:color w:val="auto"/>
        </w:rPr>
      </w:pPr>
      <w:r>
        <w:rPr>
          <w:rFonts w:ascii="Arial" w:cs="Arial" w:eastAsia="Arial" w:hAnsi="Arial"/>
          <w:sz w:val="17"/>
          <w:szCs w:val="17"/>
          <w:color w:val="auto"/>
        </w:rPr>
        <w:t>Any amendment or supplement to this Agreement shall be made by the Parties in writing. The amendments or supplements duly executed by each Party shall be deemed as a part of this Agreement and shall have the same legal effect as this Agreement.</w:t>
      </w:r>
    </w:p>
    <w:p>
      <w:pPr>
        <w:spacing w:after="0" w:line="147"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Entire Agreement</w:t>
      </w:r>
    </w:p>
    <w:p>
      <w:pPr>
        <w:spacing w:after="0" w:line="225" w:lineRule="exact"/>
        <w:rPr>
          <w:sz w:val="20"/>
          <w:szCs w:val="20"/>
          <w:color w:val="auto"/>
        </w:rPr>
      </w:pPr>
    </w:p>
    <w:p>
      <w:pPr>
        <w:jc w:val="both"/>
        <w:ind w:left="1300" w:right="100"/>
        <w:spacing w:after="0" w:line="264" w:lineRule="auto"/>
        <w:rPr>
          <w:sz w:val="20"/>
          <w:szCs w:val="20"/>
          <w:color w:val="auto"/>
        </w:rPr>
      </w:pPr>
      <w:r>
        <w:rPr>
          <w:rFonts w:ascii="Arial" w:cs="Arial" w:eastAsia="Arial" w:hAnsi="Arial"/>
          <w:sz w:val="18"/>
          <w:szCs w:val="18"/>
          <w:color w:val="auto"/>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Severability</w:t>
      </w:r>
    </w:p>
    <w:p>
      <w:pPr>
        <w:spacing w:after="0" w:line="225" w:lineRule="exact"/>
        <w:rPr>
          <w:sz w:val="20"/>
          <w:szCs w:val="20"/>
          <w:color w:val="auto"/>
        </w:rPr>
      </w:pPr>
    </w:p>
    <w:p>
      <w:pPr>
        <w:ind w:left="1300" w:right="100"/>
        <w:spacing w:after="0" w:line="279" w:lineRule="auto"/>
        <w:rPr>
          <w:sz w:val="20"/>
          <w:szCs w:val="20"/>
          <w:color w:val="auto"/>
        </w:rPr>
      </w:pPr>
      <w:r>
        <w:rPr>
          <w:rFonts w:ascii="Arial" w:cs="Arial" w:eastAsia="Arial" w:hAnsi="Arial"/>
          <w:sz w:val="17"/>
          <w:szCs w:val="17"/>
          <w:color w:val="auto"/>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p>
      <w:pPr>
        <w:spacing w:after="0" w:line="171"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Headings</w:t>
      </w:r>
    </w:p>
    <w:p>
      <w:pPr>
        <w:spacing w:after="0" w:line="225" w:lineRule="exact"/>
        <w:rPr>
          <w:sz w:val="20"/>
          <w:szCs w:val="20"/>
          <w:color w:val="auto"/>
        </w:rPr>
      </w:pPr>
    </w:p>
    <w:p>
      <w:pPr>
        <w:ind w:left="1300" w:right="760"/>
        <w:spacing w:after="0" w:line="277" w:lineRule="auto"/>
        <w:rPr>
          <w:sz w:val="20"/>
          <w:szCs w:val="20"/>
          <w:color w:val="auto"/>
        </w:rPr>
      </w:pPr>
      <w:r>
        <w:rPr>
          <w:rFonts w:ascii="Arial" w:cs="Arial" w:eastAsia="Arial" w:hAnsi="Arial"/>
          <w:sz w:val="18"/>
          <w:szCs w:val="18"/>
          <w:color w:val="auto"/>
        </w:rPr>
        <w:t>The headings contained in this Agreement are for the convenience of reference only and shall not be used for the interpretation or explanation or otherwise affect the meaning of the provisions of this Agreement.</w:t>
      </w:r>
    </w:p>
    <w:p>
      <w:pPr>
        <w:spacing w:after="0" w:line="170"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color w:val="auto"/>
        </w:rPr>
        <w:t>Successor</w:t>
      </w:r>
    </w:p>
    <w:p>
      <w:pPr>
        <w:spacing w:after="0" w:line="225" w:lineRule="exact"/>
        <w:rPr>
          <w:sz w:val="20"/>
          <w:szCs w:val="20"/>
          <w:color w:val="auto"/>
        </w:rPr>
      </w:pPr>
    </w:p>
    <w:p>
      <w:pPr>
        <w:ind w:left="1300" w:right="140"/>
        <w:spacing w:after="0" w:line="257" w:lineRule="auto"/>
        <w:rPr>
          <w:sz w:val="20"/>
          <w:szCs w:val="20"/>
          <w:color w:val="auto"/>
        </w:rPr>
      </w:pPr>
      <w:r>
        <w:rPr>
          <w:rFonts w:ascii="Arial" w:cs="Arial" w:eastAsia="Arial" w:hAnsi="Arial"/>
          <w:sz w:val="18"/>
          <w:szCs w:val="18"/>
          <w:color w:val="auto"/>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p>
      <w:pPr>
        <w:spacing w:after="0" w:line="188"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Survival</w:t>
      </w:r>
    </w:p>
    <w:p>
      <w:pPr>
        <w:spacing w:after="0" w:line="225" w:lineRule="exact"/>
        <w:rPr>
          <w:sz w:val="20"/>
          <w:szCs w:val="20"/>
          <w:color w:val="auto"/>
        </w:rPr>
      </w:pPr>
    </w:p>
    <w:p>
      <w:pPr>
        <w:ind w:left="1300" w:right="540"/>
        <w:spacing w:after="0" w:line="342" w:lineRule="auto"/>
        <w:rPr>
          <w:sz w:val="20"/>
          <w:szCs w:val="20"/>
          <w:color w:val="auto"/>
        </w:rPr>
      </w:pPr>
      <w:r>
        <w:rPr>
          <w:rFonts w:ascii="Arial" w:cs="Arial" w:eastAsia="Arial" w:hAnsi="Arial"/>
          <w:sz w:val="16"/>
          <w:szCs w:val="16"/>
          <w:color w:val="auto"/>
        </w:rPr>
        <w:t>Any obligation arising from or becoming due under this Agreement before its expiration or premature termination shall survive such expiration or premature termination. Articles 6, 8, 9 and 10 and this Article 11.6 shall survive the termination of this Agreement.</w:t>
      </w:r>
    </w:p>
    <w:p>
      <w:pPr>
        <w:spacing w:after="0" w:line="124"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Waiver</w:t>
      </w:r>
    </w:p>
    <w:p>
      <w:pPr>
        <w:spacing w:after="0" w:line="225"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spacing w:after="0" w:line="177"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this Agreement to be executed by himself/herself, its legal representative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as of the date first written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NetEase Media Technology (Beijing)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William Lei Ding</w:t>
      </w:r>
    </w:p>
    <w:p>
      <w:pPr>
        <w:spacing w:after="0" w:line="2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95846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 Beijing Guangyitong Advertising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ectPr>
          <w:pgSz w:w="11900" w:h="16838" w:orient="portrait"/>
          <w:cols w:equalWidth="0" w:num="1">
            <w:col w:w="11400"/>
          </w:cols>
          <w:pgMar w:left="240" w:top="125" w:right="259" w:bottom="0" w:gutter="0" w:footer="0" w:header="0"/>
        </w:sectPr>
      </w:pPr>
    </w:p>
    <w:bookmarkStart w:id="158" w:name="page159"/>
    <w:bookmarkEnd w:id="158"/>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Notice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80" w:type="dxa"/>
            <w:vAlign w:val="bottom"/>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Dear William Lei Ding,</w:t>
            </w:r>
          </w:p>
        </w:tc>
        <w:tc>
          <w:tcPr>
            <w:tcW w:w="4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18"/>
        </w:trPr>
        <w:tc>
          <w:tcPr>
            <w:tcW w:w="6980" w:type="dxa"/>
            <w:vAlign w:val="bottom"/>
          </w:tcPr>
          <w:p>
            <w:pPr>
              <w:ind w:left="660"/>
              <w:spacing w:after="0"/>
              <w:rPr>
                <w:sz w:val="20"/>
                <w:szCs w:val="20"/>
                <w:color w:val="auto"/>
              </w:rPr>
            </w:pPr>
            <w:r>
              <w:rPr>
                <w:rFonts w:ascii="Arial" w:cs="Arial" w:eastAsia="Arial" w:hAnsi="Arial"/>
                <w:sz w:val="18"/>
                <w:szCs w:val="18"/>
                <w:color w:val="auto"/>
                <w:w w:val="99"/>
              </w:rPr>
              <w:t>Pursuant to the Exclusive Purchase Option Agreement between us executed on</w:t>
            </w:r>
          </w:p>
        </w:tc>
        <w:tc>
          <w:tcPr>
            <w:tcW w:w="420" w:type="dxa"/>
            <w:vAlign w:val="bottom"/>
          </w:tcPr>
          <w:p>
            <w:pPr>
              <w:jc w:val="right"/>
              <w:spacing w:after="0"/>
              <w:rPr>
                <w:sz w:val="20"/>
                <w:szCs w:val="20"/>
                <w:color w:val="auto"/>
              </w:rPr>
            </w:pPr>
            <w:r>
              <w:rPr>
                <w:rFonts w:ascii="Arial" w:cs="Arial" w:eastAsia="Arial" w:hAnsi="Arial"/>
                <w:sz w:val="18"/>
                <w:szCs w:val="18"/>
                <w:color w:val="auto"/>
              </w:rPr>
              <w:t>, 20</w:t>
            </w:r>
          </w:p>
        </w:tc>
        <w:tc>
          <w:tcPr>
            <w:tcW w:w="3480" w:type="dxa"/>
            <w:vAlign w:val="bottom"/>
          </w:tcPr>
          <w:p>
            <w:pPr>
              <w:ind w:left="500"/>
              <w:spacing w:after="0"/>
              <w:rPr>
                <w:sz w:val="20"/>
                <w:szCs w:val="20"/>
                <w:color w:val="auto"/>
              </w:rPr>
            </w:pPr>
            <w:r>
              <w:rPr>
                <w:rFonts w:ascii="Arial" w:cs="Arial" w:eastAsia="Arial" w:hAnsi="Arial"/>
                <w:sz w:val="18"/>
                <w:szCs w:val="18"/>
                <w:color w:val="auto"/>
                <w:w w:val="89"/>
              </w:rPr>
              <w:t>(the “</w:t>
            </w:r>
            <w:r>
              <w:rPr>
                <w:rFonts w:ascii="Arial" w:cs="Arial" w:eastAsia="Arial" w:hAnsi="Arial"/>
                <w:sz w:val="18"/>
                <w:szCs w:val="18"/>
                <w:b w:val="1"/>
                <w:bCs w:val="1"/>
                <w:i w:val="1"/>
                <w:iCs w:val="1"/>
                <w:color w:val="auto"/>
                <w:w w:val="89"/>
              </w:rPr>
              <w:t>Option Agreement</w:t>
            </w:r>
            <w:r>
              <w:rPr>
                <w:rFonts w:ascii="Arial" w:cs="Arial" w:eastAsia="Arial" w:hAnsi="Arial"/>
                <w:sz w:val="18"/>
                <w:szCs w:val="18"/>
                <w:color w:val="auto"/>
                <w:w w:val="89"/>
              </w:rPr>
              <w:t>”), you agreed to</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w w:val="90"/>
              </w:rPr>
              <w:t>transfer to us or our Designated Person(s) certain equity interests or assets upon notice from us.</w:t>
            </w:r>
          </w:p>
        </w:tc>
        <w:tc>
          <w:tcPr>
            <w:tcW w:w="420" w:type="dxa"/>
            <w:vAlign w:val="bottom"/>
          </w:tcPr>
          <w:p>
            <w:pPr>
              <w:spacing w:after="0"/>
              <w:rPr>
                <w:sz w:val="20"/>
                <w:szCs w:val="20"/>
                <w:color w:val="auto"/>
              </w:rPr>
            </w:pPr>
          </w:p>
        </w:tc>
        <w:tc>
          <w:tcPr>
            <w:tcW w:w="3480" w:type="dxa"/>
            <w:vAlign w:val="bottom"/>
          </w:tcPr>
          <w:p>
            <w:pPr>
              <w:spacing w:after="0"/>
              <w:rPr>
                <w:sz w:val="20"/>
                <w:szCs w:val="20"/>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letter serves as our notice to you under Article 1.2.1 of the Option Agreement, and we hereby notify you that we wish to purchase from you the following [</w:t>
      </w:r>
      <w:r>
        <w:rPr>
          <w:rFonts w:ascii="Arial" w:cs="Arial" w:eastAsia="Arial" w:hAnsi="Arial"/>
          <w:sz w:val="18"/>
          <w:szCs w:val="18"/>
          <w:i w:val="1"/>
          <w:iCs w:val="1"/>
          <w:color w:val="auto"/>
        </w:rPr>
        <w:t>equity interests / assets</w:t>
      </w:r>
      <w:r>
        <w:rPr>
          <w:rFonts w:ascii="Arial" w:cs="Arial" w:eastAsia="Arial" w:hAnsi="Arial"/>
          <w:sz w:val="18"/>
          <w:szCs w:val="18"/>
          <w:color w:val="auto"/>
        </w:rPr>
        <w:t>], which constitute the Purchased Interest under Article 1.2.1 of the Option Agreement:</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[All /</w:t>
      </w:r>
      <w:r>
        <w:rPr>
          <w:sz w:val="20"/>
          <w:szCs w:val="20"/>
          <w:color w:val="auto"/>
        </w:rPr>
        <w:tab/>
      </w:r>
      <w:r>
        <w:rPr>
          <w:rFonts w:ascii="Arial" w:cs="Arial" w:eastAsia="Arial" w:hAnsi="Arial"/>
          <w:sz w:val="16"/>
          <w:szCs w:val="16"/>
          <w:color w:val="auto"/>
        </w:rPr>
        <w:t>% of the shares in Beijing Guangyitong Advertising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assets of Beijing Guangyitong Advertising Co., Ltd. / The following assets of Beijing Guangyitong Advertising Co., Ltd.:</w:t>
      </w:r>
    </w:p>
    <w:p>
      <w:pPr>
        <w:spacing w:after="0" w:line="225" w:lineRule="exact"/>
        <w:rPr>
          <w:sz w:val="20"/>
          <w:szCs w:val="20"/>
          <w:color w:val="auto"/>
        </w:rPr>
      </w:pPr>
    </w:p>
    <w:p>
      <w:pPr>
        <w:ind w:left="113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consideration for the Purchased Interest, the Purchase Price (as defined in Article 1.3 of the Option Agreement) of the Purchased Interest will be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[RMB</w:t>
            </w:r>
          </w:p>
        </w:tc>
        <w:tc>
          <w:tcPr>
            <w:tcW w:w="8660" w:type="dxa"/>
            <w:vAlign w:val="bottom"/>
            <w:gridSpan w:val="4"/>
          </w:tcPr>
          <w:p>
            <w:pPr>
              <w:ind w:left="720"/>
              <w:spacing w:after="0"/>
              <w:rPr>
                <w:sz w:val="20"/>
                <w:szCs w:val="20"/>
                <w:color w:val="auto"/>
              </w:rPr>
            </w:pPr>
            <w:r>
              <w:rPr>
                <w:rFonts w:ascii="Arial" w:cs="Arial" w:eastAsia="Arial" w:hAnsi="Arial"/>
                <w:sz w:val="18"/>
                <w:szCs w:val="18"/>
                <w:color w:val="auto"/>
              </w:rPr>
              <w:t>]. We shall handle payment of the Purchase Price pursuant to Article 1.5 of the Option Agreement.</w:t>
            </w:r>
          </w:p>
        </w:tc>
        <w:tc>
          <w:tcPr>
            <w:tcW w:w="2240" w:type="dxa"/>
            <w:vAlign w:val="bottom"/>
          </w:tcPr>
          <w:p>
            <w:pPr>
              <w:spacing w:after="0"/>
              <w:rPr>
                <w:sz w:val="20"/>
                <w:szCs w:val="20"/>
                <w:color w:val="auto"/>
              </w:rPr>
            </w:pPr>
          </w:p>
        </w:tc>
      </w:tr>
      <w:tr>
        <w:trPr>
          <w:trHeight w:val="404"/>
        </w:trPr>
        <w:tc>
          <w:tcPr>
            <w:tcW w:w="560" w:type="dxa"/>
            <w:vAlign w:val="bottom"/>
          </w:tcPr>
          <w:p>
            <w:pPr>
              <w:spacing w:after="0"/>
              <w:rPr>
                <w:sz w:val="24"/>
                <w:szCs w:val="24"/>
                <w:color w:val="auto"/>
              </w:rPr>
            </w:pPr>
          </w:p>
        </w:tc>
        <w:tc>
          <w:tcPr>
            <w:tcW w:w="8660" w:type="dxa"/>
            <w:vAlign w:val="bottom"/>
            <w:gridSpan w:val="4"/>
          </w:tcPr>
          <w:p>
            <w:pPr>
              <w:ind w:left="100"/>
              <w:spacing w:after="0"/>
              <w:rPr>
                <w:sz w:val="20"/>
                <w:szCs w:val="20"/>
                <w:color w:val="auto"/>
              </w:rPr>
            </w:pPr>
            <w:r>
              <w:rPr>
                <w:rFonts w:ascii="Arial" w:cs="Arial" w:eastAsia="Arial" w:hAnsi="Arial"/>
                <w:sz w:val="18"/>
                <w:szCs w:val="18"/>
                <w:color w:val="auto"/>
                <w:w w:val="91"/>
              </w:rPr>
              <w:t>Please assist us in arranging for the transfer of the Purchased Interest to [</w:t>
            </w:r>
            <w:r>
              <w:rPr>
                <w:rFonts w:ascii="Arial" w:cs="Arial" w:eastAsia="Arial" w:hAnsi="Arial"/>
                <w:sz w:val="18"/>
                <w:szCs w:val="18"/>
                <w:i w:val="1"/>
                <w:iCs w:val="1"/>
                <w:color w:val="auto"/>
                <w:w w:val="91"/>
              </w:rPr>
              <w:t>us / our Designated Person(s), which is/are</w:t>
            </w:r>
          </w:p>
        </w:tc>
        <w:tc>
          <w:tcPr>
            <w:tcW w:w="22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9220" w:type="dxa"/>
            <w:vAlign w:val="bottom"/>
            <w:gridSpan w:val="5"/>
          </w:tcPr>
          <w:p>
            <w:pPr>
              <w:spacing w:after="0"/>
              <w:rPr>
                <w:sz w:val="20"/>
                <w:szCs w:val="20"/>
                <w:color w:val="auto"/>
              </w:rPr>
            </w:pPr>
            <w:r>
              <w:rPr>
                <w:rFonts w:ascii="Arial" w:cs="Arial" w:eastAsia="Arial" w:hAnsi="Arial"/>
                <w:sz w:val="18"/>
                <w:szCs w:val="18"/>
                <w:color w:val="auto"/>
              </w:rPr>
              <w:t>Such transfer should occur no later than forty-five (45) business days after the date hereof</w:t>
            </w:r>
          </w:p>
        </w:tc>
        <w:tc>
          <w:tcPr>
            <w:tcW w:w="22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Sincerely,</w:t>
            </w:r>
          </w:p>
        </w:tc>
        <w:tc>
          <w:tcPr>
            <w:tcW w:w="2240" w:type="dxa"/>
            <w:vAlign w:val="bottom"/>
          </w:tcPr>
          <w:p>
            <w:pPr>
              <w:spacing w:after="0"/>
              <w:rPr>
                <w:sz w:val="24"/>
                <w:szCs w:val="24"/>
                <w:color w:val="auto"/>
              </w:rPr>
            </w:pPr>
          </w:p>
        </w:tc>
      </w:tr>
      <w:tr>
        <w:trPr>
          <w:trHeight w:val="418"/>
        </w:trPr>
        <w:tc>
          <w:tcPr>
            <w:tcW w:w="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NetEase Media Technology</w:t>
            </w:r>
          </w:p>
        </w:tc>
        <w:tc>
          <w:tcPr>
            <w:tcW w:w="224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80" w:type="dxa"/>
            <w:vAlign w:val="bottom"/>
            <w:gridSpan w:val="2"/>
          </w:tcPr>
          <w:p>
            <w:pPr>
              <w:ind w:left="380"/>
              <w:spacing w:after="0"/>
              <w:rPr>
                <w:sz w:val="20"/>
                <w:szCs w:val="20"/>
                <w:color w:val="auto"/>
              </w:rPr>
            </w:pPr>
            <w:r>
              <w:rPr>
                <w:rFonts w:ascii="Arial" w:cs="Arial" w:eastAsia="Arial" w:hAnsi="Arial"/>
                <w:sz w:val="18"/>
                <w:szCs w:val="18"/>
                <w:color w:val="auto"/>
              </w:rPr>
              <w:t>(Beijing) Co., Ltd.</w:t>
            </w:r>
          </w:p>
        </w:tc>
        <w:tc>
          <w:tcPr>
            <w:tcW w:w="22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60" w:type="dxa"/>
            <w:vAlign w:val="bottom"/>
            <w:gridSpan w:val="2"/>
          </w:tcPr>
          <w:p>
            <w:pPr>
              <w:jc w:val="center"/>
              <w:ind w:left="1530"/>
              <w:spacing w:after="0"/>
              <w:rPr>
                <w:sz w:val="20"/>
                <w:szCs w:val="20"/>
                <w:color w:val="auto"/>
              </w:rPr>
            </w:pPr>
            <w:r>
              <w:rPr>
                <w:rFonts w:ascii="Arial" w:cs="Arial" w:eastAsia="Arial" w:hAnsi="Arial"/>
                <w:sz w:val="18"/>
                <w:szCs w:val="18"/>
                <w:color w:val="auto"/>
                <w:w w:val="89"/>
              </w:rPr>
              <w:t>13</w:t>
            </w:r>
          </w:p>
        </w:tc>
        <w:tc>
          <w:tcPr>
            <w:tcW w:w="31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2240" w:type="dxa"/>
            <w:vAlign w:val="bottom"/>
            <w:tcBorders>
              <w:bottom w:val="single" w:sz="8" w:color="808080"/>
            </w:tcBorders>
          </w:tcPr>
          <w:p>
            <w:pPr>
              <w:spacing w:after="0"/>
              <w:rPr>
                <w:sz w:val="11"/>
                <w:szCs w:val="11"/>
                <w:color w:val="auto"/>
              </w:rPr>
            </w:pPr>
          </w:p>
        </w:tc>
      </w:tr>
      <w:tr>
        <w:trPr>
          <w:trHeight w:val="740"/>
        </w:trPr>
        <w:tc>
          <w:tcPr>
            <w:tcW w:w="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2"/>
          </w:tcPr>
          <w:p>
            <w:pPr>
              <w:jc w:val="center"/>
              <w:ind w:right="3140"/>
              <w:spacing w:after="0"/>
              <w:rPr>
                <w:sz w:val="20"/>
                <w:szCs w:val="20"/>
                <w:color w:val="auto"/>
              </w:rPr>
            </w:pPr>
            <w:r>
              <w:rPr>
                <w:rFonts w:ascii="Arial" w:cs="Arial" w:eastAsia="Arial" w:hAnsi="Arial"/>
                <w:sz w:val="18"/>
                <w:szCs w:val="18"/>
                <w:b w:val="1"/>
                <w:bCs w:val="1"/>
                <w:color w:val="auto"/>
                <w:w w:val="94"/>
              </w:rPr>
              <w:t>Exhibit B</w:t>
            </w:r>
          </w:p>
        </w:tc>
        <w:tc>
          <w:tcPr>
            <w:tcW w:w="22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0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Form of Power of Attorney</w:t>
            </w:r>
          </w:p>
        </w:tc>
        <w:tc>
          <w:tcPr>
            <w:tcW w:w="22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I hereby irrevocably appoint</w:t>
            </w:r>
          </w:p>
        </w:tc>
        <w:tc>
          <w:tcPr>
            <w:tcW w:w="5500" w:type="dxa"/>
            <w:vAlign w:val="bottom"/>
            <w:gridSpan w:val="3"/>
          </w:tcPr>
          <w:p>
            <w:pPr>
              <w:ind w:left="1280"/>
              <w:spacing w:after="0"/>
              <w:rPr>
                <w:sz w:val="20"/>
                <w:szCs w:val="20"/>
                <w:color w:val="auto"/>
              </w:rPr>
            </w:pPr>
            <w:r>
              <w:rPr>
                <w:rFonts w:ascii="Arial" w:cs="Arial" w:eastAsia="Arial" w:hAnsi="Arial"/>
                <w:sz w:val="18"/>
                <w:szCs w:val="18"/>
                <w:color w:val="auto"/>
              </w:rPr>
              <w:t>, holder of [passport / PRC identification] number :</w:t>
            </w:r>
          </w:p>
        </w:tc>
        <w:tc>
          <w:tcPr>
            <w:tcW w:w="2240" w:type="dxa"/>
            <w:vAlign w:val="bottom"/>
          </w:tcPr>
          <w:p>
            <w:pPr>
              <w:jc w:val="right"/>
              <w:ind w:right="130"/>
              <w:spacing w:after="0"/>
              <w:rPr>
                <w:sz w:val="20"/>
                <w:szCs w:val="20"/>
                <w:color w:val="auto"/>
              </w:rPr>
            </w:pPr>
            <w:r>
              <w:rPr>
                <w:rFonts w:ascii="Arial" w:cs="Arial" w:eastAsia="Arial" w:hAnsi="Arial"/>
                <w:sz w:val="18"/>
                <w:szCs w:val="18"/>
                <w:color w:val="auto"/>
                <w:w w:val="97"/>
              </w:rPr>
              <w:t>, as my proxy, to sign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320"/>
        <w:spacing w:after="0" w:line="281" w:lineRule="auto"/>
        <w:rPr>
          <w:sz w:val="20"/>
          <w:szCs w:val="20"/>
          <w:color w:val="auto"/>
        </w:rPr>
      </w:pPr>
      <w:r>
        <w:rPr>
          <w:rFonts w:ascii="Arial" w:cs="Arial" w:eastAsia="Arial" w:hAnsi="Arial"/>
          <w:sz w:val="16"/>
          <w:szCs w:val="16"/>
          <w:color w:val="auto"/>
        </w:rPr>
        <w:t>deliver any and all legal documents that are necessary or useful to effect any exercise of an option to purchase any equity interests or assets pursuant to the Exclusive Purchase Option Agreement between NetEase Media Technology (Beijing) Co., Ltd., William Lei Dingand Beijing Guangyitong Advertising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Co., Ltd. executed on</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 20</w:t>
            </w:r>
          </w:p>
        </w:tc>
        <w:tc>
          <w:tcPr>
            <w:tcW w:w="1720" w:type="dxa"/>
            <w:vAlign w:val="bottom"/>
          </w:tcPr>
          <w:p>
            <w:pPr>
              <w:jc w:val="right"/>
              <w:ind w:right="149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auto"/>
              </w:rPr>
              <w:t>William Lei Ding</w:t>
            </w:r>
          </w:p>
        </w:tc>
        <w:tc>
          <w:tcPr>
            <w:tcW w:w="40" w:type="dxa"/>
            <w:vAlign w:val="bottom"/>
          </w:tcPr>
          <w:p>
            <w:pPr>
              <w:spacing w:after="0"/>
              <w:rPr>
                <w:sz w:val="19"/>
                <w:szCs w:val="19"/>
                <w:color w:val="auto"/>
              </w:rPr>
            </w:pPr>
          </w:p>
        </w:tc>
      </w:tr>
      <w:tr>
        <w:trPr>
          <w:trHeight w:val="418"/>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Arial" w:cs="Arial" w:eastAsia="Arial" w:hAnsi="Arial"/>
                <w:sz w:val="18"/>
                <w:szCs w:val="18"/>
                <w:i w:val="1"/>
                <w:iCs w:val="1"/>
                <w:color w:val="auto"/>
              </w:rPr>
              <w:t>Date</w:t>
            </w:r>
            <w:r>
              <w:rPr>
                <w:rFonts w:ascii="Arial" w:cs="Arial" w:eastAsia="Arial" w:hAnsi="Arial"/>
                <w:sz w:val="18"/>
                <w:szCs w:val="18"/>
                <w:color w:val="auto"/>
              </w:rPr>
              <w:t>:</w:t>
            </w:r>
          </w:p>
        </w:tc>
        <w:tc>
          <w:tcPr>
            <w:tcW w:w="4960" w:type="dxa"/>
            <w:vAlign w:val="bottom"/>
          </w:tcPr>
          <w:p>
            <w:pPr>
              <w:jc w:val="right"/>
              <w:ind w:right="42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60" w:type="dxa"/>
            <w:vAlign w:val="bottom"/>
            <w:gridSpan w:val="3"/>
          </w:tcPr>
          <w:p>
            <w:pPr>
              <w:jc w:val="center"/>
              <w:ind w:left="1630"/>
              <w:spacing w:after="0"/>
              <w:rPr>
                <w:sz w:val="20"/>
                <w:szCs w:val="20"/>
                <w:color w:val="auto"/>
              </w:rPr>
            </w:pPr>
            <w:r>
              <w:rPr>
                <w:rFonts w:ascii="Arial" w:cs="Arial" w:eastAsia="Arial" w:hAnsi="Arial"/>
                <w:sz w:val="18"/>
                <w:szCs w:val="18"/>
                <w:color w:val="auto"/>
                <w:w w:val="89"/>
              </w:rPr>
              <w:t>14</w:t>
            </w:r>
          </w:p>
        </w:tc>
        <w:tc>
          <w:tcPr>
            <w:tcW w:w="3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40"/>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Exhibit C</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800" w:type="dxa"/>
            <w:vAlign w:val="bottom"/>
            <w:gridSpan w:val="5"/>
          </w:tcPr>
          <w:p>
            <w:pPr>
              <w:jc w:val="center"/>
              <w:ind w:right="3510"/>
              <w:spacing w:after="0"/>
              <w:rPr>
                <w:sz w:val="20"/>
                <w:szCs w:val="20"/>
                <w:color w:val="auto"/>
              </w:rPr>
            </w:pPr>
            <w:r>
              <w:rPr>
                <w:rFonts w:ascii="Arial" w:cs="Arial" w:eastAsia="Arial" w:hAnsi="Arial"/>
                <w:sz w:val="18"/>
                <w:szCs w:val="18"/>
                <w:color w:val="auto"/>
                <w:w w:val="91"/>
              </w:rPr>
              <w:t>Form of Transfer Agreement</w:t>
            </w:r>
          </w:p>
        </w:tc>
        <w:tc>
          <w:tcPr>
            <w:tcW w:w="40" w:type="dxa"/>
            <w:vAlign w:val="bottom"/>
          </w:tcPr>
          <w:p>
            <w:pPr>
              <w:spacing w:after="0"/>
              <w:rPr>
                <w:sz w:val="20"/>
                <w:szCs w:val="20"/>
                <w:color w:val="auto"/>
              </w:rPr>
            </w:pPr>
          </w:p>
        </w:tc>
      </w:tr>
      <w:tr>
        <w:trPr>
          <w:trHeight w:val="418"/>
        </w:trPr>
        <w:tc>
          <w:tcPr>
            <w:tcW w:w="6460" w:type="dxa"/>
            <w:vAlign w:val="bottom"/>
            <w:gridSpan w:val="7"/>
          </w:tcPr>
          <w:p>
            <w:pPr>
              <w:spacing w:after="0"/>
              <w:rPr>
                <w:sz w:val="20"/>
                <w:szCs w:val="20"/>
                <w:color w:val="auto"/>
              </w:rPr>
            </w:pPr>
            <w:r>
              <w:rPr>
                <w:rFonts w:ascii="Arial" w:cs="Arial" w:eastAsia="Arial" w:hAnsi="Arial"/>
                <w:sz w:val="18"/>
                <w:szCs w:val="18"/>
                <w:color w:val="auto"/>
              </w:rPr>
              <w:t>This Transfer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jointly signed by the Parties on</w:t>
            </w:r>
          </w:p>
        </w:tc>
        <w:tc>
          <w:tcPr>
            <w:tcW w:w="4960" w:type="dxa"/>
            <w:vAlign w:val="bottom"/>
          </w:tcPr>
          <w:p>
            <w:pPr>
              <w:jc w:val="right"/>
              <w:spacing w:after="0"/>
              <w:rPr>
                <w:sz w:val="20"/>
                <w:szCs w:val="20"/>
                <w:color w:val="auto"/>
              </w:rPr>
            </w:pPr>
            <w:r>
              <w:rPr>
                <w:rFonts w:ascii="Arial" w:cs="Arial" w:eastAsia="Arial" w:hAnsi="Arial"/>
                <w:sz w:val="18"/>
                <w:szCs w:val="18"/>
                <w:color w:val="auto"/>
                <w:w w:val="99"/>
              </w:rPr>
              <w:t>at the offices of Beijing Guangyitong Advertising Co., Ltd. (the</w:t>
            </w:r>
          </w:p>
        </w:tc>
        <w:tc>
          <w:tcPr>
            <w:tcW w:w="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Transferor:</w:t>
            </w:r>
          </w:p>
        </w:tc>
        <w:tc>
          <w:tcPr>
            <w:tcW w:w="2480" w:type="dxa"/>
            <w:vAlign w:val="bottom"/>
            <w:gridSpan w:val="2"/>
          </w:tcPr>
          <w:p>
            <w:pPr>
              <w:jc w:val="right"/>
              <w:ind w:right="10"/>
              <w:spacing w:after="0"/>
              <w:rPr>
                <w:sz w:val="20"/>
                <w:szCs w:val="20"/>
                <w:color w:val="auto"/>
              </w:rPr>
            </w:pPr>
            <w:r>
              <w:rPr>
                <w:rFonts w:ascii="Arial" w:cs="Arial" w:eastAsia="Arial" w:hAnsi="Arial"/>
                <w:sz w:val="18"/>
                <w:szCs w:val="18"/>
                <w:color w:val="auto"/>
              </w:rPr>
              <w:t>William Lei Ding (“</w:t>
            </w:r>
            <w:r>
              <w:rPr>
                <w:rFonts w:ascii="Arial" w:cs="Arial" w:eastAsia="Arial" w:hAnsi="Arial"/>
                <w:sz w:val="18"/>
                <w:szCs w:val="18"/>
                <w:b w:val="1"/>
                <w:bCs w:val="1"/>
                <w:i w:val="1"/>
                <w:iCs w:val="1"/>
                <w:color w:val="auto"/>
              </w:rPr>
              <w:t>Party A</w:t>
            </w:r>
            <w:r>
              <w:rPr>
                <w:rFonts w:ascii="Arial" w:cs="Arial" w:eastAsia="Arial" w:hAnsi="Arial"/>
                <w:sz w:val="18"/>
                <w:szCs w:val="18"/>
                <w:color w:val="auto"/>
              </w:rPr>
              <w:t>”)</w:t>
            </w: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Transferee:</w:t>
            </w:r>
          </w:p>
        </w:tc>
        <w:tc>
          <w:tcPr>
            <w:tcW w:w="5320" w:type="dxa"/>
            <w:vAlign w:val="bottom"/>
            <w:gridSpan w:val="6"/>
          </w:tcPr>
          <w:p>
            <w:pPr>
              <w:ind w:left="180"/>
              <w:spacing w:after="0"/>
              <w:rPr>
                <w:sz w:val="20"/>
                <w:szCs w:val="20"/>
                <w:color w:val="auto"/>
              </w:rPr>
            </w:pPr>
            <w:r>
              <w:rPr>
                <w:rFonts w:ascii="Arial" w:cs="Arial" w:eastAsia="Arial" w:hAnsi="Arial"/>
                <w:sz w:val="18"/>
                <w:szCs w:val="18"/>
                <w:color w:val="auto"/>
              </w:rPr>
              <w:t>NetEase Media Technology (Beijing) Co., Ltd. (“</w:t>
            </w:r>
            <w:r>
              <w:rPr>
                <w:rFonts w:ascii="Arial" w:cs="Arial" w:eastAsia="Arial" w:hAnsi="Arial"/>
                <w:sz w:val="18"/>
                <w:szCs w:val="18"/>
                <w:b w:val="1"/>
                <w:bCs w:val="1"/>
                <w:i w:val="1"/>
                <w:iCs w:val="1"/>
                <w:color w:val="auto"/>
              </w:rPr>
              <w:t>Party B</w:t>
            </w:r>
            <w:r>
              <w:rPr>
                <w:rFonts w:ascii="Arial" w:cs="Arial" w:eastAsia="Arial" w:hAnsi="Arial"/>
                <w:sz w:val="18"/>
                <w:szCs w:val="18"/>
                <w:color w:val="auto"/>
              </w:rPr>
              <w:t>”)</w:t>
            </w:r>
          </w:p>
        </w:tc>
        <w:tc>
          <w:tcPr>
            <w:tcW w:w="496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Party A owns 99% of the equity interest of the Company. According to the relevant laws, rules and regulations, upon friendly negotiations between</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Parties, and pursuant to the Exclusive Purchase Option Agreement entered into by the Parties on , 20 (the “</w:t>
      </w:r>
      <w:r>
        <w:rPr>
          <w:rFonts w:ascii="Arial" w:cs="Arial" w:eastAsia="Arial" w:hAnsi="Arial"/>
          <w:sz w:val="18"/>
          <w:szCs w:val="18"/>
          <w:b w:val="1"/>
          <w:bCs w:val="1"/>
          <w:i w:val="1"/>
          <w:iCs w:val="1"/>
          <w:color w:val="auto"/>
        </w:rPr>
        <w:t>Exclusive Purchase Option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the Parties agree to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Article 1. Subject of Transfer and Purchase Price</w:t>
      </w:r>
    </w:p>
    <w:p>
      <w:pPr>
        <w:spacing w:after="0" w:line="225" w:lineRule="exact"/>
        <w:rPr>
          <w:sz w:val="20"/>
          <w:szCs w:val="20"/>
          <w:color w:val="auto"/>
        </w:rPr>
      </w:pPr>
    </w:p>
    <w:p>
      <w:pPr>
        <w:ind w:left="660"/>
        <w:spacing w:after="0"/>
        <w:tabs>
          <w:tab w:leader="none" w:pos="6480" w:val="left"/>
          <w:tab w:leader="none" w:pos="6820" w:val="left"/>
        </w:tabs>
        <w:rPr>
          <w:sz w:val="20"/>
          <w:szCs w:val="20"/>
          <w:color w:val="auto"/>
        </w:rPr>
      </w:pPr>
      <w:r>
        <w:rPr>
          <w:rFonts w:ascii="Arial" w:cs="Arial" w:eastAsia="Arial" w:hAnsi="Arial"/>
          <w:sz w:val="18"/>
          <w:szCs w:val="18"/>
          <w:color w:val="auto"/>
        </w:rPr>
        <w:t>Party A shall transfer to [Party B / Party B’s designated person(s):</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equity interest of the Company / the following assets:</w:t>
      </w:r>
    </w:p>
    <w:p>
      <w:pPr>
        <w:spacing w:after="0" w:line="23" w:lineRule="exact"/>
        <w:rPr>
          <w:sz w:val="20"/>
          <w:szCs w:val="20"/>
          <w:color w:val="auto"/>
        </w:rPr>
      </w:pPr>
    </w:p>
    <w:p>
      <w:pPr>
        <w:ind w:left="2660"/>
        <w:spacing w:after="0"/>
        <w:tabs>
          <w:tab w:leader="none" w:pos="8460" w:val="left"/>
        </w:tabs>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i w:val="1"/>
          <w:iCs w:val="1"/>
          <w:color w:val="auto"/>
        </w:rPr>
        <w:t>Transferred Interest</w:t>
      </w:r>
      <w:r>
        <w:rPr>
          <w:rFonts w:ascii="Arial" w:cs="Arial" w:eastAsia="Arial" w:hAnsi="Arial"/>
          <w:sz w:val="18"/>
          <w:szCs w:val="18"/>
          <w:color w:val="auto"/>
        </w:rPr>
        <w:t>”) for the total purchase price of [RMB</w:t>
      </w:r>
      <w:r>
        <w:rPr>
          <w:sz w:val="20"/>
          <w:szCs w:val="20"/>
          <w:color w:val="auto"/>
        </w:rPr>
        <w:tab/>
      </w:r>
      <w:r>
        <w:rPr>
          <w:rFonts w:ascii="Arial" w:cs="Arial" w:eastAsia="Arial" w:hAnsi="Arial"/>
          <w:sz w:val="17"/>
          <w:szCs w:val="17"/>
          <w:color w:val="auto"/>
        </w:rPr>
        <w:t>].</w:t>
      </w:r>
    </w:p>
    <w:p>
      <w:pPr>
        <w:sectPr>
          <w:pgSz w:w="11900" w:h="16838" w:orient="portrait"/>
          <w:cols w:equalWidth="0" w:num="1">
            <w:col w:w="11460"/>
          </w:cols>
          <w:pgMar w:left="240" w:top="125" w:right="199" w:bottom="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t>Article 2. Undertakings and Guarantee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Article 3. Liabilities for Breach of Contract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4. Method of Dispute Resolutions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Article 5. Others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Agreement shall be executed in </w:t>
      </w:r>
      <w:r>
        <w:rPr>
          <w:rFonts w:ascii="Arial" w:cs="Arial" w:eastAsia="Arial" w:hAnsi="Arial"/>
          <w:sz w:val="16"/>
          <w:szCs w:val="16"/>
          <w:u w:val="single" w:color="auto"/>
          <w:color w:val="auto"/>
        </w:rPr>
        <w:t>triplicate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each of the Parties and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the Company for use in completing the relevant formalities.</w:t>
      </w:r>
    </w:p>
    <w:p>
      <w:pPr>
        <w:sectPr>
          <w:pgSz w:w="11900" w:h="16838" w:orient="portrait"/>
          <w:cols w:equalWidth="0" w:num="1">
            <w:col w:w="11380"/>
          </w:cols>
          <w:pgMar w:left="240" w:top="125" w:right="2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Party A (signature):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William Lei Ding</w:t>
      </w:r>
    </w:p>
    <w:p>
      <w:pPr>
        <w:spacing w:after="0" w:line="200" w:lineRule="exact"/>
        <w:rPr>
          <w:sz w:val="20"/>
          <w:szCs w:val="20"/>
          <w:color w:val="auto"/>
        </w:rPr>
      </w:pPr>
    </w:p>
    <w:p>
      <w:pPr>
        <w:sectPr>
          <w:pgSz w:w="11900" w:h="16838" w:orient="portrait"/>
          <w:cols w:equalWidth="0" w:num="2">
            <w:col w:w="1460" w:space="720"/>
            <w:col w:w="9200"/>
          </w:cols>
          <w:pgMar w:left="240" w:top="125" w:right="2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Party B (signature):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NetEase Media Technology (Beijing) Co., Ltd.</w:t>
      </w:r>
    </w:p>
    <w:p>
      <w:pPr>
        <w:spacing w:after="0" w:line="200" w:lineRule="exact"/>
        <w:rPr>
          <w:sz w:val="20"/>
          <w:szCs w:val="20"/>
          <w:color w:val="auto"/>
        </w:rPr>
      </w:pPr>
    </w:p>
    <w:p>
      <w:pPr>
        <w:sectPr>
          <w:pgSz w:w="11900" w:h="16838" w:orient="portrait"/>
          <w:cols w:equalWidth="0" w:num="2">
            <w:col w:w="1460" w:space="720"/>
            <w:col w:w="9200"/>
          </w:cols>
          <w:pgMar w:left="240" w:top="125" w:right="279" w:bottom="1440" w:gutter="0" w:footer="0" w:header="0"/>
          <w:type w:val="continuous"/>
        </w:sectPr>
      </w:pPr>
    </w:p>
    <w:p>
      <w:pPr>
        <w:spacing w:after="0" w:line="48" w:lineRule="exact"/>
        <w:rPr>
          <w:sz w:val="20"/>
          <w:szCs w:val="20"/>
          <w:color w:val="auto"/>
        </w:rPr>
      </w:pPr>
    </w:p>
    <w:p>
      <w:pPr>
        <w:ind w:left="5740"/>
        <w:spacing w:after="0"/>
        <w:tabs>
          <w:tab w:leader="none" w:pos="682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4.42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PURCHASE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Exclusive Purchase Option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November 30, 3015, among the following parties in Beijing:</w:t>
      </w:r>
    </w:p>
    <w:p>
      <w:pPr>
        <w:spacing w:after="0" w:line="22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Party A:</w:t>
      </w:r>
      <w:r>
        <w:rPr>
          <w:sz w:val="20"/>
          <w:szCs w:val="20"/>
          <w:color w:val="auto"/>
        </w:rPr>
        <w:tab/>
      </w:r>
      <w:r>
        <w:rPr>
          <w:rFonts w:ascii="Arial" w:cs="Arial" w:eastAsia="Arial" w:hAnsi="Arial"/>
          <w:sz w:val="16"/>
          <w:szCs w:val="16"/>
          <w:color w:val="auto"/>
        </w:rPr>
        <w:t>NetEase Media Technology (Beijing) Co., Ltd.</w:t>
      </w:r>
    </w:p>
    <w:p>
      <w:pPr>
        <w:spacing w:after="0" w:line="22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Legal Address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20-22/F, Tower 8, NO.86 Zhongguancun East Road, Haidian District, Beijing</w:t>
      </w:r>
    </w:p>
    <w:p>
      <w:pPr>
        <w:spacing w:after="0" w:line="22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Party B:</w:t>
      </w:r>
      <w:r>
        <w:rPr>
          <w:sz w:val="20"/>
          <w:szCs w:val="20"/>
          <w:color w:val="auto"/>
        </w:rPr>
        <w:tab/>
      </w:r>
      <w:r>
        <w:rPr>
          <w:rFonts w:ascii="Arial" w:cs="Arial" w:eastAsia="Arial" w:hAnsi="Arial"/>
          <w:sz w:val="18"/>
          <w:szCs w:val="18"/>
          <w:color w:val="auto"/>
        </w:rPr>
        <w:t>Li Li</w:t>
      </w:r>
    </w:p>
    <w:p>
      <w:pPr>
        <w:spacing w:after="0" w:line="27"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ID Number:</w:t>
      </w:r>
      <w:r>
        <w:rPr>
          <w:sz w:val="20"/>
          <w:szCs w:val="20"/>
          <w:color w:val="auto"/>
        </w:rPr>
        <w:tab/>
      </w:r>
      <w:r>
        <w:rPr>
          <w:rFonts w:ascii="Arial" w:cs="Arial" w:eastAsia="Arial" w:hAnsi="Arial"/>
          <w:sz w:val="15"/>
          <w:szCs w:val="15"/>
          <w:color w:val="auto"/>
        </w:rPr>
        <w:t>110103197411191529</w:t>
      </w:r>
    </w:p>
    <w:p>
      <w:pPr>
        <w:spacing w:after="0" w:line="9"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Legal Address:</w:t>
      </w:r>
      <w:r>
        <w:rPr>
          <w:sz w:val="20"/>
          <w:szCs w:val="20"/>
          <w:color w:val="auto"/>
        </w:rPr>
        <w:tab/>
      </w:r>
      <w:r>
        <w:rPr>
          <w:rFonts w:ascii="Arial" w:cs="Arial" w:eastAsia="Arial" w:hAnsi="Arial"/>
          <w:sz w:val="16"/>
          <w:szCs w:val="16"/>
          <w:color w:val="auto"/>
        </w:rPr>
        <w:t>NO.7, Unit 4, Building 16, Changqing Yuan, Chongwen District, Beijing</w:t>
      </w:r>
    </w:p>
    <w:p>
      <w:pPr>
        <w:spacing w:after="0" w:line="207"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Party C:</w:t>
      </w:r>
      <w:r>
        <w:rPr>
          <w:sz w:val="20"/>
          <w:szCs w:val="20"/>
          <w:color w:val="auto"/>
        </w:rPr>
        <w:tab/>
      </w:r>
      <w:r>
        <w:rPr>
          <w:rFonts w:ascii="Arial" w:cs="Arial" w:eastAsia="Arial" w:hAnsi="Arial"/>
          <w:sz w:val="16"/>
          <w:szCs w:val="16"/>
          <w:color w:val="auto"/>
        </w:rPr>
        <w:t>Beijing Guangyitong Advertising Co., Ltd.</w:t>
      </w:r>
    </w:p>
    <w:p>
      <w:pPr>
        <w:spacing w:after="0" w:line="225"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Legal Address:</w:t>
      </w:r>
      <w:r>
        <w:rPr>
          <w:sz w:val="20"/>
          <w:szCs w:val="20"/>
          <w:color w:val="auto"/>
        </w:rPr>
        <w:tab/>
      </w:r>
      <w:r>
        <w:rPr>
          <w:rFonts w:ascii="Arial" w:cs="Arial" w:eastAsia="Arial" w:hAnsi="Arial"/>
          <w:sz w:val="16"/>
          <w:szCs w:val="16"/>
          <w:color w:val="auto"/>
        </w:rPr>
        <w:t>Room F112, -1/F, Tower 5th, YongDingMenWai Street NO.86, Dongcheng District, Beijing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and Party C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hanging="652"/>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Party A is a wholly foreign-owned enterprise incorporated under the laws of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Party C, a limited liability company incorporated in the PRC, is principally engaged in the business of online portal and media entertainment;</w:t>
      </w:r>
    </w:p>
    <w:p>
      <w:pPr>
        <w:spacing w:after="0" w:line="232" w:lineRule="exact"/>
        <w:rPr>
          <w:rFonts w:ascii="Arial" w:cs="Arial" w:eastAsia="Arial" w:hAnsi="Arial"/>
          <w:sz w:val="17"/>
          <w:szCs w:val="17"/>
          <w:color w:val="auto"/>
        </w:rPr>
      </w:pPr>
    </w:p>
    <w:p>
      <w:pPr>
        <w:ind w:left="660" w:hanging="652"/>
        <w:spacing w:after="0"/>
        <w:tabs>
          <w:tab w:leader="none" w:pos="6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Party B is a shareholder of Party C. Party B has ownership of 1% of the equity interest in Party C (the “</w:t>
      </w:r>
      <w:r>
        <w:rPr>
          <w:rFonts w:ascii="Arial" w:cs="Arial" w:eastAsia="Arial" w:hAnsi="Arial"/>
          <w:sz w:val="18"/>
          <w:szCs w:val="18"/>
          <w:b w:val="1"/>
          <w:bCs w:val="1"/>
          <w:color w:val="auto"/>
        </w:rPr>
        <w:t>Equity Interest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hanging="652"/>
        <w:spacing w:after="0" w:line="314" w:lineRule="auto"/>
        <w:tabs>
          <w:tab w:leader="none" w:pos="66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Party A and Party B entered into a loan agreement (as the same may be amended and supplemented from time to time, the “</w:t>
      </w:r>
      <w:r>
        <w:rPr>
          <w:rFonts w:ascii="Arial" w:cs="Arial" w:eastAsia="Arial" w:hAnsi="Arial"/>
          <w:sz w:val="16"/>
          <w:szCs w:val="16"/>
          <w:b w:val="1"/>
          <w:bCs w:val="1"/>
          <w:color w:val="auto"/>
        </w:rPr>
        <w:t>Loan Agreement</w:t>
      </w:r>
      <w:r>
        <w:rPr>
          <w:rFonts w:ascii="Arial" w:cs="Arial" w:eastAsia="Arial" w:hAnsi="Arial"/>
          <w:sz w:val="16"/>
          <w:szCs w:val="16"/>
          <w:color w:val="auto"/>
        </w:rPr>
        <w:t>”), on November 30, 3015, pursuant to which Party A made a loan, and may make additional loans from time to time, to Party B (such loans are hereinafter collectively referred to as the “</w:t>
      </w:r>
      <w:r>
        <w:rPr>
          <w:rFonts w:ascii="Arial" w:cs="Arial" w:eastAsia="Arial" w:hAnsi="Arial"/>
          <w:sz w:val="16"/>
          <w:szCs w:val="16"/>
          <w:b w:val="1"/>
          <w:bCs w:val="1"/>
          <w:color w:val="auto"/>
        </w:rPr>
        <w:t>Loan</w:t>
      </w:r>
      <w:r>
        <w:rPr>
          <w:rFonts w:ascii="Arial" w:cs="Arial" w:eastAsia="Arial" w:hAnsi="Arial"/>
          <w:sz w:val="16"/>
          <w:szCs w:val="16"/>
          <w:color w:val="auto"/>
        </w:rPr>
        <w:t>”), so that Party B could invest the proceeds from the Loan in Party C as a capital contribution; and</w:t>
      </w:r>
    </w:p>
    <w:p>
      <w:pPr>
        <w:spacing w:after="0" w:line="142" w:lineRule="exact"/>
        <w:rPr>
          <w:rFonts w:ascii="Arial" w:cs="Arial" w:eastAsia="Arial" w:hAnsi="Arial"/>
          <w:sz w:val="16"/>
          <w:szCs w:val="16"/>
          <w:color w:val="auto"/>
        </w:rPr>
      </w:pPr>
    </w:p>
    <w:p>
      <w:pPr>
        <w:ind w:left="660" w:right="2080" w:hanging="652"/>
        <w:spacing w:after="0" w:line="533" w:lineRule="auto"/>
        <w:tabs>
          <w:tab w:leader="none" w:pos="66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Party A and Party B entered into an equity pledge agreement (the “</w:t>
      </w:r>
      <w:r>
        <w:rPr>
          <w:rFonts w:ascii="Arial" w:cs="Arial" w:eastAsia="Arial" w:hAnsi="Arial"/>
          <w:sz w:val="17"/>
          <w:szCs w:val="17"/>
          <w:b w:val="1"/>
          <w:bCs w:val="1"/>
          <w:color w:val="auto"/>
        </w:rPr>
        <w:t>Equity Pledge Agreement</w:t>
      </w:r>
      <w:r>
        <w:rPr>
          <w:rFonts w:ascii="Arial" w:cs="Arial" w:eastAsia="Arial" w:hAnsi="Arial"/>
          <w:sz w:val="17"/>
          <w:szCs w:val="17"/>
          <w:color w:val="auto"/>
        </w:rPr>
        <w:t xml:space="preserve">”) on November 30, 3015. </w:t>
      </w:r>
      <w:r>
        <w:rPr>
          <w:rFonts w:ascii="Arial" w:cs="Arial" w:eastAsia="Arial" w:hAnsi="Arial"/>
          <w:sz w:val="17"/>
          <w:szCs w:val="17"/>
          <w:b w:val="1"/>
          <w:bCs w:val="1"/>
          <w:color w:val="auto"/>
        </w:rPr>
        <w:t>NOW, THEREFORE</w:t>
      </w:r>
      <w:r>
        <w:rPr>
          <w:rFonts w:ascii="Arial" w:cs="Arial" w:eastAsia="Arial" w:hAnsi="Arial"/>
          <w:sz w:val="17"/>
          <w:szCs w:val="17"/>
          <w:color w:val="auto"/>
        </w:rPr>
        <w:t>, through negotiations, all parties to this Agreement hereby agree as follows:</w:t>
      </w: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Purchase and Sale of Interest</w:t>
      </w:r>
    </w:p>
    <w:p>
      <w:pPr>
        <w:spacing w:after="0" w:line="22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Granting of Rights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Equity Option</w:t>
      </w:r>
    </w:p>
    <w:p>
      <w:pPr>
        <w:spacing w:after="0" w:line="225" w:lineRule="exact"/>
        <w:rPr>
          <w:sz w:val="20"/>
          <w:szCs w:val="20"/>
          <w:color w:val="auto"/>
        </w:rPr>
      </w:pPr>
    </w:p>
    <w:p>
      <w:pPr>
        <w:ind w:left="1300" w:right="120"/>
        <w:spacing w:after="0" w:line="293" w:lineRule="auto"/>
        <w:rPr>
          <w:sz w:val="20"/>
          <w:szCs w:val="20"/>
          <w:color w:val="auto"/>
        </w:rPr>
      </w:pPr>
      <w:r>
        <w:rPr>
          <w:rFonts w:ascii="Arial" w:cs="Arial" w:eastAsia="Arial" w:hAnsi="Arial"/>
          <w:sz w:val="16"/>
          <w:szCs w:val="16"/>
          <w:color w:val="auto"/>
        </w:rPr>
        <w:t>Party B hereby irrevocably grants to Party A an option (exercisable one or more times) to purchase or cause any one or more persons designated by Party A (“</w:t>
      </w:r>
      <w:r>
        <w:rPr>
          <w:rFonts w:ascii="Arial" w:cs="Arial" w:eastAsia="Arial" w:hAnsi="Arial"/>
          <w:sz w:val="16"/>
          <w:szCs w:val="16"/>
          <w:b w:val="1"/>
          <w:bCs w:val="1"/>
          <w:color w:val="auto"/>
        </w:rPr>
        <w:t>Designated Persons</w:t>
      </w:r>
      <w:r>
        <w:rPr>
          <w:rFonts w:ascii="Arial" w:cs="Arial" w:eastAsia="Arial" w:hAnsi="Arial"/>
          <w:sz w:val="16"/>
          <w:szCs w:val="16"/>
          <w:color w:val="auto"/>
        </w:rPr>
        <w:t>”) to purchase, to the extent permitted under PRC law, according to the steps determined by Party A, at the price specified in Article 1.3 of this Agreement, and at any time from Party B, a portion of, or all of, the Equity Interest (the “</w:t>
      </w:r>
      <w:r>
        <w:rPr>
          <w:rFonts w:ascii="Arial" w:cs="Arial" w:eastAsia="Arial" w:hAnsi="Arial"/>
          <w:sz w:val="16"/>
          <w:szCs w:val="16"/>
          <w:b w:val="1"/>
          <w:bCs w:val="1"/>
          <w:color w:val="auto"/>
        </w:rPr>
        <w:t>Equity Option</w:t>
      </w:r>
      <w:r>
        <w:rPr>
          <w:rFonts w:ascii="Arial" w:cs="Arial" w:eastAsia="Arial" w:hAnsi="Arial"/>
          <w:sz w:val="16"/>
          <w:szCs w:val="16"/>
          <w:color w:val="auto"/>
        </w:rPr>
        <w:t>”). No Equity Option shall be granted to any third party other than Party A and/or the Designated Persons. Party C hereby agrees to the granting of the Equity Option by Party B to Party A and/or the Designated Persons. The term “</w:t>
      </w:r>
      <w:r>
        <w:rPr>
          <w:rFonts w:ascii="Arial" w:cs="Arial" w:eastAsia="Arial" w:hAnsi="Arial"/>
          <w:sz w:val="16"/>
          <w:szCs w:val="16"/>
          <w:b w:val="1"/>
          <w:bCs w:val="1"/>
          <w:color w:val="auto"/>
        </w:rPr>
        <w:t>person</w:t>
      </w:r>
      <w:r>
        <w:rPr>
          <w:rFonts w:ascii="Arial" w:cs="Arial" w:eastAsia="Arial" w:hAnsi="Arial"/>
          <w:sz w:val="16"/>
          <w:szCs w:val="16"/>
          <w:color w:val="auto"/>
        </w:rPr>
        <w:t>” in this Agreement means an individual person, corporation, joint venture, partnership, enterprise, trust or a non-corporation organization.</w:t>
      </w:r>
    </w:p>
    <w:p>
      <w:pPr>
        <w:spacing w:after="0" w:line="1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Asset Option</w:t>
      </w:r>
    </w:p>
    <w:p>
      <w:pPr>
        <w:spacing w:after="0" w:line="225" w:lineRule="exact"/>
        <w:rPr>
          <w:sz w:val="20"/>
          <w:szCs w:val="20"/>
          <w:color w:val="auto"/>
        </w:rPr>
      </w:pPr>
    </w:p>
    <w:p>
      <w:pPr>
        <w:ind w:left="1300" w:right="20"/>
        <w:spacing w:after="0" w:line="253" w:lineRule="auto"/>
        <w:rPr>
          <w:sz w:val="20"/>
          <w:szCs w:val="20"/>
          <w:color w:val="auto"/>
        </w:rPr>
      </w:pPr>
      <w:r>
        <w:rPr>
          <w:rFonts w:ascii="Arial" w:cs="Arial" w:eastAsia="Arial" w:hAnsi="Arial"/>
          <w:sz w:val="18"/>
          <w:szCs w:val="18"/>
          <w:color w:val="auto"/>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Arial" w:cs="Arial" w:eastAsia="Arial" w:hAnsi="Arial"/>
          <w:sz w:val="18"/>
          <w:szCs w:val="18"/>
          <w:b w:val="1"/>
          <w:bCs w:val="1"/>
          <w:color w:val="auto"/>
        </w:rPr>
        <w:t>Asset Option</w:t>
      </w:r>
      <w:r>
        <w:rPr>
          <w:rFonts w:ascii="Arial" w:cs="Arial" w:eastAsia="Arial" w:hAnsi="Arial"/>
          <w:sz w:val="18"/>
          <w:szCs w:val="18"/>
          <w:color w:val="auto"/>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Arial" w:cs="Arial" w:eastAsia="Arial" w:hAnsi="Arial"/>
          <w:sz w:val="18"/>
          <w:szCs w:val="18"/>
          <w:b w:val="1"/>
          <w:bCs w:val="1"/>
          <w:color w:val="auto"/>
        </w:rPr>
        <w:t>Option</w:t>
      </w:r>
      <w:r>
        <w:rPr>
          <w:rFonts w:ascii="Arial" w:cs="Arial" w:eastAsia="Arial" w:hAnsi="Arial"/>
          <w:sz w:val="18"/>
          <w:szCs w:val="18"/>
          <w:color w:val="auto"/>
        </w:rPr>
        <w:t>” in this Agreement means either the Equity Option or the Asset Option. The term “</w:t>
      </w:r>
      <w:r>
        <w:rPr>
          <w:rFonts w:ascii="Arial" w:cs="Arial" w:eastAsia="Arial" w:hAnsi="Arial"/>
          <w:sz w:val="18"/>
          <w:szCs w:val="18"/>
          <w:b w:val="1"/>
          <w:bCs w:val="1"/>
          <w:color w:val="auto"/>
        </w:rPr>
        <w:t>Transferor</w:t>
      </w:r>
      <w:r>
        <w:rPr>
          <w:rFonts w:ascii="Arial" w:cs="Arial" w:eastAsia="Arial" w:hAnsi="Arial"/>
          <w:sz w:val="18"/>
          <w:szCs w:val="18"/>
          <w:color w:val="auto"/>
        </w:rPr>
        <w:t>” in this Agreement means (i) Party B, in reference to the Equity Option and (ii) Party C, in reference to the Asset Option.</w:t>
      </w:r>
    </w:p>
    <w:p>
      <w:pPr>
        <w:spacing w:after="0" w:line="197"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Exercise Steps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Option Exercise</w:t>
      </w:r>
    </w:p>
    <w:p>
      <w:pPr>
        <w:spacing w:after="0" w:line="225" w:lineRule="exact"/>
        <w:rPr>
          <w:sz w:val="20"/>
          <w:szCs w:val="20"/>
          <w:color w:val="auto"/>
        </w:rPr>
      </w:pPr>
    </w:p>
    <w:p>
      <w:pPr>
        <w:ind w:left="1300" w:right="100"/>
        <w:spacing w:after="0" w:line="257" w:lineRule="auto"/>
        <w:rPr>
          <w:sz w:val="20"/>
          <w:szCs w:val="20"/>
          <w:color w:val="auto"/>
        </w:rPr>
      </w:pPr>
      <w:r>
        <w:rPr>
          <w:rFonts w:ascii="Arial" w:cs="Arial" w:eastAsia="Arial" w:hAnsi="Arial"/>
          <w:sz w:val="18"/>
          <w:szCs w:val="18"/>
          <w:color w:val="auto"/>
        </w:rPr>
        <w:t>Subject to PRC law and regulations, Party A and/or the Designated Persons may exercise either Option, one or more times to the extent the relevant Transferor still owns any Equity Interest or assets subject to an Option, by issuing a written notice in the form attached hereto as Exhibit A (the “</w:t>
      </w:r>
      <w:r>
        <w:rPr>
          <w:rFonts w:ascii="Arial" w:cs="Arial" w:eastAsia="Arial" w:hAnsi="Arial"/>
          <w:sz w:val="18"/>
          <w:szCs w:val="18"/>
          <w:b w:val="1"/>
          <w:bCs w:val="1"/>
          <w:color w:val="auto"/>
        </w:rPr>
        <w:t>Notice</w:t>
      </w:r>
      <w:r>
        <w:rPr>
          <w:rFonts w:ascii="Arial" w:cs="Arial" w:eastAsia="Arial" w:hAnsi="Arial"/>
          <w:sz w:val="18"/>
          <w:szCs w:val="18"/>
          <w:color w:val="auto"/>
        </w:rPr>
        <w:t>”) (i) in the case of the Equity Option, to Party B as the Transferor, specifying the Equity Interest and (ii) in the case of the Asset Option, to Party C as the Transferor, specifying the assets to be purchased (such Equity Interest or assets, as the case may be, the “</w:t>
      </w:r>
      <w:r>
        <w:rPr>
          <w:rFonts w:ascii="Arial" w:cs="Arial" w:eastAsia="Arial" w:hAnsi="Arial"/>
          <w:sz w:val="18"/>
          <w:szCs w:val="18"/>
          <w:b w:val="1"/>
          <w:bCs w:val="1"/>
          <w:color w:val="auto"/>
        </w:rPr>
        <w:t>Purchased Interest</w:t>
      </w:r>
      <w:r>
        <w:rPr>
          <w:rFonts w:ascii="Arial" w:cs="Arial" w:eastAsia="Arial" w:hAnsi="Arial"/>
          <w:sz w:val="18"/>
          <w:szCs w:val="18"/>
          <w:color w:val="auto"/>
        </w:rPr>
        <w:t>”) and the manner of such purchase.</w:t>
      </w:r>
    </w:p>
    <w:p>
      <w:pPr>
        <w:sectPr>
          <w:pgSz w:w="11900" w:h="16838" w:orient="portrait"/>
          <w:cols w:equalWidth="0" w:num="1">
            <w:col w:w="11420"/>
          </w:cols>
          <w:pgMar w:left="240" w:top="121"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161" w:name="page162"/>
    <w:bookmarkEnd w:id="161"/>
    <w:p>
      <w:pPr>
        <w:ind w:left="1292"/>
        <w:spacing w:after="0"/>
        <w:tabs>
          <w:tab w:leader="none" w:pos="191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1.2.2</w:t>
      </w:r>
      <w:r>
        <w:rPr>
          <w:sz w:val="20"/>
          <w:szCs w:val="20"/>
          <w:color w:val="auto"/>
        </w:rPr>
        <w:tab/>
      </w:r>
      <w:r>
        <w:rPr>
          <w:rFonts w:ascii="Arial" w:cs="Arial" w:eastAsia="Arial" w:hAnsi="Arial"/>
          <w:sz w:val="16"/>
          <w:szCs w:val="16"/>
          <w:color w:val="auto"/>
        </w:rPr>
        <w:t>Transferor Obligations</w:t>
      </w:r>
    </w:p>
    <w:p>
      <w:pPr>
        <w:spacing w:after="0" w:line="225" w:lineRule="exact"/>
        <w:rPr>
          <w:sz w:val="20"/>
          <w:szCs w:val="20"/>
          <w:color w:val="auto"/>
        </w:rPr>
      </w:pPr>
    </w:p>
    <w:p>
      <w:pPr>
        <w:ind w:left="1292" w:right="80"/>
        <w:spacing w:after="0" w:line="276" w:lineRule="auto"/>
        <w:rPr>
          <w:sz w:val="20"/>
          <w:szCs w:val="20"/>
          <w:color w:val="auto"/>
        </w:rPr>
      </w:pPr>
      <w:r>
        <w:rPr>
          <w:rFonts w:ascii="Arial" w:cs="Arial" w:eastAsia="Arial" w:hAnsi="Arial"/>
          <w:sz w:val="17"/>
          <w:szCs w:val="17"/>
          <w:color w:val="auto"/>
        </w:rPr>
        <w:t>Before or upon execution of this Agreement, each of Party B and Party C shall execute a power of attorney in the form attached hereto as Exhibit B,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Exhibit B) to effect the transfer of the Purchased Interest to Party A and/or the Designated Persons.</w:t>
      </w:r>
    </w:p>
    <w:p>
      <w:pPr>
        <w:spacing w:after="0" w:line="173"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Purchase Price</w:t>
      </w:r>
    </w:p>
    <w:p>
      <w:pPr>
        <w:spacing w:after="0" w:line="221" w:lineRule="exact"/>
        <w:rPr>
          <w:sz w:val="20"/>
          <w:szCs w:val="20"/>
          <w:color w:val="auto"/>
        </w:rPr>
      </w:pPr>
    </w:p>
    <w:p>
      <w:pPr>
        <w:ind w:left="1932" w:hanging="647"/>
        <w:spacing w:after="0" w:line="289" w:lineRule="auto"/>
        <w:tabs>
          <w:tab w:leader="none" w:pos="191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If Party A exercises either Option, the purchase price of the Purchased Interest (“</w:t>
      </w:r>
      <w:r>
        <w:rPr>
          <w:rFonts w:ascii="Arial" w:cs="Arial" w:eastAsia="Arial" w:hAnsi="Arial"/>
          <w:sz w:val="17"/>
          <w:szCs w:val="17"/>
          <w:b w:val="1"/>
          <w:bCs w:val="1"/>
          <w:color w:val="auto"/>
        </w:rPr>
        <w:t>Purchase Price</w:t>
      </w:r>
      <w:r>
        <w:rPr>
          <w:rFonts w:ascii="Arial" w:cs="Arial" w:eastAsia="Arial" w:hAnsi="Arial"/>
          <w:sz w:val="17"/>
          <w:szCs w:val="17"/>
          <w:color w:val="auto"/>
        </w:rPr>
        <w:t>”) shall be: (i) in the case of the Equity Option, equal to the original and any additional paid-in capital paid by the Transferor for such Equity Interest, and (ii) in the case of the Asset Option, equal to the net book value of the assets as shown in Party C’s financial statements.</w:t>
      </w:r>
    </w:p>
    <w:p>
      <w:pPr>
        <w:spacing w:after="0" w:line="162"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Transfer of the Purchased Interest</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 each exercise of either Option:</w:t>
      </w:r>
    </w:p>
    <w:p>
      <w:pPr>
        <w:spacing w:after="0" w:line="225" w:lineRule="exact"/>
        <w:rPr>
          <w:sz w:val="20"/>
          <w:szCs w:val="20"/>
          <w:color w:val="auto"/>
        </w:rPr>
      </w:pPr>
    </w:p>
    <w:p>
      <w:pPr>
        <w:ind w:left="1932" w:right="100" w:hanging="647"/>
        <w:spacing w:after="0" w:line="342" w:lineRule="auto"/>
        <w:tabs>
          <w:tab w:leader="none" w:pos="191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Party C shall (and Party B shall cause Party C to) convene a shareholders’ meeting. During the meeting, resolutions approving the transfer of the Purchased Interest from the Transferor to Party A and/or the Designated Persons shall be adopted;</w:t>
      </w:r>
    </w:p>
    <w:p>
      <w:pPr>
        <w:spacing w:after="0" w:line="124" w:lineRule="exact"/>
        <w:rPr>
          <w:sz w:val="20"/>
          <w:szCs w:val="20"/>
          <w:color w:val="auto"/>
        </w:rPr>
      </w:pPr>
    </w:p>
    <w:p>
      <w:pPr>
        <w:ind w:left="1932" w:right="160" w:hanging="647"/>
        <w:spacing w:after="0" w:line="264" w:lineRule="auto"/>
        <w:tabs>
          <w:tab w:leader="none" w:pos="1912" w:val="left"/>
        </w:tabs>
        <w:rPr>
          <w:sz w:val="20"/>
          <w:szCs w:val="20"/>
          <w:color w:val="auto"/>
        </w:rPr>
      </w:pPr>
      <w:r>
        <w:rPr>
          <w:rFonts w:ascii="Arial" w:cs="Arial" w:eastAsia="Arial" w:hAnsi="Arial"/>
          <w:sz w:val="18"/>
          <w:szCs w:val="18"/>
          <w:color w:val="auto"/>
        </w:rPr>
        <w:t>1.4.2</w:t>
        <w:tab/>
        <w:t>The Transferor shall, in accordance with the terms and conditions of this Agreement and the Notice in connection with the Purchased Interest, enter into a transfer agreement with Party A and/or the Designated Persons (as applicable) for each transfer in the form attached hereto as Exhibit C (“</w:t>
      </w:r>
      <w:r>
        <w:rPr>
          <w:rFonts w:ascii="Arial" w:cs="Arial" w:eastAsia="Arial" w:hAnsi="Arial"/>
          <w:sz w:val="18"/>
          <w:szCs w:val="18"/>
          <w:b w:val="1"/>
          <w:bCs w:val="1"/>
          <w:color w:val="auto"/>
        </w:rPr>
        <w:t>Transfer Agreement</w:t>
      </w:r>
      <w:r>
        <w:rPr>
          <w:rFonts w:ascii="Arial" w:cs="Arial" w:eastAsia="Arial" w:hAnsi="Arial"/>
          <w:sz w:val="18"/>
          <w:szCs w:val="18"/>
          <w:color w:val="auto"/>
        </w:rPr>
        <w:t>”);</w:t>
      </w:r>
    </w:p>
    <w:p>
      <w:pPr>
        <w:spacing w:after="0" w:line="181" w:lineRule="exact"/>
        <w:rPr>
          <w:sz w:val="20"/>
          <w:szCs w:val="20"/>
          <w:color w:val="auto"/>
        </w:rPr>
      </w:pPr>
    </w:p>
    <w:p>
      <w:pPr>
        <w:jc w:val="center"/>
        <w:ind w:left="1240"/>
        <w:spacing w:after="0"/>
        <w:tabs>
          <w:tab w:leader="none" w:pos="2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relevant parties shall execute all other requisite contracts, agreements or documents, obtain all requisite government approvals</w:t>
      </w:r>
    </w:p>
    <w:p>
      <w:pPr>
        <w:spacing w:after="0" w:line="23" w:lineRule="exact"/>
        <w:rPr>
          <w:sz w:val="20"/>
          <w:szCs w:val="20"/>
          <w:color w:val="auto"/>
        </w:rPr>
      </w:pPr>
    </w:p>
    <w:p>
      <w:pPr>
        <w:ind w:left="1952" w:right="80"/>
        <w:spacing w:after="0" w:line="292" w:lineRule="auto"/>
        <w:rPr>
          <w:sz w:val="20"/>
          <w:szCs w:val="20"/>
          <w:color w:val="auto"/>
        </w:rPr>
      </w:pPr>
      <w:r>
        <w:rPr>
          <w:rFonts w:ascii="Arial" w:cs="Arial" w:eastAsia="Arial" w:hAnsi="Arial"/>
          <w:sz w:val="16"/>
          <w:szCs w:val="16"/>
          <w:color w:val="auto"/>
        </w:rPr>
        <w:t>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Arial" w:cs="Arial" w:eastAsia="Arial" w:hAnsi="Arial"/>
          <w:sz w:val="16"/>
          <w:szCs w:val="16"/>
          <w:b w:val="1"/>
          <w:bCs w:val="1"/>
          <w:color w:val="auto"/>
        </w:rPr>
        <w:t>Security Interest</w:t>
      </w:r>
      <w:r>
        <w:rPr>
          <w:rFonts w:ascii="Arial" w:cs="Arial" w:eastAsia="Arial" w:hAnsi="Arial"/>
          <w:sz w:val="16"/>
          <w:szCs w:val="16"/>
          <w:color w:val="auto"/>
        </w:rPr>
        <w:t>” 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Payment</w:t>
      </w:r>
    </w:p>
    <w:p>
      <w:pPr>
        <w:spacing w:after="0" w:line="225" w:lineRule="exact"/>
        <w:rPr>
          <w:sz w:val="20"/>
          <w:szCs w:val="20"/>
          <w:color w:val="auto"/>
        </w:rPr>
      </w:pPr>
    </w:p>
    <w:p>
      <w:pPr>
        <w:ind w:left="1292" w:right="140"/>
        <w:spacing w:after="0" w:line="264" w:lineRule="auto"/>
        <w:rPr>
          <w:sz w:val="20"/>
          <w:szCs w:val="20"/>
          <w:color w:val="auto"/>
        </w:rPr>
      </w:pPr>
      <w:r>
        <w:rPr>
          <w:rFonts w:ascii="Arial" w:cs="Arial" w:eastAsia="Arial" w:hAnsi="Arial"/>
          <w:sz w:val="18"/>
          <w:szCs w:val="18"/>
          <w:color w:val="auto"/>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p>
      <w:pPr>
        <w:spacing w:after="0" w:line="181"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Offset Payment for Equity Option</w:t>
      </w:r>
    </w:p>
    <w:p>
      <w:pPr>
        <w:spacing w:after="0" w:line="225" w:lineRule="exact"/>
        <w:rPr>
          <w:sz w:val="20"/>
          <w:szCs w:val="20"/>
          <w:color w:val="auto"/>
        </w:rPr>
      </w:pPr>
    </w:p>
    <w:p>
      <w:pPr>
        <w:ind w:left="1952" w:right="20"/>
        <w:spacing w:after="0" w:line="273" w:lineRule="auto"/>
        <w:rPr>
          <w:sz w:val="20"/>
          <w:szCs w:val="20"/>
          <w:color w:val="auto"/>
        </w:rPr>
      </w:pPr>
      <w:r>
        <w:rPr>
          <w:rFonts w:ascii="Arial" w:cs="Arial" w:eastAsia="Arial" w:hAnsi="Arial"/>
          <w:sz w:val="17"/>
          <w:szCs w:val="17"/>
          <w:color w:val="auto"/>
        </w:rPr>
        <w:t>Each time Party A exercises the Equity Option, the Purchase Price that is payable by Party A and/or the Designated Persons to the Transferor in connection with the Purchased Interest shall be used to offset the amount outstanding on the Loan (with such offset applied to the principal, interest and capital utilization costs for the Loan), provided that if there is any tax and/or other expenses paid or payable by Party B in connection with the transfer of the Purchased Interest in accordance with this Agreement, then a portion of the Purchase Price equal to the amount of such tax and/or other expenses shall be paid to Party B in cash and not applied as an offset to the amount outstanding on the Loan.</w:t>
      </w:r>
    </w:p>
    <w:p>
      <w:pPr>
        <w:spacing w:after="0" w:line="178"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Cash Payment for Asset Option</w:t>
      </w:r>
    </w:p>
    <w:p>
      <w:pPr>
        <w:spacing w:after="0" w:line="225" w:lineRule="exact"/>
        <w:rPr>
          <w:sz w:val="20"/>
          <w:szCs w:val="20"/>
          <w:color w:val="auto"/>
        </w:rPr>
      </w:pPr>
    </w:p>
    <w:p>
      <w:pPr>
        <w:ind w:left="1952" w:right="180"/>
        <w:spacing w:after="0" w:line="264" w:lineRule="auto"/>
        <w:rPr>
          <w:sz w:val="20"/>
          <w:szCs w:val="20"/>
          <w:color w:val="auto"/>
        </w:rPr>
      </w:pPr>
      <w:r>
        <w:rPr>
          <w:rFonts w:ascii="Arial" w:cs="Arial" w:eastAsia="Arial" w:hAnsi="Arial"/>
          <w:sz w:val="18"/>
          <w:szCs w:val="18"/>
          <w:color w:val="auto"/>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p>
      <w:pPr>
        <w:spacing w:after="0" w:line="181"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Restrictions on Purchase Price</w:t>
      </w:r>
    </w:p>
    <w:p>
      <w:pPr>
        <w:spacing w:after="0" w:line="225" w:lineRule="exact"/>
        <w:rPr>
          <w:sz w:val="20"/>
          <w:szCs w:val="20"/>
          <w:color w:val="auto"/>
        </w:rPr>
      </w:pPr>
    </w:p>
    <w:p>
      <w:pPr>
        <w:ind w:left="1292" w:right="260"/>
        <w:spacing w:after="0" w:line="264" w:lineRule="auto"/>
        <w:rPr>
          <w:sz w:val="20"/>
          <w:szCs w:val="20"/>
          <w:color w:val="auto"/>
        </w:rPr>
      </w:pPr>
      <w:r>
        <w:rPr>
          <w:rFonts w:ascii="Arial" w:cs="Arial" w:eastAsia="Arial" w:hAnsi="Arial"/>
          <w:sz w:val="18"/>
          <w:szCs w:val="18"/>
          <w:color w:val="auto"/>
        </w:rPr>
        <w:t>Notwithstanding anything to the contrary in this Agreement, if the then applicable PRC laws or regulations require appraisal of the Purchased Interest or stipulate other restrictions on the Purchase Price at the time that Party A exercises the Option, the Parties agree that the Purchase Price shall be set at the lowest price permissible under applicable law.</w:t>
      </w:r>
    </w:p>
    <w:p>
      <w:pPr>
        <w:spacing w:after="0" w:line="181" w:lineRule="exact"/>
        <w:rPr>
          <w:sz w:val="20"/>
          <w:szCs w:val="20"/>
          <w:color w:val="auto"/>
        </w:rPr>
      </w:pPr>
    </w:p>
    <w:p>
      <w:pPr>
        <w:ind w:left="652" w:hanging="652"/>
        <w:spacing w:after="0"/>
        <w:tabs>
          <w:tab w:leader="none" w:pos="652"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Covenants Relating to the Purchased Interest</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Covenants Relating to Party B and Party C</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Each of Party B and Party C hereby covenants:</w:t>
      </w:r>
    </w:p>
    <w:p>
      <w:pPr>
        <w:spacing w:after="0" w:line="225" w:lineRule="exact"/>
        <w:rPr>
          <w:sz w:val="20"/>
          <w:szCs w:val="20"/>
          <w:color w:val="auto"/>
        </w:rPr>
      </w:pPr>
    </w:p>
    <w:p>
      <w:pPr>
        <w:ind w:left="1932" w:right="20" w:hanging="647"/>
        <w:spacing w:after="0" w:line="277" w:lineRule="auto"/>
        <w:tabs>
          <w:tab w:leader="none" w:pos="1912" w:val="left"/>
        </w:tabs>
        <w:rPr>
          <w:sz w:val="20"/>
          <w:szCs w:val="20"/>
          <w:color w:val="auto"/>
        </w:rPr>
      </w:pPr>
      <w:r>
        <w:rPr>
          <w:rFonts w:ascii="Arial" w:cs="Arial" w:eastAsia="Arial" w:hAnsi="Arial"/>
          <w:sz w:val="18"/>
          <w:szCs w:val="18"/>
          <w:color w:val="auto"/>
        </w:rPr>
        <w:t>2.1.1</w:t>
        <w:tab/>
        <w:t>Not to supplement, amend or modify Party C’s articles of association in any way, or to increase or decrease its registered capital, or to change its registered capital structure in any way without Party A’s prior written consent;</w:t>
      </w:r>
    </w:p>
    <w:p>
      <w:pPr>
        <w:sectPr>
          <w:pgSz w:w="11900" w:h="16838" w:orient="portrait"/>
          <w:cols w:equalWidth="0" w:num="1">
            <w:col w:w="11412"/>
          </w:cols>
          <w:pgMar w:left="248" w:top="733" w:right="239" w:bottom="85" w:gutter="0" w:footer="0" w:header="0"/>
        </w:sectPr>
      </w:pPr>
    </w:p>
    <w:bookmarkStart w:id="162" w:name="page163"/>
    <w:bookmarkEnd w:id="162"/>
    <w:p>
      <w:pPr>
        <w:spacing w:after="0" w:line="137" w:lineRule="exact"/>
        <w:rPr>
          <w:sz w:val="20"/>
          <w:szCs w:val="20"/>
          <w:color w:val="auto"/>
        </w:rPr>
      </w:pPr>
    </w:p>
    <w:p>
      <w:pPr>
        <w:ind w:left="880" w:right="180" w:hanging="647"/>
        <w:spacing w:after="0" w:line="277" w:lineRule="auto"/>
        <w:tabs>
          <w:tab w:leader="none" w:pos="860" w:val="left"/>
        </w:tabs>
        <w:rPr>
          <w:sz w:val="20"/>
          <w:szCs w:val="20"/>
          <w:color w:val="auto"/>
        </w:rPr>
      </w:pPr>
      <w:r>
        <w:rPr>
          <w:rFonts w:ascii="Arial" w:cs="Arial" w:eastAsia="Arial" w:hAnsi="Arial"/>
          <w:sz w:val="18"/>
          <w:szCs w:val="18"/>
          <w:color w:val="auto"/>
        </w:rPr>
        <w:t>2.1.2</w:t>
        <w:tab/>
        <w:t>To maintain the corporate existence of Party C and operate its business and deal with matters prudently and effectively according to good financial and business rules and practices;</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2.1.3</w:t>
        <w:tab/>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p>
      <w:pPr>
        <w:spacing w:after="0" w:line="181" w:lineRule="exact"/>
        <w:rPr>
          <w:sz w:val="20"/>
          <w:szCs w:val="20"/>
          <w:color w:val="auto"/>
        </w:rPr>
      </w:pPr>
    </w:p>
    <w:p>
      <w:pPr>
        <w:ind w:left="880" w:right="120" w:hanging="647"/>
        <w:spacing w:after="0" w:line="264" w:lineRule="auto"/>
        <w:tabs>
          <w:tab w:leader="none" w:pos="860" w:val="left"/>
        </w:tabs>
        <w:rPr>
          <w:sz w:val="20"/>
          <w:szCs w:val="20"/>
          <w:color w:val="auto"/>
        </w:rPr>
      </w:pPr>
      <w:r>
        <w:rPr>
          <w:rFonts w:ascii="Arial" w:cs="Arial" w:eastAsia="Arial" w:hAnsi="Arial"/>
          <w:sz w:val="18"/>
          <w:szCs w:val="18"/>
          <w:color w:val="auto"/>
        </w:rPr>
        <w:t>2.1.4</w:t>
        <w:tab/>
        <w:t>Not to create, succeed to, guarantee or permit any liability, without Party A’s prior written consent, except (i) liabilities arising from the normal course of business, but not arising from loans; and (ii) liabilities disclosed to Party A and approved by Party A in writing;</w:t>
      </w:r>
    </w:p>
    <w:p>
      <w:pPr>
        <w:spacing w:after="0" w:line="181" w:lineRule="exact"/>
        <w:rPr>
          <w:sz w:val="20"/>
          <w:szCs w:val="20"/>
          <w:color w:val="auto"/>
        </w:rPr>
      </w:pPr>
    </w:p>
    <w:p>
      <w:pPr>
        <w:ind w:left="880" w:right="100" w:hanging="647"/>
        <w:spacing w:after="0" w:line="277" w:lineRule="auto"/>
        <w:tabs>
          <w:tab w:leader="none" w:pos="860" w:val="left"/>
        </w:tabs>
        <w:rPr>
          <w:sz w:val="20"/>
          <w:szCs w:val="20"/>
          <w:color w:val="auto"/>
        </w:rPr>
      </w:pPr>
      <w:r>
        <w:rPr>
          <w:rFonts w:ascii="Arial" w:cs="Arial" w:eastAsia="Arial" w:hAnsi="Arial"/>
          <w:sz w:val="18"/>
          <w:szCs w:val="18"/>
          <w:color w:val="auto"/>
        </w:rPr>
        <w:t>2.1.5</w:t>
        <w:tab/>
        <w:t>To operate all the business in the normal course of business to maintain the value of Party C’s assets, and not to commit any act or omission that would adversely affect Party C’s operations and asset value;</w:t>
      </w:r>
    </w:p>
    <w:p>
      <w:pPr>
        <w:spacing w:after="0" w:line="170" w:lineRule="exact"/>
        <w:rPr>
          <w:sz w:val="20"/>
          <w:szCs w:val="20"/>
          <w:color w:val="auto"/>
        </w:rPr>
      </w:pPr>
    </w:p>
    <w:p>
      <w:pPr>
        <w:ind w:left="880" w:hanging="647"/>
        <w:spacing w:after="0" w:line="342" w:lineRule="auto"/>
        <w:tabs>
          <w:tab w:leader="none" w:pos="8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Without prior written consent by Party A, not to enter into any material agreement, other than agreements entered into in Party C’s normal course of business (for purpose of this paragraph, an agreement will be deemed material if its value exceeds RMB100,000);</w:t>
      </w:r>
    </w:p>
    <w:p>
      <w:pPr>
        <w:spacing w:after="0" w:line="124"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Not to provide loans or credit to any person (other than in the normal course of business) without Party A’s prior written consent;</w:t>
      </w:r>
    </w:p>
    <w:p>
      <w:pPr>
        <w:spacing w:after="0" w:line="225"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To provide all information relating to Party C’s operations and financial conditions upon the request of Party A;</w:t>
      </w:r>
    </w:p>
    <w:p>
      <w:pPr>
        <w:spacing w:after="0" w:line="225" w:lineRule="exact"/>
        <w:rPr>
          <w:sz w:val="20"/>
          <w:szCs w:val="20"/>
          <w:color w:val="auto"/>
        </w:rPr>
      </w:pPr>
    </w:p>
    <w:p>
      <w:pPr>
        <w:ind w:left="880" w:right="160" w:hanging="647"/>
        <w:spacing w:after="0" w:line="264" w:lineRule="auto"/>
        <w:tabs>
          <w:tab w:leader="none" w:pos="860" w:val="left"/>
        </w:tabs>
        <w:rPr>
          <w:sz w:val="20"/>
          <w:szCs w:val="20"/>
          <w:color w:val="auto"/>
        </w:rPr>
      </w:pPr>
      <w:r>
        <w:rPr>
          <w:rFonts w:ascii="Arial" w:cs="Arial" w:eastAsia="Arial" w:hAnsi="Arial"/>
          <w:sz w:val="18"/>
          <w:szCs w:val="18"/>
          <w:color w:val="auto"/>
        </w:rPr>
        <w:t>2.1.9</w:t>
        <w:tab/>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p>
      <w:pPr>
        <w:spacing w:after="0" w:line="18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Not to merge or consolidate with, or acquire or invest in, any person without Party A’s prior written consent;</w:t>
      </w:r>
    </w:p>
    <w:p>
      <w:pPr>
        <w:spacing w:after="0" w:line="225" w:lineRule="exact"/>
        <w:rPr>
          <w:sz w:val="20"/>
          <w:szCs w:val="20"/>
          <w:color w:val="auto"/>
        </w:rPr>
      </w:pPr>
    </w:p>
    <w:p>
      <w:pPr>
        <w:ind w:left="880" w:hanging="647"/>
        <w:spacing w:after="0" w:line="277" w:lineRule="auto"/>
        <w:tabs>
          <w:tab w:leader="none" w:pos="860" w:val="left"/>
        </w:tabs>
        <w:rPr>
          <w:sz w:val="20"/>
          <w:szCs w:val="20"/>
          <w:color w:val="auto"/>
        </w:rPr>
      </w:pPr>
      <w:r>
        <w:rPr>
          <w:rFonts w:ascii="Arial" w:cs="Arial" w:eastAsia="Arial" w:hAnsi="Arial"/>
          <w:sz w:val="18"/>
          <w:szCs w:val="18"/>
          <w:color w:val="auto"/>
        </w:rPr>
        <w:t>2.1.11</w:t>
        <w:tab/>
        <w:t>To promptly notify Party A of any pending or threatened suit, arbitration or administrative proceedings concerning Party C’s assets, business or revenue;</w:t>
      </w:r>
    </w:p>
    <w:p>
      <w:pPr>
        <w:spacing w:after="0" w:line="170" w:lineRule="exact"/>
        <w:rPr>
          <w:sz w:val="20"/>
          <w:szCs w:val="20"/>
          <w:color w:val="auto"/>
        </w:rPr>
      </w:pPr>
    </w:p>
    <w:p>
      <w:pPr>
        <w:jc w:val="both"/>
        <w:ind w:left="880" w:right="600" w:hanging="647"/>
        <w:spacing w:after="0" w:line="264" w:lineRule="auto"/>
        <w:tabs>
          <w:tab w:leader="none" w:pos="860" w:val="left"/>
        </w:tabs>
        <w:rPr>
          <w:sz w:val="20"/>
          <w:szCs w:val="20"/>
          <w:color w:val="auto"/>
        </w:rPr>
      </w:pPr>
      <w:r>
        <w:rPr>
          <w:rFonts w:ascii="Arial" w:cs="Arial" w:eastAsia="Arial" w:hAnsi="Arial"/>
          <w:sz w:val="18"/>
          <w:szCs w:val="18"/>
          <w:color w:val="auto"/>
        </w:rPr>
        <w:t>2.1.12</w:t>
        <w:tab/>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p>
      <w:pPr>
        <w:spacing w:after="0" w:line="181" w:lineRule="exact"/>
        <w:rPr>
          <w:sz w:val="20"/>
          <w:szCs w:val="20"/>
          <w:color w:val="auto"/>
        </w:rPr>
      </w:pPr>
    </w:p>
    <w:p>
      <w:pPr>
        <w:ind w:left="880" w:right="260" w:hanging="647"/>
        <w:spacing w:after="0" w:line="277" w:lineRule="auto"/>
        <w:tabs>
          <w:tab w:leader="none" w:pos="860" w:val="left"/>
        </w:tabs>
        <w:rPr>
          <w:sz w:val="20"/>
          <w:szCs w:val="20"/>
          <w:color w:val="auto"/>
        </w:rPr>
      </w:pPr>
      <w:r>
        <w:rPr>
          <w:rFonts w:ascii="Arial" w:cs="Arial" w:eastAsia="Arial" w:hAnsi="Arial"/>
          <w:sz w:val="18"/>
          <w:szCs w:val="18"/>
          <w:color w:val="auto"/>
        </w:rPr>
        <w:t>2.1.13</w:t>
        <w:tab/>
        <w:t>Not to distribute dividends to Party C’s shareholders in any way without Party A’s prior written consent. However, Party C shall promptly distribute all or part of its distributable profits to its shareholders upon Party A’s request; and</w:t>
      </w:r>
    </w:p>
    <w:p>
      <w:pPr>
        <w:spacing w:after="0" w:line="1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Covenants Relating to Party B</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Party B hereby covenants:</w:t>
      </w:r>
    </w:p>
    <w:p>
      <w:pPr>
        <w:spacing w:after="0" w:line="225" w:lineRule="exact"/>
        <w:rPr>
          <w:sz w:val="20"/>
          <w:szCs w:val="20"/>
          <w:color w:val="auto"/>
        </w:rPr>
      </w:pPr>
    </w:p>
    <w:p>
      <w:pPr>
        <w:jc w:val="both"/>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2.2.1</w:t>
        <w:tab/>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p>
      <w:pPr>
        <w:spacing w:after="0" w:line="181" w:lineRule="exact"/>
        <w:rPr>
          <w:sz w:val="20"/>
          <w:szCs w:val="20"/>
          <w:color w:val="auto"/>
        </w:rPr>
      </w:pPr>
    </w:p>
    <w:p>
      <w:pPr>
        <w:ind w:left="880" w:right="120" w:hanging="647"/>
        <w:spacing w:after="0" w:line="259" w:lineRule="auto"/>
        <w:tabs>
          <w:tab w:leader="none" w:pos="860" w:val="left"/>
        </w:tabs>
        <w:rPr>
          <w:sz w:val="20"/>
          <w:szCs w:val="20"/>
          <w:color w:val="auto"/>
        </w:rPr>
      </w:pPr>
      <w:r>
        <w:rPr>
          <w:rFonts w:ascii="Arial" w:cs="Arial" w:eastAsia="Arial" w:hAnsi="Arial"/>
          <w:sz w:val="18"/>
          <w:szCs w:val="18"/>
          <w:color w:val="auto"/>
        </w:rPr>
        <w:t>2.2.2</w:t>
        <w:tab/>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p>
      <w:pPr>
        <w:spacing w:after="0" w:line="187" w:lineRule="exact"/>
        <w:rPr>
          <w:sz w:val="20"/>
          <w:szCs w:val="20"/>
          <w:color w:val="auto"/>
        </w:rPr>
      </w:pPr>
    </w:p>
    <w:p>
      <w:pPr>
        <w:ind w:left="880" w:right="120" w:hanging="647"/>
        <w:spacing w:after="0" w:line="277" w:lineRule="auto"/>
        <w:tabs>
          <w:tab w:leader="none" w:pos="860" w:val="left"/>
        </w:tabs>
        <w:rPr>
          <w:sz w:val="20"/>
          <w:szCs w:val="20"/>
          <w:color w:val="auto"/>
        </w:rPr>
      </w:pPr>
      <w:r>
        <w:rPr>
          <w:rFonts w:ascii="Arial" w:cs="Arial" w:eastAsia="Arial" w:hAnsi="Arial"/>
          <w:sz w:val="18"/>
          <w:szCs w:val="18"/>
          <w:color w:val="auto"/>
        </w:rPr>
        <w:t>2.2.3</w:t>
        <w:tab/>
        <w:t>Without Party A’s prior written consent, not to vote for or sign any shareholders’ resolution at Party C’s shareholders’ meetings to approve Party C’s merger or consolidation with, acquisition of or investment in, any person;</w:t>
      </w:r>
    </w:p>
    <w:p>
      <w:pPr>
        <w:spacing w:after="0" w:line="170" w:lineRule="exact"/>
        <w:rPr>
          <w:sz w:val="20"/>
          <w:szCs w:val="20"/>
          <w:color w:val="auto"/>
        </w:rPr>
      </w:pPr>
    </w:p>
    <w:p>
      <w:pPr>
        <w:ind w:left="880" w:right="420" w:hanging="647"/>
        <w:spacing w:after="0" w:line="277" w:lineRule="auto"/>
        <w:tabs>
          <w:tab w:leader="none" w:pos="860" w:val="left"/>
        </w:tabs>
        <w:rPr>
          <w:sz w:val="20"/>
          <w:szCs w:val="20"/>
          <w:color w:val="auto"/>
        </w:rPr>
      </w:pPr>
      <w:r>
        <w:rPr>
          <w:rFonts w:ascii="Arial" w:cs="Arial" w:eastAsia="Arial" w:hAnsi="Arial"/>
          <w:sz w:val="18"/>
          <w:szCs w:val="18"/>
          <w:color w:val="auto"/>
        </w:rPr>
        <w:t>2.2.4</w:t>
        <w:tab/>
        <w:t>To promptly notify Party A of any pending or threatened suit, arbitration or administrative proceedings concerning the Equity Interest owned by it;</w:t>
      </w:r>
    </w:p>
    <w:p>
      <w:pPr>
        <w:spacing w:after="0" w:line="1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To cause any relevant shareholders’ meeting to approve the transfer of any Purchased Interest under this Agreement;</w:t>
      </w:r>
    </w:p>
    <w:p>
      <w:pPr>
        <w:spacing w:after="0" w:line="225" w:lineRule="exact"/>
        <w:rPr>
          <w:sz w:val="20"/>
          <w:szCs w:val="20"/>
          <w:color w:val="auto"/>
        </w:rPr>
      </w:pPr>
    </w:p>
    <w:p>
      <w:pPr>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2.2.6</w:t>
        <w:tab/>
        <w:t>To execute all necessary or appropriate documents, to take all necessary or appropriate actions and to bring all necessary or appropriate claims or to make all necessary and appropriate defenses against all claims in order to maintain his/her ownership over the Equity Interest;</w:t>
      </w:r>
    </w:p>
    <w:p>
      <w:pPr>
        <w:spacing w:after="0" w:line="18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ind w:left="880" w:right="120" w:hanging="647"/>
        <w:spacing w:after="0" w:line="342" w:lineRule="auto"/>
        <w:tabs>
          <w:tab w:leader="none" w:pos="8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At any time, upon the request of Party A, to transfer its Purchased Interest immediately and unconditionally to the representative designated by Party A, and, in the case of a purchase of any Equity Interest, waive its preemptive right with respect to the transfer</w:t>
      </w:r>
    </w:p>
    <w:p>
      <w:pPr>
        <w:sectPr>
          <w:pgSz w:w="11900" w:h="16975" w:orient="portrait"/>
          <w:cols w:equalWidth="0" w:num="1">
            <w:col w:w="10360"/>
          </w:cols>
          <w:pgMar w:left="1300" w:top="125" w:right="239" w:bottom="0" w:gutter="0" w:footer="0" w:header="0"/>
        </w:sectPr>
      </w:pPr>
    </w:p>
    <w:bookmarkStart w:id="163" w:name="page164"/>
    <w:bookmarkEnd w:id="163"/>
    <w:p>
      <w:pPr>
        <w:spacing w:after="0" w:line="103"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of such Equity Interest by any other shareholder of Party C; and</w:t>
      </w:r>
    </w:p>
    <w:p>
      <w:pPr>
        <w:spacing w:after="0" w:line="225" w:lineRule="exact"/>
        <w:rPr>
          <w:sz w:val="20"/>
          <w:szCs w:val="20"/>
          <w:color w:val="auto"/>
        </w:rPr>
      </w:pPr>
    </w:p>
    <w:p>
      <w:pPr>
        <w:jc w:val="both"/>
        <w:ind w:left="1932" w:right="20" w:hanging="647"/>
        <w:spacing w:after="0" w:line="264" w:lineRule="auto"/>
        <w:tabs>
          <w:tab w:leader="none" w:pos="1912" w:val="left"/>
        </w:tabs>
        <w:rPr>
          <w:sz w:val="20"/>
          <w:szCs w:val="20"/>
          <w:color w:val="auto"/>
        </w:rPr>
      </w:pPr>
      <w:r>
        <w:rPr>
          <w:rFonts w:ascii="Arial" w:cs="Arial" w:eastAsia="Arial" w:hAnsi="Arial"/>
          <w:sz w:val="18"/>
          <w:szCs w:val="18"/>
          <w:color w:val="auto"/>
        </w:rPr>
        <w:t>2.2.9</w:t>
        <w:tab/>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652" w:right="580"/>
        <w:spacing w:after="0" w:line="277" w:lineRule="auto"/>
        <w:rPr>
          <w:sz w:val="20"/>
          <w:szCs w:val="20"/>
          <w:color w:val="auto"/>
        </w:rPr>
      </w:pPr>
      <w:r>
        <w:rPr>
          <w:rFonts w:ascii="Arial" w:cs="Arial" w:eastAsia="Arial" w:hAnsi="Arial"/>
          <w:sz w:val="18"/>
          <w:szCs w:val="18"/>
          <w:color w:val="auto"/>
        </w:rPr>
        <w:t>As of the execution date of this Agreement and every transfer date, each of Party B and Party C hereby represents and warrants to Party A as follows:</w:t>
      </w:r>
    </w:p>
    <w:p>
      <w:pPr>
        <w:spacing w:after="0" w:line="170" w:lineRule="exact"/>
        <w:rPr>
          <w:sz w:val="20"/>
          <w:szCs w:val="20"/>
          <w:color w:val="auto"/>
        </w:rPr>
      </w:pPr>
    </w:p>
    <w:p>
      <w:pPr>
        <w:ind w:left="1692" w:right="80" w:hanging="647"/>
        <w:spacing w:after="0" w:line="259" w:lineRule="auto"/>
        <w:tabs>
          <w:tab w:leader="none" w:pos="167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 constitute a legal, valid and binding obligation of it enforceable against it in accordance with its terms;</w:t>
      </w:r>
    </w:p>
    <w:p>
      <w:pPr>
        <w:spacing w:after="0" w:line="187" w:lineRule="exact"/>
        <w:rPr>
          <w:sz w:val="20"/>
          <w:szCs w:val="20"/>
          <w:color w:val="auto"/>
        </w:rPr>
      </w:pPr>
    </w:p>
    <w:p>
      <w:pPr>
        <w:ind w:left="1692" w:right="80" w:hanging="647"/>
        <w:spacing w:after="0" w:line="257" w:lineRule="auto"/>
        <w:tabs>
          <w:tab w:leader="none" w:pos="16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p>
      <w:pPr>
        <w:spacing w:after="0" w:line="188"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Party C has good and marketable ownership interest in all of its assets and has not created any Security Interest on the said assets;</w:t>
      </w:r>
    </w:p>
    <w:p>
      <w:pPr>
        <w:spacing w:after="0" w:line="225" w:lineRule="exact"/>
        <w:rPr>
          <w:sz w:val="20"/>
          <w:szCs w:val="20"/>
          <w:color w:val="auto"/>
        </w:rPr>
      </w:pPr>
    </w:p>
    <w:p>
      <w:pPr>
        <w:ind w:left="1692" w:right="20" w:hanging="647"/>
        <w:spacing w:after="0" w:line="277" w:lineRule="auto"/>
        <w:tabs>
          <w:tab w:leader="none" w:pos="16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Party C has no outstanding liabilities, except (i) liabilities arising in its normal course of business; and (ii) liabilities disclosed to Party A and approved by Party A in writing;</w:t>
      </w:r>
    </w:p>
    <w:p>
      <w:pPr>
        <w:spacing w:after="0" w:line="170"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Party C complies with all PRC laws and regulations applicable to the acquisition of assets;</w:t>
      </w:r>
    </w:p>
    <w:p>
      <w:pPr>
        <w:spacing w:after="0" w:line="225" w:lineRule="exact"/>
        <w:rPr>
          <w:sz w:val="20"/>
          <w:szCs w:val="20"/>
          <w:color w:val="auto"/>
        </w:rPr>
      </w:pPr>
    </w:p>
    <w:p>
      <w:pPr>
        <w:ind w:left="1692" w:right="560" w:hanging="647"/>
        <w:spacing w:after="0" w:line="277" w:lineRule="auto"/>
        <w:tabs>
          <w:tab w:leader="none" w:pos="167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There are currently no existing, pending or threatened litigation, arbitration or administrative proceedings related to the Equity Interest, Party C’s assets or Party C; and</w:t>
      </w:r>
    </w:p>
    <w:p>
      <w:pPr>
        <w:spacing w:after="0" w:line="170" w:lineRule="exact"/>
        <w:rPr>
          <w:sz w:val="20"/>
          <w:szCs w:val="20"/>
          <w:color w:val="auto"/>
        </w:rPr>
      </w:pPr>
    </w:p>
    <w:p>
      <w:pPr>
        <w:ind w:left="1692" w:right="280" w:hanging="647"/>
        <w:spacing w:after="0" w:line="277" w:lineRule="auto"/>
        <w:tabs>
          <w:tab w:leader="none" w:pos="167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has good and marketable ownership interest in the Equity Interest and has not created any Security Interest on such Equity Interest, other than the Security Interest pursuant to the Equity Pledge Agreement.</w:t>
      </w:r>
    </w:p>
    <w:p>
      <w:pPr>
        <w:spacing w:after="0" w:line="170" w:lineRule="exact"/>
        <w:rPr>
          <w:sz w:val="20"/>
          <w:szCs w:val="20"/>
          <w:color w:val="auto"/>
        </w:rPr>
      </w:pPr>
    </w:p>
    <w:p>
      <w:pPr>
        <w:ind w:left="652" w:hanging="652"/>
        <w:spacing w:after="0"/>
        <w:tabs>
          <w:tab w:leader="none" w:pos="652"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Assignment of Agreement</w:t>
      </w:r>
    </w:p>
    <w:p>
      <w:pPr>
        <w:spacing w:after="0" w:line="225" w:lineRule="exact"/>
        <w:rPr>
          <w:sz w:val="20"/>
          <w:szCs w:val="20"/>
          <w:color w:val="auto"/>
        </w:rPr>
      </w:pPr>
    </w:p>
    <w:p>
      <w:pPr>
        <w:ind w:left="1692" w:right="400" w:hanging="647"/>
        <w:spacing w:after="0" w:line="277" w:lineRule="auto"/>
        <w:tabs>
          <w:tab w:leader="none" w:pos="167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Party B and Party C shall not assign their rights and obligations under this Agreement to any third party without the prior written consent of Party A.</w:t>
      </w:r>
    </w:p>
    <w:p>
      <w:pPr>
        <w:spacing w:after="0" w:line="170" w:lineRule="exact"/>
        <w:rPr>
          <w:sz w:val="20"/>
          <w:szCs w:val="20"/>
          <w:color w:val="auto"/>
        </w:rPr>
      </w:pPr>
    </w:p>
    <w:p>
      <w:pPr>
        <w:ind w:left="1692" w:right="140" w:hanging="647"/>
        <w:spacing w:after="0" w:line="308" w:lineRule="auto"/>
        <w:tabs>
          <w:tab w:leader="none" w:pos="167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Party B and Party C hereby agree that Party A may assign all its rights and obligations under this Agreement to a third party without the consent of Party B and Party C, but such assignment shall be notified in writing to Party B and Party C.</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Effective Date and Term</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Agreement shall be effective as of the date first set forth above.</w:t>
      </w:r>
    </w:p>
    <w:p>
      <w:pPr>
        <w:spacing w:after="0" w:line="225" w:lineRule="exact"/>
        <w:rPr>
          <w:sz w:val="20"/>
          <w:szCs w:val="20"/>
          <w:color w:val="auto"/>
        </w:rPr>
      </w:pPr>
    </w:p>
    <w:p>
      <w:pPr>
        <w:ind w:left="1692" w:hanging="647"/>
        <w:spacing w:after="0" w:line="273" w:lineRule="auto"/>
        <w:tabs>
          <w:tab w:leader="none" w:pos="16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This Agreement shall remain in full force and effect until the earlier of (i) the date on which all of the Equity Interest held by Party B or all of the assets of Party C held by Party C or its subsidiaries have been acquired by Party A directly and/or through its Designated Persons in accordance with this Agreement, (ii) the unilateral termination of this Agreement by Party A at its sole and absolute discretion by giving thirty (30) days prior written notice to the other Parties of its intention to terminate this Agreement, and (iii) if the duration of operation (including any extension thereof) of Party A or Party C is expired or terminated, except in the situation where Party A has assigned its rights and obligations in accordance with Article 4.2 hereof.</w:t>
      </w:r>
    </w:p>
    <w:p>
      <w:pPr>
        <w:spacing w:after="0" w:line="178" w:lineRule="exact"/>
        <w:rPr>
          <w:sz w:val="20"/>
          <w:szCs w:val="20"/>
          <w:color w:val="auto"/>
        </w:rPr>
      </w:pPr>
    </w:p>
    <w:p>
      <w:pPr>
        <w:ind w:left="652" w:hanging="652"/>
        <w:spacing w:after="0"/>
        <w:tabs>
          <w:tab w:leader="none" w:pos="652"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Applicable Laws and Dispute Resolution</w:t>
      </w:r>
    </w:p>
    <w:p>
      <w:pPr>
        <w:spacing w:after="0" w:line="225"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7"/>
          <w:szCs w:val="17"/>
          <w:color w:val="auto"/>
        </w:rPr>
        <w:t>Applicable Law</w:t>
      </w:r>
    </w:p>
    <w:p>
      <w:pPr>
        <w:spacing w:after="0" w:line="225"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w:t>
      </w:r>
    </w:p>
    <w:p>
      <w:pPr>
        <w:spacing w:after="0" w:line="170"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1292" w:right="40"/>
        <w:spacing w:after="0" w:line="297" w:lineRule="auto"/>
        <w:rPr>
          <w:sz w:val="20"/>
          <w:szCs w:val="20"/>
          <w:color w:val="auto"/>
        </w:rPr>
      </w:pPr>
      <w:r>
        <w:rPr>
          <w:rFonts w:ascii="Arial" w:cs="Arial" w:eastAsia="Arial" w:hAnsi="Arial"/>
          <w:sz w:val="16"/>
          <w:szCs w:val="16"/>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w:t>
      </w:r>
    </w:p>
    <w:p>
      <w:pPr>
        <w:sectPr>
          <w:pgSz w:w="11900" w:h="16941" w:orient="portrait"/>
          <w:cols w:equalWidth="0" w:num="1">
            <w:col w:w="11372"/>
          </w:cols>
          <w:pgMar w:left="248" w:top="125" w:right="279" w:bottom="0" w:gutter="0" w:footer="0" w:header="0"/>
        </w:sectPr>
      </w:pPr>
    </w:p>
    <w:bookmarkStart w:id="164" w:name="page165"/>
    <w:bookmarkEnd w:id="164"/>
    <w:p>
      <w:pPr>
        <w:ind w:left="1300" w:right="100"/>
        <w:spacing w:after="0" w:line="253" w:lineRule="auto"/>
        <w:rPr>
          <w:sz w:val="20"/>
          <w:szCs w:val="20"/>
          <w:color w:val="auto"/>
        </w:rPr>
      </w:pPr>
      <w:r>
        <w:rPr>
          <w:rFonts w:ascii="Arial" w:cs="Arial" w:eastAsia="Arial" w:hAnsi="Arial"/>
          <w:sz w:val="18"/>
          <w:szCs w:val="18"/>
          <w:color w:val="auto"/>
        </w:rPr>
        <w:t>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Taxes and Expenses</w:t>
      </w:r>
    </w:p>
    <w:p>
      <w:pPr>
        <w:spacing w:after="0" w:line="225" w:lineRule="exact"/>
        <w:rPr>
          <w:rFonts w:ascii="Arial" w:cs="Arial" w:eastAsia="Arial" w:hAnsi="Arial"/>
          <w:sz w:val="18"/>
          <w:szCs w:val="18"/>
          <w:color w:val="auto"/>
        </w:rPr>
      </w:pPr>
    </w:p>
    <w:p>
      <w:pPr>
        <w:ind w:left="660" w:right="160"/>
        <w:spacing w:after="0" w:line="264" w:lineRule="auto"/>
        <w:rPr>
          <w:rFonts w:ascii="Arial" w:cs="Arial" w:eastAsia="Arial" w:hAnsi="Arial"/>
          <w:sz w:val="18"/>
          <w:szCs w:val="18"/>
          <w:color w:val="auto"/>
        </w:rPr>
      </w:pPr>
      <w:r>
        <w:rPr>
          <w:rFonts w:ascii="Arial" w:cs="Arial" w:eastAsia="Arial" w:hAnsi="Arial"/>
          <w:sz w:val="18"/>
          <w:szCs w:val="18"/>
          <w:color w:val="auto"/>
        </w:rPr>
        <w:t>Party A shall bear any and all transfer and registration taxes, expenses and charges incurred by or levied on it, Party B or Party C with respect to the preparation and execution of this Agreement and each Transfer Agreement and the consummation of the transactions contemplated under this Agreement and each Transfer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ind w:left="1700" w:right="120" w:hanging="647"/>
        <w:spacing w:after="0" w:line="290" w:lineRule="auto"/>
        <w:tabs>
          <w:tab w:leader="none" w:pos="1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p>
      <w:pPr>
        <w:spacing w:after="0" w:line="166"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All parties agree that this Article 8 shall survive the invalidity, cancellation, termination or unenforceability of this Agreement.</w:t>
      </w:r>
    </w:p>
    <w:p>
      <w:pPr>
        <w:spacing w:after="0" w:line="225" w:lineRule="exact"/>
        <w:rPr>
          <w:sz w:val="20"/>
          <w:szCs w:val="20"/>
          <w:color w:val="auto"/>
        </w:rPr>
      </w:pPr>
    </w:p>
    <w:p>
      <w:pPr>
        <w:ind w:left="660" w:hanging="652"/>
        <w:spacing w:after="0"/>
        <w:tabs>
          <w:tab w:leader="none" w:pos="66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rFonts w:ascii="Arial" w:cs="Arial" w:eastAsia="Arial" w:hAnsi="Arial"/>
          <w:sz w:val="18"/>
          <w:szCs w:val="18"/>
          <w:color w:val="auto"/>
        </w:rPr>
      </w:pPr>
    </w:p>
    <w:p>
      <w:pPr>
        <w:ind w:left="660" w:right="160"/>
        <w:spacing w:after="0" w:line="293" w:lineRule="auto"/>
        <w:rPr>
          <w:rFonts w:ascii="Arial" w:cs="Arial" w:eastAsia="Arial" w:hAnsi="Arial"/>
          <w:sz w:val="18"/>
          <w:szCs w:val="18"/>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any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If to Party A: </w:t>
      </w:r>
      <w:r>
        <w:rPr>
          <w:rFonts w:ascii="Arial" w:cs="Arial" w:eastAsia="Arial" w:hAnsi="Arial"/>
          <w:sz w:val="18"/>
          <w:szCs w:val="18"/>
          <w:color w:val="auto"/>
        </w:rPr>
        <w:t>NetEase Media Technology (Beijing)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ind w:left="1760"/>
              <w:spacing w:after="0"/>
              <w:rPr>
                <w:sz w:val="20"/>
                <w:szCs w:val="20"/>
                <w:color w:val="auto"/>
              </w:rPr>
            </w:pPr>
            <w:r>
              <w:rPr>
                <w:rFonts w:ascii="Arial" w:cs="Arial" w:eastAsia="Arial" w:hAnsi="Arial"/>
                <w:sz w:val="18"/>
                <w:szCs w:val="18"/>
                <w:color w:val="auto"/>
              </w:rPr>
              <w:t>Address:</w:t>
            </w:r>
          </w:p>
        </w:tc>
        <w:tc>
          <w:tcPr>
            <w:tcW w:w="8700" w:type="dxa"/>
            <w:vAlign w:val="bottom"/>
          </w:tcPr>
          <w:p>
            <w:pPr>
              <w:ind w:left="260"/>
              <w:spacing w:after="0"/>
              <w:rPr>
                <w:sz w:val="20"/>
                <w:szCs w:val="20"/>
                <w:color w:val="auto"/>
              </w:rPr>
            </w:pPr>
            <w:r>
              <w:rPr>
                <w:rFonts w:ascii="Arial" w:cs="Arial" w:eastAsia="Arial" w:hAnsi="Arial"/>
                <w:sz w:val="18"/>
                <w:szCs w:val="18"/>
                <w:color w:val="auto"/>
              </w:rPr>
              <w:t>Building No. 7, West Zone, Zhongguancun Software Park (Phase II), No.10 Xibeiwang</w:t>
            </w:r>
          </w:p>
        </w:tc>
      </w:tr>
      <w:tr>
        <w:trPr>
          <w:trHeight w:val="230"/>
        </w:trPr>
        <w:tc>
          <w:tcPr>
            <w:tcW w:w="2760" w:type="dxa"/>
            <w:vAlign w:val="bottom"/>
          </w:tcPr>
          <w:p>
            <w:pPr>
              <w:spacing w:after="0"/>
              <w:rPr>
                <w:sz w:val="20"/>
                <w:szCs w:val="20"/>
                <w:color w:val="auto"/>
              </w:rPr>
            </w:pPr>
          </w:p>
        </w:tc>
        <w:tc>
          <w:tcPr>
            <w:tcW w:w="8700" w:type="dxa"/>
            <w:vAlign w:val="bottom"/>
          </w:tcPr>
          <w:p>
            <w:pPr>
              <w:ind w:left="260"/>
              <w:spacing w:after="0"/>
              <w:rPr>
                <w:sz w:val="20"/>
                <w:szCs w:val="20"/>
                <w:color w:val="auto"/>
              </w:rPr>
            </w:pPr>
            <w:r>
              <w:rPr>
                <w:rFonts w:ascii="Arial" w:cs="Arial" w:eastAsia="Arial" w:hAnsi="Arial"/>
                <w:sz w:val="18"/>
                <w:szCs w:val="18"/>
                <w:color w:val="auto"/>
              </w:rPr>
              <w:t>East Road, Haidian District, Beijing, China</w:t>
            </w:r>
          </w:p>
        </w:tc>
      </w:tr>
      <w:tr>
        <w:trPr>
          <w:trHeight w:val="432"/>
        </w:trPr>
        <w:tc>
          <w:tcPr>
            <w:tcW w:w="2760" w:type="dxa"/>
            <w:vAlign w:val="bottom"/>
          </w:tcPr>
          <w:p>
            <w:pPr>
              <w:ind w:left="1760"/>
              <w:spacing w:after="0"/>
              <w:rPr>
                <w:sz w:val="20"/>
                <w:szCs w:val="20"/>
                <w:color w:val="auto"/>
              </w:rPr>
            </w:pPr>
            <w:r>
              <w:rPr>
                <w:rFonts w:ascii="Arial" w:cs="Arial" w:eastAsia="Arial" w:hAnsi="Arial"/>
                <w:sz w:val="18"/>
                <w:szCs w:val="18"/>
                <w:color w:val="auto"/>
              </w:rPr>
              <w:t>Fax:</w:t>
            </w:r>
          </w:p>
        </w:tc>
        <w:tc>
          <w:tcPr>
            <w:tcW w:w="8700" w:type="dxa"/>
            <w:vAlign w:val="bottom"/>
          </w:tcPr>
          <w:p>
            <w:pPr>
              <w:ind w:left="260"/>
              <w:spacing w:after="0"/>
              <w:rPr>
                <w:sz w:val="20"/>
                <w:szCs w:val="20"/>
                <w:color w:val="auto"/>
              </w:rPr>
            </w:pPr>
            <w:r>
              <w:rPr>
                <w:rFonts w:ascii="Arial" w:cs="Arial" w:eastAsia="Arial" w:hAnsi="Arial"/>
                <w:sz w:val="18"/>
                <w:szCs w:val="18"/>
                <w:color w:val="auto"/>
              </w:rPr>
              <w:t>(86) 010-82625163</w:t>
            </w:r>
          </w:p>
        </w:tc>
      </w:tr>
      <w:tr>
        <w:trPr>
          <w:trHeight w:val="432"/>
        </w:trPr>
        <w:tc>
          <w:tcPr>
            <w:tcW w:w="2760" w:type="dxa"/>
            <w:vAlign w:val="bottom"/>
          </w:tcPr>
          <w:p>
            <w:pPr>
              <w:ind w:left="1760"/>
              <w:spacing w:after="0"/>
              <w:rPr>
                <w:sz w:val="20"/>
                <w:szCs w:val="20"/>
                <w:color w:val="auto"/>
              </w:rPr>
            </w:pPr>
            <w:r>
              <w:rPr>
                <w:rFonts w:ascii="Arial" w:cs="Arial" w:eastAsia="Arial" w:hAnsi="Arial"/>
                <w:sz w:val="18"/>
                <w:szCs w:val="18"/>
                <w:color w:val="auto"/>
              </w:rPr>
              <w:t>Email:</w:t>
            </w:r>
          </w:p>
        </w:tc>
        <w:tc>
          <w:tcPr>
            <w:tcW w:w="8700" w:type="dxa"/>
            <w:vAlign w:val="bottom"/>
          </w:tcPr>
          <w:p>
            <w:pPr>
              <w:ind w:left="260"/>
              <w:spacing w:after="0"/>
              <w:rPr>
                <w:sz w:val="20"/>
                <w:szCs w:val="20"/>
                <w:color w:val="auto"/>
              </w:rPr>
            </w:pPr>
            <w:r>
              <w:rPr>
                <w:rFonts w:ascii="Arial" w:cs="Arial" w:eastAsia="Arial" w:hAnsi="Arial"/>
                <w:sz w:val="18"/>
                <w:szCs w:val="18"/>
                <w:color w:val="auto"/>
              </w:rPr>
              <w:t>ochoi@corp.netease.com</w:t>
            </w:r>
          </w:p>
        </w:tc>
      </w:tr>
      <w:tr>
        <w:trPr>
          <w:trHeight w:val="432"/>
        </w:trPr>
        <w:tc>
          <w:tcPr>
            <w:tcW w:w="2760" w:type="dxa"/>
            <w:vAlign w:val="bottom"/>
          </w:tcPr>
          <w:p>
            <w:pPr>
              <w:ind w:left="1760"/>
              <w:spacing w:after="0"/>
              <w:rPr>
                <w:sz w:val="20"/>
                <w:szCs w:val="20"/>
                <w:color w:val="auto"/>
              </w:rPr>
            </w:pPr>
            <w:r>
              <w:rPr>
                <w:rFonts w:ascii="Arial" w:cs="Arial" w:eastAsia="Arial" w:hAnsi="Arial"/>
                <w:sz w:val="18"/>
                <w:szCs w:val="18"/>
                <w:color w:val="auto"/>
              </w:rPr>
              <w:t>Attention:</w:t>
            </w:r>
          </w:p>
        </w:tc>
        <w:tc>
          <w:tcPr>
            <w:tcW w:w="8700" w:type="dxa"/>
            <w:vAlign w:val="bottom"/>
          </w:tcPr>
          <w:p>
            <w:pPr>
              <w:ind w:left="260"/>
              <w:spacing w:after="0"/>
              <w:rPr>
                <w:sz w:val="20"/>
                <w:szCs w:val="20"/>
                <w:color w:val="auto"/>
              </w:rPr>
            </w:pPr>
            <w:r>
              <w:rPr>
                <w:rFonts w:ascii="Arial" w:cs="Arial" w:eastAsia="Arial" w:hAnsi="Arial"/>
                <w:sz w:val="18"/>
                <w:szCs w:val="18"/>
                <w:color w:val="auto"/>
              </w:rPr>
              <w:t>Onward Choi</w:t>
            </w:r>
          </w:p>
        </w:tc>
      </w:tr>
      <w:tr>
        <w:trPr>
          <w:trHeight w:val="432"/>
        </w:trPr>
        <w:tc>
          <w:tcPr>
            <w:tcW w:w="2760" w:type="dxa"/>
            <w:vAlign w:val="bottom"/>
          </w:tcPr>
          <w:p>
            <w:pPr>
              <w:spacing w:after="0"/>
              <w:rPr>
                <w:sz w:val="24"/>
                <w:szCs w:val="24"/>
                <w:color w:val="auto"/>
              </w:rPr>
            </w:pPr>
          </w:p>
        </w:tc>
        <w:tc>
          <w:tcPr>
            <w:tcW w:w="8700" w:type="dxa"/>
            <w:vAlign w:val="bottom"/>
          </w:tcPr>
          <w:p>
            <w:pPr>
              <w:ind w:left="2900"/>
              <w:spacing w:after="0"/>
              <w:rPr>
                <w:sz w:val="20"/>
                <w:szCs w:val="20"/>
                <w:color w:val="auto"/>
              </w:rPr>
            </w:pPr>
            <w:r>
              <w:rPr>
                <w:rFonts w:ascii="Arial" w:cs="Arial" w:eastAsia="Arial" w:hAnsi="Arial"/>
                <w:sz w:val="18"/>
                <w:szCs w:val="18"/>
                <w:color w:val="auto"/>
              </w:rPr>
              <w:t>9</w:t>
            </w:r>
          </w:p>
        </w:tc>
      </w:tr>
      <w:tr>
        <w:trPr>
          <w:trHeight w:val="132"/>
        </w:trPr>
        <w:tc>
          <w:tcPr>
            <w:tcW w:w="2760" w:type="dxa"/>
            <w:vAlign w:val="bottom"/>
            <w:tcBorders>
              <w:bottom w:val="single" w:sz="8" w:color="808080"/>
            </w:tcBorders>
          </w:tcPr>
          <w:p>
            <w:pPr>
              <w:spacing w:after="0"/>
              <w:rPr>
                <w:sz w:val="11"/>
                <w:szCs w:val="11"/>
                <w:color w:val="auto"/>
              </w:rPr>
            </w:pPr>
          </w:p>
        </w:tc>
        <w:tc>
          <w:tcPr>
            <w:tcW w:w="8700" w:type="dxa"/>
            <w:vAlign w:val="bottom"/>
            <w:tcBorders>
              <w:bottom w:val="single" w:sz="8" w:color="808080"/>
            </w:tcBorders>
          </w:tcPr>
          <w:p>
            <w:pPr>
              <w:spacing w:after="0"/>
              <w:rPr>
                <w:sz w:val="11"/>
                <w:szCs w:val="11"/>
                <w:color w:val="auto"/>
              </w:rPr>
            </w:pPr>
          </w:p>
        </w:tc>
      </w:tr>
      <w:tr>
        <w:trPr>
          <w:trHeight w:val="780"/>
        </w:trPr>
        <w:tc>
          <w:tcPr>
            <w:tcW w:w="2760" w:type="dxa"/>
            <w:vAlign w:val="bottom"/>
          </w:tcPr>
          <w:p>
            <w:pPr>
              <w:ind w:left="660"/>
              <w:spacing w:after="0"/>
              <w:rPr>
                <w:sz w:val="20"/>
                <w:szCs w:val="20"/>
                <w:color w:val="auto"/>
              </w:rPr>
            </w:pPr>
            <w:r>
              <w:rPr>
                <w:rFonts w:ascii="Arial" w:cs="Arial" w:eastAsia="Arial" w:hAnsi="Arial"/>
                <w:sz w:val="18"/>
                <w:szCs w:val="18"/>
                <w:b w:val="1"/>
                <w:bCs w:val="1"/>
                <w:color w:val="auto"/>
              </w:rPr>
              <w:t xml:space="preserve">If to Party B: </w:t>
            </w:r>
            <w:r>
              <w:rPr>
                <w:rFonts w:ascii="Arial" w:cs="Arial" w:eastAsia="Arial" w:hAnsi="Arial"/>
                <w:sz w:val="18"/>
                <w:szCs w:val="18"/>
                <w:color w:val="auto"/>
              </w:rPr>
              <w:t>Li Li</w:t>
            </w:r>
          </w:p>
        </w:tc>
        <w:tc>
          <w:tcPr>
            <w:tcW w:w="8700" w:type="dxa"/>
            <w:vAlign w:val="bottom"/>
          </w:tcPr>
          <w:p>
            <w:pPr>
              <w:spacing w:after="0"/>
              <w:rPr>
                <w:sz w:val="24"/>
                <w:szCs w:val="24"/>
                <w:color w:val="auto"/>
              </w:rPr>
            </w:pPr>
          </w:p>
        </w:tc>
      </w:tr>
      <w:tr>
        <w:trPr>
          <w:trHeight w:val="432"/>
        </w:trPr>
        <w:tc>
          <w:tcPr>
            <w:tcW w:w="2760" w:type="dxa"/>
            <w:vAlign w:val="bottom"/>
          </w:tcPr>
          <w:p>
            <w:pPr>
              <w:ind w:left="1760"/>
              <w:spacing w:after="0"/>
              <w:rPr>
                <w:sz w:val="20"/>
                <w:szCs w:val="20"/>
                <w:color w:val="auto"/>
              </w:rPr>
            </w:pPr>
            <w:r>
              <w:rPr>
                <w:rFonts w:ascii="Arial" w:cs="Arial" w:eastAsia="Arial" w:hAnsi="Arial"/>
                <w:sz w:val="18"/>
                <w:szCs w:val="18"/>
                <w:color w:val="auto"/>
              </w:rPr>
              <w:t>Address:</w:t>
            </w:r>
          </w:p>
        </w:tc>
        <w:tc>
          <w:tcPr>
            <w:tcW w:w="8700" w:type="dxa"/>
            <w:vAlign w:val="bottom"/>
          </w:tcPr>
          <w:p>
            <w:pPr>
              <w:ind w:left="340"/>
              <w:spacing w:after="0"/>
              <w:rPr>
                <w:sz w:val="20"/>
                <w:szCs w:val="20"/>
                <w:color w:val="auto"/>
              </w:rPr>
            </w:pPr>
            <w:r>
              <w:rPr>
                <w:rFonts w:ascii="Arial" w:cs="Arial" w:eastAsia="Arial" w:hAnsi="Arial"/>
                <w:sz w:val="18"/>
                <w:szCs w:val="18"/>
                <w:color w:val="auto"/>
              </w:rPr>
              <w:t>NO.7, Unit 4, Building 16, Changqing Yuan, Chongwen District, Beijing</w:t>
            </w:r>
          </w:p>
        </w:tc>
      </w:tr>
      <w:tr>
        <w:trPr>
          <w:trHeight w:val="432"/>
        </w:trPr>
        <w:tc>
          <w:tcPr>
            <w:tcW w:w="2760" w:type="dxa"/>
            <w:vAlign w:val="bottom"/>
          </w:tcPr>
          <w:p>
            <w:pPr>
              <w:ind w:left="1760"/>
              <w:spacing w:after="0"/>
              <w:rPr>
                <w:sz w:val="20"/>
                <w:szCs w:val="20"/>
                <w:color w:val="auto"/>
              </w:rPr>
            </w:pPr>
            <w:r>
              <w:rPr>
                <w:rFonts w:ascii="Arial" w:cs="Arial" w:eastAsia="Arial" w:hAnsi="Arial"/>
                <w:sz w:val="18"/>
                <w:szCs w:val="18"/>
                <w:color w:val="auto"/>
              </w:rPr>
              <w:t>Fax:</w:t>
            </w:r>
          </w:p>
        </w:tc>
        <w:tc>
          <w:tcPr>
            <w:tcW w:w="8700" w:type="dxa"/>
            <w:vAlign w:val="bottom"/>
          </w:tcPr>
          <w:p>
            <w:pPr>
              <w:ind w:left="340"/>
              <w:spacing w:after="0"/>
              <w:rPr>
                <w:sz w:val="20"/>
                <w:szCs w:val="20"/>
                <w:color w:val="auto"/>
              </w:rPr>
            </w:pPr>
            <w:r>
              <w:rPr>
                <w:rFonts w:ascii="Arial" w:cs="Arial" w:eastAsia="Arial" w:hAnsi="Arial"/>
                <w:sz w:val="18"/>
                <w:szCs w:val="18"/>
                <w:color w:val="auto"/>
              </w:rPr>
              <w:t>(86) 010-82625163</w:t>
            </w:r>
          </w:p>
        </w:tc>
      </w:tr>
      <w:tr>
        <w:trPr>
          <w:trHeight w:val="432"/>
        </w:trPr>
        <w:tc>
          <w:tcPr>
            <w:tcW w:w="2760" w:type="dxa"/>
            <w:vAlign w:val="bottom"/>
          </w:tcPr>
          <w:p>
            <w:pPr>
              <w:ind w:left="1760"/>
              <w:spacing w:after="0"/>
              <w:rPr>
                <w:sz w:val="20"/>
                <w:szCs w:val="20"/>
                <w:color w:val="auto"/>
              </w:rPr>
            </w:pPr>
            <w:r>
              <w:rPr>
                <w:rFonts w:ascii="Arial" w:cs="Arial" w:eastAsia="Arial" w:hAnsi="Arial"/>
                <w:sz w:val="18"/>
                <w:szCs w:val="18"/>
                <w:color w:val="auto"/>
              </w:rPr>
              <w:t>Email:</w:t>
            </w:r>
          </w:p>
        </w:tc>
        <w:tc>
          <w:tcPr>
            <w:tcW w:w="8700" w:type="dxa"/>
            <w:vAlign w:val="bottom"/>
          </w:tcPr>
          <w:p>
            <w:pPr>
              <w:ind w:left="340"/>
              <w:spacing w:after="0"/>
              <w:rPr>
                <w:sz w:val="20"/>
                <w:szCs w:val="20"/>
                <w:color w:val="auto"/>
              </w:rPr>
            </w:pPr>
            <w:r>
              <w:rPr>
                <w:rFonts w:ascii="Arial" w:cs="Arial" w:eastAsia="Arial" w:hAnsi="Arial"/>
                <w:sz w:val="18"/>
                <w:szCs w:val="18"/>
                <w:color w:val="auto"/>
              </w:rPr>
              <w:t>lilyli@corp.netease.com</w:t>
            </w:r>
          </w:p>
        </w:tc>
      </w:tr>
      <w:tr>
        <w:trPr>
          <w:trHeight w:val="432"/>
        </w:trPr>
        <w:tc>
          <w:tcPr>
            <w:tcW w:w="11460" w:type="dxa"/>
            <w:vAlign w:val="bottom"/>
            <w:gridSpan w:val="2"/>
          </w:tcPr>
          <w:p>
            <w:pPr>
              <w:ind w:left="660"/>
              <w:spacing w:after="0"/>
              <w:rPr>
                <w:sz w:val="20"/>
                <w:szCs w:val="20"/>
                <w:color w:val="auto"/>
              </w:rPr>
            </w:pPr>
            <w:r>
              <w:rPr>
                <w:rFonts w:ascii="Arial" w:cs="Arial" w:eastAsia="Arial" w:hAnsi="Arial"/>
                <w:sz w:val="18"/>
                <w:szCs w:val="18"/>
                <w:b w:val="1"/>
                <w:bCs w:val="1"/>
                <w:color w:val="auto"/>
              </w:rPr>
              <w:t xml:space="preserve">If to Party C: </w:t>
            </w:r>
            <w:r>
              <w:rPr>
                <w:rFonts w:ascii="Arial" w:cs="Arial" w:eastAsia="Arial" w:hAnsi="Arial"/>
                <w:sz w:val="18"/>
                <w:szCs w:val="18"/>
                <w:color w:val="auto"/>
              </w:rPr>
              <w:t>Beijing Guangyitong Advertising Co., Ltd.</w:t>
            </w:r>
          </w:p>
        </w:tc>
      </w:tr>
      <w:tr>
        <w:trPr>
          <w:trHeight w:val="418"/>
        </w:trPr>
        <w:tc>
          <w:tcPr>
            <w:tcW w:w="2760" w:type="dxa"/>
            <w:vAlign w:val="bottom"/>
          </w:tcPr>
          <w:p>
            <w:pPr>
              <w:ind w:left="1760"/>
              <w:spacing w:after="0"/>
              <w:rPr>
                <w:sz w:val="20"/>
                <w:szCs w:val="20"/>
                <w:color w:val="auto"/>
              </w:rPr>
            </w:pPr>
            <w:r>
              <w:rPr>
                <w:rFonts w:ascii="Arial" w:cs="Arial" w:eastAsia="Arial" w:hAnsi="Arial"/>
                <w:sz w:val="18"/>
                <w:szCs w:val="18"/>
                <w:color w:val="auto"/>
              </w:rPr>
              <w:t>Address:</w:t>
            </w:r>
          </w:p>
        </w:tc>
        <w:tc>
          <w:tcPr>
            <w:tcW w:w="8700" w:type="dxa"/>
            <w:vAlign w:val="bottom"/>
          </w:tcPr>
          <w:p>
            <w:pPr>
              <w:ind w:left="320"/>
              <w:spacing w:after="0"/>
              <w:rPr>
                <w:sz w:val="20"/>
                <w:szCs w:val="20"/>
                <w:color w:val="auto"/>
              </w:rPr>
            </w:pPr>
            <w:r>
              <w:rPr>
                <w:rFonts w:ascii="Arial" w:cs="Arial" w:eastAsia="Arial" w:hAnsi="Arial"/>
                <w:sz w:val="18"/>
                <w:szCs w:val="18"/>
                <w:color w:val="auto"/>
              </w:rPr>
              <w:t>Building No. 7, West Zone, Zhongguancun Software Park (Phase II), No.10 Xibeiwang</w:t>
            </w:r>
          </w:p>
        </w:tc>
      </w:tr>
      <w:tr>
        <w:trPr>
          <w:trHeight w:val="230"/>
        </w:trPr>
        <w:tc>
          <w:tcPr>
            <w:tcW w:w="276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East Road, Haidian District, Beijing, China</w:t>
            </w:r>
          </w:p>
        </w:tc>
      </w:tr>
      <w:tr>
        <w:trPr>
          <w:trHeight w:val="432"/>
        </w:trPr>
        <w:tc>
          <w:tcPr>
            <w:tcW w:w="2760" w:type="dxa"/>
            <w:vAlign w:val="bottom"/>
          </w:tcPr>
          <w:p>
            <w:pPr>
              <w:ind w:left="1760"/>
              <w:spacing w:after="0"/>
              <w:rPr>
                <w:sz w:val="20"/>
                <w:szCs w:val="20"/>
                <w:color w:val="auto"/>
              </w:rPr>
            </w:pPr>
            <w:r>
              <w:rPr>
                <w:rFonts w:ascii="Arial" w:cs="Arial" w:eastAsia="Arial" w:hAnsi="Arial"/>
                <w:sz w:val="18"/>
                <w:szCs w:val="18"/>
                <w:color w:val="auto"/>
              </w:rPr>
              <w:t>Fax:</w:t>
            </w:r>
          </w:p>
        </w:tc>
        <w:tc>
          <w:tcPr>
            <w:tcW w:w="8700" w:type="dxa"/>
            <w:vAlign w:val="bottom"/>
          </w:tcPr>
          <w:p>
            <w:pPr>
              <w:ind w:left="320"/>
              <w:spacing w:after="0"/>
              <w:rPr>
                <w:sz w:val="20"/>
                <w:szCs w:val="20"/>
                <w:color w:val="auto"/>
              </w:rPr>
            </w:pPr>
            <w:r>
              <w:rPr>
                <w:rFonts w:ascii="Arial" w:cs="Arial" w:eastAsia="Arial" w:hAnsi="Arial"/>
                <w:sz w:val="18"/>
                <w:szCs w:val="18"/>
                <w:color w:val="auto"/>
              </w:rPr>
              <w:t>(86) 010-82625163</w:t>
            </w:r>
          </w:p>
        </w:tc>
      </w:tr>
      <w:tr>
        <w:trPr>
          <w:trHeight w:val="432"/>
        </w:trPr>
        <w:tc>
          <w:tcPr>
            <w:tcW w:w="2760" w:type="dxa"/>
            <w:vAlign w:val="bottom"/>
          </w:tcPr>
          <w:p>
            <w:pPr>
              <w:ind w:left="1760"/>
              <w:spacing w:after="0"/>
              <w:rPr>
                <w:sz w:val="20"/>
                <w:szCs w:val="20"/>
                <w:color w:val="auto"/>
              </w:rPr>
            </w:pPr>
            <w:r>
              <w:rPr>
                <w:rFonts w:ascii="Arial" w:cs="Arial" w:eastAsia="Arial" w:hAnsi="Arial"/>
                <w:sz w:val="18"/>
                <w:szCs w:val="18"/>
                <w:color w:val="auto"/>
              </w:rPr>
              <w:t>Email:</w:t>
            </w:r>
          </w:p>
        </w:tc>
        <w:tc>
          <w:tcPr>
            <w:tcW w:w="8700" w:type="dxa"/>
            <w:vAlign w:val="bottom"/>
          </w:tcPr>
          <w:p>
            <w:pPr>
              <w:ind w:left="320"/>
              <w:spacing w:after="0"/>
              <w:rPr>
                <w:sz w:val="20"/>
                <w:szCs w:val="20"/>
                <w:color w:val="auto"/>
              </w:rPr>
            </w:pPr>
            <w:r>
              <w:rPr>
                <w:rFonts w:ascii="Arial" w:cs="Arial" w:eastAsia="Arial" w:hAnsi="Arial"/>
                <w:sz w:val="18"/>
                <w:szCs w:val="18"/>
                <w:color w:val="auto"/>
              </w:rPr>
              <w:t>ochoi@corp.netease.com</w:t>
            </w:r>
          </w:p>
        </w:tc>
      </w:tr>
      <w:tr>
        <w:trPr>
          <w:trHeight w:val="432"/>
        </w:trPr>
        <w:tc>
          <w:tcPr>
            <w:tcW w:w="2760" w:type="dxa"/>
            <w:vAlign w:val="bottom"/>
          </w:tcPr>
          <w:p>
            <w:pPr>
              <w:ind w:left="1760"/>
              <w:spacing w:after="0"/>
              <w:rPr>
                <w:sz w:val="20"/>
                <w:szCs w:val="20"/>
                <w:color w:val="auto"/>
              </w:rPr>
            </w:pPr>
            <w:r>
              <w:rPr>
                <w:rFonts w:ascii="Arial" w:cs="Arial" w:eastAsia="Arial" w:hAnsi="Arial"/>
                <w:sz w:val="18"/>
                <w:szCs w:val="18"/>
                <w:color w:val="auto"/>
              </w:rPr>
              <w:t>Attention:</w:t>
            </w:r>
          </w:p>
        </w:tc>
        <w:tc>
          <w:tcPr>
            <w:tcW w:w="8700" w:type="dxa"/>
            <w:vAlign w:val="bottom"/>
          </w:tcPr>
          <w:p>
            <w:pPr>
              <w:ind w:left="320"/>
              <w:spacing w:after="0"/>
              <w:rPr>
                <w:sz w:val="20"/>
                <w:szCs w:val="20"/>
                <w:color w:val="auto"/>
              </w:rPr>
            </w:pPr>
            <w:r>
              <w:rPr>
                <w:rFonts w:ascii="Arial" w:cs="Arial" w:eastAsia="Arial" w:hAnsi="Arial"/>
                <w:sz w:val="18"/>
                <w:szCs w:val="18"/>
                <w:color w:val="auto"/>
              </w:rPr>
              <w:t>Onward Choi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65" w:name="page166"/>
    <w:bookmarkEnd w:id="165"/>
    <w:p>
      <w:pPr>
        <w:ind w:left="660" w:hanging="652"/>
        <w:spacing w:after="0"/>
        <w:tabs>
          <w:tab w:leader="none" w:pos="66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The Parties agree to promptly execute documents and take further actions that are reasonably required for, or beneficial to, the purpose of performing the provisions and carrying out the intent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Amendment, Modification or Supplement</w:t>
      </w:r>
    </w:p>
    <w:p>
      <w:pPr>
        <w:spacing w:after="0" w:line="225" w:lineRule="exact"/>
        <w:rPr>
          <w:sz w:val="20"/>
          <w:szCs w:val="20"/>
          <w:color w:val="auto"/>
        </w:rPr>
      </w:pPr>
    </w:p>
    <w:p>
      <w:pPr>
        <w:ind w:left="1300" w:right="180"/>
        <w:spacing w:after="0" w:line="308" w:lineRule="auto"/>
        <w:rPr>
          <w:sz w:val="20"/>
          <w:szCs w:val="20"/>
          <w:color w:val="auto"/>
        </w:rPr>
      </w:pPr>
      <w:r>
        <w:rPr>
          <w:rFonts w:ascii="Arial" w:cs="Arial" w:eastAsia="Arial" w:hAnsi="Arial"/>
          <w:sz w:val="17"/>
          <w:szCs w:val="17"/>
          <w:color w:val="auto"/>
        </w:rPr>
        <w:t>Any amendment or supplement to this Agreement shall be made by the Parties in writing. The amendments or supplements duly executed by each Party shall be deemed as a part of this Agreement and shall have the same legal effect as this Agreement.</w:t>
      </w:r>
    </w:p>
    <w:p>
      <w:pPr>
        <w:spacing w:after="0" w:line="147"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Entire Agreement</w:t>
      </w:r>
    </w:p>
    <w:p>
      <w:pPr>
        <w:spacing w:after="0" w:line="225" w:lineRule="exact"/>
        <w:rPr>
          <w:sz w:val="20"/>
          <w:szCs w:val="20"/>
          <w:color w:val="auto"/>
        </w:rPr>
      </w:pPr>
    </w:p>
    <w:p>
      <w:pPr>
        <w:jc w:val="both"/>
        <w:ind w:left="1300" w:right="100"/>
        <w:spacing w:after="0" w:line="264" w:lineRule="auto"/>
        <w:rPr>
          <w:sz w:val="20"/>
          <w:szCs w:val="20"/>
          <w:color w:val="auto"/>
        </w:rPr>
      </w:pPr>
      <w:r>
        <w:rPr>
          <w:rFonts w:ascii="Arial" w:cs="Arial" w:eastAsia="Arial" w:hAnsi="Arial"/>
          <w:sz w:val="18"/>
          <w:szCs w:val="18"/>
          <w:color w:val="auto"/>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Severability</w:t>
      </w:r>
    </w:p>
    <w:p>
      <w:pPr>
        <w:spacing w:after="0" w:line="225" w:lineRule="exact"/>
        <w:rPr>
          <w:sz w:val="20"/>
          <w:szCs w:val="20"/>
          <w:color w:val="auto"/>
        </w:rPr>
      </w:pPr>
    </w:p>
    <w:p>
      <w:pPr>
        <w:ind w:left="1300" w:right="100"/>
        <w:spacing w:after="0" w:line="279" w:lineRule="auto"/>
        <w:rPr>
          <w:sz w:val="20"/>
          <w:szCs w:val="20"/>
          <w:color w:val="auto"/>
        </w:rPr>
      </w:pPr>
      <w:r>
        <w:rPr>
          <w:rFonts w:ascii="Arial" w:cs="Arial" w:eastAsia="Arial" w:hAnsi="Arial"/>
          <w:sz w:val="17"/>
          <w:szCs w:val="17"/>
          <w:color w:val="auto"/>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p>
      <w:pPr>
        <w:spacing w:after="0" w:line="171"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Headings</w:t>
      </w:r>
    </w:p>
    <w:p>
      <w:pPr>
        <w:spacing w:after="0" w:line="225" w:lineRule="exact"/>
        <w:rPr>
          <w:sz w:val="20"/>
          <w:szCs w:val="20"/>
          <w:color w:val="auto"/>
        </w:rPr>
      </w:pPr>
    </w:p>
    <w:p>
      <w:pPr>
        <w:ind w:left="1300" w:right="760"/>
        <w:spacing w:after="0" w:line="277" w:lineRule="auto"/>
        <w:rPr>
          <w:sz w:val="20"/>
          <w:szCs w:val="20"/>
          <w:color w:val="auto"/>
        </w:rPr>
      </w:pPr>
      <w:r>
        <w:rPr>
          <w:rFonts w:ascii="Arial" w:cs="Arial" w:eastAsia="Arial" w:hAnsi="Arial"/>
          <w:sz w:val="18"/>
          <w:szCs w:val="18"/>
          <w:color w:val="auto"/>
        </w:rPr>
        <w:t>The headings contained in this Agreement are for the convenience of reference only and shall not be used for the interpretation or explanation or otherwise affect the meaning of the provisions of this Agreement.</w:t>
      </w:r>
    </w:p>
    <w:p>
      <w:pPr>
        <w:spacing w:after="0" w:line="170"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color w:val="auto"/>
        </w:rPr>
        <w:t>Successor</w:t>
      </w:r>
    </w:p>
    <w:p>
      <w:pPr>
        <w:spacing w:after="0" w:line="225" w:lineRule="exact"/>
        <w:rPr>
          <w:sz w:val="20"/>
          <w:szCs w:val="20"/>
          <w:color w:val="auto"/>
        </w:rPr>
      </w:pPr>
    </w:p>
    <w:p>
      <w:pPr>
        <w:ind w:left="1300" w:right="140"/>
        <w:spacing w:after="0" w:line="257" w:lineRule="auto"/>
        <w:rPr>
          <w:sz w:val="20"/>
          <w:szCs w:val="20"/>
          <w:color w:val="auto"/>
        </w:rPr>
      </w:pPr>
      <w:r>
        <w:rPr>
          <w:rFonts w:ascii="Arial" w:cs="Arial" w:eastAsia="Arial" w:hAnsi="Arial"/>
          <w:sz w:val="18"/>
          <w:szCs w:val="18"/>
          <w:color w:val="auto"/>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p>
      <w:pPr>
        <w:spacing w:after="0" w:line="188"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Survival</w:t>
      </w:r>
    </w:p>
    <w:p>
      <w:pPr>
        <w:spacing w:after="0" w:line="225" w:lineRule="exact"/>
        <w:rPr>
          <w:sz w:val="20"/>
          <w:szCs w:val="20"/>
          <w:color w:val="auto"/>
        </w:rPr>
      </w:pPr>
    </w:p>
    <w:p>
      <w:pPr>
        <w:ind w:left="1300" w:right="540"/>
        <w:spacing w:after="0" w:line="342" w:lineRule="auto"/>
        <w:rPr>
          <w:sz w:val="20"/>
          <w:szCs w:val="20"/>
          <w:color w:val="auto"/>
        </w:rPr>
      </w:pPr>
      <w:r>
        <w:rPr>
          <w:rFonts w:ascii="Arial" w:cs="Arial" w:eastAsia="Arial" w:hAnsi="Arial"/>
          <w:sz w:val="16"/>
          <w:szCs w:val="16"/>
          <w:color w:val="auto"/>
        </w:rPr>
        <w:t>Any obligation arising from or becoming due under this Agreement before its expiration or premature termination shall survive such expiration or premature termination. Articles 6, 8, 9 and 10 and this Article 11.6 shall survive the termination of this Agreement.</w:t>
      </w:r>
    </w:p>
    <w:p>
      <w:pPr>
        <w:spacing w:after="0" w:line="124"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Waiver</w:t>
      </w:r>
    </w:p>
    <w:p>
      <w:pPr>
        <w:spacing w:after="0" w:line="225"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spacing w:after="0" w:line="177"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this Agreement to be executed by himself/herself, its legal representative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as of the date first written above.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NetEase Media Technology (Beijing)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Li Li</w:t>
      </w:r>
    </w:p>
    <w:p>
      <w:pPr>
        <w:spacing w:after="0" w:line="22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Li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95846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 Beijing Guangyitong Advertising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ectPr>
          <w:pgSz w:w="11900" w:h="16838" w:orient="portrait"/>
          <w:cols w:equalWidth="0" w:num="1">
            <w:col w:w="11400"/>
          </w:cols>
          <w:pgMar w:left="240" w:top="125" w:right="259" w:bottom="0" w:gutter="0" w:footer="0" w:header="0"/>
        </w:sectPr>
      </w:pPr>
    </w:p>
    <w:bookmarkStart w:id="166" w:name="page167"/>
    <w:bookmarkEnd w:id="166"/>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Notice</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Date</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Dear Li Li,</w:t>
      </w:r>
    </w:p>
    <w:p>
      <w:pPr>
        <w:sectPr>
          <w:pgSz w:w="11900" w:h="16838" w:orient="portrait"/>
          <w:cols w:equalWidth="0" w:num="1">
            <w:col w:w="11460"/>
          </w:cols>
          <w:pgMar w:left="240" w:top="125" w:right="19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Exclusive Purchase Option Agreement between us executed 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you agreed to</w:t>
      </w:r>
    </w:p>
    <w:p>
      <w:pPr>
        <w:spacing w:after="0" w:line="46" w:lineRule="exact"/>
        <w:rPr>
          <w:sz w:val="20"/>
          <w:szCs w:val="20"/>
          <w:color w:val="auto"/>
        </w:rPr>
      </w:pPr>
    </w:p>
    <w:p>
      <w:pPr>
        <w:sectPr>
          <w:pgSz w:w="11900" w:h="16838" w:orient="portrait"/>
          <w:cols w:equalWidth="0" w:num="3">
            <w:col w:w="6780" w:space="720"/>
            <w:col w:w="280" w:space="440"/>
            <w:col w:w="3240"/>
          </w:cols>
          <w:pgMar w:left="240" w:top="125" w:right="199" w:bottom="0" w:gutter="0" w:footer="0" w:header="0"/>
          <w:type w:val="continuous"/>
        </w:sectPr>
      </w:pPr>
    </w:p>
    <w:p>
      <w:pPr>
        <w:spacing w:after="0"/>
        <w:rPr>
          <w:sz w:val="20"/>
          <w:szCs w:val="20"/>
          <w:color w:val="auto"/>
        </w:rPr>
      </w:pPr>
      <w:r>
        <w:rPr>
          <w:rFonts w:ascii="Arial" w:cs="Arial" w:eastAsia="Arial" w:hAnsi="Arial"/>
          <w:sz w:val="16"/>
          <w:szCs w:val="16"/>
          <w:color w:val="auto"/>
        </w:rPr>
        <w:t>transfer to us or our Designated Person(s) certain equity interests or assets upon notice from us.</w:t>
      </w:r>
    </w:p>
    <w:p>
      <w:pPr>
        <w:sectPr>
          <w:pgSz w:w="11900" w:h="16838" w:orient="portrait"/>
          <w:cols w:equalWidth="0" w:num="1">
            <w:col w:w="11460"/>
          </w:cols>
          <w:pgMar w:left="240" w:top="125" w:right="199" w:bottom="0" w:gutter="0" w:footer="0" w:header="0"/>
          <w:type w:val="continuous"/>
        </w:sectPr>
      </w:pPr>
    </w:p>
    <w:p>
      <w:pPr>
        <w:spacing w:after="0" w:line="23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This letter serves as our notice to you under Article 1.2.1 of the Option Agreement, and we hereby notify you that we wish to purchase from you the following [</w:t>
      </w:r>
      <w:r>
        <w:rPr>
          <w:rFonts w:ascii="Arial" w:cs="Arial" w:eastAsia="Arial" w:hAnsi="Arial"/>
          <w:sz w:val="18"/>
          <w:szCs w:val="18"/>
          <w:i w:val="1"/>
          <w:iCs w:val="1"/>
          <w:color w:val="auto"/>
        </w:rPr>
        <w:t>equity interests / assets</w:t>
      </w:r>
      <w:r>
        <w:rPr>
          <w:rFonts w:ascii="Arial" w:cs="Arial" w:eastAsia="Arial" w:hAnsi="Arial"/>
          <w:sz w:val="18"/>
          <w:szCs w:val="18"/>
          <w:color w:val="auto"/>
        </w:rPr>
        <w:t>], which constitute the Purchased Interest under Article 1.2.1 of the Option Agreement:</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[All /</w:t>
      </w:r>
      <w:r>
        <w:rPr>
          <w:sz w:val="20"/>
          <w:szCs w:val="20"/>
          <w:color w:val="auto"/>
        </w:rPr>
        <w:tab/>
      </w:r>
      <w:r>
        <w:rPr>
          <w:rFonts w:ascii="Arial" w:cs="Arial" w:eastAsia="Arial" w:hAnsi="Arial"/>
          <w:sz w:val="16"/>
          <w:szCs w:val="16"/>
          <w:color w:val="auto"/>
        </w:rPr>
        <w:t>% of the shares in Beijing Guangyitong Advertising Co.,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the assets of Beijing Guangyitong Advertising Co., Ltd. / The following assets of Beijing Guangyitong Advertising Co., Ltd.:</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consideration for the Purchased Interest, the Purchase Price (as defined in Article 1.3 of the Option Agreement) of the Purchased Interest will be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[RMB</w:t>
            </w:r>
          </w:p>
        </w:tc>
        <w:tc>
          <w:tcPr>
            <w:tcW w:w="8080" w:type="dxa"/>
            <w:vAlign w:val="bottom"/>
            <w:gridSpan w:val="4"/>
          </w:tcPr>
          <w:p>
            <w:pPr>
              <w:ind w:left="720"/>
              <w:spacing w:after="0"/>
              <w:rPr>
                <w:sz w:val="20"/>
                <w:szCs w:val="20"/>
                <w:color w:val="auto"/>
              </w:rPr>
            </w:pPr>
            <w:r>
              <w:rPr>
                <w:rFonts w:ascii="Arial" w:cs="Arial" w:eastAsia="Arial" w:hAnsi="Arial"/>
                <w:sz w:val="18"/>
                <w:szCs w:val="18"/>
                <w:color w:val="auto"/>
                <w:w w:val="94"/>
              </w:rPr>
              <w:t>]. We shall handle payment of the Purchase Price pursuant to Article 1.5 of the Option Agreement.</w:t>
            </w: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04"/>
        </w:trPr>
        <w:tc>
          <w:tcPr>
            <w:tcW w:w="560" w:type="dxa"/>
            <w:vAlign w:val="bottom"/>
          </w:tcPr>
          <w:p>
            <w:pPr>
              <w:spacing w:after="0"/>
              <w:rPr>
                <w:sz w:val="24"/>
                <w:szCs w:val="24"/>
                <w:color w:val="auto"/>
              </w:rPr>
            </w:pPr>
          </w:p>
        </w:tc>
        <w:tc>
          <w:tcPr>
            <w:tcW w:w="9520" w:type="dxa"/>
            <w:vAlign w:val="bottom"/>
            <w:gridSpan w:val="5"/>
          </w:tcPr>
          <w:p>
            <w:pPr>
              <w:ind w:left="100"/>
              <w:spacing w:after="0"/>
              <w:rPr>
                <w:sz w:val="20"/>
                <w:szCs w:val="20"/>
                <w:color w:val="auto"/>
              </w:rPr>
            </w:pPr>
            <w:r>
              <w:rPr>
                <w:rFonts w:ascii="Arial" w:cs="Arial" w:eastAsia="Arial" w:hAnsi="Arial"/>
                <w:sz w:val="18"/>
                <w:szCs w:val="18"/>
                <w:color w:val="auto"/>
              </w:rPr>
              <w:t>Please assist us in arranging for the transfer of the Purchased Interest to [</w:t>
            </w:r>
            <w:r>
              <w:rPr>
                <w:rFonts w:ascii="Arial" w:cs="Arial" w:eastAsia="Arial" w:hAnsi="Arial"/>
                <w:sz w:val="18"/>
                <w:szCs w:val="18"/>
                <w:i w:val="1"/>
                <w:iCs w:val="1"/>
                <w:color w:val="auto"/>
              </w:rPr>
              <w:t>us / our Designated Person(s), which is/are</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gridSpan w:val="5"/>
          </w:tcPr>
          <w:p>
            <w:pPr>
              <w:spacing w:after="0"/>
              <w:rPr>
                <w:sz w:val="20"/>
                <w:szCs w:val="20"/>
                <w:color w:val="auto"/>
              </w:rPr>
            </w:pPr>
            <w:r>
              <w:rPr>
                <w:rFonts w:ascii="Arial" w:cs="Arial" w:eastAsia="Arial" w:hAnsi="Arial"/>
                <w:sz w:val="18"/>
                <w:szCs w:val="18"/>
                <w:color w:val="auto"/>
              </w:rPr>
              <w:t>Such transfer should occur no later than forty-five (45) business days after the date hereof</w:t>
            </w: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00" w:type="dxa"/>
            <w:vAlign w:val="bottom"/>
            <w:gridSpan w:val="2"/>
          </w:tcPr>
          <w:p>
            <w:pPr>
              <w:ind w:left="380"/>
              <w:spacing w:after="0"/>
              <w:rPr>
                <w:sz w:val="20"/>
                <w:szCs w:val="20"/>
                <w:color w:val="auto"/>
              </w:rPr>
            </w:pPr>
            <w:r>
              <w:rPr>
                <w:rFonts w:ascii="Arial" w:cs="Arial" w:eastAsia="Arial" w:hAnsi="Arial"/>
                <w:sz w:val="18"/>
                <w:szCs w:val="18"/>
                <w:color w:val="auto"/>
              </w:rPr>
              <w:t>Sincerely,</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8"/>
        </w:trPr>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00" w:type="dxa"/>
            <w:vAlign w:val="bottom"/>
            <w:gridSpan w:val="2"/>
          </w:tcPr>
          <w:p>
            <w:pPr>
              <w:ind w:left="380"/>
              <w:spacing w:after="0"/>
              <w:rPr>
                <w:sz w:val="20"/>
                <w:szCs w:val="20"/>
                <w:color w:val="auto"/>
              </w:rPr>
            </w:pPr>
            <w:r>
              <w:rPr>
                <w:rFonts w:ascii="Arial" w:cs="Arial" w:eastAsia="Arial" w:hAnsi="Arial"/>
                <w:sz w:val="18"/>
                <w:szCs w:val="18"/>
                <w:color w:val="auto"/>
              </w:rPr>
              <w:t>NetEase Media Technology</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300" w:type="dxa"/>
            <w:vAlign w:val="bottom"/>
            <w:gridSpan w:val="2"/>
          </w:tcPr>
          <w:p>
            <w:pPr>
              <w:ind w:left="380"/>
              <w:spacing w:after="0"/>
              <w:rPr>
                <w:sz w:val="20"/>
                <w:szCs w:val="20"/>
                <w:color w:val="auto"/>
              </w:rPr>
            </w:pPr>
            <w:r>
              <w:rPr>
                <w:rFonts w:ascii="Arial" w:cs="Arial" w:eastAsia="Arial" w:hAnsi="Arial"/>
                <w:sz w:val="18"/>
                <w:szCs w:val="18"/>
                <w:color w:val="auto"/>
              </w:rPr>
              <w:t>(Beijing) Co., Ltd.</w:t>
            </w: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500" w:type="dxa"/>
            <w:vAlign w:val="bottom"/>
            <w:gridSpan w:val="2"/>
          </w:tcPr>
          <w:p>
            <w:pPr>
              <w:jc w:val="center"/>
              <w:ind w:left="1670"/>
              <w:spacing w:after="0"/>
              <w:rPr>
                <w:sz w:val="20"/>
                <w:szCs w:val="20"/>
                <w:color w:val="auto"/>
              </w:rPr>
            </w:pPr>
            <w:r>
              <w:rPr>
                <w:rFonts w:ascii="Arial" w:cs="Arial" w:eastAsia="Arial" w:hAnsi="Arial"/>
                <w:sz w:val="18"/>
                <w:szCs w:val="18"/>
                <w:color w:val="auto"/>
                <w:w w:val="89"/>
              </w:rPr>
              <w:t>13</w:t>
            </w:r>
          </w:p>
        </w:tc>
        <w:tc>
          <w:tcPr>
            <w:tcW w:w="2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17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r>
      <w:tr>
        <w:trPr>
          <w:trHeight w:val="740"/>
        </w:trPr>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300" w:type="dxa"/>
            <w:vAlign w:val="bottom"/>
            <w:gridSpan w:val="2"/>
          </w:tcPr>
          <w:p>
            <w:pPr>
              <w:jc w:val="center"/>
              <w:ind w:right="2560"/>
              <w:spacing w:after="0"/>
              <w:rPr>
                <w:sz w:val="20"/>
                <w:szCs w:val="20"/>
                <w:color w:val="auto"/>
              </w:rPr>
            </w:pPr>
            <w:r>
              <w:rPr>
                <w:rFonts w:ascii="Arial" w:cs="Arial" w:eastAsia="Arial" w:hAnsi="Arial"/>
                <w:sz w:val="18"/>
                <w:szCs w:val="18"/>
                <w:b w:val="1"/>
                <w:bCs w:val="1"/>
                <w:color w:val="auto"/>
                <w:w w:val="94"/>
              </w:rPr>
              <w:t>Exhibit B</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060" w:type="dxa"/>
            <w:vAlign w:val="bottom"/>
            <w:gridSpan w:val="3"/>
          </w:tcPr>
          <w:p>
            <w:pPr>
              <w:jc w:val="center"/>
              <w:ind w:right="800"/>
              <w:spacing w:after="0"/>
              <w:rPr>
                <w:sz w:val="20"/>
                <w:szCs w:val="20"/>
                <w:color w:val="auto"/>
              </w:rPr>
            </w:pPr>
            <w:r>
              <w:rPr>
                <w:rFonts w:ascii="Arial" w:cs="Arial" w:eastAsia="Arial" w:hAnsi="Arial"/>
                <w:sz w:val="18"/>
                <w:szCs w:val="18"/>
                <w:color w:val="auto"/>
                <w:w w:val="94"/>
              </w:rPr>
              <w:t>Form of Power of Attorney</w:t>
            </w: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I hereby irrevocably appoint</w:t>
            </w:r>
          </w:p>
        </w:tc>
        <w:tc>
          <w:tcPr>
            <w:tcW w:w="5060" w:type="dxa"/>
            <w:vAlign w:val="bottom"/>
            <w:gridSpan w:val="3"/>
          </w:tcPr>
          <w:p>
            <w:pPr>
              <w:ind w:left="880"/>
              <w:spacing w:after="0"/>
              <w:rPr>
                <w:sz w:val="20"/>
                <w:szCs w:val="20"/>
                <w:color w:val="auto"/>
              </w:rPr>
            </w:pPr>
            <w:r>
              <w:rPr>
                <w:rFonts w:ascii="Arial" w:cs="Arial" w:eastAsia="Arial" w:hAnsi="Arial"/>
                <w:sz w:val="18"/>
                <w:szCs w:val="18"/>
                <w:color w:val="auto"/>
              </w:rPr>
              <w:t>, holder of [passport / PRC identification] number :</w:t>
            </w:r>
          </w:p>
        </w:tc>
        <w:tc>
          <w:tcPr>
            <w:tcW w:w="2820" w:type="dxa"/>
            <w:vAlign w:val="bottom"/>
            <w:gridSpan w:val="2"/>
          </w:tcPr>
          <w:p>
            <w:pPr>
              <w:jc w:val="right"/>
              <w:ind w:right="110"/>
              <w:spacing w:after="0"/>
              <w:rPr>
                <w:sz w:val="20"/>
                <w:szCs w:val="20"/>
                <w:color w:val="auto"/>
              </w:rPr>
            </w:pPr>
            <w:r>
              <w:rPr>
                <w:rFonts w:ascii="Arial" w:cs="Arial" w:eastAsia="Arial" w:hAnsi="Arial"/>
                <w:sz w:val="18"/>
                <w:szCs w:val="18"/>
                <w:color w:val="auto"/>
                <w:w w:val="98"/>
              </w:rPr>
              <w:t>, as my proxy, to sign and deliver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100"/>
        <w:spacing w:after="0" w:line="281" w:lineRule="auto"/>
        <w:rPr>
          <w:sz w:val="20"/>
          <w:szCs w:val="20"/>
          <w:color w:val="auto"/>
        </w:rPr>
      </w:pPr>
      <w:r>
        <w:rPr>
          <w:rFonts w:ascii="Arial" w:cs="Arial" w:eastAsia="Arial" w:hAnsi="Arial"/>
          <w:sz w:val="16"/>
          <w:szCs w:val="16"/>
          <w:color w:val="auto"/>
        </w:rPr>
        <w:t>any and all legal documents that are necessary or useful to effect any exercise of an option to purchase any equity interests or assets pursuant to the Exclusive Purchase Option Agreement betweenNetEase Media Technology (Beijing) Co., Ltd., Li Li and Beijing Guangyitong Advertising Co., Ltd. executed 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1000"/>
              <w:spacing w:after="0"/>
              <w:rPr>
                <w:sz w:val="20"/>
                <w:szCs w:val="20"/>
                <w:color w:val="auto"/>
              </w:rPr>
            </w:pPr>
            <w:r>
              <w:rPr>
                <w:rFonts w:ascii="Arial" w:cs="Arial" w:eastAsia="Arial" w:hAnsi="Arial"/>
                <w:sz w:val="18"/>
                <w:szCs w:val="18"/>
                <w:color w:val="auto"/>
                <w:w w:val="93"/>
              </w:rPr>
              <w:t>, 20</w:t>
            </w:r>
          </w:p>
        </w:tc>
        <w:tc>
          <w:tcPr>
            <w:tcW w:w="4040" w:type="dxa"/>
            <w:vAlign w:val="bottom"/>
          </w:tcPr>
          <w:p>
            <w:pPr>
              <w:jc w:val="right"/>
              <w:ind w:right="349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4040" w:type="dxa"/>
            <w:vAlign w:val="bottom"/>
            <w:vMerge w:val="restart"/>
          </w:tcPr>
          <w:p>
            <w:pPr>
              <w:spacing w:after="0"/>
              <w:rPr>
                <w:sz w:val="24"/>
                <w:szCs w:val="24"/>
                <w:color w:val="auto"/>
              </w:rPr>
            </w:pPr>
          </w:p>
        </w:tc>
        <w:tc>
          <w:tcPr>
            <w:tcW w:w="74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Li Li</w:t>
            </w:r>
          </w:p>
        </w:tc>
        <w:tc>
          <w:tcPr>
            <w:tcW w:w="4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3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i w:val="1"/>
                <w:iCs w:val="1"/>
                <w:color w:val="auto"/>
                <w:w w:val="95"/>
              </w:rPr>
              <w:t xml:space="preserve">Date </w:t>
            </w:r>
            <w:r>
              <w:rPr>
                <w:rFonts w:ascii="Arial" w:cs="Arial" w:eastAsia="Arial" w:hAnsi="Arial"/>
                <w:sz w:val="18"/>
                <w:szCs w:val="18"/>
                <w:color w:val="auto"/>
                <w:w w:val="95"/>
              </w:rPr>
              <w:t>:</w:t>
            </w:r>
          </w:p>
        </w:tc>
        <w:tc>
          <w:tcPr>
            <w:tcW w:w="4800" w:type="dxa"/>
            <w:vAlign w:val="bottom"/>
          </w:tcPr>
          <w:p>
            <w:pPr>
              <w:jc w:val="right"/>
              <w:ind w:right="38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4780" w:type="dxa"/>
            <w:vAlign w:val="bottom"/>
            <w:gridSpan w:val="2"/>
          </w:tcPr>
          <w:p>
            <w:pPr>
              <w:jc w:val="center"/>
              <w:ind w:left="3950"/>
              <w:spacing w:after="0"/>
              <w:rPr>
                <w:sz w:val="20"/>
                <w:szCs w:val="20"/>
                <w:color w:val="auto"/>
              </w:rPr>
            </w:pPr>
            <w:r>
              <w:rPr>
                <w:rFonts w:ascii="Arial" w:cs="Arial" w:eastAsia="Arial" w:hAnsi="Arial"/>
                <w:sz w:val="18"/>
                <w:szCs w:val="18"/>
                <w:color w:val="auto"/>
                <w:w w:val="89"/>
              </w:rPr>
              <w:t>14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808080"/>
            </w:tcBorders>
          </w:tcPr>
          <w:p>
            <w:pPr>
              <w:spacing w:after="0"/>
              <w:rPr>
                <w:sz w:val="11"/>
                <w:szCs w:val="11"/>
                <w:color w:val="auto"/>
              </w:rPr>
            </w:pPr>
          </w:p>
        </w:tc>
        <w:tc>
          <w:tcPr>
            <w:tcW w:w="404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gridSpan w:val="2"/>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13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8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94"/>
              </w:rPr>
              <w:t>Exhibit C</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10120" w:type="dxa"/>
            <w:vAlign w:val="bottom"/>
            <w:gridSpan w:val="5"/>
          </w:tcPr>
          <w:p>
            <w:pPr>
              <w:jc w:val="center"/>
              <w:ind w:right="1190"/>
              <w:spacing w:after="0"/>
              <w:rPr>
                <w:sz w:val="20"/>
                <w:szCs w:val="20"/>
                <w:color w:val="auto"/>
              </w:rPr>
            </w:pPr>
            <w:r>
              <w:rPr>
                <w:rFonts w:ascii="Arial" w:cs="Arial" w:eastAsia="Arial" w:hAnsi="Arial"/>
                <w:sz w:val="18"/>
                <w:szCs w:val="18"/>
                <w:color w:val="auto"/>
                <w:w w:val="91"/>
              </w:rPr>
              <w:t>Form of Transfer Agreement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20" w:type="dxa"/>
            <w:vAlign w:val="bottom"/>
            <w:gridSpan w:val="5"/>
          </w:tcPr>
          <w:p>
            <w:pPr>
              <w:spacing w:after="0"/>
              <w:rPr>
                <w:sz w:val="20"/>
                <w:szCs w:val="20"/>
                <w:color w:val="auto"/>
              </w:rPr>
            </w:pPr>
            <w:r>
              <w:rPr>
                <w:rFonts w:ascii="Arial" w:cs="Arial" w:eastAsia="Arial" w:hAnsi="Arial"/>
                <w:sz w:val="18"/>
                <w:szCs w:val="18"/>
                <w:color w:val="auto"/>
              </w:rPr>
              <w:t>This Transfer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jointly signed by the Parties on</w:t>
            </w:r>
          </w:p>
        </w:tc>
        <w:tc>
          <w:tcPr>
            <w:tcW w:w="4800" w:type="dxa"/>
            <w:vAlign w:val="bottom"/>
          </w:tcPr>
          <w:p>
            <w:pPr>
              <w:jc w:val="right"/>
              <w:ind w:right="50"/>
              <w:spacing w:after="0"/>
              <w:rPr>
                <w:sz w:val="20"/>
                <w:szCs w:val="20"/>
                <w:color w:val="auto"/>
              </w:rPr>
            </w:pPr>
            <w:r>
              <w:rPr>
                <w:rFonts w:ascii="Arial" w:cs="Arial" w:eastAsia="Arial" w:hAnsi="Arial"/>
                <w:sz w:val="18"/>
                <w:szCs w:val="18"/>
                <w:color w:val="auto"/>
                <w:w w:val="94"/>
              </w:rPr>
              <w:t>at the offices of Beijing Guangyitong Advertising Co., Ltd.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tc>
        <w:tc>
          <w:tcPr>
            <w:tcW w:w="4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Transferor:</w:t>
            </w:r>
          </w:p>
        </w:tc>
        <w:tc>
          <w:tcPr>
            <w:tcW w:w="5320" w:type="dxa"/>
            <w:vAlign w:val="bottom"/>
            <w:gridSpan w:val="4"/>
          </w:tcPr>
          <w:p>
            <w:pPr>
              <w:ind w:left="60"/>
              <w:spacing w:after="0"/>
              <w:rPr>
                <w:sz w:val="20"/>
                <w:szCs w:val="20"/>
                <w:color w:val="auto"/>
              </w:rPr>
            </w:pPr>
            <w:r>
              <w:rPr>
                <w:rFonts w:ascii="Arial" w:cs="Arial" w:eastAsia="Arial" w:hAnsi="Arial"/>
                <w:sz w:val="18"/>
                <w:szCs w:val="18"/>
                <w:color w:val="auto"/>
              </w:rPr>
              <w:t>Li Li (“</w:t>
            </w:r>
            <w:r>
              <w:rPr>
                <w:rFonts w:ascii="Arial" w:cs="Arial" w:eastAsia="Arial" w:hAnsi="Arial"/>
                <w:sz w:val="18"/>
                <w:szCs w:val="18"/>
                <w:b w:val="1"/>
                <w:bCs w:val="1"/>
                <w:i w:val="1"/>
                <w:iCs w:val="1"/>
                <w:color w:val="auto"/>
              </w:rPr>
              <w:t>Party A</w:t>
            </w:r>
            <w:r>
              <w:rPr>
                <w:rFonts w:ascii="Arial" w:cs="Arial" w:eastAsia="Arial" w:hAnsi="Arial"/>
                <w:sz w:val="18"/>
                <w:szCs w:val="18"/>
                <w:color w:val="auto"/>
              </w:rPr>
              <w: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Transferee:</w:t>
            </w:r>
          </w:p>
        </w:tc>
        <w:tc>
          <w:tcPr>
            <w:tcW w:w="5320" w:type="dxa"/>
            <w:vAlign w:val="bottom"/>
            <w:gridSpan w:val="4"/>
          </w:tcPr>
          <w:p>
            <w:pPr>
              <w:ind w:left="20"/>
              <w:spacing w:after="0"/>
              <w:rPr>
                <w:sz w:val="20"/>
                <w:szCs w:val="20"/>
                <w:color w:val="auto"/>
              </w:rPr>
            </w:pPr>
            <w:r>
              <w:rPr>
                <w:rFonts w:ascii="Arial" w:cs="Arial" w:eastAsia="Arial" w:hAnsi="Arial"/>
                <w:sz w:val="18"/>
                <w:szCs w:val="18"/>
                <w:color w:val="auto"/>
              </w:rPr>
              <w:t>NetEase Media Technology (Beijing) Co., Ltd. (“</w:t>
            </w:r>
            <w:r>
              <w:rPr>
                <w:rFonts w:ascii="Arial" w:cs="Arial" w:eastAsia="Arial" w:hAnsi="Arial"/>
                <w:sz w:val="18"/>
                <w:szCs w:val="18"/>
                <w:b w:val="1"/>
                <w:bCs w:val="1"/>
                <w:i w:val="1"/>
                <w:iCs w:val="1"/>
                <w:color w:val="auto"/>
              </w:rPr>
              <w:t>Party B</w:t>
            </w:r>
            <w:r>
              <w:rPr>
                <w:rFonts w:ascii="Arial" w:cs="Arial" w:eastAsia="Arial" w:hAnsi="Arial"/>
                <w:sz w:val="18"/>
                <w:szCs w:val="18"/>
                <w:color w:val="auto"/>
              </w:rPr>
              <w:t>”)</w:t>
            </w:r>
          </w:p>
        </w:tc>
        <w:tc>
          <w:tcPr>
            <w:tcW w:w="4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Party A owns 1% of the equity interest of the Company.] According to the relevant laws, rules and regulations, upon friendly negotiations between</w:t>
      </w:r>
    </w:p>
    <w:p>
      <w:pPr>
        <w:spacing w:after="0" w:line="4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Parties, and pursuant to the Exclusive Purchase Option Agreement entered into by the Parties on , 20 (the “</w:t>
      </w:r>
      <w:r>
        <w:rPr>
          <w:rFonts w:ascii="Arial" w:cs="Arial" w:eastAsia="Arial" w:hAnsi="Arial"/>
          <w:sz w:val="18"/>
          <w:szCs w:val="18"/>
          <w:b w:val="1"/>
          <w:bCs w:val="1"/>
          <w:i w:val="1"/>
          <w:iCs w:val="1"/>
          <w:color w:val="auto"/>
        </w:rPr>
        <w:t>Exclusive Purchase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the Parties agree to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Article 1. Subject of Transfer and Purchase Price</w:t>
      </w:r>
    </w:p>
    <w:p>
      <w:pPr>
        <w:spacing w:after="0" w:line="225" w:lineRule="exact"/>
        <w:rPr>
          <w:sz w:val="20"/>
          <w:szCs w:val="20"/>
          <w:color w:val="auto"/>
        </w:rPr>
      </w:pPr>
    </w:p>
    <w:p>
      <w:pPr>
        <w:ind w:left="660"/>
        <w:spacing w:after="0"/>
        <w:tabs>
          <w:tab w:leader="none" w:pos="6480" w:val="left"/>
          <w:tab w:leader="none" w:pos="6820" w:val="left"/>
        </w:tabs>
        <w:rPr>
          <w:sz w:val="20"/>
          <w:szCs w:val="20"/>
          <w:color w:val="auto"/>
        </w:rPr>
      </w:pPr>
      <w:r>
        <w:rPr>
          <w:rFonts w:ascii="Arial" w:cs="Arial" w:eastAsia="Arial" w:hAnsi="Arial"/>
          <w:sz w:val="18"/>
          <w:szCs w:val="18"/>
          <w:color w:val="auto"/>
        </w:rPr>
        <w:t>Party A shall transfer to [Party B / Party B’s designated person(s):</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equity interest of the Company / the following assets:</w:t>
      </w:r>
    </w:p>
    <w:p>
      <w:pPr>
        <w:spacing w:after="0" w:line="23" w:lineRule="exact"/>
        <w:rPr>
          <w:sz w:val="20"/>
          <w:szCs w:val="20"/>
          <w:color w:val="auto"/>
        </w:rPr>
      </w:pPr>
    </w:p>
    <w:p>
      <w:pPr>
        <w:ind w:left="2660"/>
        <w:spacing w:after="0"/>
        <w:tabs>
          <w:tab w:leader="none" w:pos="8460" w:val="left"/>
        </w:tabs>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i w:val="1"/>
          <w:iCs w:val="1"/>
          <w:color w:val="auto"/>
        </w:rPr>
        <w:t>Transferred Interest</w:t>
      </w:r>
      <w:r>
        <w:rPr>
          <w:rFonts w:ascii="Arial" w:cs="Arial" w:eastAsia="Arial" w:hAnsi="Arial"/>
          <w:sz w:val="18"/>
          <w:szCs w:val="18"/>
          <w:color w:val="auto"/>
        </w:rPr>
        <w:t>”) for the total purchase price of [RMB</w:t>
      </w:r>
      <w:r>
        <w:rPr>
          <w:sz w:val="20"/>
          <w:szCs w:val="20"/>
          <w:color w:val="auto"/>
        </w:rPr>
        <w:tab/>
      </w:r>
      <w:r>
        <w:rPr>
          <w:rFonts w:ascii="Arial" w:cs="Arial" w:eastAsia="Arial" w:hAnsi="Arial"/>
          <w:sz w:val="17"/>
          <w:szCs w:val="17"/>
          <w:color w:val="auto"/>
        </w:rPr>
        <w:t>].</w:t>
      </w:r>
    </w:p>
    <w:p>
      <w:pPr>
        <w:sectPr>
          <w:pgSz w:w="11900" w:h="16838" w:orient="portrait"/>
          <w:cols w:equalWidth="0" w:num="1">
            <w:col w:w="11460"/>
          </w:cols>
          <w:pgMar w:left="240" w:top="125" w:right="199" w:bottom="0" w:gutter="0" w:footer="0" w:header="0"/>
          <w:type w:val="continuous"/>
        </w:sectPr>
      </w:pPr>
    </w:p>
    <w:bookmarkStart w:id="167" w:name="page168"/>
    <w:bookmarkEnd w:id="167"/>
    <w:p>
      <w:pPr>
        <w:spacing w:after="0"/>
        <w:rPr>
          <w:sz w:val="20"/>
          <w:szCs w:val="20"/>
          <w:color w:val="auto"/>
        </w:rPr>
      </w:pPr>
      <w:r>
        <w:rPr>
          <w:rFonts w:ascii="Arial" w:cs="Arial" w:eastAsia="Arial" w:hAnsi="Arial"/>
          <w:sz w:val="18"/>
          <w:szCs w:val="18"/>
          <w:color w:val="auto"/>
        </w:rPr>
        <w:t>Article 2. Undertakings and Guarantee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Article 3. Liabilities for Breach of Contract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4. Method of Dispute Resolutions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Article 5. Others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Agreement shall be executed in </w:t>
      </w:r>
      <w:r>
        <w:rPr>
          <w:rFonts w:ascii="Arial" w:cs="Arial" w:eastAsia="Arial" w:hAnsi="Arial"/>
          <w:sz w:val="16"/>
          <w:szCs w:val="16"/>
          <w:u w:val="single" w:color="auto"/>
          <w:color w:val="auto"/>
        </w:rPr>
        <w:t>triplicate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each of the Parties and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the Company for use in completing the relevant formalities.</w:t>
      </w:r>
    </w:p>
    <w:p>
      <w:pPr>
        <w:sectPr>
          <w:pgSz w:w="11900" w:h="16838" w:orient="portrait"/>
          <w:cols w:equalWidth="0" w:num="1">
            <w:col w:w="11380"/>
          </w:cols>
          <w:pgMar w:left="240" w:top="342" w:right="2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Party A (signature):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Li Li</w:t>
      </w:r>
    </w:p>
    <w:p>
      <w:pPr>
        <w:spacing w:after="0" w:line="200" w:lineRule="exact"/>
        <w:rPr>
          <w:sz w:val="20"/>
          <w:szCs w:val="20"/>
          <w:color w:val="auto"/>
        </w:rPr>
      </w:pPr>
    </w:p>
    <w:p>
      <w:pPr>
        <w:sectPr>
          <w:pgSz w:w="11900" w:h="16838" w:orient="portrait"/>
          <w:cols w:equalWidth="0" w:num="2">
            <w:col w:w="1440" w:space="380"/>
            <w:col w:w="9560"/>
          </w:cols>
          <w:pgMar w:left="240" w:top="342" w:right="2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Party B (signature):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NetEase Media Technology (Beijing) Co., Ltd.</w:t>
      </w:r>
    </w:p>
    <w:p>
      <w:pPr>
        <w:spacing w:after="0" w:line="200" w:lineRule="exact"/>
        <w:rPr>
          <w:sz w:val="20"/>
          <w:szCs w:val="20"/>
          <w:color w:val="auto"/>
        </w:rPr>
      </w:pPr>
    </w:p>
    <w:p>
      <w:pPr>
        <w:sectPr>
          <w:pgSz w:w="11900" w:h="16838" w:orient="portrait"/>
          <w:cols w:equalWidth="0" w:num="2">
            <w:col w:w="1420" w:space="400"/>
            <w:col w:w="9560"/>
          </w:cols>
          <w:pgMar w:left="240" w:top="342" w:right="279" w:bottom="1440" w:gutter="0" w:footer="0" w:header="0"/>
          <w:type w:val="continuous"/>
        </w:sectPr>
      </w:pPr>
    </w:p>
    <w:p>
      <w:pPr>
        <w:spacing w:after="0" w:line="48" w:lineRule="exact"/>
        <w:rPr>
          <w:sz w:val="20"/>
          <w:szCs w:val="20"/>
          <w:color w:val="auto"/>
        </w:rPr>
      </w:pPr>
    </w:p>
    <w:p>
      <w:pPr>
        <w:ind w:left="5780"/>
        <w:spacing w:after="0"/>
        <w:tabs>
          <w:tab w:leader="none" w:pos="686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4.43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Operating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among the following parties in Beijing as of November 30, 3015:</w:t>
      </w:r>
    </w:p>
    <w:p>
      <w:pPr>
        <w:sectPr>
          <w:pgSz w:w="11900" w:h="16838" w:orient="portrait"/>
          <w:cols w:equalWidth="0" w:num="1">
            <w:col w:w="11420"/>
          </w:cols>
          <w:pgMar w:left="240" w:top="121" w:right="239" w:bottom="99"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560"/>
        <w:spacing w:after="0" w:line="277" w:lineRule="auto"/>
        <w:rPr>
          <w:sz w:val="20"/>
          <w:szCs w:val="20"/>
          <w:color w:val="auto"/>
        </w:rPr>
      </w:pPr>
      <w:r>
        <w:rPr>
          <w:rFonts w:ascii="Arial" w:cs="Arial" w:eastAsia="Arial" w:hAnsi="Arial"/>
          <w:sz w:val="18"/>
          <w:szCs w:val="18"/>
          <w:color w:val="auto"/>
        </w:rPr>
        <w:t>NetEase Media Technology (Beijing) Co., Ltd. 20-22/F,Tower 8, NO.86 Zhongguancun East Road, Haidian District, Beijing</w:t>
      </w:r>
    </w:p>
    <w:p>
      <w:pPr>
        <w:spacing w:after="0" w:line="166" w:lineRule="exact"/>
        <w:rPr>
          <w:sz w:val="20"/>
          <w:szCs w:val="20"/>
          <w:color w:val="auto"/>
        </w:rPr>
      </w:pPr>
    </w:p>
    <w:p>
      <w:pPr>
        <w:sectPr>
          <w:pgSz w:w="11900" w:h="16838" w:orient="portrait"/>
          <w:cols w:equalWidth="0" w:num="2">
            <w:col w:w="700" w:space="620"/>
            <w:col w:w="10100"/>
          </w:cols>
          <w:pgMar w:left="240" w:top="121" w:right="239" w:bottom="99" w:gutter="0" w:footer="0" w:header="0"/>
          <w:type w:val="continuous"/>
        </w:sectPr>
      </w:pPr>
    </w:p>
    <w:p>
      <w:pPr>
        <w:spacing w:after="0"/>
        <w:rPr>
          <w:sz w:val="20"/>
          <w:szCs w:val="20"/>
          <w:color w:val="auto"/>
        </w:rPr>
      </w:pPr>
      <w:r>
        <w:rPr>
          <w:rFonts w:ascii="Arial" w:cs="Arial" w:eastAsia="Arial" w:hAnsi="Arial"/>
          <w:sz w:val="18"/>
          <w:szCs w:val="18"/>
          <w:b w:val="1"/>
          <w:bCs w:val="1"/>
          <w:color w:val="auto"/>
        </w:rPr>
        <w:t>Party B:</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Beijing Guangyitong Advertising Co.,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Room F112, -1/F, Tower 5th, YongDingMenWai Street NO.86, Dongcheng District, Beijing</w:t>
      </w:r>
    </w:p>
    <w:p>
      <w:pPr>
        <w:spacing w:after="0" w:line="200" w:lineRule="exact"/>
        <w:rPr>
          <w:sz w:val="20"/>
          <w:szCs w:val="20"/>
          <w:color w:val="auto"/>
        </w:rPr>
      </w:pPr>
    </w:p>
    <w:p>
      <w:pPr>
        <w:sectPr>
          <w:pgSz w:w="11900" w:h="16838" w:orient="portrait"/>
          <w:cols w:equalWidth="0" w:num="2">
            <w:col w:w="700" w:space="620"/>
            <w:col w:w="10100"/>
          </w:cols>
          <w:pgMar w:left="240" w:top="121" w:right="239" w:bottom="99"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William Lei Ding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Room 6-401, A90, Shuguang Road, Jiangdong District, Ningbo, Zhejiang Province</w:t>
      </w:r>
    </w:p>
    <w:p>
      <w:pPr>
        <w:spacing w:after="0" w:line="200" w:lineRule="exact"/>
        <w:rPr>
          <w:sz w:val="20"/>
          <w:szCs w:val="20"/>
          <w:color w:val="auto"/>
        </w:rPr>
      </w:pPr>
    </w:p>
    <w:p>
      <w:pPr>
        <w:sectPr>
          <w:pgSz w:w="11900" w:h="16838" w:orient="portrait"/>
          <w:cols w:equalWidth="0" w:num="2">
            <w:col w:w="700" w:space="620"/>
            <w:col w:w="10100"/>
          </w:cols>
          <w:pgMar w:left="240" w:top="121" w:right="239" w:bottom="99"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Li Li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NO.7, Unit 4, Building 16, Changqing Yuan, Chongwen District, Beijing</w:t>
      </w:r>
    </w:p>
    <w:p>
      <w:pPr>
        <w:spacing w:after="0" w:line="200" w:lineRule="exact"/>
        <w:rPr>
          <w:sz w:val="20"/>
          <w:szCs w:val="20"/>
          <w:color w:val="auto"/>
        </w:rPr>
      </w:pPr>
    </w:p>
    <w:p>
      <w:pPr>
        <w:sectPr>
          <w:pgSz w:w="11900" w:h="16838" w:orient="portrait"/>
          <w:cols w:equalWidth="0" w:num="2">
            <w:col w:w="700" w:space="620"/>
            <w:col w:w="10100"/>
          </w:cols>
          <w:pgMar w:left="240" w:top="121" w:right="239" w:bottom="99"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Party C and Party D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hanging="652"/>
        <w:spacing w:after="0"/>
        <w:tabs>
          <w:tab w:leader="none" w:pos="66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Party A is a wholly foreign-owned enterprise duly incorporated and validly existing under the laws of the People’s Republic of China (the “</w:t>
      </w:r>
      <w:r>
        <w:rPr>
          <w:rFonts w:ascii="Arial" w:cs="Arial" w:eastAsia="Arial" w:hAnsi="Arial"/>
          <w:sz w:val="16"/>
          <w:szCs w:val="16"/>
          <w:b w:val="1"/>
          <w:bCs w:val="1"/>
          <w:color w:val="auto"/>
        </w:rPr>
        <w:t>PRC</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left="660" w:right="140" w:hanging="652"/>
        <w:spacing w:after="0" w:line="277" w:lineRule="auto"/>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Party B is a limited liability company duly incorporated and validly existing under PRC law, which is registered in Beijing to carry out the business of online portal and media entertainment;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Party C and Party D are shareholders of Party B, in which Party C owns 99% and Party D owns 1% of the equity interest;</w:t>
      </w:r>
    </w:p>
    <w:p>
      <w:pPr>
        <w:spacing w:after="0" w:line="221" w:lineRule="exact"/>
        <w:rPr>
          <w:rFonts w:ascii="Arial" w:cs="Arial" w:eastAsia="Arial" w:hAnsi="Arial"/>
          <w:sz w:val="18"/>
          <w:szCs w:val="18"/>
          <w:color w:val="auto"/>
        </w:rPr>
      </w:pPr>
    </w:p>
    <w:p>
      <w:pPr>
        <w:ind w:left="660" w:right="200" w:hanging="652"/>
        <w:spacing w:after="0" w:line="282" w:lineRule="auto"/>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Party A has established a business relationship with Party B by entering into a Cooperation Agreement (the “</w:t>
      </w:r>
      <w:r>
        <w:rPr>
          <w:rFonts w:ascii="Arial" w:cs="Arial" w:eastAsia="Arial" w:hAnsi="Arial"/>
          <w:sz w:val="18"/>
          <w:szCs w:val="18"/>
          <w:b w:val="1"/>
          <w:bCs w:val="1"/>
          <w:color w:val="auto"/>
        </w:rPr>
        <w:t>Cooperation Agreement</w:t>
      </w:r>
      <w:r>
        <w:rPr>
          <w:rFonts w:ascii="Arial" w:cs="Arial" w:eastAsia="Arial" w:hAnsi="Arial"/>
          <w:sz w:val="18"/>
          <w:szCs w:val="18"/>
          <w:color w:val="auto"/>
        </w:rPr>
        <w:t>”) and other agreements; and</w:t>
      </w:r>
    </w:p>
    <w:p>
      <w:pPr>
        <w:spacing w:after="0" w:line="16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Pursuant to the above-mentioned agreements between Party A and Party B, Party B shall pay certain sums of money to Party A. The daily operations of Party B will have a material effect on Party B’s ability to pay such account payable to Party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40" w:hanging="652"/>
        <w:spacing w:after="0" w:line="272" w:lineRule="auto"/>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Party A agrees, subject to the satisfaction of the relevant provisions herein by Party B and subject to the other provisions in this Agreement, to be the guarantor of Party B in the contracts, agreements or transactions entered into between Party B and any third party in connection with Party B’s business and operations, to provide full guarantees for the performance of such contracts, agreements or transactions by Party B. As counter-guarantee, Party B agrees to pledge the accounts receivable in its operations and all of its assets to Party A. According to the aforesaid guarantee arrangement, Party A, when necessary, is willing to enter into written guarantee contracts with Party B’s counterparties to assume the guarantor’s liabilities. Party B, Party C and Party D shall take all necessary actions (including, but not limited to, executing the relevant documents and filing the relevant registrations) to carry out the counter-guarantee arrangement with Party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hanging="652"/>
        <w:spacing w:after="0" w:line="297" w:lineRule="auto"/>
        <w:tabs>
          <w:tab w:leader="none" w:pos="66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In consideration of the requirements of Article 1 hereof and to ensure the performance of the various business agreements between Party A and Party B and the payment by Party B of the amounts payable to Party A thereunder, Party B, together with its shareholders Party C and Party D, hereby jointly agree that, without Party A’s prior written consent, Party B shall not engage in any transaction that may materially affect its assets, liabilities, rights or operations (except that Party B may, in the ordinary course of its business, enter into business contracts or agreements, sell or purchase assets and create liens in favor of relevant counter parties as required by law), including, but not limited to, the following:</w:t>
      </w:r>
    </w:p>
    <w:p>
      <w:pPr>
        <w:spacing w:after="0" w:line="15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2.1</w:t>
      </w:r>
      <w:r>
        <w:rPr>
          <w:rFonts w:ascii="Arial" w:cs="Arial" w:eastAsia="Arial" w:hAnsi="Arial"/>
          <w:sz w:val="16"/>
          <w:szCs w:val="16"/>
          <w:color w:val="auto"/>
        </w:rPr>
        <w:t>To declare any dividend or distribution to any shareholder;</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2.2</w:t>
      </w:r>
      <w:r>
        <w:rPr>
          <w:rFonts w:ascii="Arial" w:cs="Arial" w:eastAsia="Arial" w:hAnsi="Arial"/>
          <w:sz w:val="16"/>
          <w:szCs w:val="16"/>
          <w:color w:val="auto"/>
        </w:rPr>
        <w:t>To borrow money from any third party or assume any debt;</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2.3</w:t>
      </w:r>
      <w:r>
        <w:rPr>
          <w:rFonts w:ascii="Arial" w:cs="Arial" w:eastAsia="Arial" w:hAnsi="Arial"/>
          <w:sz w:val="16"/>
          <w:szCs w:val="16"/>
          <w:color w:val="auto"/>
        </w:rPr>
        <w:t>To sell to or acquire from any third party any asset or rights, including, but not limited to, any intellectual property rights;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2.4</w:t>
      </w:r>
      <w:r>
        <w:rPr>
          <w:rFonts w:ascii="Arial" w:cs="Arial" w:eastAsia="Arial" w:hAnsi="Arial"/>
          <w:sz w:val="16"/>
          <w:szCs w:val="16"/>
          <w:color w:val="auto"/>
        </w:rPr>
        <w:t>To provide a guarantee for any third party using its assets or intellectual property rights as collateral;</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2.5</w:t>
      </w:r>
      <w:r>
        <w:rPr>
          <w:rFonts w:ascii="Arial" w:cs="Arial" w:eastAsia="Arial" w:hAnsi="Arial"/>
          <w:sz w:val="16"/>
          <w:szCs w:val="16"/>
          <w:color w:val="auto"/>
        </w:rPr>
        <w:t>To assign to any third party its business contracts;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2.6</w:t>
      </w:r>
      <w:r>
        <w:rPr>
          <w:rFonts w:ascii="Arial" w:cs="Arial" w:eastAsia="Arial" w:hAnsi="Arial"/>
          <w:sz w:val="16"/>
          <w:szCs w:val="16"/>
          <w:color w:val="auto"/>
        </w:rPr>
        <w:t>To engage in any activity beyond its normal business scope;</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2.7</w:t>
      </w:r>
      <w:r>
        <w:rPr>
          <w:rFonts w:ascii="Arial" w:cs="Arial" w:eastAsia="Arial" w:hAnsi="Arial"/>
          <w:sz w:val="16"/>
          <w:szCs w:val="16"/>
          <w:color w:val="auto"/>
        </w:rPr>
        <w:t>To change or dismiss any of its directors or remove and replace any of its officers;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2.8</w:t>
      </w:r>
      <w:r>
        <w:rPr>
          <w:rFonts w:ascii="Arial" w:cs="Arial" w:eastAsia="Arial" w:hAnsi="Arial"/>
          <w:sz w:val="16"/>
          <w:szCs w:val="16"/>
          <w:color w:val="auto"/>
        </w:rPr>
        <w:t>To amend its articles of association or change its business scope;</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2.9</w:t>
      </w:r>
      <w:r>
        <w:rPr>
          <w:rFonts w:ascii="Arial" w:cs="Arial" w:eastAsia="Arial" w:hAnsi="Arial"/>
          <w:sz w:val="16"/>
          <w:szCs w:val="16"/>
          <w:color w:val="auto"/>
        </w:rPr>
        <w:t>To change its normal business procedures or amend any of its important rules and regulations; or</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2.10    To transfer its rights and obligations under this Agreement to any third party.</w:t>
      </w:r>
    </w:p>
    <w:p>
      <w:pPr>
        <w:sectPr>
          <w:pgSz w:w="11900" w:h="16838" w:orient="portrait"/>
          <w:cols w:equalWidth="0" w:num="1">
            <w:col w:w="11420"/>
          </w:cols>
          <w:pgMar w:left="240" w:top="121" w:right="239" w:bottom="99" w:gutter="0" w:footer="0" w:header="0"/>
          <w:type w:val="continuous"/>
        </w:sectPr>
      </w:pPr>
    </w:p>
    <w:bookmarkStart w:id="169" w:name="page170"/>
    <w:bookmarkEnd w:id="169"/>
    <w:p>
      <w:pPr>
        <w:spacing w:after="0" w:line="114" w:lineRule="exact"/>
        <w:rPr>
          <w:sz w:val="20"/>
          <w:szCs w:val="20"/>
          <w:color w:val="auto"/>
        </w:rPr>
      </w:pPr>
    </w:p>
    <w:p>
      <w:pPr>
        <w:ind w:left="652" w:right="120" w:hanging="652"/>
        <w:spacing w:after="0" w:line="259" w:lineRule="auto"/>
        <w:tabs>
          <w:tab w:leader="none" w:pos="65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 order to ensure the performance of the various business agreements between Party A and Party B and the payment by Party B of the amounts payable to Party A thereunder, Party B, together with its shareholders Party C and Party D, hereby jointly agree to accept and comply in all respects with advice and guidance provided by Party A from time to time relating to its corporate policies on matters such as employment and dismissal of employees, daily operations and management, and financial management.</w:t>
      </w:r>
    </w:p>
    <w:p>
      <w:pPr>
        <w:spacing w:after="0" w:line="186" w:lineRule="exact"/>
        <w:rPr>
          <w:rFonts w:ascii="Arial" w:cs="Arial" w:eastAsia="Arial" w:hAnsi="Arial"/>
          <w:sz w:val="18"/>
          <w:szCs w:val="18"/>
          <w:color w:val="auto"/>
        </w:rPr>
      </w:pPr>
    </w:p>
    <w:p>
      <w:pPr>
        <w:ind w:left="652" w:hanging="652"/>
        <w:spacing w:after="0" w:line="264" w:lineRule="auto"/>
        <w:tabs>
          <w:tab w:leader="none" w:pos="65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Party B, together with its shareholders Party C and Party D, hereby jointly agree that Party C and Party D shall appoint candidates recommended by Party A as directors of Party B, and Party B shall appoint Party A’s senior executive officers recommended by Party A as its president, chief financial officer and other senior executive officers.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80"/>
        <w:spacing w:after="0" w:line="279" w:lineRule="auto"/>
        <w:rPr>
          <w:sz w:val="20"/>
          <w:szCs w:val="20"/>
          <w:color w:val="auto"/>
        </w:rPr>
      </w:pPr>
      <w:r>
        <w:rPr>
          <w:rFonts w:ascii="Arial" w:cs="Arial" w:eastAsia="Arial" w:hAnsi="Arial"/>
          <w:sz w:val="17"/>
          <w:szCs w:val="17"/>
          <w:color w:val="auto"/>
        </w:rPr>
        <w:t>If any of the above-mentioned senior executive officers of Party A leaves Party A, whether voluntarily or as a result of dismissal by Party A, he or she shall also lose his/her right to hold any position at Party B, and Party B shall appoint other senior executive officers of Party A recommended by Party A to fill such a position. The persons recommended by Party A in accordance with this Article 4 shall comply with the legal requirements regarding the qualifications of directors, presidents, chief financial officers, and other senior executive officers.</w:t>
      </w:r>
    </w:p>
    <w:p>
      <w:pPr>
        <w:spacing w:after="0" w:line="171" w:lineRule="exact"/>
        <w:rPr>
          <w:sz w:val="20"/>
          <w:szCs w:val="20"/>
          <w:color w:val="auto"/>
        </w:rPr>
      </w:pPr>
    </w:p>
    <w:p>
      <w:pPr>
        <w:ind w:left="652" w:right="60" w:hanging="652"/>
        <w:spacing w:after="0" w:line="257" w:lineRule="auto"/>
        <w:tabs>
          <w:tab w:leader="none" w:pos="65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Party B, together with its shareholders Party C and Party D, hereby jointly agree and confirm that Party B shall first seek a guarantee from Party A if Party B needs any guarantee for its performance of any of its contracts or for any borrowing for working capital purposes in the course of its operations. In such cases, Party A shall have the right, but not the obligation, to provide the appropriate guarantee to Party B at Party A’s sole discretion. If Party A decides not to provide such a guarantee, Party A shall immediately issue a written notice to Party B and Party B may seek a guarantee from third parties.</w:t>
      </w:r>
    </w:p>
    <w:p>
      <w:pPr>
        <w:spacing w:after="0" w:line="188" w:lineRule="exact"/>
        <w:rPr>
          <w:rFonts w:ascii="Arial" w:cs="Arial" w:eastAsia="Arial" w:hAnsi="Arial"/>
          <w:sz w:val="18"/>
          <w:szCs w:val="18"/>
          <w:color w:val="auto"/>
        </w:rPr>
      </w:pPr>
    </w:p>
    <w:p>
      <w:pPr>
        <w:ind w:left="652" w:right="340" w:hanging="652"/>
        <w:spacing w:after="0" w:line="277" w:lineRule="auto"/>
        <w:tabs>
          <w:tab w:leader="none" w:pos="65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 the event that any of the agreements between Party A and Party B terminates or expires, Party A shall have the right, but not the obligation, to terminate all agreements between Party A and Party B including, but not limited to, the Cooperation Agreement.</w:t>
      </w:r>
    </w:p>
    <w:p>
      <w:pPr>
        <w:spacing w:after="0" w:line="170"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Any amendment or supplement to this Agreement shall be made in writing. The amendment or supplement duly executed by all Parties shall form an integral part of this Agreement and shall have the same legal effect as this Agreement.</w:t>
      </w:r>
    </w:p>
    <w:p>
      <w:pPr>
        <w:spacing w:after="0" w:line="170" w:lineRule="exact"/>
        <w:rPr>
          <w:rFonts w:ascii="Arial" w:cs="Arial" w:eastAsia="Arial" w:hAnsi="Arial"/>
          <w:sz w:val="18"/>
          <w:szCs w:val="18"/>
          <w:color w:val="auto"/>
        </w:rPr>
      </w:pPr>
    </w:p>
    <w:p>
      <w:pPr>
        <w:ind w:left="652" w:right="400" w:hanging="652"/>
        <w:spacing w:after="0" w:line="264" w:lineRule="auto"/>
        <w:tabs>
          <w:tab w:leader="none" w:pos="65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Should any provision of this Agreement be held invalid or unenforceable because of inconsistency with applicable laws, such provision shall be invalid or unenforceable only to the extent of such applicable laws without affecting the validity or enforceability of the remainder of this Agreement.</w:t>
      </w:r>
    </w:p>
    <w:p>
      <w:pPr>
        <w:spacing w:after="0" w:line="181" w:lineRule="exact"/>
        <w:rPr>
          <w:rFonts w:ascii="Arial" w:cs="Arial" w:eastAsia="Arial" w:hAnsi="Arial"/>
          <w:sz w:val="18"/>
          <w:szCs w:val="18"/>
          <w:color w:val="auto"/>
        </w:rPr>
      </w:pPr>
    </w:p>
    <w:p>
      <w:pPr>
        <w:ind w:left="652" w:right="80" w:hanging="652"/>
        <w:spacing w:after="0" w:line="264" w:lineRule="auto"/>
        <w:tabs>
          <w:tab w:leader="none" w:pos="652"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Party B shall not assign its rights and obligations under this Agreement to any third party without the prior written consent of Party A. Party B hereby agrees that Party A may assign its rights and obligations under this Agreement as Party A sees fit, in which case Party A only needs to give a written notice to Party B and no further consent of Party B is required.</w:t>
      </w:r>
    </w:p>
    <w:p>
      <w:pPr>
        <w:spacing w:after="0" w:line="181" w:lineRule="exact"/>
        <w:rPr>
          <w:rFonts w:ascii="Arial" w:cs="Arial" w:eastAsia="Arial" w:hAnsi="Arial"/>
          <w:sz w:val="18"/>
          <w:szCs w:val="18"/>
          <w:color w:val="auto"/>
        </w:rPr>
      </w:pPr>
    </w:p>
    <w:p>
      <w:pPr>
        <w:ind w:left="652" w:right="60" w:hanging="652"/>
        <w:spacing w:after="0" w:line="290" w:lineRule="auto"/>
        <w:tabs>
          <w:tab w:leader="none" w:pos="647"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10. Any disclosure of confidential information by the personnel of any Party or by the institutions engaged by such Party shall be deemed as a disclosure by such Party, and such Party shall be liable for the breach under this Agreement. Both Parties agree that this Article 10 shall survive the invalidity, cancellation, termination or unenforceability of this Agreement.</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32" w:hanging="632"/>
        <w:spacing w:after="0"/>
        <w:tabs>
          <w:tab w:leader="none" w:pos="632"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formation, validity, interpretation and performance of and settlement of disputes under this Agreement shall be governed by the laws of the PRC.</w:t>
      </w:r>
    </w:p>
    <w:p>
      <w:pPr>
        <w:spacing w:after="0" w:line="248" w:lineRule="exact"/>
        <w:rPr>
          <w:rFonts w:ascii="Arial" w:cs="Arial" w:eastAsia="Arial" w:hAnsi="Arial"/>
          <w:sz w:val="16"/>
          <w:szCs w:val="16"/>
          <w:color w:val="auto"/>
        </w:rPr>
      </w:pPr>
    </w:p>
    <w:p>
      <w:pPr>
        <w:ind w:left="652" w:right="20" w:hanging="652"/>
        <w:spacing w:after="0" w:line="268" w:lineRule="auto"/>
        <w:tabs>
          <w:tab w:leader="none" w:pos="647" w:val="left"/>
        </w:tabs>
        <w:numPr>
          <w:ilvl w:val="0"/>
          <w:numId w:val="297"/>
        </w:numPr>
        <w:rPr>
          <w:rFonts w:ascii="Arial" w:cs="Arial" w:eastAsia="Arial" w:hAnsi="Arial"/>
          <w:sz w:val="17"/>
          <w:szCs w:val="17"/>
          <w:color w:val="auto"/>
        </w:rPr>
      </w:pPr>
      <w:r>
        <w:rPr>
          <w:rFonts w:ascii="Arial" w:cs="Arial" w:eastAsia="Arial" w:hAnsi="Arial"/>
          <w:sz w:val="17"/>
          <w:szCs w:val="17"/>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7" w:lineRule="exact"/>
        <w:rPr>
          <w:rFonts w:ascii="Arial" w:cs="Arial" w:eastAsia="Arial" w:hAnsi="Arial"/>
          <w:sz w:val="17"/>
          <w:szCs w:val="17"/>
          <w:color w:val="auto"/>
        </w:rPr>
      </w:pPr>
    </w:p>
    <w:p>
      <w:pPr>
        <w:ind w:left="652" w:hanging="652"/>
        <w:spacing w:after="0"/>
        <w:tabs>
          <w:tab w:leader="none" w:pos="652"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This Agreement shall be executed by a duly authorized representative of each Party and become effective as of the date first written above.</w:t>
      </w:r>
    </w:p>
    <w:p>
      <w:pPr>
        <w:spacing w:after="0" w:line="236" w:lineRule="exact"/>
        <w:rPr>
          <w:rFonts w:ascii="Arial" w:cs="Arial" w:eastAsia="Arial" w:hAnsi="Arial"/>
          <w:sz w:val="17"/>
          <w:szCs w:val="17"/>
          <w:color w:val="auto"/>
        </w:rPr>
      </w:pPr>
    </w:p>
    <w:p>
      <w:pPr>
        <w:ind w:left="652" w:right="280" w:hanging="652"/>
        <w:spacing w:after="0" w:line="264" w:lineRule="auto"/>
        <w:tabs>
          <w:tab w:leader="none" w:pos="647"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Notwithstanding Article 13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81" w:lineRule="exact"/>
        <w:rPr>
          <w:rFonts w:ascii="Arial" w:cs="Arial" w:eastAsia="Arial" w:hAnsi="Arial"/>
          <w:sz w:val="18"/>
          <w:szCs w:val="18"/>
          <w:color w:val="auto"/>
        </w:rPr>
      </w:pPr>
    </w:p>
    <w:p>
      <w:pPr>
        <w:ind w:left="652" w:right="80" w:hanging="652"/>
        <w:spacing w:after="0" w:line="312" w:lineRule="auto"/>
        <w:tabs>
          <w:tab w:leader="none" w:pos="647" w:val="left"/>
        </w:tabs>
        <w:numPr>
          <w:ilvl w:val="0"/>
          <w:numId w:val="297"/>
        </w:numPr>
        <w:rPr>
          <w:rFonts w:ascii="Arial" w:cs="Arial" w:eastAsia="Arial" w:hAnsi="Arial"/>
          <w:sz w:val="16"/>
          <w:szCs w:val="16"/>
          <w:color w:val="auto"/>
        </w:rPr>
      </w:pPr>
      <w:r>
        <w:rPr>
          <w:rFonts w:ascii="Arial" w:cs="Arial" w:eastAsia="Arial" w:hAnsi="Arial"/>
          <w:sz w:val="16"/>
          <w:szCs w:val="16"/>
          <w:color w:val="auto"/>
        </w:rPr>
        <w:t>The term of this Agreement is twenty (20) years unless terminated earlier in accordance with the provisions of this Agreement or related agreements entered into by the Parties. This Agreement may be extended only with the written consent of Party A before its expiration. The term of the extension shall be decided by the Parties through negotiation. If the duration of operation (including any extension thereof) of Party A or Party B is</w:t>
      </w:r>
    </w:p>
    <w:p>
      <w:pPr>
        <w:sectPr>
          <w:pgSz w:w="11900" w:h="16952" w:orient="portrait"/>
          <w:cols w:equalWidth="0" w:num="1">
            <w:col w:w="11412"/>
          </w:cols>
          <w:pgMar w:left="248" w:top="125" w:right="239" w:bottom="0" w:gutter="0" w:footer="0" w:header="0"/>
        </w:sectPr>
      </w:pPr>
    </w:p>
    <w:bookmarkStart w:id="170" w:name="page171"/>
    <w:bookmarkEnd w:id="170"/>
    <w:p>
      <w:pPr>
        <w:ind w:left="660"/>
        <w:spacing w:after="0" w:line="277" w:lineRule="auto"/>
        <w:rPr>
          <w:sz w:val="20"/>
          <w:szCs w:val="20"/>
          <w:color w:val="auto"/>
        </w:rPr>
      </w:pPr>
      <w:r>
        <w:rPr>
          <w:rFonts w:ascii="Arial" w:cs="Arial" w:eastAsia="Arial" w:hAnsi="Arial"/>
          <w:sz w:val="18"/>
          <w:szCs w:val="18"/>
          <w:color w:val="auto"/>
        </w:rPr>
        <w:t>expired or terminated for other reasons within the aforesaid term of this Agreement, this Agreement shall be terminated simultaneously, unless such Party has already assigned its rights and obligations hereunder in accordance with Article 9 hereof.</w:t>
      </w:r>
    </w:p>
    <w:p>
      <w:pPr>
        <w:spacing w:after="0" w:line="170" w:lineRule="exact"/>
        <w:rPr>
          <w:sz w:val="20"/>
          <w:szCs w:val="20"/>
          <w:color w:val="auto"/>
        </w:rPr>
      </w:pPr>
    </w:p>
    <w:p>
      <w:pPr>
        <w:ind w:left="660" w:right="120" w:hanging="652"/>
        <w:spacing w:after="0" w:line="264" w:lineRule="auto"/>
        <w:tabs>
          <w:tab w:leader="none" w:pos="65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This Agreement will terminate on the expiration date unless it is renewed in accordance with the relevant provision herein. During the term of this Agreement, Party B shall not terminate this Agreement. Notwithstanding the above stipulation, Party A shall have the right to terminate this Agreement at any time by issuing a thirty (30) days’ prior written notice to Party B.</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IN WITNESS THEREOF</w:t>
      </w:r>
      <w:r>
        <w:rPr>
          <w:rFonts w:ascii="Arial" w:cs="Arial" w:eastAsia="Arial" w:hAnsi="Arial"/>
          <w:sz w:val="18"/>
          <w:szCs w:val="18"/>
          <w:color w:val="auto"/>
        </w:rPr>
        <w:t>, each Party hereto has caused this Agreement to be duly executed by himself/herself or a duly authorized representative on its</w:t>
      </w:r>
      <w:r>
        <w:rPr>
          <w:rFonts w:ascii="Arial" w:cs="Arial" w:eastAsia="Arial" w:hAnsi="Arial"/>
          <w:sz w:val="18"/>
          <w:szCs w:val="18"/>
          <w:b w:val="1"/>
          <w:bCs w:val="1"/>
          <w:color w:val="auto"/>
        </w:rPr>
        <w:t xml:space="preserve"> </w:t>
      </w:r>
      <w:r>
        <w:rPr>
          <w:rFonts w:ascii="Arial" w:cs="Arial" w:eastAsia="Arial" w:hAnsi="Arial"/>
          <w:sz w:val="18"/>
          <w:szCs w:val="18"/>
          <w:color w:val="auto"/>
        </w:rPr>
        <w:t>behalf as of the date 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NetEase Media Technology (Beijing)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Beijing Guangyitong Advertising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Authorized Representative:</w:t>
            </w:r>
          </w:p>
        </w:tc>
        <w:tc>
          <w:tcPr>
            <w:tcW w:w="3500" w:type="dxa"/>
            <w:vAlign w:val="bottom"/>
            <w:gridSpan w:val="2"/>
          </w:tcPr>
          <w:p>
            <w:pPr>
              <w:ind w:left="240"/>
              <w:spacing w:after="0"/>
              <w:rPr>
                <w:sz w:val="20"/>
                <w:szCs w:val="20"/>
                <w:color w:val="auto"/>
              </w:rPr>
            </w:pPr>
            <w:r>
              <w:rPr>
                <w:rFonts w:ascii="Arial" w:cs="Arial" w:eastAsia="Arial" w:hAnsi="Arial"/>
                <w:sz w:val="18"/>
                <w:szCs w:val="18"/>
                <w:color w:val="auto"/>
              </w:rPr>
              <w:t>/s/ William Lei Ding</w:t>
            </w:r>
          </w:p>
        </w:tc>
      </w:tr>
      <w:tr>
        <w:trPr>
          <w:trHeight w:val="628"/>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Party C: </w:t>
            </w:r>
            <w:r>
              <w:rPr>
                <w:rFonts w:ascii="Arial" w:cs="Arial" w:eastAsia="Arial" w:hAnsi="Arial"/>
                <w:sz w:val="18"/>
                <w:szCs w:val="18"/>
                <w:color w:val="auto"/>
              </w:rPr>
              <w:t>William Lei Ding</w:t>
            </w:r>
          </w:p>
        </w:tc>
        <w:tc>
          <w:tcPr>
            <w:tcW w:w="240" w:type="dxa"/>
            <w:vAlign w:val="bottom"/>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Signature:</w:t>
            </w:r>
          </w:p>
        </w:tc>
        <w:tc>
          <w:tcPr>
            <w:tcW w:w="4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William Lei Ding</w:t>
            </w:r>
          </w:p>
        </w:tc>
      </w:tr>
      <w:tr>
        <w:trPr>
          <w:trHeight w:val="642"/>
        </w:trPr>
        <w:tc>
          <w:tcPr>
            <w:tcW w:w="1100" w:type="dxa"/>
            <w:vAlign w:val="bottom"/>
          </w:tcPr>
          <w:p>
            <w:pPr>
              <w:spacing w:after="0"/>
              <w:rPr>
                <w:sz w:val="20"/>
                <w:szCs w:val="20"/>
                <w:color w:val="auto"/>
              </w:rPr>
            </w:pPr>
            <w:r>
              <w:rPr>
                <w:rFonts w:ascii="Arial" w:cs="Arial" w:eastAsia="Arial" w:hAnsi="Arial"/>
                <w:sz w:val="18"/>
                <w:szCs w:val="18"/>
                <w:b w:val="1"/>
                <w:bCs w:val="1"/>
                <w:color w:val="auto"/>
              </w:rPr>
              <w:t xml:space="preserve">Party D: </w:t>
            </w:r>
            <w:r>
              <w:rPr>
                <w:rFonts w:ascii="Arial" w:cs="Arial" w:eastAsia="Arial" w:hAnsi="Arial"/>
                <w:sz w:val="18"/>
                <w:szCs w:val="18"/>
                <w:color w:val="auto"/>
              </w:rPr>
              <w:t>Li Li</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Signature:</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 Li</w:t>
            </w: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4.44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LETTER OF AGREEMENT</w:t>
      </w:r>
    </w:p>
    <w:p>
      <w:pPr>
        <w:spacing w:after="0" w:line="225" w:lineRule="exact"/>
        <w:rPr>
          <w:sz w:val="20"/>
          <w:szCs w:val="20"/>
          <w:color w:val="auto"/>
        </w:rPr>
      </w:pPr>
    </w:p>
    <w:p>
      <w:pPr>
        <w:ind w:right="420" w:firstLine="648"/>
        <w:spacing w:after="0" w:line="289"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AMENDED AND RESTATED LETTER OF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effective as of November 30, 2015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NetEase, Inc. ( “</w:t>
      </w:r>
      <w:r>
        <w:rPr>
          <w:rFonts w:ascii="Arial" w:cs="Arial" w:eastAsia="Arial" w:hAnsi="Arial"/>
          <w:sz w:val="17"/>
          <w:szCs w:val="17"/>
          <w:b w:val="1"/>
          <w:bCs w:val="1"/>
          <w:color w:val="auto"/>
        </w:rPr>
        <w:t>NetEase</w:t>
      </w:r>
      <w:r>
        <w:rPr>
          <w:rFonts w:ascii="Arial" w:cs="Arial" w:eastAsia="Arial" w:hAnsi="Arial"/>
          <w:sz w:val="17"/>
          <w:szCs w:val="17"/>
          <w:color w:val="auto"/>
        </w:rPr>
        <w:t>”), Mr. William Lei Ding (“</w:t>
      </w:r>
      <w:r>
        <w:rPr>
          <w:rFonts w:ascii="Arial" w:cs="Arial" w:eastAsia="Arial" w:hAnsi="Arial"/>
          <w:sz w:val="17"/>
          <w:szCs w:val="17"/>
          <w:b w:val="1"/>
          <w:bCs w:val="1"/>
          <w:color w:val="auto"/>
        </w:rPr>
        <w:t>William</w:t>
      </w:r>
      <w:r>
        <w:rPr>
          <w:rFonts w:ascii="Arial" w:cs="Arial" w:eastAsia="Arial" w:hAnsi="Arial"/>
          <w:sz w:val="17"/>
          <w:szCs w:val="17"/>
          <w:color w:val="auto"/>
        </w:rPr>
        <w:t>”) and Mr. Xiaojun Hui (“</w:t>
      </w:r>
      <w:r>
        <w:rPr>
          <w:rFonts w:ascii="Arial" w:cs="Arial" w:eastAsia="Arial" w:hAnsi="Arial"/>
          <w:sz w:val="17"/>
          <w:szCs w:val="17"/>
          <w:b w:val="1"/>
          <w:bCs w:val="1"/>
          <w:color w:val="auto"/>
        </w:rPr>
        <w:t>Xiaojun</w:t>
      </w:r>
      <w:r>
        <w:rPr>
          <w:rFonts w:ascii="Arial" w:cs="Arial" w:eastAsia="Arial" w:hAnsi="Arial"/>
          <w:sz w:val="17"/>
          <w:szCs w:val="17"/>
          <w:color w:val="auto"/>
        </w:rPr>
        <w:t>”). Unless otherwise defined, capitalized terms used herein shall have the meaning assigned to them in the Original Agreement (as defined below).</w:t>
      </w:r>
    </w:p>
    <w:p>
      <w:pPr>
        <w:spacing w:after="0" w:line="158"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WHEREAS, NetEase, William and Bo Ding (“</w:t>
      </w:r>
      <w:r>
        <w:rPr>
          <w:rFonts w:ascii="Arial" w:cs="Arial" w:eastAsia="Arial" w:hAnsi="Arial"/>
          <w:sz w:val="18"/>
          <w:szCs w:val="18"/>
          <w:b w:val="1"/>
          <w:bCs w:val="1"/>
          <w:color w:val="auto"/>
        </w:rPr>
        <w:t>Bo</w:t>
      </w:r>
      <w:r>
        <w:rPr>
          <w:rFonts w:ascii="Arial" w:cs="Arial" w:eastAsia="Arial" w:hAnsi="Arial"/>
          <w:sz w:val="18"/>
          <w:szCs w:val="18"/>
          <w:color w:val="auto"/>
        </w:rPr>
        <w:t>”) were parties to the Letter of Agreement, dated June 6, 2000, as supplemented on May 17, 2004, July 15, 2004 and July 20, 2004 and which was further amended and novated pursuant to the Amendment and Novation of Letter of Agreement by and among NetEase, William, Bo and Xiaojun dated May 1, 2014 (collectively,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76"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color w:val="auto"/>
        </w:rPr>
        <w:t>WHEREAS, prior to or on the date of this Agreement, Guangzhou NetEase Computer System Co., Ltd. (“</w:t>
      </w:r>
      <w:r>
        <w:rPr>
          <w:rFonts w:ascii="Arial" w:cs="Arial" w:eastAsia="Arial" w:hAnsi="Arial"/>
          <w:sz w:val="16"/>
          <w:szCs w:val="16"/>
          <w:b w:val="1"/>
          <w:bCs w:val="1"/>
          <w:color w:val="auto"/>
        </w:rPr>
        <w:t>Guangzhou NetEase</w:t>
      </w:r>
      <w:r>
        <w:rPr>
          <w:rFonts w:ascii="Arial" w:cs="Arial" w:eastAsia="Arial" w:hAnsi="Arial"/>
          <w:sz w:val="16"/>
          <w:szCs w:val="16"/>
          <w:color w:val="auto"/>
        </w:rPr>
        <w:t>”) has transferred 79% of the equity interest in Beijing Guangyitong Advertising Co., Ltd. (“</w:t>
      </w:r>
      <w:r>
        <w:rPr>
          <w:rFonts w:ascii="Arial" w:cs="Arial" w:eastAsia="Arial" w:hAnsi="Arial"/>
          <w:sz w:val="16"/>
          <w:szCs w:val="16"/>
          <w:b w:val="1"/>
          <w:bCs w:val="1"/>
          <w:color w:val="auto"/>
        </w:rPr>
        <w:t>Guangyitong</w:t>
      </w:r>
      <w:r>
        <w:rPr>
          <w:rFonts w:ascii="Arial" w:cs="Arial" w:eastAsia="Arial" w:hAnsi="Arial"/>
          <w:sz w:val="16"/>
          <w:szCs w:val="16"/>
          <w:color w:val="auto"/>
        </w:rPr>
        <w:t>”) to William and 1% of the equity interest in Guangyitong to Ms. Li Li (collectively, the “</w:t>
      </w:r>
      <w:r>
        <w:rPr>
          <w:rFonts w:ascii="Arial" w:cs="Arial" w:eastAsia="Arial" w:hAnsi="Arial"/>
          <w:sz w:val="16"/>
          <w:szCs w:val="16"/>
          <w:b w:val="1"/>
          <w:bCs w:val="1"/>
          <w:color w:val="auto"/>
        </w:rPr>
        <w:t>Equity Transfers</w:t>
      </w:r>
      <w:r>
        <w:rPr>
          <w:rFonts w:ascii="Arial" w:cs="Arial" w:eastAsia="Arial" w:hAnsi="Arial"/>
          <w:sz w:val="16"/>
          <w:szCs w:val="16"/>
          <w:color w:val="auto"/>
        </w:rPr>
        <w:t>”), upon the completion of which Guangzhou NetEase will cease to be a shareholder of Guangyitong;</w:t>
      </w:r>
    </w:p>
    <w:p>
      <w:pPr>
        <w:spacing w:after="0" w:line="14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WHEREAS, in connection with the Equity Transfers, the parties hereto have agreed that the Original Agreement will be amended and restated in its entirety with effect from the date hereof on the terms and conditions set forth below, such that the rights, obligations and liabilities under the Original Agreement will relate to William and Xiaojun, in their respective capacities as direct shareholders of Guangzhou NetEase, and not in William’s capacity as a direct shareholder of Guangyitong.</w:t>
      </w:r>
    </w:p>
    <w:p>
      <w:pPr>
        <w:spacing w:after="0" w:line="18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NOW, THEREFORE, in consideration of the foregoing and for good and valuable consideration, the receipt and sufficiency of which is hereby acknowledged, the parties hereby agree as follows:</w:t>
      </w:r>
    </w:p>
    <w:p>
      <w:pPr>
        <w:spacing w:after="0" w:line="166" w:lineRule="exact"/>
        <w:rPr>
          <w:sz w:val="20"/>
          <w:szCs w:val="20"/>
          <w:color w:val="auto"/>
        </w:rPr>
      </w:pPr>
    </w:p>
    <w:p>
      <w:pPr>
        <w:ind w:right="80" w:firstLine="656"/>
        <w:spacing w:after="0" w:line="282" w:lineRule="auto"/>
        <w:tabs>
          <w:tab w:leader="none" w:pos="100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All changes to be made to any of the following documents (collectively the “</w:t>
      </w:r>
      <w:r>
        <w:rPr>
          <w:rFonts w:ascii="Arial" w:cs="Arial" w:eastAsia="Arial" w:hAnsi="Arial"/>
          <w:sz w:val="18"/>
          <w:szCs w:val="18"/>
          <w:b w:val="1"/>
          <w:bCs w:val="1"/>
          <w:color w:val="auto"/>
        </w:rPr>
        <w:t>NetEase Agreements</w:t>
      </w:r>
      <w:r>
        <w:rPr>
          <w:rFonts w:ascii="Arial" w:cs="Arial" w:eastAsia="Arial" w:hAnsi="Arial"/>
          <w:sz w:val="18"/>
          <w:szCs w:val="18"/>
          <w:color w:val="auto"/>
        </w:rPr>
        <w:t>”) shall be subject to the approval by vote of a majority of the Board of Directors of NetEase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640" w:hanging="335"/>
        <w:spacing w:after="0"/>
        <w:tabs>
          <w:tab w:leader="none" w:pos="164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Original Agreement, as amended and restated on the Effective Date;</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1"/>
          <w:numId w:val="299"/>
        </w:numPr>
        <w:rPr>
          <w:rFonts w:ascii="Arial" w:cs="Arial" w:eastAsia="Arial" w:hAnsi="Arial"/>
          <w:sz w:val="17"/>
          <w:szCs w:val="17"/>
          <w:color w:val="auto"/>
        </w:rPr>
      </w:pPr>
      <w:r>
        <w:rPr>
          <w:rFonts w:ascii="Arial" w:cs="Arial" w:eastAsia="Arial" w:hAnsi="Arial"/>
          <w:sz w:val="17"/>
          <w:szCs w:val="17"/>
          <w:color w:val="auto"/>
        </w:rPr>
        <w:t>Shareholder Voting Rights Trust Agreement relating to Guangzhou NetEase, among NetEase Information Technology (Beijing)</w:t>
      </w:r>
    </w:p>
    <w:p>
      <w:pPr>
        <w:spacing w:after="0" w:line="3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Co., Ltd. (“</w:t>
      </w:r>
      <w:r>
        <w:rPr>
          <w:rFonts w:ascii="Arial" w:cs="Arial" w:eastAsia="Arial" w:hAnsi="Arial"/>
          <w:sz w:val="18"/>
          <w:szCs w:val="18"/>
          <w:b w:val="1"/>
          <w:bCs w:val="1"/>
          <w:color w:val="auto"/>
        </w:rPr>
        <w:t>NetEase Beijing</w:t>
      </w:r>
      <w:r>
        <w:rPr>
          <w:rFonts w:ascii="Arial" w:cs="Arial" w:eastAsia="Arial" w:hAnsi="Arial"/>
          <w:sz w:val="18"/>
          <w:szCs w:val="18"/>
          <w:color w:val="auto"/>
        </w:rPr>
        <w:t>”) and other parties thereto, dated May 12, 2000, as amended and novated on May 1, 2014 and amended and restated on the Effective Date;</w:t>
      </w:r>
    </w:p>
    <w:p>
      <w:pPr>
        <w:spacing w:after="0" w:line="184" w:lineRule="exact"/>
        <w:rPr>
          <w:sz w:val="20"/>
          <w:szCs w:val="20"/>
          <w:color w:val="auto"/>
        </w:rPr>
      </w:pPr>
    </w:p>
    <w:p>
      <w:pPr>
        <w:ind w:left="1640" w:hanging="335"/>
        <w:spacing w:after="0"/>
        <w:tabs>
          <w:tab w:leader="none" w:pos="164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Equity Pledge Agreement, between NetEase Beijing and Xiaojun, dated May 1, 2014;</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Loan Agreement, between NetEase Beijing and Xiaojun, dated May 1, 2014; and</w:t>
      </w:r>
    </w:p>
    <w:p>
      <w:pPr>
        <w:spacing w:after="0" w:line="225" w:lineRule="exact"/>
        <w:rPr>
          <w:rFonts w:ascii="Arial" w:cs="Arial" w:eastAsia="Arial" w:hAnsi="Arial"/>
          <w:sz w:val="18"/>
          <w:szCs w:val="18"/>
          <w:color w:val="auto"/>
        </w:rPr>
      </w:pPr>
    </w:p>
    <w:p>
      <w:pPr>
        <w:ind w:right="160" w:firstLine="1305"/>
        <w:spacing w:after="0" w:line="277" w:lineRule="auto"/>
        <w:tabs>
          <w:tab w:leader="none" w:pos="1631"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and all other agreements to which NetEase, NetEase Beijing and/or their respective affiliates is a party on the one side and any of their variable interest entities and/or any of the shareholders of any such variable interest entities on the other side.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40" w:firstLine="656"/>
        <w:spacing w:after="0" w:line="264" w:lineRule="auto"/>
        <w:tabs>
          <w:tab w:leader="none" w:pos="100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William shall not participate in the vote of the Board in connection with any change to be made to any NetEase Agreement in accordance with Section 1 above; provided that, in the case of unanimous written resolutions, William shall sign such written resolutions concurring with the other directors of NetEase, if they approve any such changes.</w:t>
      </w:r>
    </w:p>
    <w:p>
      <w:pPr>
        <w:spacing w:after="0" w:line="181" w:lineRule="exact"/>
        <w:rPr>
          <w:rFonts w:ascii="Arial" w:cs="Arial" w:eastAsia="Arial" w:hAnsi="Arial"/>
          <w:sz w:val="18"/>
          <w:szCs w:val="18"/>
          <w:color w:val="auto"/>
        </w:rPr>
      </w:pPr>
    </w:p>
    <w:p>
      <w:pPr>
        <w:ind w:right="200" w:firstLine="656"/>
        <w:spacing w:after="0" w:line="277" w:lineRule="auto"/>
        <w:tabs>
          <w:tab w:leader="none" w:pos="100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the event that any change to be made to any NetEase Agreement requires a vote by the shareholders of NetEase, William shall vote in such capacity as the majority shareholders of NetEase in accordance with the Board’s instructions.</w:t>
      </w:r>
    </w:p>
    <w:p>
      <w:pPr>
        <w:spacing w:after="0" w:line="170" w:lineRule="exact"/>
        <w:rPr>
          <w:rFonts w:ascii="Arial" w:cs="Arial" w:eastAsia="Arial" w:hAnsi="Arial"/>
          <w:sz w:val="18"/>
          <w:szCs w:val="18"/>
          <w:color w:val="auto"/>
        </w:rPr>
      </w:pPr>
    </w:p>
    <w:p>
      <w:pPr>
        <w:ind w:right="320" w:firstLine="656"/>
        <w:spacing w:after="0" w:line="308" w:lineRule="auto"/>
        <w:tabs>
          <w:tab w:leader="none" w:pos="1008" w:val="left"/>
        </w:tabs>
        <w:numPr>
          <w:ilvl w:val="0"/>
          <w:numId w:val="301"/>
        </w:numPr>
        <w:rPr>
          <w:rFonts w:ascii="Arial" w:cs="Arial" w:eastAsia="Arial" w:hAnsi="Arial"/>
          <w:sz w:val="17"/>
          <w:szCs w:val="17"/>
          <w:color w:val="auto"/>
        </w:rPr>
      </w:pPr>
      <w:r>
        <w:rPr>
          <w:rFonts w:ascii="Arial" w:cs="Arial" w:eastAsia="Arial" w:hAnsi="Arial"/>
          <w:sz w:val="17"/>
          <w:szCs w:val="17"/>
          <w:color w:val="auto"/>
        </w:rPr>
        <w:t>In the event that any change to be made to any NetEase Agreement requires a vote by the shareholders of Guangzhou NetEase, William and Xiaojun shall vote in such capacity as the shareholders of Guangzhou NetEase in accordance with the Board’s instructions.</w:t>
      </w:r>
    </w:p>
    <w:p>
      <w:pPr>
        <w:spacing w:after="0" w:line="146" w:lineRule="exact"/>
        <w:rPr>
          <w:rFonts w:ascii="Arial" w:cs="Arial" w:eastAsia="Arial" w:hAnsi="Arial"/>
          <w:sz w:val="17"/>
          <w:szCs w:val="17"/>
          <w:color w:val="auto"/>
        </w:rPr>
      </w:pPr>
    </w:p>
    <w:p>
      <w:pPr>
        <w:ind w:right="260" w:firstLine="656"/>
        <w:spacing w:after="0" w:line="277" w:lineRule="auto"/>
        <w:tabs>
          <w:tab w:leader="none" w:pos="100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This Agreement shall remain effective for 20 years from May 12, 2010 unless otherwise terminated upon agreement by the Board, excluding the vote of William as otherwise contemplated herein.</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Cayman Islands.</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1"/>
          <w:numId w:val="30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Agreement constitutes the entire agreement amongst the parties hereto relating to the subject matters hereof.</w:t>
      </w:r>
    </w:p>
    <w:p>
      <w:pPr>
        <w:spacing w:after="0" w:line="248" w:lineRule="exact"/>
        <w:rPr>
          <w:rFonts w:ascii="Arial" w:cs="Arial" w:eastAsia="Arial" w:hAnsi="Arial"/>
          <w:sz w:val="16"/>
          <w:szCs w:val="16"/>
          <w:color w:val="auto"/>
        </w:rPr>
      </w:pPr>
    </w:p>
    <w:p>
      <w:pPr>
        <w:ind w:right="200" w:firstLine="1305"/>
        <w:spacing w:after="0" w:line="277" w:lineRule="auto"/>
        <w:tabs>
          <w:tab w:leader="none" w:pos="1631"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constitute one and the same agreement.</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can only be amended or terminated by the written consent of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-3528060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Agreement has been executed by the parties as of the Effective Date.</w:t>
      </w:r>
    </w:p>
    <w:p>
      <w:pPr>
        <w:sectPr>
          <w:pgSz w:w="11900" w:h="16838" w:orient="portrait"/>
          <w:cols w:equalWidth="0" w:num="1">
            <w:col w:w="11420"/>
          </w:cols>
          <w:pgMar w:left="240" w:top="121" w:right="239" w:bottom="32"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to:</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NetEase Information Technology (Beijing) Co.,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Guangzhou NetEase Computer System Co., Ltd.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(Seal)</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William Lei Ding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22225</wp:posOffset>
            </wp:positionV>
            <wp:extent cx="361886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Xiaojun Hui</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Xiaojun Hui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14605</wp:posOffset>
            </wp:positionV>
            <wp:extent cx="361886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940" w:space="720"/>
            <w:col w:w="4559"/>
          </w:cols>
          <w:pgMar w:left="240" w:top="122" w:right="1440"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4.45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LOAN AGREEMENT</w:t>
      </w:r>
    </w:p>
    <w:p>
      <w:pPr>
        <w:spacing w:after="0" w:line="225"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color w:val="auto"/>
        </w:rPr>
        <w:t>This Amended and Restated Loan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December 1, 2015, to amend and restate in its entirety the Loan Agreement entered into by and among the following parties (or their predecessors in interest) on March 23, 2009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76" w:lineRule="exact"/>
        <w:rPr>
          <w:sz w:val="20"/>
          <w:szCs w:val="20"/>
          <w:color w:val="auto"/>
        </w:rPr>
      </w:pPr>
    </w:p>
    <w:p>
      <w:pPr>
        <w:ind w:left="1300" w:right="40" w:hanging="644"/>
        <w:spacing w:after="0" w:line="347" w:lineRule="auto"/>
        <w:tabs>
          <w:tab w:leader="none" w:pos="1307" w:val="left"/>
        </w:tabs>
        <w:numPr>
          <w:ilvl w:val="0"/>
          <w:numId w:val="302"/>
        </w:numPr>
        <w:rPr>
          <w:rFonts w:ascii="Arial" w:cs="Arial" w:eastAsia="Arial" w:hAnsi="Arial"/>
          <w:sz w:val="16"/>
          <w:szCs w:val="16"/>
          <w:color w:val="auto"/>
        </w:rPr>
      </w:pPr>
      <w:r>
        <w:rPr>
          <w:rFonts w:ascii="Arial" w:cs="Arial" w:eastAsia="Arial" w:hAnsi="Arial"/>
          <w:sz w:val="16"/>
          <w:szCs w:val="16"/>
          <w:b w:val="1"/>
          <w:bCs w:val="1"/>
          <w:color w:val="auto"/>
        </w:rPr>
        <w:t xml:space="preserve">NetEase (Hangzhou) Network Co., Ltd. </w:t>
      </w: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a wholly foreign owned enterprise registered in Hangzhou, People’s Republic of</w:t>
      </w:r>
      <w:r>
        <w:rPr>
          <w:rFonts w:ascii="Arial" w:cs="Arial" w:eastAsia="Arial" w:hAnsi="Arial"/>
          <w:sz w:val="16"/>
          <w:szCs w:val="16"/>
          <w:b w:val="1"/>
          <w:bCs w:val="1"/>
          <w:color w:val="auto"/>
        </w:rPr>
        <w:t xml:space="preserve"> </w:t>
      </w:r>
      <w:r>
        <w:rPr>
          <w:rFonts w:ascii="Arial" w:cs="Arial" w:eastAsia="Arial" w:hAnsi="Arial"/>
          <w:sz w:val="16"/>
          <w:szCs w:val="16"/>
          <w:color w:val="auto"/>
        </w:rPr>
        <w:t>China (“</w:t>
      </w:r>
      <w:r>
        <w:rPr>
          <w:rFonts w:ascii="Arial" w:cs="Arial" w:eastAsia="Arial" w:hAnsi="Arial"/>
          <w:sz w:val="16"/>
          <w:szCs w:val="16"/>
          <w:b w:val="1"/>
          <w:bCs w:val="1"/>
          <w:color w:val="auto"/>
        </w:rPr>
        <w:t>PRC</w:t>
      </w:r>
      <w:r>
        <w:rPr>
          <w:rFonts w:ascii="Arial" w:cs="Arial" w:eastAsia="Arial" w:hAnsi="Arial"/>
          <w:sz w:val="16"/>
          <w:szCs w:val="16"/>
          <w:color w:val="auto"/>
        </w:rPr>
        <w:t>”) with its registration address at 7/F, Building 4, No. 599 Wangshang Road, Binjiang District, Hangzhou, Zhejiang, PRC; and</w:t>
      </w:r>
    </w:p>
    <w:p>
      <w:pPr>
        <w:spacing w:after="0" w:line="116" w:lineRule="exact"/>
        <w:rPr>
          <w:rFonts w:ascii="Arial" w:cs="Arial" w:eastAsia="Arial" w:hAnsi="Arial"/>
          <w:sz w:val="16"/>
          <w:szCs w:val="16"/>
          <w:color w:val="auto"/>
        </w:rPr>
      </w:pPr>
    </w:p>
    <w:p>
      <w:pPr>
        <w:ind w:left="1300" w:right="200" w:hanging="644"/>
        <w:spacing w:after="0" w:line="282" w:lineRule="auto"/>
        <w:tabs>
          <w:tab w:leader="none" w:pos="1307" w:val="left"/>
        </w:tabs>
        <w:numPr>
          <w:ilvl w:val="0"/>
          <w:numId w:val="302"/>
        </w:numPr>
        <w:rPr>
          <w:rFonts w:ascii="Arial" w:cs="Arial" w:eastAsia="Arial" w:hAnsi="Arial"/>
          <w:sz w:val="18"/>
          <w:szCs w:val="18"/>
          <w:color w:val="auto"/>
        </w:rPr>
      </w:pPr>
      <w:r>
        <w:rPr>
          <w:rFonts w:ascii="Arial" w:cs="Arial" w:eastAsia="Arial" w:hAnsi="Arial"/>
          <w:sz w:val="18"/>
          <w:szCs w:val="18"/>
          <w:b w:val="1"/>
          <w:bCs w:val="1"/>
          <w:color w:val="auto"/>
        </w:rPr>
        <w:t xml:space="preserve">Hu Tianlei </w:t>
      </w:r>
      <w:r>
        <w:rPr>
          <w:rFonts w:ascii="Arial" w:cs="Arial" w:eastAsia="Arial" w:hAnsi="Arial"/>
          <w:sz w:val="18"/>
          <w:szCs w:val="18"/>
          <w:color w:val="auto"/>
        </w:rPr>
        <w:t>(ID Number: 330206198210210412, “</w:t>
      </w:r>
      <w:r>
        <w:rPr>
          <w:rFonts w:ascii="Arial" w:cs="Arial" w:eastAsia="Arial" w:hAnsi="Arial"/>
          <w:sz w:val="18"/>
          <w:szCs w:val="18"/>
          <w:b w:val="1"/>
          <w:bCs w:val="1"/>
          <w:color w:val="auto"/>
        </w:rPr>
        <w:t>Borrower</w:t>
      </w:r>
      <w:r>
        <w:rPr>
          <w:rFonts w:ascii="Arial" w:cs="Arial" w:eastAsia="Arial" w:hAnsi="Arial"/>
          <w:sz w:val="18"/>
          <w:szCs w:val="18"/>
          <w:color w:val="auto"/>
        </w:rPr>
        <w:t>”), a PRC citizen with his address at No. 38 Zheda Road, West Lake District,</w:t>
      </w:r>
      <w:r>
        <w:rPr>
          <w:rFonts w:ascii="Arial" w:cs="Arial" w:eastAsia="Arial" w:hAnsi="Arial"/>
          <w:sz w:val="18"/>
          <w:szCs w:val="18"/>
          <w:b w:val="1"/>
          <w:bCs w:val="1"/>
          <w:color w:val="auto"/>
        </w:rPr>
        <w:t xml:space="preserve"> </w:t>
      </w:r>
      <w:r>
        <w:rPr>
          <w:rFonts w:ascii="Arial" w:cs="Arial" w:eastAsia="Arial" w:hAnsi="Arial"/>
          <w:sz w:val="18"/>
          <w:szCs w:val="18"/>
          <w:color w:val="auto"/>
        </w:rPr>
        <w:t>Hangzhou, Zhejiang, PRC.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 and Borrower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5" w:lineRule="exact"/>
        <w:rPr>
          <w:sz w:val="20"/>
          <w:szCs w:val="20"/>
          <w:color w:val="auto"/>
        </w:rPr>
      </w:pPr>
    </w:p>
    <w:p>
      <w:pPr>
        <w:ind w:left="1300" w:right="260" w:hanging="644"/>
        <w:spacing w:after="0" w:line="281" w:lineRule="auto"/>
        <w:tabs>
          <w:tab w:leader="none" w:pos="132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Borrower has made an investment of RMB5,000,000 Yuan (the “</w:t>
      </w:r>
      <w:r>
        <w:rPr>
          <w:rFonts w:ascii="Arial" w:cs="Arial" w:eastAsia="Arial" w:hAnsi="Arial"/>
          <w:sz w:val="17"/>
          <w:szCs w:val="17"/>
          <w:b w:val="1"/>
          <w:bCs w:val="1"/>
          <w:color w:val="auto"/>
        </w:rPr>
        <w:t>Capital Contribution Amount”</w:t>
      </w:r>
      <w:r>
        <w:rPr>
          <w:rFonts w:ascii="Arial" w:cs="Arial" w:eastAsia="Arial" w:hAnsi="Arial"/>
          <w:sz w:val="17"/>
          <w:szCs w:val="17"/>
          <w:color w:val="auto"/>
        </w:rPr>
        <w:t>) in the registered capital of Hangzhou NetEase Leihuo Network Co., Ltd., a limited liability company registered in Hangzhou, PRC with its registration address at Room 702, Building 4, No. 599 Wangshang Road, Binjiang District, Hangzhou, Zhejiang, PRC (the “</w:t>
      </w:r>
      <w:r>
        <w:rPr>
          <w:rFonts w:ascii="Arial" w:cs="Arial" w:eastAsia="Arial" w:hAnsi="Arial"/>
          <w:sz w:val="17"/>
          <w:szCs w:val="17"/>
          <w:b w:val="1"/>
          <w:bCs w:val="1"/>
          <w:color w:val="auto"/>
        </w:rPr>
        <w:t>Domestic Company</w:t>
      </w:r>
      <w:r>
        <w:rPr>
          <w:rFonts w:ascii="Arial" w:cs="Arial" w:eastAsia="Arial" w:hAnsi="Arial"/>
          <w:sz w:val="17"/>
          <w:szCs w:val="17"/>
          <w:color w:val="auto"/>
        </w:rPr>
        <w:t>”), in return for which Borrower acquired 50% (the “</w:t>
      </w:r>
      <w:r>
        <w:rPr>
          <w:rFonts w:ascii="Arial" w:cs="Arial" w:eastAsia="Arial" w:hAnsi="Arial"/>
          <w:sz w:val="17"/>
          <w:szCs w:val="17"/>
          <w:b w:val="1"/>
          <w:bCs w:val="1"/>
          <w:color w:val="auto"/>
        </w:rPr>
        <w:t>Target Equity</w:t>
      </w:r>
      <w:r>
        <w:rPr>
          <w:rFonts w:ascii="Arial" w:cs="Arial" w:eastAsia="Arial" w:hAnsi="Arial"/>
          <w:sz w:val="17"/>
          <w:szCs w:val="17"/>
          <w:color w:val="auto"/>
        </w:rPr>
        <w:t>”) of the equity interest in the Domestic Company.</w:t>
      </w:r>
    </w:p>
    <w:p>
      <w:pPr>
        <w:spacing w:after="0" w:line="168" w:lineRule="exact"/>
        <w:rPr>
          <w:rFonts w:ascii="Arial" w:cs="Arial" w:eastAsia="Arial" w:hAnsi="Arial"/>
          <w:sz w:val="17"/>
          <w:szCs w:val="17"/>
          <w:color w:val="auto"/>
        </w:rPr>
      </w:pPr>
    </w:p>
    <w:p>
      <w:pPr>
        <w:ind w:left="1300" w:right="540" w:hanging="644"/>
        <w:spacing w:after="0" w:line="342" w:lineRule="auto"/>
        <w:tabs>
          <w:tab w:leader="none" w:pos="131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Lender agreed to provide to Borrower a loan in an amount equal to the Capital Contribution Amount in accordance with the Original Agreement in order for Borrower to have sufficient funds to make such capital contribution in return for the Target Equity.</w:t>
      </w:r>
    </w:p>
    <w:p>
      <w:pPr>
        <w:spacing w:after="0" w:line="123" w:lineRule="exact"/>
        <w:rPr>
          <w:rFonts w:ascii="Arial" w:cs="Arial" w:eastAsia="Arial" w:hAnsi="Arial"/>
          <w:sz w:val="16"/>
          <w:szCs w:val="16"/>
          <w:color w:val="auto"/>
        </w:rPr>
      </w:pPr>
    </w:p>
    <w:p>
      <w:pPr>
        <w:ind w:left="1300" w:right="60" w:hanging="644"/>
        <w:spacing w:after="0" w:line="277" w:lineRule="auto"/>
        <w:tabs>
          <w:tab w:leader="none" w:pos="131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Parties desire to enter into this Agreement, which amends and restates in its entirety the Original Agreement, to clarify and confirm the rights and obligations of Lender and Borrower.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w:t>
      </w:r>
    </w:p>
    <w:p>
      <w:pPr>
        <w:spacing w:after="0" w:line="229" w:lineRule="exact"/>
        <w:rPr>
          <w:rFonts w:ascii="Arial" w:cs="Arial" w:eastAsia="Arial" w:hAnsi="Arial"/>
          <w:sz w:val="18"/>
          <w:szCs w:val="18"/>
          <w:b w:val="1"/>
          <w:bCs w:val="1"/>
          <w:color w:val="auto"/>
        </w:rPr>
      </w:pPr>
    </w:p>
    <w:p>
      <w:pPr>
        <w:ind w:left="1300" w:right="160" w:hanging="648"/>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7"/>
          <w:szCs w:val="17"/>
          <w:color w:val="auto"/>
        </w:rPr>
        <w:t>On and subject to the terms and conditions hereof, Lender has provided Borrower with a loan in an aggregate amount of RMB5,000,000 Yuan (the “</w:t>
      </w:r>
      <w:r>
        <w:rPr>
          <w:rFonts w:ascii="Arial" w:cs="Arial" w:eastAsia="Arial" w:hAnsi="Arial"/>
          <w:sz w:val="17"/>
          <w:szCs w:val="17"/>
          <w:b w:val="1"/>
          <w:bCs w:val="1"/>
          <w:color w:val="auto"/>
        </w:rPr>
        <w:t>Loan</w:t>
      </w:r>
      <w:r>
        <w:rPr>
          <w:rFonts w:ascii="Arial" w:cs="Arial" w:eastAsia="Arial" w:hAnsi="Arial"/>
          <w:sz w:val="17"/>
          <w:szCs w:val="17"/>
          <w:color w:val="auto"/>
        </w:rPr>
        <w:t>”, which term shall be deemed to include Additional Loans (as defined in the following sentence), if any). Lender and Borrower further agree that Lender may in its absolute discretion provide to Borrower one or more additional loans (“</w:t>
      </w:r>
      <w:r>
        <w:rPr>
          <w:rFonts w:ascii="Arial" w:cs="Arial" w:eastAsia="Arial" w:hAnsi="Arial"/>
          <w:sz w:val="17"/>
          <w:szCs w:val="17"/>
          <w:b w:val="1"/>
          <w:bCs w:val="1"/>
          <w:color w:val="auto"/>
        </w:rPr>
        <w:t>Additional Loan</w:t>
      </w:r>
      <w:r>
        <w:rPr>
          <w:rFonts w:ascii="Arial" w:cs="Arial" w:eastAsia="Arial" w:hAnsi="Arial"/>
          <w:sz w:val="17"/>
          <w:szCs w:val="17"/>
          <w:color w:val="auto"/>
        </w:rPr>
        <w:t xml:space="preserve">”) from time to time in such amounts as agreed to by Lender and Borrower, provided that, for each such Additional Loan, Lender and Borrower shall execute a Supplemental Agreement to this Agreement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Both Parties agree and confirm that the Loan shall be interest-free, except as provided in Article 1.5 below. The Borrower has used the Loan solely for the purpose of paying for the Capital Contribution Amount to acquire the Target Equity and, unless with the prior written consent of the Lender, will not use the Loan for any other purpose.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1300" w:right="10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1.2.The term of this Agreement (“</w:t>
      </w:r>
      <w:r>
        <w:rPr>
          <w:rFonts w:ascii="Arial" w:cs="Arial" w:eastAsia="Arial" w:hAnsi="Arial"/>
          <w:sz w:val="18"/>
          <w:szCs w:val="18"/>
          <w:b w:val="1"/>
          <w:bCs w:val="1"/>
          <w:color w:val="auto"/>
        </w:rPr>
        <w:t>Term</w:t>
      </w:r>
      <w:r>
        <w:rPr>
          <w:rFonts w:ascii="Arial" w:cs="Arial" w:eastAsia="Arial" w:hAnsi="Arial"/>
          <w:sz w:val="18"/>
          <w:szCs w:val="18"/>
          <w:color w:val="auto"/>
        </w:rPr>
        <w:t>”) shall be ten (10) years from the date of this Agreement. Unless otherwise indicated by the Lender at any time prior to its expiration, the Term will be automatically extended for another ten (10) years, and so forth thereafter. Subject to Article 1.3, Borrower shall repay all amounts outstanding in respect of the Loan (including any penalty or interest thereon) according to Article 1.4 at the expiry or termination of the Term.</w:t>
      </w:r>
    </w:p>
    <w:p>
      <w:pPr>
        <w:spacing w:after="0" w:line="184"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1.3.Borrower shall not, without Lender’s prior written consent, which may be granted at Lender’s sole and absolute discretion on a case by case basis, make any prepayment of the Loan prior to the expiration of the Term, except that in the event that any one or more of the following circumstances occur, the entire amount of the Loan shall become immediately due and payable at the Lender’s option, without requiring any notice period on the part of the Lender, in accordance with Article 1.4:</w:t>
      </w:r>
    </w:p>
    <w:p>
      <w:pPr>
        <w:spacing w:after="0" w:line="186"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04"/>
        </w:numPr>
        <w:rPr>
          <w:rFonts w:ascii="Arial" w:cs="Arial" w:eastAsia="Arial" w:hAnsi="Arial"/>
          <w:sz w:val="17"/>
          <w:szCs w:val="17"/>
          <w:color w:val="auto"/>
        </w:rPr>
      </w:pPr>
      <w:r>
        <w:rPr>
          <w:rFonts w:ascii="Arial" w:cs="Arial" w:eastAsia="Arial" w:hAnsi="Arial"/>
          <w:sz w:val="17"/>
          <w:szCs w:val="17"/>
          <w:color w:val="auto"/>
        </w:rPr>
        <w:t>Borrower becomes deceased, bankrupt, mentally incapacitated or is otherwise lacking in or has limitations in civil capacity;</w:t>
      </w:r>
    </w:p>
    <w:p>
      <w:pPr>
        <w:spacing w:after="0" w:line="236" w:lineRule="exact"/>
        <w:rPr>
          <w:rFonts w:ascii="Arial" w:cs="Arial" w:eastAsia="Arial" w:hAnsi="Arial"/>
          <w:sz w:val="17"/>
          <w:szCs w:val="17"/>
          <w:color w:val="auto"/>
        </w:rPr>
      </w:pPr>
    </w:p>
    <w:p>
      <w:pPr>
        <w:jc w:val="both"/>
        <w:ind w:left="1960" w:right="120" w:hanging="655"/>
        <w:spacing w:after="0" w:line="264" w:lineRule="auto"/>
        <w:tabs>
          <w:tab w:leader="none" w:pos="1967" w:val="left"/>
        </w:tabs>
        <w:numPr>
          <w:ilvl w:val="1"/>
          <w:numId w:val="304"/>
        </w:numPr>
        <w:rPr>
          <w:rFonts w:ascii="Arial" w:cs="Arial" w:eastAsia="Arial" w:hAnsi="Arial"/>
          <w:sz w:val="18"/>
          <w:szCs w:val="18"/>
          <w:color w:val="auto"/>
        </w:rPr>
      </w:pPr>
      <w:r>
        <w:rPr>
          <w:rFonts w:ascii="Arial" w:cs="Arial" w:eastAsia="Arial" w:hAnsi="Arial"/>
          <w:sz w:val="18"/>
          <w:szCs w:val="18"/>
          <w:color w:val="auto"/>
        </w:rPr>
        <w:t>Borrower, for any reason, ceases to be the holder of equity interests in the Domestic Company or reduces his proportion of equity interests in the Domestic Company from that set forth in Recital (A) above except for transfers of equity interests in the Domestic Company to which Lender has consented;</w:t>
      </w:r>
    </w:p>
    <w:p>
      <w:pPr>
        <w:spacing w:after="0" w:line="181" w:lineRule="exact"/>
        <w:rPr>
          <w:rFonts w:ascii="Arial" w:cs="Arial" w:eastAsia="Arial" w:hAnsi="Arial"/>
          <w:sz w:val="18"/>
          <w:szCs w:val="18"/>
          <w:color w:val="auto"/>
        </w:rPr>
      </w:pPr>
    </w:p>
    <w:p>
      <w:pPr>
        <w:ind w:left="1960" w:right="100" w:hanging="655"/>
        <w:spacing w:after="0" w:line="272" w:lineRule="auto"/>
        <w:tabs>
          <w:tab w:leader="none" w:pos="1971" w:val="left"/>
        </w:tabs>
        <w:numPr>
          <w:ilvl w:val="1"/>
          <w:numId w:val="304"/>
        </w:numPr>
        <w:rPr>
          <w:rFonts w:ascii="Arial" w:cs="Arial" w:eastAsia="Arial" w:hAnsi="Arial"/>
          <w:sz w:val="17"/>
          <w:szCs w:val="17"/>
          <w:color w:val="auto"/>
        </w:rPr>
      </w:pPr>
      <w:r>
        <w:rPr>
          <w:rFonts w:ascii="Arial" w:cs="Arial" w:eastAsia="Arial" w:hAnsi="Arial"/>
          <w:sz w:val="17"/>
          <w:szCs w:val="17"/>
          <w:color w:val="auto"/>
        </w:rPr>
        <w:t>Borrower (i) ceases to be employed by or to provide service to Lender or any affiliate of Lender for any reason, (ii) breaches his obligations set forth in the Equity Pledge Agreement, the Shareholder Voting Right Trust Agreement, the Exclusive Purchase Option Agreement or the Operating Agreement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or breaches his obligations set forth in this Agreement, or (iii) engages in any criminal act or is involved in any criminal activities; provided, that upon the occurrence of any of (i), (ii) or (iii) above, Borrower shall transfer his rights and obligation under this Agreement, together with his rights and obligations under the Transaction Documents, to a person designated by Lender and shall complete such transfer within 10 days after the occurrence of circumstance under this Article 1.3(c);</w:t>
      </w:r>
    </w:p>
    <w:p>
      <w:pPr>
        <w:spacing w:after="0" w:line="177" w:lineRule="exact"/>
        <w:rPr>
          <w:rFonts w:ascii="Arial" w:cs="Arial" w:eastAsia="Arial" w:hAnsi="Arial"/>
          <w:sz w:val="17"/>
          <w:szCs w:val="17"/>
          <w:color w:val="auto"/>
        </w:rPr>
      </w:pPr>
    </w:p>
    <w:p>
      <w:pPr>
        <w:ind w:left="1960" w:right="360" w:hanging="655"/>
        <w:spacing w:after="0" w:line="277" w:lineRule="auto"/>
        <w:tabs>
          <w:tab w:leader="none" w:pos="1967" w:val="left"/>
        </w:tabs>
        <w:numPr>
          <w:ilvl w:val="1"/>
          <w:numId w:val="304"/>
        </w:numPr>
        <w:rPr>
          <w:rFonts w:ascii="Arial" w:cs="Arial" w:eastAsia="Arial" w:hAnsi="Arial"/>
          <w:sz w:val="18"/>
          <w:szCs w:val="18"/>
          <w:color w:val="auto"/>
        </w:rPr>
      </w:pPr>
      <w:r>
        <w:rPr>
          <w:rFonts w:ascii="Arial" w:cs="Arial" w:eastAsia="Arial" w:hAnsi="Arial"/>
          <w:sz w:val="18"/>
          <w:szCs w:val="18"/>
          <w:color w:val="auto"/>
        </w:rPr>
        <w:t>Lender is permitted to acquire a direct equity interest in Domestic Company due to a change in PRC laws or regulations or the application or interpretation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-3974465</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174" w:name="page175"/>
    <w:bookmarkEnd w:id="174"/>
    <w:p>
      <w:pPr>
        <w:spacing w:after="0" w:line="114" w:lineRule="exact"/>
        <w:rPr>
          <w:sz w:val="20"/>
          <w:szCs w:val="20"/>
          <w:color w:val="auto"/>
        </w:rPr>
      </w:pPr>
    </w:p>
    <w:p>
      <w:pPr>
        <w:ind w:left="1952" w:right="80" w:hanging="655"/>
        <w:spacing w:after="0" w:line="277" w:lineRule="auto"/>
        <w:tabs>
          <w:tab w:leader="none" w:pos="196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 court or other government authority deems this Agreement or any of the Transaction Documents or a substantial portion thereof to be invalid, illegal or unenforceable.</w:t>
      </w:r>
    </w:p>
    <w:p>
      <w:pPr>
        <w:spacing w:after="0" w:line="170" w:lineRule="exact"/>
        <w:rPr>
          <w:sz w:val="20"/>
          <w:szCs w:val="20"/>
          <w:color w:val="auto"/>
        </w:rPr>
      </w:pPr>
    </w:p>
    <w:p>
      <w:pPr>
        <w:jc w:val="both"/>
        <w:ind w:left="1292" w:right="220"/>
        <w:spacing w:after="0" w:line="264" w:lineRule="auto"/>
        <w:rPr>
          <w:sz w:val="20"/>
          <w:szCs w:val="20"/>
          <w:color w:val="auto"/>
        </w:rPr>
      </w:pPr>
      <w:r>
        <w:rPr>
          <w:rFonts w:ascii="Arial" w:cs="Arial" w:eastAsia="Arial" w:hAnsi="Arial"/>
          <w:sz w:val="18"/>
          <w:szCs w:val="18"/>
          <w:color w:val="auto"/>
        </w:rPr>
        <w:t>Notwithstanding the foregoing, Lender may at any time, in its sole and absolute discretion, issue a written repayment notice to Borrower requiring the repayment of the Loan, upon the occurrence of which the entire amount of the Loan shall become due and payable upon the expiry of thirty (30) days from the date of Lender’s written notice to Borrower.</w:t>
      </w:r>
    </w:p>
    <w:p>
      <w:pPr>
        <w:spacing w:after="0" w:line="181" w:lineRule="exact"/>
        <w:rPr>
          <w:sz w:val="20"/>
          <w:szCs w:val="20"/>
          <w:color w:val="auto"/>
        </w:rPr>
      </w:pPr>
    </w:p>
    <w:p>
      <w:pPr>
        <w:jc w:val="both"/>
        <w:ind w:left="1292" w:right="20" w:hanging="647"/>
        <w:spacing w:after="0" w:line="264" w:lineRule="auto"/>
        <w:tabs>
          <w:tab w:leader="none" w:pos="12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Both Parties hereby agree and confirm that Borrower may repay the Loan only in one of the following repayment methods as determined by Lender in its sole discretion, and Borrower agrees to take all actions (including executing and delivering documents or calling shareholders’ meetings) necessary or advisable to implement either of these methods:</w:t>
      </w:r>
    </w:p>
    <w:p>
      <w:pPr>
        <w:spacing w:after="0" w:line="181" w:lineRule="exact"/>
        <w:rPr>
          <w:sz w:val="20"/>
          <w:szCs w:val="20"/>
          <w:color w:val="auto"/>
        </w:rPr>
      </w:pPr>
    </w:p>
    <w:p>
      <w:pPr>
        <w:ind w:left="1952" w:right="60" w:hanging="655"/>
        <w:spacing w:after="0" w:line="277" w:lineRule="auto"/>
        <w:tabs>
          <w:tab w:leader="none" w:pos="1949"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Equity Option. If selected by Lender, Borrower shall repay the Loan by transferring his equity interests in the Domestic Company (“</w:t>
      </w:r>
      <w:r>
        <w:rPr>
          <w:rFonts w:ascii="Arial" w:cs="Arial" w:eastAsia="Arial" w:hAnsi="Arial"/>
          <w:sz w:val="18"/>
          <w:szCs w:val="18"/>
          <w:b w:val="1"/>
          <w:bCs w:val="1"/>
          <w:color w:val="auto"/>
        </w:rPr>
        <w:t>Borrower’s Equity</w:t>
      </w:r>
      <w:r>
        <w:rPr>
          <w:rFonts w:ascii="Arial" w:cs="Arial" w:eastAsia="Arial" w:hAnsi="Arial"/>
          <w:sz w:val="18"/>
          <w:szCs w:val="18"/>
          <w:color w:val="auto"/>
        </w:rPr>
        <w:t>”) to Lender or Lender’s designated persons; or</w:t>
      </w:r>
    </w:p>
    <w:p>
      <w:pPr>
        <w:spacing w:after="0" w:line="170" w:lineRule="exact"/>
        <w:rPr>
          <w:rFonts w:ascii="Arial" w:cs="Arial" w:eastAsia="Arial" w:hAnsi="Arial"/>
          <w:sz w:val="18"/>
          <w:szCs w:val="18"/>
          <w:color w:val="auto"/>
        </w:rPr>
      </w:pPr>
    </w:p>
    <w:p>
      <w:pPr>
        <w:ind w:left="1952" w:right="60" w:hanging="655"/>
        <w:spacing w:after="0" w:line="279" w:lineRule="auto"/>
        <w:tabs>
          <w:tab w:leader="none" w:pos="1959" w:val="left"/>
        </w:tabs>
        <w:numPr>
          <w:ilvl w:val="0"/>
          <w:numId w:val="306"/>
        </w:numPr>
        <w:rPr>
          <w:rFonts w:ascii="Arial" w:cs="Arial" w:eastAsia="Arial" w:hAnsi="Arial"/>
          <w:sz w:val="17"/>
          <w:szCs w:val="17"/>
          <w:color w:val="auto"/>
        </w:rPr>
      </w:pPr>
      <w:r>
        <w:rPr>
          <w:rFonts w:ascii="Arial" w:cs="Arial" w:eastAsia="Arial" w:hAnsi="Arial"/>
          <w:sz w:val="17"/>
          <w:szCs w:val="17"/>
          <w:color w:val="auto"/>
        </w:rPr>
        <w:t>Alternative Repayment. As an alternative to the repayment method specified in Article 1.4(a) above, Lender may in its sole discretion determine that the Loan shall be repaid by another method upon delivering a written notice of such decision to Borrower. In such case, Borrower shall pay to Lender the outstanding amount of the Loan (including any interest) in cash or other property, as determined by Lender, following any conditions or procedures specified by Lender.</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transfer price for Borrower’s Equity pursuant to Article 1.4(a) or the other consideration provided by Borrower pursuant to</w:t>
      </w:r>
    </w:p>
    <w:p>
      <w:pPr>
        <w:spacing w:after="0" w:line="23" w:lineRule="exact"/>
        <w:rPr>
          <w:sz w:val="20"/>
          <w:szCs w:val="20"/>
          <w:color w:val="auto"/>
        </w:rPr>
      </w:pPr>
    </w:p>
    <w:p>
      <w:pPr>
        <w:ind w:left="1292" w:right="20"/>
        <w:spacing w:after="0" w:line="270" w:lineRule="auto"/>
        <w:rPr>
          <w:sz w:val="20"/>
          <w:szCs w:val="20"/>
          <w:color w:val="auto"/>
        </w:rPr>
      </w:pPr>
      <w:r>
        <w:rPr>
          <w:rFonts w:ascii="Arial" w:cs="Arial" w:eastAsia="Arial" w:hAnsi="Arial"/>
          <w:sz w:val="17"/>
          <w:szCs w:val="17"/>
          <w:color w:val="auto"/>
        </w:rPr>
        <w:t>Article 1.4(b) exceeds the outstanding principal of the Loan hereunder, then such excess shall be deemed the aggregate interest accrued and payable by the Borrower upon the loan (calculated by the highest interest rate permitted by PRC laws). Borrower shall repay all interest on the Loan, together with the principal, capital utilization costs (if any) and penalty (if any), at the expiry or termination of the Term or when otherwise required hereunder. In the event that the aggregate interest accrued on the Loan exceeds the highest interest rate permitted by the PRC laws then in effect, the Borrower shall transfer an amount equal to any such excess transfer price to the Lender as a gift at the expiry or termination of the Term or when otherwise required hereunder.</w:t>
      </w:r>
    </w:p>
    <w:p>
      <w:pPr>
        <w:spacing w:after="0" w:line="17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Provided Borrower repays the Loan by transferring all of Borrower’s Equity to Lender or Lender’s designated persons pursuant to</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Article 1.4(a) or provides the other required consideration pursuant to Article 1.4(b) and subject to Borrower’s indemnification obligations</w:t>
      </w:r>
    </w:p>
    <w:p>
      <w:pPr>
        <w:spacing w:after="0" w:line="32"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set forth in Article 4.2 herein, Borrower shall have no further obligation to Lender for any principal, interest, capital utilization costs (if any)</w:t>
      </w:r>
    </w:p>
    <w:p>
      <w:pPr>
        <w:spacing w:after="0" w:line="32"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or penalty (if any) under the Loan.</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Any part or whole of the Loan repaid by Borrower may not be re-borrowed under this Agreement without Lender’s consent.</w:t>
      </w:r>
    </w:p>
    <w:p>
      <w:pPr>
        <w:spacing w:after="0" w:line="221" w:lineRule="exact"/>
        <w:rPr>
          <w:sz w:val="20"/>
          <w:szCs w:val="20"/>
          <w:color w:val="auto"/>
        </w:rPr>
      </w:pPr>
    </w:p>
    <w:p>
      <w:pPr>
        <w:ind w:left="652" w:hanging="652"/>
        <w:spacing w:after="0"/>
        <w:tabs>
          <w:tab w:leader="none" w:pos="652"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2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2.1.As of the date of this Agreement and during the Term through the date of termination or expiration of this Agreement, Lender represents and warrants to Borrower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Lender is a wholly foreign owned enterprise duly registered and existing under PRC law.</w:t>
      </w:r>
    </w:p>
    <w:p>
      <w:pPr>
        <w:spacing w:after="0" w:line="225" w:lineRule="exact"/>
        <w:rPr>
          <w:rFonts w:ascii="Arial" w:cs="Arial" w:eastAsia="Arial" w:hAnsi="Arial"/>
          <w:sz w:val="18"/>
          <w:szCs w:val="18"/>
          <w:color w:val="auto"/>
        </w:rPr>
      </w:pPr>
    </w:p>
    <w:p>
      <w:pPr>
        <w:ind w:left="1952" w:right="180" w:hanging="655"/>
        <w:spacing w:after="0" w:line="312" w:lineRule="auto"/>
        <w:tabs>
          <w:tab w:leader="none" w:pos="1959" w:val="left"/>
        </w:tabs>
        <w:numPr>
          <w:ilvl w:val="1"/>
          <w:numId w:val="307"/>
        </w:numPr>
        <w:rPr>
          <w:rFonts w:ascii="Arial" w:cs="Arial" w:eastAsia="Arial" w:hAnsi="Arial"/>
          <w:sz w:val="16"/>
          <w:szCs w:val="16"/>
          <w:color w:val="auto"/>
        </w:rPr>
      </w:pPr>
      <w:r>
        <w:rPr>
          <w:rFonts w:ascii="Arial" w:cs="Arial" w:eastAsia="Arial" w:hAnsi="Arial"/>
          <w:sz w:val="16"/>
          <w:szCs w:val="16"/>
          <w:color w:val="auto"/>
        </w:rPr>
        <w:t>Lender has the power to execute and perform its obligations under this Agreement. The execution and performance of this Agreement by Lender are in compliance with the articles of association or other organizational documents of Lender, and Lender has obtained all necessary and appropriate approvals and authorizations for the execution and performance of this Agreement.</w:t>
      </w:r>
    </w:p>
    <w:p>
      <w:pPr>
        <w:spacing w:after="0" w:line="146" w:lineRule="exact"/>
        <w:rPr>
          <w:rFonts w:ascii="Arial" w:cs="Arial" w:eastAsia="Arial" w:hAnsi="Arial"/>
          <w:sz w:val="16"/>
          <w:szCs w:val="16"/>
          <w:color w:val="auto"/>
        </w:rPr>
      </w:pPr>
    </w:p>
    <w:p>
      <w:pPr>
        <w:ind w:left="1952" w:right="300" w:hanging="655"/>
        <w:spacing w:after="0" w:line="286" w:lineRule="auto"/>
        <w:tabs>
          <w:tab w:leader="none" w:pos="1963" w:val="left"/>
        </w:tabs>
        <w:numPr>
          <w:ilvl w:val="1"/>
          <w:numId w:val="307"/>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Lender do not violate any laws and regulations or government approvals, authorizations, notices or other governmental documents having binding effect on or affecting Lender, nor do they violate any agreements between Lender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Lender upon execution.</w:t>
      </w:r>
    </w:p>
    <w:p>
      <w:pPr>
        <w:spacing w:after="0" w:line="225" w:lineRule="exact"/>
        <w:rPr>
          <w:sz w:val="20"/>
          <w:szCs w:val="20"/>
          <w:color w:val="auto"/>
        </w:rPr>
      </w:pPr>
    </w:p>
    <w:p>
      <w:pPr>
        <w:ind w:left="1292" w:right="100" w:hanging="647"/>
        <w:spacing w:after="0" w:line="277"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As of the date of this Agreement and during the Term through the date of termination or expiration of this Agreement, Borrower represents and warrants to Lender as follows:</w:t>
      </w:r>
    </w:p>
    <w:p>
      <w:pPr>
        <w:spacing w:after="0" w:line="170" w:lineRule="exact"/>
        <w:rPr>
          <w:sz w:val="20"/>
          <w:szCs w:val="20"/>
          <w:color w:val="auto"/>
        </w:rPr>
      </w:pPr>
    </w:p>
    <w:p>
      <w:pPr>
        <w:ind w:left="1952" w:right="160" w:hanging="655"/>
        <w:spacing w:after="0" w:line="277" w:lineRule="auto"/>
        <w:tabs>
          <w:tab w:leader="none" w:pos="194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Domestic Company is a limited liability company duly registered and existing under PRC law and Borrower is or will be the lawful holder of Borrower’s Equity.</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Borrower has the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120" w:hanging="655"/>
        <w:spacing w:after="0" w:line="286" w:lineRule="auto"/>
        <w:tabs>
          <w:tab w:leader="none" w:pos="1963"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Borrower do not violate any laws and regulations or government approvals, authorizations, notices or other governmental documents having binding effect on or affecting Borrower, nor do they violate any agreements between Borrower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on Borrower upon execution.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952" w:right="220" w:hanging="655"/>
        <w:spacing w:after="0" w:line="312" w:lineRule="auto"/>
        <w:tabs>
          <w:tab w:leader="none" w:pos="1963" w:val="left"/>
        </w:tabs>
        <w:numPr>
          <w:ilvl w:val="0"/>
          <w:numId w:val="309"/>
        </w:numPr>
        <w:rPr>
          <w:rFonts w:ascii="Arial" w:cs="Arial" w:eastAsia="Arial" w:hAnsi="Arial"/>
          <w:sz w:val="16"/>
          <w:szCs w:val="16"/>
          <w:color w:val="auto"/>
        </w:rPr>
      </w:pPr>
      <w:r>
        <w:rPr>
          <w:rFonts w:ascii="Arial" w:cs="Arial" w:eastAsia="Arial" w:hAnsi="Arial"/>
          <w:sz w:val="16"/>
          <w:szCs w:val="16"/>
          <w:color w:val="auto"/>
        </w:rPr>
        <w:t>Except in accordance with the provisions of the Equity Pledge Agreement or otherwise agreed by relevant parties, Borrower has not (i) created any mortgage, pledge or other security interests on any whole or part of Borrower’s Equity, (ii) made any offer to any third party or accepted any offer made by any third party for the transfer of any whole or part of Borrower’s Equity, or</w:t>
      </w:r>
    </w:p>
    <w:p>
      <w:pPr>
        <w:sectPr>
          <w:pgSz w:w="11900" w:h="16953" w:orient="portrait"/>
          <w:cols w:equalWidth="0" w:num="1">
            <w:col w:w="11412"/>
          </w:cols>
          <w:pgMar w:left="248" w:top="125" w:right="239" w:bottom="0" w:gutter="0" w:footer="0" w:header="0"/>
        </w:sectPr>
      </w:pPr>
    </w:p>
    <w:bookmarkStart w:id="175" w:name="page176"/>
    <w:bookmarkEnd w:id="175"/>
    <w:p>
      <w:pPr>
        <w:spacing w:after="0" w:line="137" w:lineRule="exact"/>
        <w:rPr>
          <w:sz w:val="20"/>
          <w:szCs w:val="20"/>
          <w:color w:val="auto"/>
        </w:rPr>
      </w:pPr>
    </w:p>
    <w:p>
      <w:pPr>
        <w:ind w:left="1952" w:right="20" w:hanging="7"/>
        <w:spacing w:after="0" w:line="264" w:lineRule="auto"/>
        <w:tabs>
          <w:tab w:leader="none" w:pos="2267" w:val="left"/>
        </w:tabs>
        <w:numPr>
          <w:ilvl w:val="2"/>
          <w:numId w:val="310"/>
        </w:numPr>
        <w:rPr>
          <w:rFonts w:ascii="Arial" w:cs="Arial" w:eastAsia="Arial" w:hAnsi="Arial"/>
          <w:sz w:val="18"/>
          <w:szCs w:val="18"/>
          <w:color w:val="auto"/>
        </w:rPr>
      </w:pPr>
      <w:r>
        <w:rPr>
          <w:rFonts w:ascii="Arial" w:cs="Arial" w:eastAsia="Arial" w:hAnsi="Arial"/>
          <w:sz w:val="18"/>
          <w:szCs w:val="18"/>
          <w:color w:val="auto"/>
        </w:rPr>
        <w:t>entered into any agreement with any third party for the transfer of any whole or part of Borrower’s Equity unless consented by Lender. To the extent applicable, the spouse of Borrower shall not have any right to or interest in Borrower’s Equity, and Borrower’s Equity is Borrower’s individual property instead of marital property.</w:t>
      </w:r>
    </w:p>
    <w:p>
      <w:pPr>
        <w:spacing w:after="0" w:line="181" w:lineRule="exact"/>
        <w:rPr>
          <w:rFonts w:ascii="Arial" w:cs="Arial" w:eastAsia="Arial" w:hAnsi="Arial"/>
          <w:sz w:val="18"/>
          <w:szCs w:val="18"/>
          <w:color w:val="auto"/>
        </w:rPr>
      </w:pPr>
    </w:p>
    <w:p>
      <w:pPr>
        <w:ind w:left="1952" w:right="180" w:hanging="655"/>
        <w:spacing w:after="0" w:line="286" w:lineRule="auto"/>
        <w:tabs>
          <w:tab w:leader="none" w:pos="1956" w:val="left"/>
        </w:tabs>
        <w:numPr>
          <w:ilvl w:val="1"/>
          <w:numId w:val="311"/>
        </w:numPr>
        <w:rPr>
          <w:rFonts w:ascii="Arial" w:cs="Arial" w:eastAsia="Arial" w:hAnsi="Arial"/>
          <w:sz w:val="17"/>
          <w:szCs w:val="17"/>
          <w:color w:val="auto"/>
        </w:rPr>
      </w:pPr>
      <w:r>
        <w:rPr>
          <w:rFonts w:ascii="Arial" w:cs="Arial" w:eastAsia="Arial" w:hAnsi="Arial"/>
          <w:sz w:val="17"/>
          <w:szCs w:val="17"/>
          <w:color w:val="auto"/>
        </w:rPr>
        <w:t>There are no pending disputes, litigations, arbitrations, administrative proceedings or any other legal proceedings relating to or involving Borrower and/or any of Borrower’s Equity, nor are there any potential disputes, litigations, arbitrations, administrative proceedings or any other legal proceedings relating to or involving Borrower and/or any of Borrower’s Equity.</w:t>
      </w:r>
    </w:p>
    <w:p>
      <w:pPr>
        <w:spacing w:after="0" w:line="161" w:lineRule="exact"/>
        <w:rPr>
          <w:rFonts w:ascii="Arial" w:cs="Arial" w:eastAsia="Arial" w:hAnsi="Arial"/>
          <w:sz w:val="17"/>
          <w:szCs w:val="17"/>
          <w:color w:val="auto"/>
        </w:rPr>
      </w:pPr>
    </w:p>
    <w:p>
      <w:pPr>
        <w:ind w:left="652" w:hanging="652"/>
        <w:spacing w:after="0"/>
        <w:tabs>
          <w:tab w:leader="none" w:pos="652"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Borrower’s Undertakings</w:t>
      </w:r>
    </w:p>
    <w:p>
      <w:pPr>
        <w:spacing w:after="0" w:line="229" w:lineRule="exact"/>
        <w:rPr>
          <w:rFonts w:ascii="Arial" w:cs="Arial" w:eastAsia="Arial" w:hAnsi="Arial"/>
          <w:sz w:val="18"/>
          <w:szCs w:val="18"/>
          <w:b w:val="1"/>
          <w:bCs w:val="1"/>
          <w:color w:val="auto"/>
        </w:rPr>
      </w:pPr>
    </w:p>
    <w:p>
      <w:pPr>
        <w:ind w:left="1292" w:right="9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3.1.Borrower undertakes in his capacity as a shareholder of the Domestic Company that Borrower will, and together with the other shareholder(s) of the Domestic Company will cause the Domestic Company to (as applicable):</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312"/>
        </w:numPr>
        <w:rPr>
          <w:rFonts w:ascii="Arial" w:cs="Arial" w:eastAsia="Arial" w:hAnsi="Arial"/>
          <w:sz w:val="17"/>
          <w:szCs w:val="17"/>
          <w:color w:val="auto"/>
        </w:rPr>
      </w:pPr>
      <w:r>
        <w:rPr>
          <w:rFonts w:ascii="Arial" w:cs="Arial" w:eastAsia="Arial" w:hAnsi="Arial"/>
          <w:sz w:val="17"/>
          <w:szCs w:val="17"/>
          <w:color w:val="auto"/>
        </w:rPr>
        <w:t>enter into the Transaction Documents in the same form and substance as set forth in Appendices I, II, III and IV hereto.</w:t>
      </w:r>
    </w:p>
    <w:p>
      <w:pPr>
        <w:spacing w:after="0" w:line="236" w:lineRule="exact"/>
        <w:rPr>
          <w:rFonts w:ascii="Arial" w:cs="Arial" w:eastAsia="Arial" w:hAnsi="Arial"/>
          <w:sz w:val="17"/>
          <w:szCs w:val="17"/>
          <w:color w:val="auto"/>
        </w:rPr>
      </w:pPr>
    </w:p>
    <w:p>
      <w:pPr>
        <w:ind w:left="1952" w:right="220" w:hanging="655"/>
        <w:spacing w:after="0" w:line="264" w:lineRule="auto"/>
        <w:tabs>
          <w:tab w:leader="none" w:pos="1959"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not without the prior written consent of Lender, supplement, amend or modify the business scope or organizational documents (including the articles of association) of the Domestic Company, or increase or reduce or in any form change the structure of the registered capital of the Domestic Company.</w:t>
      </w:r>
    </w:p>
    <w:p>
      <w:pPr>
        <w:spacing w:after="0" w:line="181" w:lineRule="exact"/>
        <w:rPr>
          <w:rFonts w:ascii="Arial" w:cs="Arial" w:eastAsia="Arial" w:hAnsi="Arial"/>
          <w:sz w:val="18"/>
          <w:szCs w:val="18"/>
          <w:color w:val="auto"/>
        </w:rPr>
      </w:pPr>
    </w:p>
    <w:p>
      <w:pPr>
        <w:ind w:left="1952" w:right="80" w:hanging="655"/>
        <w:spacing w:after="0" w:line="264" w:lineRule="auto"/>
        <w:tabs>
          <w:tab w:leader="none" w:pos="1963"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not without the prior written consent of Lender, sell, transfer, mortgage or otherwise dispose of any legal or beneficial rights and interests in the Domestic Company or any of its assets, businesses or revenues, or permit or create any encumbrance or other third party right thereon;</w:t>
      </w:r>
    </w:p>
    <w:p>
      <w:pPr>
        <w:spacing w:after="0" w:line="181" w:lineRule="exact"/>
        <w:rPr>
          <w:rFonts w:ascii="Arial" w:cs="Arial" w:eastAsia="Arial" w:hAnsi="Arial"/>
          <w:sz w:val="18"/>
          <w:szCs w:val="18"/>
          <w:color w:val="auto"/>
        </w:rPr>
      </w:pPr>
    </w:p>
    <w:p>
      <w:pPr>
        <w:ind w:left="1952" w:right="80" w:hanging="655"/>
        <w:spacing w:after="0" w:line="264" w:lineRule="auto"/>
        <w:tabs>
          <w:tab w:leader="none" w:pos="1959"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not without the prior written consent of Lender, incur, succeed to, guarantee or permit the existence of any debts except (i) debts incurred in the ordinary course of business and (ii) debts which have been disclosed to Lender and for which prior written consent has been obtained from Lender;</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not without the prior written consent of Lender, grant any loan or credit to any person;</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280" w:hanging="655"/>
        <w:spacing w:after="0" w:line="277" w:lineRule="auto"/>
        <w:tabs>
          <w:tab w:leader="none" w:pos="195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upon Lender’s request, provide to Lender all the information with respect to the operations and financial status of the Domestic Company;</w:t>
      </w:r>
    </w:p>
    <w:p>
      <w:pPr>
        <w:spacing w:after="0" w:line="170" w:lineRule="exact"/>
        <w:rPr>
          <w:rFonts w:ascii="Arial" w:cs="Arial" w:eastAsia="Arial" w:hAnsi="Arial"/>
          <w:sz w:val="18"/>
          <w:szCs w:val="18"/>
          <w:color w:val="auto"/>
        </w:rPr>
      </w:pPr>
    </w:p>
    <w:p>
      <w:pPr>
        <w:ind w:left="1952" w:right="340" w:hanging="655"/>
        <w:spacing w:after="0" w:line="277" w:lineRule="auto"/>
        <w:tabs>
          <w:tab w:leader="none" w:pos="197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not without the prior written consent of Lender, merge or amalgamate with or form any alliance with any person, or acquire or invest in any person;</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its assets, businesses and revenues;</w:t>
      </w:r>
    </w:p>
    <w:p>
      <w:pPr>
        <w:spacing w:after="0" w:line="170" w:lineRule="exact"/>
        <w:rPr>
          <w:rFonts w:ascii="Arial" w:cs="Arial" w:eastAsia="Arial" w:hAnsi="Arial"/>
          <w:sz w:val="18"/>
          <w:szCs w:val="18"/>
          <w:color w:val="auto"/>
        </w:rPr>
      </w:pPr>
    </w:p>
    <w:p>
      <w:pPr>
        <w:ind w:left="1952" w:right="520" w:hanging="655"/>
        <w:spacing w:after="0" w:line="264" w:lineRule="auto"/>
        <w:tabs>
          <w:tab w:leader="none" w:pos="197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the extent necessary to maintain its ownership of all its assets, execute all necessary or appropriate documents, take all necessary or appropriate actions and file all necessary or appropriate complaints or raise necessary and appropriate defenses against all claims;</w:t>
      </w:r>
    </w:p>
    <w:p>
      <w:pPr>
        <w:spacing w:after="0" w:line="181" w:lineRule="exact"/>
        <w:rPr>
          <w:rFonts w:ascii="Arial" w:cs="Arial" w:eastAsia="Arial" w:hAnsi="Arial"/>
          <w:sz w:val="18"/>
          <w:szCs w:val="18"/>
          <w:color w:val="auto"/>
        </w:rPr>
      </w:pPr>
    </w:p>
    <w:p>
      <w:pPr>
        <w:ind w:left="1952" w:right="160" w:hanging="655"/>
        <w:spacing w:after="0" w:line="308" w:lineRule="auto"/>
        <w:tabs>
          <w:tab w:leader="none" w:pos="196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not without the prior written consent of Lender, declare or distribute any profit or dividend to shareholders in any form, but upon request of Lender, to immediately declare and distribute all the distributable profits to its respective shareholders;</w:t>
      </w:r>
    </w:p>
    <w:p>
      <w:pPr>
        <w:spacing w:after="0" w:line="146" w:lineRule="exact"/>
        <w:rPr>
          <w:rFonts w:ascii="Arial" w:cs="Arial" w:eastAsia="Arial" w:hAnsi="Arial"/>
          <w:sz w:val="17"/>
          <w:szCs w:val="17"/>
          <w:color w:val="auto"/>
        </w:rPr>
      </w:pPr>
    </w:p>
    <w:p>
      <w:pPr>
        <w:ind w:left="1952" w:hanging="655"/>
        <w:spacing w:after="0"/>
        <w:tabs>
          <w:tab w:leader="none" w:pos="195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at the request of Lender, appoint the persons designated by Lender as directors and senior officers of the Domestic Company; and</w:t>
      </w:r>
    </w:p>
    <w:p>
      <w:pPr>
        <w:spacing w:after="0" w:line="248" w:lineRule="exact"/>
        <w:rPr>
          <w:rFonts w:ascii="Arial" w:cs="Arial" w:eastAsia="Arial" w:hAnsi="Arial"/>
          <w:sz w:val="16"/>
          <w:szCs w:val="16"/>
          <w:color w:val="auto"/>
        </w:rPr>
      </w:pPr>
    </w:p>
    <w:p>
      <w:pPr>
        <w:ind w:left="1952" w:right="260" w:hanging="655"/>
        <w:spacing w:after="0" w:line="308" w:lineRule="auto"/>
        <w:tabs>
          <w:tab w:leader="none" w:pos="1973" w:val="left"/>
        </w:tabs>
        <w:numPr>
          <w:ilvl w:val="0"/>
          <w:numId w:val="313"/>
        </w:numPr>
        <w:rPr>
          <w:rFonts w:ascii="Arial" w:cs="Arial" w:eastAsia="Arial" w:hAnsi="Arial"/>
          <w:sz w:val="17"/>
          <w:szCs w:val="17"/>
          <w:color w:val="auto"/>
        </w:rPr>
      </w:pPr>
      <w:r>
        <w:rPr>
          <w:rFonts w:ascii="Arial" w:cs="Arial" w:eastAsia="Arial" w:hAnsi="Arial"/>
          <w:sz w:val="17"/>
          <w:szCs w:val="17"/>
          <w:color w:val="auto"/>
        </w:rPr>
        <w:t>strictly comply with the provisions under any agreements to which Borrower and Lender are parties and not take any actions or omit to take any actions that may adversely affect the effectiveness and enforceability of such agreements.</w:t>
      </w:r>
    </w:p>
    <w:p>
      <w:pPr>
        <w:spacing w:after="0" w:line="14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Borrower undertakes that during the Term, he/she shall:</w:t>
      </w:r>
    </w:p>
    <w:p>
      <w:pPr>
        <w:spacing w:after="0" w:line="225" w:lineRule="exact"/>
        <w:rPr>
          <w:sz w:val="20"/>
          <w:szCs w:val="20"/>
          <w:color w:val="auto"/>
        </w:rPr>
      </w:pPr>
    </w:p>
    <w:p>
      <w:pPr>
        <w:jc w:val="both"/>
        <w:ind w:left="1952" w:hanging="655"/>
        <w:spacing w:after="0" w:line="264" w:lineRule="auto"/>
        <w:tabs>
          <w:tab w:leader="none" w:pos="194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except in accordance with the Equity Pledge Agreement, not sell, transfer, mortgage or otherwise dispose of the legal or beneficial rights and interests on Borrower’s Equity or permit or create any other security interest thereon without the prior written consent of Lender;</w:t>
      </w:r>
    </w:p>
    <w:p>
      <w:pPr>
        <w:spacing w:after="0" w:line="181" w:lineRule="exact"/>
        <w:rPr>
          <w:rFonts w:ascii="Arial" w:cs="Arial" w:eastAsia="Arial" w:hAnsi="Arial"/>
          <w:sz w:val="18"/>
          <w:szCs w:val="18"/>
          <w:color w:val="auto"/>
        </w:rPr>
      </w:pPr>
    </w:p>
    <w:p>
      <w:pPr>
        <w:ind w:left="1952" w:right="40" w:hanging="655"/>
        <w:spacing w:after="0" w:line="286" w:lineRule="auto"/>
        <w:tabs>
          <w:tab w:leader="none" w:pos="1959" w:val="left"/>
        </w:tabs>
        <w:numPr>
          <w:ilvl w:val="0"/>
          <w:numId w:val="314"/>
        </w:numPr>
        <w:rPr>
          <w:rFonts w:ascii="Arial" w:cs="Arial" w:eastAsia="Arial" w:hAnsi="Arial"/>
          <w:sz w:val="17"/>
          <w:szCs w:val="17"/>
          <w:color w:val="auto"/>
        </w:rPr>
      </w:pPr>
      <w:r>
        <w:rPr>
          <w:rFonts w:ascii="Arial" w:cs="Arial" w:eastAsia="Arial" w:hAnsi="Arial"/>
          <w:sz w:val="17"/>
          <w:szCs w:val="17"/>
          <w:color w:val="auto"/>
        </w:rPr>
        <w:t>cause the shareholders’ meeting of the Domestic Company not to approve the sale, transfer, mortgage or disposal in any other way of the legal or beneficial rights and interests in Borrower’s Equity or permit the creation of any other security interest thereon without the prior written consent of Lender except in favor of Lender or Lender’s designated person;</w:t>
      </w:r>
    </w:p>
    <w:p>
      <w:pPr>
        <w:spacing w:after="0" w:line="165" w:lineRule="exact"/>
        <w:rPr>
          <w:rFonts w:ascii="Arial" w:cs="Arial" w:eastAsia="Arial" w:hAnsi="Arial"/>
          <w:sz w:val="17"/>
          <w:szCs w:val="17"/>
          <w:color w:val="auto"/>
        </w:rPr>
      </w:pPr>
    </w:p>
    <w:p>
      <w:pPr>
        <w:ind w:left="1952" w:right="80" w:hanging="655"/>
        <w:spacing w:after="0" w:line="277" w:lineRule="auto"/>
        <w:tabs>
          <w:tab w:leader="none" w:pos="196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cause the shareholders’ meeting of the Domestic Company not to approve the merger or alliance with any person or acquisition or investment in any person without the prior written consent of Lender;</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Borrower’s Equity;</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220" w:hanging="655"/>
        <w:spacing w:after="0" w:line="342" w:lineRule="auto"/>
        <w:tabs>
          <w:tab w:leader="none" w:pos="1963"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to the extent necessary to maintain his ownership of Borrower’s Equity, execute all necessary or appropriate documents, take all necessary or appropriate actions and file all necessary or appropriate complaints or raise all necessary and appropriate defenses</w:t>
      </w:r>
    </w:p>
    <w:p>
      <w:pPr>
        <w:sectPr>
          <w:pgSz w:w="11900" w:h="16975" w:orient="portrait"/>
          <w:cols w:equalWidth="0" w:num="1">
            <w:col w:w="11392"/>
          </w:cols>
          <w:pgMar w:left="248" w:top="125" w:right="259" w:bottom="0" w:gutter="0" w:footer="0" w:header="0"/>
        </w:sectPr>
      </w:pPr>
    </w:p>
    <w:bookmarkStart w:id="176" w:name="page177"/>
    <w:bookmarkEnd w:id="176"/>
    <w:p>
      <w:pPr>
        <w:spacing w:after="0" w:line="11" w:lineRule="exact"/>
        <w:rPr>
          <w:sz w:val="20"/>
          <w:szCs w:val="20"/>
          <w:color w:val="auto"/>
        </w:rPr>
      </w:pPr>
    </w:p>
    <w:p>
      <w:pPr>
        <w:ind w:left="1952"/>
        <w:spacing w:after="0"/>
        <w:rPr>
          <w:sz w:val="20"/>
          <w:szCs w:val="20"/>
          <w:color w:val="auto"/>
        </w:rPr>
      </w:pPr>
      <w:r>
        <w:rPr>
          <w:rFonts w:ascii="Arial" w:cs="Arial" w:eastAsia="Arial" w:hAnsi="Arial"/>
          <w:sz w:val="18"/>
          <w:szCs w:val="18"/>
          <w:color w:val="auto"/>
        </w:rPr>
        <w:t>against all claims;</w:t>
      </w:r>
    </w:p>
    <w:p>
      <w:pPr>
        <w:spacing w:after="0" w:line="225" w:lineRule="exact"/>
        <w:rPr>
          <w:sz w:val="20"/>
          <w:szCs w:val="20"/>
          <w:color w:val="auto"/>
        </w:rPr>
      </w:pPr>
    </w:p>
    <w:p>
      <w:pPr>
        <w:ind w:left="1952" w:right="480" w:hanging="655"/>
        <w:spacing w:after="0" w:line="277" w:lineRule="auto"/>
        <w:tabs>
          <w:tab w:leader="none" w:pos="1956" w:val="left"/>
        </w:tabs>
        <w:numPr>
          <w:ilvl w:val="1"/>
          <w:numId w:val="316"/>
        </w:numPr>
        <w:rPr>
          <w:rFonts w:ascii="Arial" w:cs="Arial" w:eastAsia="Arial" w:hAnsi="Arial"/>
          <w:sz w:val="18"/>
          <w:szCs w:val="18"/>
          <w:color w:val="auto"/>
        </w:rPr>
      </w:pPr>
      <w:r>
        <w:rPr>
          <w:rFonts w:ascii="Arial" w:cs="Arial" w:eastAsia="Arial" w:hAnsi="Arial"/>
          <w:sz w:val="18"/>
          <w:szCs w:val="18"/>
          <w:color w:val="auto"/>
        </w:rPr>
        <w:t>refrain from taking any action that may have a material adverse impact on the assets, business and liabilities of the Domestic Company;</w:t>
      </w:r>
    </w:p>
    <w:p>
      <w:pPr>
        <w:spacing w:after="0" w:line="170" w:lineRule="exact"/>
        <w:rPr>
          <w:rFonts w:ascii="Arial" w:cs="Arial" w:eastAsia="Arial" w:hAnsi="Arial"/>
          <w:sz w:val="18"/>
          <w:szCs w:val="18"/>
          <w:color w:val="auto"/>
        </w:rPr>
      </w:pPr>
    </w:p>
    <w:p>
      <w:pPr>
        <w:ind w:left="1952" w:hanging="655"/>
        <w:spacing w:after="0" w:line="277" w:lineRule="auto"/>
        <w:tabs>
          <w:tab w:leader="none" w:pos="1973"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at the request of Lender, appoint the persons designated by Lender as directors of the Domestic Company (unless otherwise agreed by the Parties);</w:t>
      </w:r>
    </w:p>
    <w:p>
      <w:pPr>
        <w:spacing w:after="0" w:line="170" w:lineRule="exact"/>
        <w:rPr>
          <w:rFonts w:ascii="Arial" w:cs="Arial" w:eastAsia="Arial" w:hAnsi="Arial"/>
          <w:sz w:val="18"/>
          <w:szCs w:val="18"/>
          <w:color w:val="auto"/>
        </w:rPr>
      </w:pPr>
    </w:p>
    <w:p>
      <w:pPr>
        <w:ind w:left="1952" w:right="420" w:hanging="655"/>
        <w:spacing w:after="0" w:line="277" w:lineRule="auto"/>
        <w:tabs>
          <w:tab w:leader="none" w:pos="1959"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to the extent permitted by PRC laws, at the request of Lender at any time, promptly and unconditionally transfer all or part of Borrower’s Equity to Lender or Lender’s designated person(s) at any time;</w:t>
      </w:r>
    </w:p>
    <w:p>
      <w:pPr>
        <w:spacing w:after="0" w:line="170" w:lineRule="exact"/>
        <w:rPr>
          <w:rFonts w:ascii="Arial" w:cs="Arial" w:eastAsia="Arial" w:hAnsi="Arial"/>
          <w:sz w:val="18"/>
          <w:szCs w:val="18"/>
          <w:color w:val="auto"/>
        </w:rPr>
      </w:pPr>
    </w:p>
    <w:p>
      <w:pPr>
        <w:ind w:left="1952" w:right="20" w:hanging="655"/>
        <w:spacing w:after="0" w:line="259" w:lineRule="auto"/>
        <w:tabs>
          <w:tab w:leader="none" w:pos="1973" w:val="left"/>
        </w:tabs>
        <w:numPr>
          <w:ilvl w:val="1"/>
          <w:numId w:val="316"/>
        </w:numPr>
        <w:rPr>
          <w:rFonts w:ascii="Arial" w:cs="Arial" w:eastAsia="Arial" w:hAnsi="Arial"/>
          <w:sz w:val="18"/>
          <w:szCs w:val="18"/>
          <w:color w:val="auto"/>
        </w:rPr>
      </w:pPr>
      <w:r>
        <w:rPr>
          <w:rFonts w:ascii="Arial" w:cs="Arial" w:eastAsia="Arial" w:hAnsi="Arial"/>
          <w:sz w:val="18"/>
          <w:szCs w:val="18"/>
          <w:color w:val="auto"/>
        </w:rPr>
        <w:t>strictly abide by the provisions of this Agreement, the Transaction Documents and any other agreement to which Borrower and Lender are parties, perform his obligations under this Agreement, the Transaction Documents and any such other agreement, and refrain from taking any action or omit to take any action that may affect the effectiveness and enforceability of this Agreement, the Transaction Documents and any such other agreement; and</w:t>
      </w:r>
    </w:p>
    <w:p>
      <w:pPr>
        <w:spacing w:after="0" w:line="186" w:lineRule="exact"/>
        <w:rPr>
          <w:rFonts w:ascii="Arial" w:cs="Arial" w:eastAsia="Arial" w:hAnsi="Arial"/>
          <w:sz w:val="18"/>
          <w:szCs w:val="18"/>
          <w:color w:val="auto"/>
        </w:rPr>
      </w:pPr>
    </w:p>
    <w:p>
      <w:pPr>
        <w:ind w:left="1952" w:right="360" w:hanging="655"/>
        <w:spacing w:after="0" w:line="308" w:lineRule="auto"/>
        <w:tabs>
          <w:tab w:leader="none" w:pos="1960" w:val="left"/>
        </w:tabs>
        <w:numPr>
          <w:ilvl w:val="1"/>
          <w:numId w:val="316"/>
        </w:numPr>
        <w:rPr>
          <w:rFonts w:ascii="Arial" w:cs="Arial" w:eastAsia="Arial" w:hAnsi="Arial"/>
          <w:sz w:val="17"/>
          <w:szCs w:val="17"/>
          <w:color w:val="auto"/>
        </w:rPr>
      </w:pPr>
      <w:r>
        <w:rPr>
          <w:rFonts w:ascii="Arial" w:cs="Arial" w:eastAsia="Arial" w:hAnsi="Arial"/>
          <w:sz w:val="17"/>
          <w:szCs w:val="17"/>
          <w:color w:val="auto"/>
        </w:rPr>
        <w:t xml:space="preserve">when Borrower gets married (if Borrower is not married already), promptly notify Lender in writing and deliver to Lender the Spousal Consent Letter executed by Borrower’s spouse,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652" w:hanging="652"/>
        <w:spacing w:after="0"/>
        <w:tabs>
          <w:tab w:leader="none" w:pos="652"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Default</w:t>
      </w:r>
    </w:p>
    <w:p>
      <w:pPr>
        <w:spacing w:after="0" w:line="229" w:lineRule="exact"/>
        <w:rPr>
          <w:rFonts w:ascii="Arial" w:cs="Arial" w:eastAsia="Arial" w:hAnsi="Arial"/>
          <w:sz w:val="18"/>
          <w:szCs w:val="18"/>
          <w:b w:val="1"/>
          <w:bCs w:val="1"/>
          <w:color w:val="auto"/>
        </w:rPr>
      </w:pPr>
    </w:p>
    <w:p>
      <w:pPr>
        <w:ind w:left="1292" w:right="1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4.1.In the event that Borrower fails to repay the outstanding amount of the Loan when due and payable, Borrower shall be liable to pay default interest of 0.01% per day on the outstanding payment, until the date on which Borrower repays the outstanding amount of the Loan in full, together with interest thereon and any other amounts due and payable.</w:t>
      </w:r>
    </w:p>
    <w:p>
      <w:pPr>
        <w:spacing w:after="0" w:line="181" w:lineRule="exact"/>
        <w:rPr>
          <w:rFonts w:ascii="Arial" w:cs="Arial" w:eastAsia="Arial" w:hAnsi="Arial"/>
          <w:sz w:val="18"/>
          <w:szCs w:val="18"/>
          <w:b w:val="1"/>
          <w:bCs w:val="1"/>
          <w:color w:val="auto"/>
        </w:rPr>
      </w:pPr>
    </w:p>
    <w:p>
      <w:pPr>
        <w:ind w:left="1292" w:right="30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7"/>
          <w:szCs w:val="17"/>
          <w:color w:val="auto"/>
        </w:rPr>
        <w:t>Borrower hereby covenants that he will indemnify and hold harmless Lender against any action, charge, claim, cost, harm, demand, fee, liability, loss and procedure incurred by Lender arising out of Borrower’s breach of any of his obligations hereunder.</w:t>
      </w:r>
    </w:p>
    <w:p>
      <w:pPr>
        <w:spacing w:after="0" w:line="142" w:lineRule="exact"/>
        <w:rPr>
          <w:rFonts w:ascii="Arial" w:cs="Arial" w:eastAsia="Arial" w:hAnsi="Arial"/>
          <w:sz w:val="18"/>
          <w:szCs w:val="18"/>
          <w:b w:val="1"/>
          <w:bCs w:val="1"/>
          <w:color w:val="auto"/>
        </w:rPr>
      </w:pPr>
    </w:p>
    <w:p>
      <w:pPr>
        <w:ind w:left="652" w:hanging="652"/>
        <w:spacing w:after="0"/>
        <w:tabs>
          <w:tab w:leader="none" w:pos="652"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If to Lender: NetEase (Hangzhou) Network Co., Ltd.</w:t>
      </w:r>
    </w:p>
    <w:p>
      <w:pPr>
        <w:sectPr>
          <w:pgSz w:w="11900" w:h="16850" w:orient="portrait"/>
          <w:cols w:equalWidth="0" w:num="1">
            <w:col w:w="11392"/>
          </w:cols>
          <w:pgMar w:left="248" w:top="125" w:right="259" w:bottom="0" w:gutter="0" w:footer="0" w:header="0"/>
        </w:sectPr>
      </w:pPr>
    </w:p>
    <w:p>
      <w:pPr>
        <w:spacing w:after="0" w:line="229" w:lineRule="exact"/>
        <w:rPr>
          <w:sz w:val="20"/>
          <w:szCs w:val="20"/>
          <w:color w:val="auto"/>
        </w:rPr>
      </w:pPr>
    </w:p>
    <w:p>
      <w:pPr>
        <w:jc w:val="center"/>
        <w:ind w:left="63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7/F, Building 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 599 Wangshang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Binjiang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Zhejiang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200" w:lineRule="exact"/>
        <w:rPr>
          <w:sz w:val="20"/>
          <w:szCs w:val="20"/>
          <w:color w:val="auto"/>
        </w:rPr>
      </w:pPr>
    </w:p>
    <w:p>
      <w:pPr>
        <w:sectPr>
          <w:pgSz w:w="11900" w:h="16850" w:orient="portrait"/>
          <w:cols w:equalWidth="0" w:num="2">
            <w:col w:w="3592" w:space="720"/>
            <w:col w:w="7080"/>
          </w:cols>
          <w:pgMar w:left="248" w:top="125" w:right="259" w:bottom="0" w:gutter="0" w:footer="0" w:header="0"/>
          <w:type w:val="continuous"/>
        </w:sectPr>
      </w:pPr>
    </w:p>
    <w:p>
      <w:pPr>
        <w:spacing w:after="0" w:line="34" w:lineRule="exact"/>
        <w:rPr>
          <w:sz w:val="20"/>
          <w:szCs w:val="20"/>
          <w:color w:val="auto"/>
        </w:rPr>
      </w:pPr>
    </w:p>
    <w:p>
      <w:pPr>
        <w:ind w:left="179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0571-89852163</w:t>
      </w:r>
    </w:p>
    <w:p>
      <w:pPr>
        <w:spacing w:after="0" w:line="200" w:lineRule="exact"/>
        <w:rPr>
          <w:sz w:val="20"/>
          <w:szCs w:val="20"/>
          <w:color w:val="auto"/>
        </w:rPr>
      </w:pPr>
    </w:p>
    <w:p>
      <w:pPr>
        <w:sectPr>
          <w:pgSz w:w="11900" w:h="16850" w:orient="portrait"/>
          <w:cols w:equalWidth="0" w:num="2">
            <w:col w:w="3592" w:space="720"/>
            <w:col w:w="7080"/>
          </w:cols>
          <w:pgMar w:left="248" w:top="125" w:right="259" w:bottom="0" w:gutter="0" w:footer="0" w:header="0"/>
          <w:type w:val="continuous"/>
        </w:sectPr>
      </w:pPr>
    </w:p>
    <w:p>
      <w:pPr>
        <w:spacing w:after="0" w:line="48" w:lineRule="exact"/>
        <w:rPr>
          <w:sz w:val="20"/>
          <w:szCs w:val="20"/>
          <w:color w:val="auto"/>
        </w:rPr>
      </w:pPr>
    </w:p>
    <w:p>
      <w:pPr>
        <w:ind w:left="179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liujianing@corp.netease.com</w:t>
      </w:r>
    </w:p>
    <w:p>
      <w:pPr>
        <w:spacing w:after="0" w:line="211" w:lineRule="exact"/>
        <w:rPr>
          <w:sz w:val="20"/>
          <w:szCs w:val="20"/>
          <w:color w:val="auto"/>
        </w:rPr>
      </w:pPr>
    </w:p>
    <w:p>
      <w:pPr>
        <w:sectPr>
          <w:pgSz w:w="11900" w:h="16850" w:orient="portrait"/>
          <w:cols w:equalWidth="0" w:num="2">
            <w:col w:w="3592" w:space="720"/>
            <w:col w:w="7080"/>
          </w:cols>
          <w:pgMar w:left="248" w:top="125" w:right="259" w:bottom="0" w:gutter="0" w:footer="0" w:header="0"/>
          <w:type w:val="continuous"/>
        </w:sectPr>
      </w:pPr>
    </w:p>
    <w:p>
      <w:pPr>
        <w:spacing w:after="0" w:line="37" w:lineRule="exact"/>
        <w:rPr>
          <w:sz w:val="20"/>
          <w:szCs w:val="20"/>
          <w:color w:val="auto"/>
        </w:rPr>
      </w:pPr>
    </w:p>
    <w:p>
      <w:pPr>
        <w:jc w:val="center"/>
        <w:ind w:left="712"/>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Liu Jianing</w:t>
      </w:r>
    </w:p>
    <w:p>
      <w:pPr>
        <w:spacing w:after="0" w:line="211" w:lineRule="exact"/>
        <w:rPr>
          <w:sz w:val="20"/>
          <w:szCs w:val="20"/>
          <w:color w:val="auto"/>
        </w:rPr>
      </w:pPr>
    </w:p>
    <w:p>
      <w:pPr>
        <w:sectPr>
          <w:pgSz w:w="11900" w:h="16850" w:orient="portrait"/>
          <w:cols w:equalWidth="0" w:num="2">
            <w:col w:w="3592" w:space="720"/>
            <w:col w:w="7080"/>
          </w:cols>
          <w:pgMar w:left="248" w:top="125" w:right="259" w:bottom="0" w:gutter="0" w:footer="0" w:header="0"/>
          <w:type w:val="continuous"/>
        </w:sectPr>
      </w:pPr>
    </w:p>
    <w:p>
      <w:pPr>
        <w:spacing w:after="0" w:line="33" w:lineRule="exact"/>
        <w:rPr>
          <w:sz w:val="20"/>
          <w:szCs w:val="20"/>
          <w:color w:val="auto"/>
        </w:rPr>
      </w:pPr>
    </w:p>
    <w:p>
      <w:pPr>
        <w:ind w:left="652"/>
        <w:spacing w:after="0"/>
        <w:rPr>
          <w:sz w:val="20"/>
          <w:szCs w:val="20"/>
          <w:color w:val="auto"/>
        </w:rPr>
      </w:pPr>
      <w:r>
        <w:rPr>
          <w:rFonts w:ascii="Arial" w:cs="Arial" w:eastAsia="Arial" w:hAnsi="Arial"/>
          <w:sz w:val="17"/>
          <w:szCs w:val="17"/>
          <w:b w:val="1"/>
          <w:bCs w:val="1"/>
          <w:color w:val="auto"/>
        </w:rPr>
        <w:t>If to Borrower: Hu Tianlei</w:t>
      </w:r>
    </w:p>
    <w:p>
      <w:pPr>
        <w:sectPr>
          <w:pgSz w:w="11900" w:h="16850" w:orient="portrait"/>
          <w:cols w:equalWidth="0" w:num="1">
            <w:col w:w="11392"/>
          </w:cols>
          <w:pgMar w:left="248" w:top="125" w:right="259" w:bottom="0" w:gutter="0" w:footer="0" w:header="0"/>
          <w:type w:val="continuous"/>
        </w:sectPr>
      </w:pPr>
    </w:p>
    <w:p>
      <w:pPr>
        <w:spacing w:after="0" w:line="241" w:lineRule="exact"/>
        <w:rPr>
          <w:sz w:val="20"/>
          <w:szCs w:val="20"/>
          <w:color w:val="auto"/>
        </w:rPr>
      </w:pPr>
    </w:p>
    <w:p>
      <w:pPr>
        <w:jc w:val="center"/>
        <w:ind w:left="67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 38 Zheda Road, West Lake District, Hangzhou,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Zhejiang, PRC</w:t>
      </w:r>
    </w:p>
    <w:p>
      <w:pPr>
        <w:spacing w:after="0" w:line="200" w:lineRule="exact"/>
        <w:rPr>
          <w:sz w:val="20"/>
          <w:szCs w:val="20"/>
          <w:color w:val="auto"/>
        </w:rPr>
      </w:pPr>
    </w:p>
    <w:p>
      <w:pPr>
        <w:sectPr>
          <w:pgSz w:w="11900" w:h="16850" w:orient="portrait"/>
          <w:cols w:equalWidth="0" w:num="2">
            <w:col w:w="3592" w:space="720"/>
            <w:col w:w="7080"/>
          </w:cols>
          <w:pgMar w:left="248" w:top="125" w:right="259" w:bottom="0" w:gutter="0" w:footer="0" w:header="0"/>
          <w:type w:val="continuous"/>
        </w:sectPr>
      </w:pPr>
    </w:p>
    <w:p>
      <w:pPr>
        <w:spacing w:after="0" w:line="11" w:lineRule="exact"/>
        <w:rPr>
          <w:sz w:val="20"/>
          <w:szCs w:val="20"/>
          <w:color w:val="auto"/>
        </w:rPr>
      </w:pPr>
    </w:p>
    <w:p>
      <w:pPr>
        <w:ind w:left="181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0571-89852510</w:t>
      </w:r>
    </w:p>
    <w:p>
      <w:pPr>
        <w:spacing w:after="0" w:line="200" w:lineRule="exact"/>
        <w:rPr>
          <w:sz w:val="20"/>
          <w:szCs w:val="20"/>
          <w:color w:val="auto"/>
        </w:rPr>
      </w:pPr>
    </w:p>
    <w:p>
      <w:pPr>
        <w:sectPr>
          <w:pgSz w:w="11900" w:h="16850" w:orient="portrait"/>
          <w:cols w:equalWidth="0" w:num="2">
            <w:col w:w="3592" w:space="720"/>
            <w:col w:w="7080"/>
          </w:cols>
          <w:pgMar w:left="248" w:top="125" w:right="259" w:bottom="0" w:gutter="0" w:footer="0" w:header="0"/>
          <w:type w:val="continuous"/>
        </w:sectPr>
      </w:pPr>
    </w:p>
    <w:p>
      <w:pPr>
        <w:spacing w:after="0" w:line="48" w:lineRule="exact"/>
        <w:rPr>
          <w:sz w:val="20"/>
          <w:szCs w:val="20"/>
          <w:color w:val="auto"/>
        </w:rPr>
      </w:pPr>
    </w:p>
    <w:p>
      <w:pPr>
        <w:ind w:left="181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hutianlei@corp.netease.com</w:t>
      </w:r>
    </w:p>
    <w:p>
      <w:pPr>
        <w:spacing w:after="0" w:line="211" w:lineRule="exact"/>
        <w:rPr>
          <w:sz w:val="20"/>
          <w:szCs w:val="20"/>
          <w:color w:val="auto"/>
        </w:rPr>
      </w:pPr>
    </w:p>
    <w:p>
      <w:pPr>
        <w:sectPr>
          <w:pgSz w:w="11900" w:h="16850" w:orient="portrait"/>
          <w:cols w:equalWidth="0" w:num="2">
            <w:col w:w="3592" w:space="720"/>
            <w:col w:w="7080"/>
          </w:cols>
          <w:pgMar w:left="248" w:top="125" w:right="259" w:bottom="0" w:gutter="0" w:footer="0" w:header="0"/>
          <w:type w:val="continuous"/>
        </w:sectPr>
      </w:pPr>
    </w:p>
    <w:p>
      <w:pPr>
        <w:spacing w:after="0" w:line="33" w:lineRule="exact"/>
        <w:rPr>
          <w:sz w:val="20"/>
          <w:szCs w:val="20"/>
          <w:color w:val="auto"/>
        </w:rPr>
      </w:pPr>
    </w:p>
    <w:p>
      <w:pPr>
        <w:ind w:left="652" w:hanging="652"/>
        <w:spacing w:after="0"/>
        <w:tabs>
          <w:tab w:leader="none" w:pos="652"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52"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ectPr>
          <w:pgSz w:w="11900" w:h="16850" w:orient="portrait"/>
          <w:cols w:equalWidth="0" w:num="1">
            <w:col w:w="11392"/>
          </w:cols>
          <w:pgMar w:left="248" w:top="125" w:right="259" w:bottom="0" w:gutter="0" w:footer="0" w:header="0"/>
          <w:type w:val="continuous"/>
        </w:sectPr>
      </w:pPr>
    </w:p>
    <w:bookmarkStart w:id="177" w:name="page178"/>
    <w:bookmarkEnd w:id="177"/>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300" w:right="2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7.1.The formation, effect, interpretation, performance, amendment, termination and dispute resolution of this Agreement shall be governed by PRC law.</w:t>
      </w:r>
    </w:p>
    <w:p>
      <w:pPr>
        <w:spacing w:after="0" w:line="170" w:lineRule="exact"/>
        <w:rPr>
          <w:rFonts w:ascii="Arial" w:cs="Arial" w:eastAsia="Arial" w:hAnsi="Arial"/>
          <w:sz w:val="18"/>
          <w:szCs w:val="18"/>
          <w:b w:val="1"/>
          <w:bCs w:val="1"/>
          <w:color w:val="auto"/>
        </w:rPr>
      </w:pPr>
    </w:p>
    <w:p>
      <w:pPr>
        <w:ind w:left="1300" w:right="60" w:hanging="648"/>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6"/>
          <w:szCs w:val="16"/>
          <w:color w:val="auto"/>
        </w:rPr>
        <w:t>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the Lender.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68" w:lineRule="exact"/>
        <w:rPr>
          <w:rFonts w:ascii="Arial" w:cs="Arial" w:eastAsia="Arial" w:hAnsi="Arial"/>
          <w:sz w:val="18"/>
          <w:szCs w:val="18"/>
          <w:b w:val="1"/>
          <w:bCs w:val="1"/>
          <w:color w:val="auto"/>
        </w:rPr>
      </w:pPr>
    </w:p>
    <w:p>
      <w:pPr>
        <w:ind w:left="1300" w:right="56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7.3.</w:t>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300" w:right="7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8.1.This Agreement shall become effective on the date hereof, and shall expire upon the date of full performance by the Parties of their respective obligations under this Agreement.</w:t>
      </w:r>
    </w:p>
    <w:p>
      <w:pPr>
        <w:spacing w:after="0" w:line="170" w:lineRule="exact"/>
        <w:rPr>
          <w:rFonts w:ascii="Arial" w:cs="Arial" w:eastAsia="Arial" w:hAnsi="Arial"/>
          <w:sz w:val="18"/>
          <w:szCs w:val="18"/>
          <w:b w:val="1"/>
          <w:bCs w:val="1"/>
          <w:color w:val="auto"/>
        </w:rPr>
      </w:pPr>
    </w:p>
    <w:p>
      <w:pPr>
        <w:ind w:left="1300" w:right="28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8.2.</w:t>
      </w:r>
      <w:r>
        <w:rPr>
          <w:rFonts w:ascii="Arial" w:cs="Arial" w:eastAsia="Arial" w:hAnsi="Arial"/>
          <w:sz w:val="17"/>
          <w:szCs w:val="17"/>
          <w:color w:val="auto"/>
        </w:rPr>
        <w:t>This Agreement shall constitute the entire agreement of the Parties with respect to the subject matters hereof and shall supersede all prior oral and/or written agreements and understandings by the Parties with respect to the subject matters hereof.</w:t>
      </w:r>
    </w:p>
    <w:p>
      <w:pPr>
        <w:spacing w:after="0" w:line="14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8.3.</w:t>
      </w:r>
      <w:r>
        <w:rPr>
          <w:rFonts w:ascii="Arial" w:cs="Arial" w:eastAsia="Arial" w:hAnsi="Arial"/>
          <w:sz w:val="16"/>
          <w:szCs w:val="16"/>
          <w:color w:val="auto"/>
        </w:rPr>
        <w:t>This Agreement may not be amended or modified in any manner except by an instrument in writing signed by the Parties hereto.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647"/>
        <w:spacing w:after="0" w:line="302" w:lineRule="auto"/>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54" w:lineRule="exact"/>
        <w:rPr>
          <w:sz w:val="20"/>
          <w:szCs w:val="20"/>
          <w:color w:val="auto"/>
        </w:rPr>
      </w:pPr>
    </w:p>
    <w:p>
      <w:pPr>
        <w:ind w:left="1300" w:right="160" w:hanging="647"/>
        <w:spacing w:after="0" w:line="312" w:lineRule="auto"/>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w:t>
      </w:r>
    </w:p>
    <w:p>
      <w:pPr>
        <w:spacing w:after="0" w:line="147" w:lineRule="exact"/>
        <w:rPr>
          <w:sz w:val="20"/>
          <w:szCs w:val="20"/>
          <w:color w:val="auto"/>
        </w:rPr>
      </w:pPr>
    </w:p>
    <w:p>
      <w:pPr>
        <w:ind w:left="1300" w:right="140" w:hanging="647"/>
        <w:spacing w:after="0" w:line="255" w:lineRule="auto"/>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If required under any applicable law, regulations or listing rules or required or deemed desirable by any stock exchange, government or other regulatory authority having competent jurisdiction over the Parties and their affiliates (the “</w:t>
      </w:r>
      <w:r>
        <w:rPr>
          <w:rFonts w:ascii="Arial" w:cs="Arial" w:eastAsia="Arial" w:hAnsi="Arial"/>
          <w:sz w:val="18"/>
          <w:szCs w:val="18"/>
          <w:b w:val="1"/>
          <w:bCs w:val="1"/>
          <w:color w:val="auto"/>
        </w:rPr>
        <w:t>Applicable Requirements</w:t>
      </w:r>
      <w:r>
        <w:rPr>
          <w:rFonts w:ascii="Arial" w:cs="Arial" w:eastAsia="Arial" w:hAnsi="Arial"/>
          <w:sz w:val="18"/>
          <w:szCs w:val="18"/>
          <w:color w:val="auto"/>
        </w:rPr>
        <w:t>”), Borrower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Lender.</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tcPr>
          <w:p>
            <w:pPr>
              <w:ind w:left="3240"/>
              <w:spacing w:after="0"/>
              <w:rPr>
                <w:sz w:val="20"/>
                <w:szCs w:val="20"/>
                <w:color w:val="auto"/>
              </w:rPr>
            </w:pPr>
            <w:r>
              <w:rPr>
                <w:rFonts w:ascii="Arial" w:cs="Arial" w:eastAsia="Arial" w:hAnsi="Arial"/>
                <w:sz w:val="18"/>
                <w:szCs w:val="18"/>
                <w:b w:val="1"/>
                <w:bCs w:val="1"/>
                <w:color w:val="auto"/>
              </w:rPr>
              <w:t>Lender:</w:t>
            </w:r>
          </w:p>
        </w:tc>
        <w:tc>
          <w:tcPr>
            <w:tcW w:w="5700" w:type="dxa"/>
            <w:vAlign w:val="bottom"/>
          </w:tcPr>
          <w:p>
            <w:pPr>
              <w:spacing w:after="0"/>
              <w:rPr>
                <w:sz w:val="20"/>
                <w:szCs w:val="20"/>
                <w:color w:val="auto"/>
              </w:rPr>
            </w:pPr>
            <w:r>
              <w:rPr>
                <w:rFonts w:ascii="Arial" w:cs="Arial" w:eastAsia="Arial" w:hAnsi="Arial"/>
                <w:sz w:val="18"/>
                <w:szCs w:val="18"/>
                <w:b w:val="1"/>
                <w:bCs w:val="1"/>
                <w:color w:val="auto"/>
              </w:rPr>
              <w:t>NetEase (Hangzhou) Network Co., Ltd.</w:t>
            </w:r>
          </w:p>
        </w:tc>
        <w:tc>
          <w:tcPr>
            <w:tcW w:w="40" w:type="dxa"/>
            <w:vAlign w:val="bottom"/>
          </w:tcPr>
          <w:p>
            <w:pPr>
              <w:spacing w:after="0"/>
              <w:rPr>
                <w:sz w:val="19"/>
                <w:szCs w:val="19"/>
                <w:color w:val="auto"/>
              </w:rPr>
            </w:pP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(Seal)</w:t>
            </w:r>
          </w:p>
        </w:tc>
        <w:tc>
          <w:tcPr>
            <w:tcW w:w="40" w:type="dxa"/>
            <w:vAlign w:val="bottom"/>
          </w:tcPr>
          <w:p>
            <w:pPr>
              <w:spacing w:after="0"/>
              <w:rPr>
                <w:sz w:val="20"/>
                <w:szCs w:val="20"/>
                <w:color w:val="auto"/>
              </w:rPr>
            </w:pPr>
          </w:p>
        </w:tc>
      </w:tr>
      <w:tr>
        <w:trPr>
          <w:trHeight w:val="648"/>
        </w:trPr>
        <w:tc>
          <w:tcPr>
            <w:tcW w:w="5720" w:type="dxa"/>
            <w:vAlign w:val="bottom"/>
          </w:tcPr>
          <w:p>
            <w:pPr>
              <w:ind w:left="3240"/>
              <w:spacing w:after="0"/>
              <w:rPr>
                <w:sz w:val="20"/>
                <w:szCs w:val="20"/>
                <w:color w:val="auto"/>
              </w:rPr>
            </w:pPr>
            <w:r>
              <w:rPr>
                <w:rFonts w:ascii="Arial" w:cs="Arial" w:eastAsia="Arial" w:hAnsi="Arial"/>
                <w:sz w:val="18"/>
                <w:szCs w:val="18"/>
                <w:b w:val="1"/>
                <w:bCs w:val="1"/>
                <w:color w:val="auto"/>
              </w:rPr>
              <w:t>Borrower:</w:t>
            </w:r>
          </w:p>
        </w:tc>
        <w:tc>
          <w:tcPr>
            <w:tcW w:w="5700" w:type="dxa"/>
            <w:vAlign w:val="bottom"/>
          </w:tcPr>
          <w:p>
            <w:pPr>
              <w:spacing w:after="0"/>
              <w:rPr>
                <w:sz w:val="20"/>
                <w:szCs w:val="20"/>
                <w:color w:val="auto"/>
              </w:rPr>
            </w:pPr>
            <w:r>
              <w:rPr>
                <w:rFonts w:ascii="Arial" w:cs="Arial" w:eastAsia="Arial" w:hAnsi="Arial"/>
                <w:sz w:val="18"/>
                <w:szCs w:val="18"/>
                <w:b w:val="1"/>
                <w:bCs w:val="1"/>
                <w:color w:val="auto"/>
              </w:rPr>
              <w:t>Hu Tianlei</w:t>
            </w:r>
          </w:p>
        </w:tc>
        <w:tc>
          <w:tcPr>
            <w:tcW w:w="40" w:type="dxa"/>
            <w:vAlign w:val="bottom"/>
          </w:tcPr>
          <w:p>
            <w:pPr>
              <w:spacing w:after="0"/>
              <w:rPr>
                <w:sz w:val="24"/>
                <w:szCs w:val="24"/>
                <w:color w:val="auto"/>
              </w:rPr>
            </w:pPr>
          </w:p>
        </w:tc>
      </w:tr>
      <w:tr>
        <w:trPr>
          <w:trHeight w:val="432"/>
        </w:trPr>
        <w:tc>
          <w:tcPr>
            <w:tcW w:w="572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 Tianlei</w:t>
            </w:r>
          </w:p>
        </w:tc>
        <w:tc>
          <w:tcPr>
            <w:tcW w:w="40" w:type="dxa"/>
            <w:vAlign w:val="bottom"/>
          </w:tcPr>
          <w:p>
            <w:pPr>
              <w:spacing w:after="0"/>
              <w:rPr>
                <w:sz w:val="24"/>
                <w:szCs w:val="24"/>
                <w:color w:val="auto"/>
              </w:rPr>
            </w:pPr>
          </w:p>
        </w:tc>
      </w:tr>
      <w:tr>
        <w:trPr>
          <w:trHeight w:val="341"/>
        </w:trPr>
        <w:tc>
          <w:tcPr>
            <w:tcW w:w="57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208"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Appendix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Equity Pledge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Shareholder Voting Right Trust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Exclusive Purchase Option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Operating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A</w:t>
            </w:r>
          </w:p>
        </w:tc>
      </w:tr>
      <w:tr>
        <w:trPr>
          <w:trHeight w:val="453"/>
        </w:trPr>
        <w:tc>
          <w:tcPr>
            <w:tcW w:w="8240" w:type="dxa"/>
            <w:vAlign w:val="bottom"/>
          </w:tcPr>
          <w:p>
            <w:pPr>
              <w:ind w:left="3320"/>
              <w:spacing w:after="0"/>
              <w:rPr>
                <w:sz w:val="20"/>
                <w:szCs w:val="20"/>
                <w:color w:val="auto"/>
              </w:rPr>
            </w:pPr>
            <w:r>
              <w:rPr>
                <w:rFonts w:ascii="Arial" w:cs="Arial" w:eastAsia="Arial" w:hAnsi="Arial"/>
                <w:sz w:val="18"/>
                <w:szCs w:val="18"/>
                <w:b w:val="1"/>
                <w:bCs w:val="1"/>
                <w:color w:val="auto"/>
              </w:rPr>
              <w:t>SUPPLEMENTAL AGREEMENT TO LOAN AGREEMENT</w:t>
            </w:r>
          </w:p>
        </w:tc>
        <w:tc>
          <w:tcPr>
            <w:tcW w:w="2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4"/>
        </w:trPr>
        <w:tc>
          <w:tcPr>
            <w:tcW w:w="10680" w:type="dxa"/>
            <w:vAlign w:val="bottom"/>
            <w:gridSpan w:val="2"/>
          </w:tcPr>
          <w:p>
            <w:pPr>
              <w:spacing w:after="0"/>
              <w:rPr>
                <w:sz w:val="20"/>
                <w:szCs w:val="20"/>
                <w:color w:val="auto"/>
              </w:rPr>
            </w:pPr>
            <w:r>
              <w:rPr>
                <w:rFonts w:ascii="Arial" w:cs="Arial" w:eastAsia="Arial" w:hAnsi="Arial"/>
                <w:sz w:val="18"/>
                <w:szCs w:val="18"/>
                <w:color w:val="auto"/>
                <w:w w:val="98"/>
              </w:rPr>
              <w:t xml:space="preserve">This </w:t>
            </w:r>
            <w:r>
              <w:rPr>
                <w:rFonts w:ascii="Arial" w:cs="Arial" w:eastAsia="Arial" w:hAnsi="Arial"/>
                <w:sz w:val="18"/>
                <w:szCs w:val="18"/>
                <w:b w:val="1"/>
                <w:bCs w:val="1"/>
                <w:color w:val="auto"/>
                <w:w w:val="98"/>
              </w:rPr>
              <w:t>SUPPLEMENTAL AGREEMENT</w:t>
            </w:r>
            <w:r>
              <w:rPr>
                <w:rFonts w:ascii="Arial" w:cs="Arial" w:eastAsia="Arial" w:hAnsi="Arial"/>
                <w:sz w:val="18"/>
                <w:szCs w:val="18"/>
                <w:color w:val="auto"/>
                <w:w w:val="98"/>
              </w:rPr>
              <w:t xml:space="preserve"> (this “</w:t>
            </w:r>
            <w:r>
              <w:rPr>
                <w:rFonts w:ascii="Arial" w:cs="Arial" w:eastAsia="Arial" w:hAnsi="Arial"/>
                <w:sz w:val="18"/>
                <w:szCs w:val="18"/>
                <w:b w:val="1"/>
                <w:bCs w:val="1"/>
                <w:color w:val="auto"/>
                <w:w w:val="98"/>
              </w:rPr>
              <w:t>Supplemental Agreement</w:t>
            </w:r>
            <w:r>
              <w:rPr>
                <w:rFonts w:ascii="Arial" w:cs="Arial" w:eastAsia="Arial" w:hAnsi="Arial"/>
                <w:sz w:val="18"/>
                <w:szCs w:val="18"/>
                <w:color w:val="auto"/>
                <w:w w:val="98"/>
              </w:rPr>
              <w:t>”) to that certain Amended and Restated Loan Agreement dated</w:t>
            </w:r>
          </w:p>
        </w:tc>
        <w:tc>
          <w:tcPr>
            <w:tcW w:w="740" w:type="dxa"/>
            <w:vAlign w:val="bottom"/>
          </w:tcPr>
          <w:p>
            <w:pPr>
              <w:ind w:left="360"/>
              <w:spacing w:after="0"/>
              <w:rPr>
                <w:sz w:val="20"/>
                <w:szCs w:val="20"/>
                <w:color w:val="auto"/>
              </w:rPr>
            </w:pPr>
            <w:r>
              <w:rPr>
                <w:rFonts w:ascii="Arial" w:cs="Arial" w:eastAsia="Arial" w:hAnsi="Arial"/>
                <w:sz w:val="18"/>
                <w:szCs w:val="18"/>
                <w:color w:val="auto"/>
              </w:rPr>
              <w:t>(as</w:t>
            </w:r>
          </w:p>
        </w:tc>
      </w:tr>
      <w:tr>
        <w:trPr>
          <w:trHeight w:val="234"/>
        </w:trPr>
        <w:tc>
          <w:tcPr>
            <w:tcW w:w="8240" w:type="dxa"/>
            <w:vAlign w:val="bottom"/>
          </w:tcPr>
          <w:p>
            <w:pPr>
              <w:spacing w:after="0"/>
              <w:rPr>
                <w:sz w:val="20"/>
                <w:szCs w:val="20"/>
                <w:color w:val="auto"/>
              </w:rPr>
            </w:pPr>
            <w:r>
              <w:rPr>
                <w:rFonts w:ascii="Arial" w:cs="Arial" w:eastAsia="Arial" w:hAnsi="Arial"/>
                <w:sz w:val="18"/>
                <w:szCs w:val="18"/>
                <w:color w:val="auto"/>
                <w:w w:val="99"/>
              </w:rPr>
              <w:t>the same may be amended and supplemented from time to time, the “</w:t>
            </w:r>
            <w:r>
              <w:rPr>
                <w:rFonts w:ascii="Arial" w:cs="Arial" w:eastAsia="Arial" w:hAnsi="Arial"/>
                <w:sz w:val="18"/>
                <w:szCs w:val="18"/>
                <w:b w:val="1"/>
                <w:bCs w:val="1"/>
                <w:color w:val="auto"/>
                <w:w w:val="99"/>
              </w:rPr>
              <w:t>Agreement</w:t>
            </w:r>
            <w:r>
              <w:rPr>
                <w:rFonts w:ascii="Arial" w:cs="Arial" w:eastAsia="Arial" w:hAnsi="Arial"/>
                <w:sz w:val="18"/>
                <w:szCs w:val="18"/>
                <w:color w:val="auto"/>
                <w:w w:val="99"/>
              </w:rPr>
              <w:t>”) is entered into as of</w:t>
            </w:r>
          </w:p>
        </w:tc>
        <w:tc>
          <w:tcPr>
            <w:tcW w:w="3180" w:type="dxa"/>
            <w:vAlign w:val="bottom"/>
            <w:gridSpan w:val="2"/>
          </w:tcPr>
          <w:p>
            <w:pPr>
              <w:ind w:left="140"/>
              <w:spacing w:after="0"/>
              <w:rPr>
                <w:sz w:val="20"/>
                <w:szCs w:val="20"/>
                <w:color w:val="auto"/>
              </w:rPr>
            </w:pPr>
            <w:r>
              <w:rPr>
                <w:rFonts w:ascii="Arial" w:cs="Arial" w:eastAsia="Arial" w:hAnsi="Arial"/>
                <w:sz w:val="18"/>
                <w:szCs w:val="18"/>
                <w:color w:val="auto"/>
              </w:rPr>
              <w:t>by and between NetEase (Hangzhou)</w:t>
            </w:r>
          </w:p>
        </w:tc>
      </w:tr>
    </w:tbl>
    <w:p>
      <w:pPr>
        <w:spacing w:after="0"/>
        <w:rPr>
          <w:sz w:val="20"/>
          <w:szCs w:val="20"/>
          <w:color w:val="auto"/>
        </w:rPr>
      </w:pPr>
      <w:r>
        <w:rPr>
          <w:rFonts w:ascii="Arial" w:cs="Arial" w:eastAsia="Arial" w:hAnsi="Arial"/>
          <w:sz w:val="18"/>
          <w:szCs w:val="18"/>
          <w:color w:val="auto"/>
        </w:rPr>
        <w:t>Network Co., Ltd. (“</w:t>
      </w:r>
      <w:r>
        <w:rPr>
          <w:rFonts w:ascii="Arial" w:cs="Arial" w:eastAsia="Arial" w:hAnsi="Arial"/>
          <w:sz w:val="18"/>
          <w:szCs w:val="18"/>
          <w:b w:val="1"/>
          <w:bCs w:val="1"/>
          <w:color w:val="auto"/>
        </w:rPr>
        <w:t>Lender</w:t>
      </w:r>
      <w:r>
        <w:rPr>
          <w:rFonts w:ascii="Arial" w:cs="Arial" w:eastAsia="Arial" w:hAnsi="Arial"/>
          <w:sz w:val="18"/>
          <w:szCs w:val="18"/>
          <w:color w:val="auto"/>
        </w:rPr>
        <w:t>”), a wholly foreign-owned enterprise incorporated in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and Hu Tianlei</w:t>
      </w:r>
    </w:p>
    <w:p>
      <w:pPr>
        <w:spacing w:after="0" w:line="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a citizen of the PRC and owner of 50% of the equity interests of Hangzhou NetEase Leihuo Network Co., Ltd. (the “</w:t>
      </w:r>
      <w:r>
        <w:rPr>
          <w:rFonts w:ascii="Arial" w:cs="Arial" w:eastAsia="Arial" w:hAnsi="Arial"/>
          <w:sz w:val="18"/>
          <w:szCs w:val="18"/>
          <w:b w:val="1"/>
          <w:bCs w:val="1"/>
          <w:color w:val="auto"/>
        </w:rPr>
        <w:t>Domestic Company</w:t>
      </w:r>
      <w:r>
        <w:rPr>
          <w:rFonts w:ascii="Arial" w:cs="Arial" w:eastAsia="Arial" w:hAnsi="Arial"/>
          <w:sz w:val="18"/>
          <w:szCs w:val="18"/>
          <w:color w:val="auto"/>
        </w:rPr>
        <w:t>”). Lender and Borrower are hereinafter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Party</w:t>
      </w:r>
      <w:r>
        <w:rPr>
          <w:rFonts w:ascii="Arial" w:cs="Arial" w:eastAsia="Arial" w:hAnsi="Arial"/>
          <w:sz w:val="18"/>
          <w:szCs w:val="18"/>
          <w:color w:val="auto"/>
        </w:rPr>
        <w:t>.” Capitalized terms used herein and not otherwise defined shall have the respective meanings assigned to them in the Agreement.</w:t>
      </w:r>
    </w:p>
    <w:p>
      <w:pPr>
        <w:spacing w:after="0" w:line="18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supplement the Agreement in connection with the extension of a new loan from Lender to Borrower in connection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Company’s registered capital], as herein provided.</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contained herein and subject to the terms and conditions herein set forth, the Parties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Agreement is hereby amended and supplemented as follows:</w:t>
      </w:r>
    </w:p>
    <w:p>
      <w:pPr>
        <w:spacing w:after="0" w:line="162" w:lineRule="exact"/>
        <w:rPr>
          <w:sz w:val="20"/>
          <w:szCs w:val="20"/>
          <w:color w:val="auto"/>
        </w:rPr>
      </w:pPr>
    </w:p>
    <w:p>
      <w:pPr>
        <w:spacing w:after="0"/>
        <w:tabs>
          <w:tab w:leader="none" w:pos="640" w:val="left"/>
          <w:tab w:leader="none" w:pos="88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Lender agrees to provide an additional loan to Borrower with an aggregate principal amount of RMB</w:t>
      </w:r>
      <w:r>
        <w:rPr>
          <w:sz w:val="20"/>
          <w:szCs w:val="20"/>
          <w:color w:val="auto"/>
        </w:rPr>
        <w:tab/>
      </w:r>
      <w:r>
        <w:rPr>
          <w:rFonts w:ascii="Arial" w:cs="Arial" w:eastAsia="Arial" w:hAnsi="Arial"/>
          <w:sz w:val="17"/>
          <w:szCs w:val="17"/>
          <w:color w:val="auto"/>
        </w:rPr>
        <w:t>(the “</w:t>
      </w:r>
      <w:r>
        <w:rPr>
          <w:rFonts w:ascii="Arial" w:cs="Arial" w:eastAsia="Arial" w:hAnsi="Arial"/>
          <w:sz w:val="17"/>
          <w:szCs w:val="17"/>
          <w:b w:val="1"/>
          <w:bCs w:val="1"/>
          <w:color w:val="auto"/>
        </w:rPr>
        <w:t>Additional Loan</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229" w:lineRule="exact"/>
        <w:rPr>
          <w:sz w:val="20"/>
          <w:szCs w:val="20"/>
          <w:color w:val="auto"/>
        </w:rPr>
      </w:pPr>
    </w:p>
    <w:p>
      <w:pPr>
        <w:ind w:left="660" w:right="340" w:hanging="652"/>
        <w:spacing w:after="0" w:line="277" w:lineRule="auto"/>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Borrower confirms that he has received the total amount of the Additional Loan and [has invested it into the Domestic Company as an additional capital contribution].</w:t>
      </w:r>
    </w:p>
    <w:p>
      <w:pPr>
        <w:spacing w:after="0" w:line="170" w:lineRule="exact"/>
        <w:rPr>
          <w:rFonts w:ascii="Arial" w:cs="Arial" w:eastAsia="Arial" w:hAnsi="Arial"/>
          <w:sz w:val="18"/>
          <w:szCs w:val="18"/>
          <w:color w:val="auto"/>
        </w:rPr>
      </w:pPr>
    </w:p>
    <w:p>
      <w:pPr>
        <w:ind w:left="660" w:right="180" w:hanging="652"/>
        <w:spacing w:after="0" w:line="264" w:lineRule="auto"/>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definition of, and any reference to, “Loan” in the Agreement shall be deemed to include the Additional Loan, and the Additional Loan shall be subject to the same terms and conditions of the Loan as provided in the Agreement. For the avoidance of doubt, the term of the Additional Loan shall be the same as the term of the Loan as specified in the Agreement.</w:t>
      </w:r>
    </w:p>
    <w:p>
      <w:pPr>
        <w:spacing w:after="0" w:line="181" w:lineRule="exact"/>
        <w:rPr>
          <w:rFonts w:ascii="Arial" w:cs="Arial" w:eastAsia="Arial" w:hAnsi="Arial"/>
          <w:sz w:val="18"/>
          <w:szCs w:val="18"/>
          <w:color w:val="auto"/>
        </w:rPr>
      </w:pPr>
    </w:p>
    <w:p>
      <w:pPr>
        <w:ind w:left="660" w:right="580" w:hanging="652"/>
        <w:spacing w:after="0" w:line="342" w:lineRule="auto"/>
        <w:tabs>
          <w:tab w:leader="none" w:pos="6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Each Party hereto represents and warrants to the other Party hereto that this Supplemental Agreement has been duly authorized, executed and delivered by it/he and constitutes a valid and legally binding agreement with respect to the subject matter contained herein.</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Articles 6, 7 and 8 of the Agreement are hereby incorporated into this Supplemental Agreement by this reference.</w:t>
      </w:r>
    </w:p>
    <w:p>
      <w:pPr>
        <w:spacing w:after="0" w:line="225"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This Supplemental Agreement contains the entire agreement between the Parties with respect to the subject matter of this Supplemental Agreement and supersedes and extinguishes all prior agreement and understandings, oral or written, with respect to such matter.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left="660" w:hanging="652"/>
        <w:spacing w:after="0"/>
        <w:tabs>
          <w:tab w:leader="none" w:pos="6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As amended and supplemented hereby, the terms and conditions and all the provisions of the Agreement are and will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-495300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79" w:name="page180"/>
    <w:bookmarkEnd w:id="179"/>
    <w:p>
      <w:pPr>
        <w:ind w:left="660" w:right="440" w:hanging="652"/>
        <w:spacing w:after="0" w:line="277" w:lineRule="auto"/>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This Supplemental Agreement may be executed in one or more counterparts, each of which shall be deemed to be an original instrument by the Parties executing such counterpart, but all of which shall be considered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Supplemental Agreement has been signed by the Parties hereto as of the date first written above.</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Lender: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NetEase (Hangzhou) Network Co.,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(seal)</w:t>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type w:val="continuous"/>
        </w:sect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3240"/>
        <w:spacing w:after="0"/>
        <w:tabs>
          <w:tab w:leader="none" w:pos="570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8"/>
          <w:szCs w:val="18"/>
          <w:b w:val="1"/>
          <w:bCs w:val="1"/>
          <w:color w:val="auto"/>
        </w:rPr>
        <w:t>Hu Tianlei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292100</wp:posOffset>
            </wp:positionV>
            <wp:extent cx="36188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B</w:t>
            </w:r>
          </w:p>
        </w:tc>
      </w:tr>
      <w:tr>
        <w:trPr>
          <w:trHeight w:val="453"/>
        </w:trPr>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40" w:type="dxa"/>
            <w:vAlign w:val="bottom"/>
            <w:gridSpan w:val="2"/>
          </w:tcPr>
          <w:p>
            <w:pPr>
              <w:ind w:left="1680"/>
              <w:spacing w:after="0"/>
              <w:rPr>
                <w:sz w:val="20"/>
                <w:szCs w:val="20"/>
                <w:color w:val="auto"/>
              </w:rPr>
            </w:pPr>
            <w:r>
              <w:rPr>
                <w:rFonts w:ascii="Arial" w:cs="Arial" w:eastAsia="Arial" w:hAnsi="Arial"/>
                <w:sz w:val="18"/>
                <w:szCs w:val="18"/>
                <w:b w:val="1"/>
                <w:bCs w:val="1"/>
                <w:color w:val="auto"/>
              </w:rPr>
              <w:t>SPOUSAL CONSENT LETTER</w:t>
            </w:r>
          </w:p>
        </w:tc>
      </w:tr>
      <w:tr>
        <w:trPr>
          <w:trHeight w:val="218"/>
        </w:trPr>
        <w:tc>
          <w:tcPr>
            <w:tcW w:w="680" w:type="dxa"/>
            <w:vAlign w:val="bottom"/>
          </w:tcPr>
          <w:p>
            <w:pPr>
              <w:spacing w:after="0"/>
              <w:rPr>
                <w:sz w:val="20"/>
                <w:szCs w:val="20"/>
                <w:color w:val="auto"/>
              </w:rPr>
            </w:pPr>
            <w:r>
              <w:rPr>
                <w:rFonts w:ascii="Arial" w:cs="Arial" w:eastAsia="Arial" w:hAnsi="Arial"/>
                <w:sz w:val="18"/>
                <w:szCs w:val="18"/>
                <w:color w:val="auto"/>
              </w:rPr>
              <w:t>I,</w:t>
            </w:r>
          </w:p>
        </w:tc>
        <w:tc>
          <w:tcPr>
            <w:tcW w:w="2100" w:type="dxa"/>
            <w:vAlign w:val="bottom"/>
          </w:tcPr>
          <w:p>
            <w:pPr>
              <w:ind w:left="560"/>
              <w:spacing w:after="0"/>
              <w:rPr>
                <w:sz w:val="20"/>
                <w:szCs w:val="20"/>
                <w:color w:val="auto"/>
              </w:rPr>
            </w:pPr>
            <w:r>
              <w:rPr>
                <w:rFonts w:ascii="Arial" w:cs="Arial" w:eastAsia="Arial" w:hAnsi="Arial"/>
                <w:sz w:val="18"/>
                <w:szCs w:val="18"/>
                <w:color w:val="auto"/>
              </w:rPr>
              <w:t>(ID Card No.:</w:t>
            </w:r>
          </w:p>
        </w:tc>
        <w:tc>
          <w:tcPr>
            <w:tcW w:w="8640" w:type="dxa"/>
            <w:vAlign w:val="bottom"/>
            <w:gridSpan w:val="2"/>
          </w:tcPr>
          <w:p>
            <w:pPr>
              <w:ind w:left="540"/>
              <w:spacing w:after="0"/>
              <w:rPr>
                <w:sz w:val="20"/>
                <w:szCs w:val="20"/>
                <w:color w:val="auto"/>
              </w:rPr>
            </w:pPr>
            <w:r>
              <w:rPr>
                <w:rFonts w:ascii="Arial" w:cs="Arial" w:eastAsia="Arial" w:hAnsi="Arial"/>
                <w:sz w:val="18"/>
                <w:szCs w:val="18"/>
                <w:color w:val="auto"/>
                <w:w w:val="93"/>
              </w:rPr>
              <w:t>), am the lawful spouse of Hu Tianlei (ID Card No.: 330206198210210412). I hereby unconditionally consent</w:t>
            </w:r>
          </w:p>
        </w:tc>
      </w:tr>
    </w:tbl>
    <w:p>
      <w:pPr>
        <w:spacing w:after="0" w:line="20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and agree that the disposition of the equity interest in Hangzhou NetEase Leihuo Network Co., Ltd. which is held by and registered under the name of my spouse will be made pursuant to the arrangements under the Loan Agreement dated , the Equity Pledge Agreement dated , the Exclusive Purchase Option Agreement dated , the Shareholder Voting Right Trust Agreement dated , the Operating Agreement dated ,</w:t>
      </w:r>
    </w:p>
    <w:p>
      <w:pPr>
        <w:ind w:right="220"/>
        <w:spacing w:after="0" w:line="261" w:lineRule="auto"/>
        <w:rPr>
          <w:sz w:val="20"/>
          <w:szCs w:val="20"/>
          <w:color w:val="auto"/>
        </w:rPr>
      </w:pPr>
      <w:r>
        <w:rPr>
          <w:rFonts w:ascii="Arial" w:cs="Arial" w:eastAsia="Arial" w:hAnsi="Arial"/>
          <w:sz w:val="18"/>
          <w:szCs w:val="18"/>
          <w:color w:val="auto"/>
        </w:rPr>
        <w:t>all of which were executed by my spouse as a party, and any other supplemental or related agreement(s) or amendments thereof that may be entered into by my spouse from time to time.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 further undertake not to take any action with the intent to interfere with the above mentioned arrangements, including making any claim that such equity interest constitutes the property or community property between my spouse and me. I hereby waive unconditionally and irrevocably any and all rights or entitlements whatsoever to such equity interest that may be granted to me according to any applicable laws. I further acknowledge that I have had the opportunity to receive independent legal advice with respect to the matters set forth in this spousal consent letter and the legal consequences thereof and that I am signing this spousal consent letter of my own free will.</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 understand and agree that this spousal consent letter shall be governed by, and construed and enforced in accordance with, the laws of the People’s Republic of China. I agree to execute and deliver such other documents as may be necessary to carry out the intent of this spousal consent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362775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4.46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LOAN AGREEMENT</w:t>
      </w:r>
    </w:p>
    <w:p>
      <w:pPr>
        <w:spacing w:after="0" w:line="225"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color w:val="auto"/>
        </w:rPr>
        <w:t>This Amended and Restated Loan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December 1, 2015, to amend and restate in its entirety the Loan Agreement entered into by and among the following parties (or their predecessors in interest) on March 23, 2009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76" w:lineRule="exact"/>
        <w:rPr>
          <w:sz w:val="20"/>
          <w:szCs w:val="20"/>
          <w:color w:val="auto"/>
        </w:rPr>
      </w:pPr>
    </w:p>
    <w:p>
      <w:pPr>
        <w:ind w:left="1300" w:right="40" w:hanging="644"/>
        <w:spacing w:after="0" w:line="347" w:lineRule="auto"/>
        <w:tabs>
          <w:tab w:leader="none" w:pos="1307" w:val="left"/>
        </w:tabs>
        <w:numPr>
          <w:ilvl w:val="0"/>
          <w:numId w:val="322"/>
        </w:numPr>
        <w:rPr>
          <w:rFonts w:ascii="Arial" w:cs="Arial" w:eastAsia="Arial" w:hAnsi="Arial"/>
          <w:sz w:val="16"/>
          <w:szCs w:val="16"/>
          <w:color w:val="auto"/>
        </w:rPr>
      </w:pPr>
      <w:r>
        <w:rPr>
          <w:rFonts w:ascii="Arial" w:cs="Arial" w:eastAsia="Arial" w:hAnsi="Arial"/>
          <w:sz w:val="16"/>
          <w:szCs w:val="16"/>
          <w:b w:val="1"/>
          <w:bCs w:val="1"/>
          <w:color w:val="auto"/>
        </w:rPr>
        <w:t xml:space="preserve">NetEase (Hangzhou) Network Co., Ltd. </w:t>
      </w: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a wholly foreign owned enterprise registered in Hangzhou, People’s Republic of</w:t>
      </w:r>
      <w:r>
        <w:rPr>
          <w:rFonts w:ascii="Arial" w:cs="Arial" w:eastAsia="Arial" w:hAnsi="Arial"/>
          <w:sz w:val="16"/>
          <w:szCs w:val="16"/>
          <w:b w:val="1"/>
          <w:bCs w:val="1"/>
          <w:color w:val="auto"/>
        </w:rPr>
        <w:t xml:space="preserve"> </w:t>
      </w:r>
      <w:r>
        <w:rPr>
          <w:rFonts w:ascii="Arial" w:cs="Arial" w:eastAsia="Arial" w:hAnsi="Arial"/>
          <w:sz w:val="16"/>
          <w:szCs w:val="16"/>
          <w:color w:val="auto"/>
        </w:rPr>
        <w:t>China (“</w:t>
      </w:r>
      <w:r>
        <w:rPr>
          <w:rFonts w:ascii="Arial" w:cs="Arial" w:eastAsia="Arial" w:hAnsi="Arial"/>
          <w:sz w:val="16"/>
          <w:szCs w:val="16"/>
          <w:b w:val="1"/>
          <w:bCs w:val="1"/>
          <w:color w:val="auto"/>
        </w:rPr>
        <w:t>PRC</w:t>
      </w:r>
      <w:r>
        <w:rPr>
          <w:rFonts w:ascii="Arial" w:cs="Arial" w:eastAsia="Arial" w:hAnsi="Arial"/>
          <w:sz w:val="16"/>
          <w:szCs w:val="16"/>
          <w:color w:val="auto"/>
        </w:rPr>
        <w:t>”) with its registration address at 7/F, Building 4, No. 599 Wangshang Road, Binjiang District, Hangzhou, Zhejiang, PRC; and</w:t>
      </w:r>
    </w:p>
    <w:p>
      <w:pPr>
        <w:spacing w:after="0" w:line="116" w:lineRule="exact"/>
        <w:rPr>
          <w:rFonts w:ascii="Arial" w:cs="Arial" w:eastAsia="Arial" w:hAnsi="Arial"/>
          <w:sz w:val="16"/>
          <w:szCs w:val="16"/>
          <w:color w:val="auto"/>
        </w:rPr>
      </w:pPr>
    </w:p>
    <w:p>
      <w:pPr>
        <w:ind w:left="1300" w:right="380" w:hanging="644"/>
        <w:spacing w:after="0" w:line="282" w:lineRule="auto"/>
        <w:tabs>
          <w:tab w:leader="none" w:pos="1307" w:val="left"/>
        </w:tabs>
        <w:numPr>
          <w:ilvl w:val="0"/>
          <w:numId w:val="322"/>
        </w:numPr>
        <w:rPr>
          <w:rFonts w:ascii="Arial" w:cs="Arial" w:eastAsia="Arial" w:hAnsi="Arial"/>
          <w:sz w:val="18"/>
          <w:szCs w:val="18"/>
          <w:color w:val="auto"/>
        </w:rPr>
      </w:pPr>
      <w:r>
        <w:rPr>
          <w:rFonts w:ascii="Arial" w:cs="Arial" w:eastAsia="Arial" w:hAnsi="Arial"/>
          <w:sz w:val="18"/>
          <w:szCs w:val="18"/>
          <w:b w:val="1"/>
          <w:bCs w:val="1"/>
          <w:color w:val="auto"/>
        </w:rPr>
        <w:t xml:space="preserve">Hu Zhipeng </w:t>
      </w:r>
      <w:r>
        <w:rPr>
          <w:rFonts w:ascii="Arial" w:cs="Arial" w:eastAsia="Arial" w:hAnsi="Arial"/>
          <w:sz w:val="18"/>
          <w:szCs w:val="18"/>
          <w:color w:val="auto"/>
        </w:rPr>
        <w:t>(ID Number: 330106197812210436, “</w:t>
      </w:r>
      <w:r>
        <w:rPr>
          <w:rFonts w:ascii="Arial" w:cs="Arial" w:eastAsia="Arial" w:hAnsi="Arial"/>
          <w:sz w:val="18"/>
          <w:szCs w:val="18"/>
          <w:b w:val="1"/>
          <w:bCs w:val="1"/>
          <w:color w:val="auto"/>
        </w:rPr>
        <w:t>Borrower</w:t>
      </w:r>
      <w:r>
        <w:rPr>
          <w:rFonts w:ascii="Arial" w:cs="Arial" w:eastAsia="Arial" w:hAnsi="Arial"/>
          <w:sz w:val="18"/>
          <w:szCs w:val="18"/>
          <w:color w:val="auto"/>
        </w:rPr>
        <w:t>”), a PRC citizen with his address at No. 14 South Street, Chaoyangmen,</w:t>
      </w:r>
      <w:r>
        <w:rPr>
          <w:rFonts w:ascii="Arial" w:cs="Arial" w:eastAsia="Arial" w:hAnsi="Arial"/>
          <w:sz w:val="18"/>
          <w:szCs w:val="18"/>
          <w:b w:val="1"/>
          <w:bCs w:val="1"/>
          <w:color w:val="auto"/>
        </w:rPr>
        <w:t xml:space="preserve"> </w:t>
      </w:r>
      <w:r>
        <w:rPr>
          <w:rFonts w:ascii="Arial" w:cs="Arial" w:eastAsia="Arial" w:hAnsi="Arial"/>
          <w:sz w:val="18"/>
          <w:szCs w:val="18"/>
          <w:color w:val="auto"/>
        </w:rPr>
        <w:t>FESCO, Beijing, PRC.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Lender and Borrower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5" w:lineRule="exact"/>
        <w:rPr>
          <w:sz w:val="20"/>
          <w:szCs w:val="20"/>
          <w:color w:val="auto"/>
        </w:rPr>
      </w:pPr>
    </w:p>
    <w:p>
      <w:pPr>
        <w:ind w:left="1300" w:right="260" w:hanging="644"/>
        <w:spacing w:after="0" w:line="281" w:lineRule="auto"/>
        <w:tabs>
          <w:tab w:leader="none" w:pos="132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Borrower has made an investment of RMB5,000,000 Yuan (the “</w:t>
      </w:r>
      <w:r>
        <w:rPr>
          <w:rFonts w:ascii="Arial" w:cs="Arial" w:eastAsia="Arial" w:hAnsi="Arial"/>
          <w:sz w:val="17"/>
          <w:szCs w:val="17"/>
          <w:b w:val="1"/>
          <w:bCs w:val="1"/>
          <w:color w:val="auto"/>
        </w:rPr>
        <w:t>Capital Contribution Amount”</w:t>
      </w:r>
      <w:r>
        <w:rPr>
          <w:rFonts w:ascii="Arial" w:cs="Arial" w:eastAsia="Arial" w:hAnsi="Arial"/>
          <w:sz w:val="17"/>
          <w:szCs w:val="17"/>
          <w:color w:val="auto"/>
        </w:rPr>
        <w:t>) in the registered capital of Hangzhou NetEase Leihuo Network Co., Ltd., a limited liability company registered in Hangzhou, PRC with its registration address at Room 702, Building 4, No. 599 Wangshang Road, Binjiang District, Hangzhou, Zhejiang, PRC (the “</w:t>
      </w:r>
      <w:r>
        <w:rPr>
          <w:rFonts w:ascii="Arial" w:cs="Arial" w:eastAsia="Arial" w:hAnsi="Arial"/>
          <w:sz w:val="17"/>
          <w:szCs w:val="17"/>
          <w:b w:val="1"/>
          <w:bCs w:val="1"/>
          <w:color w:val="auto"/>
        </w:rPr>
        <w:t>Domestic Company</w:t>
      </w:r>
      <w:r>
        <w:rPr>
          <w:rFonts w:ascii="Arial" w:cs="Arial" w:eastAsia="Arial" w:hAnsi="Arial"/>
          <w:sz w:val="17"/>
          <w:szCs w:val="17"/>
          <w:color w:val="auto"/>
        </w:rPr>
        <w:t>”), in return for which Borrower acquired 50% (the “</w:t>
      </w:r>
      <w:r>
        <w:rPr>
          <w:rFonts w:ascii="Arial" w:cs="Arial" w:eastAsia="Arial" w:hAnsi="Arial"/>
          <w:sz w:val="17"/>
          <w:szCs w:val="17"/>
          <w:b w:val="1"/>
          <w:bCs w:val="1"/>
          <w:color w:val="auto"/>
        </w:rPr>
        <w:t>Target Equity</w:t>
      </w:r>
      <w:r>
        <w:rPr>
          <w:rFonts w:ascii="Arial" w:cs="Arial" w:eastAsia="Arial" w:hAnsi="Arial"/>
          <w:sz w:val="17"/>
          <w:szCs w:val="17"/>
          <w:color w:val="auto"/>
        </w:rPr>
        <w:t>”) of the equity interest in the Domestic Company.</w:t>
      </w:r>
    </w:p>
    <w:p>
      <w:pPr>
        <w:spacing w:after="0" w:line="168" w:lineRule="exact"/>
        <w:rPr>
          <w:rFonts w:ascii="Arial" w:cs="Arial" w:eastAsia="Arial" w:hAnsi="Arial"/>
          <w:sz w:val="17"/>
          <w:szCs w:val="17"/>
          <w:color w:val="auto"/>
        </w:rPr>
      </w:pPr>
    </w:p>
    <w:p>
      <w:pPr>
        <w:ind w:left="1300" w:right="540" w:hanging="644"/>
        <w:spacing w:after="0" w:line="342" w:lineRule="auto"/>
        <w:tabs>
          <w:tab w:leader="none" w:pos="131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Lender agreed to provide to Borrower a loan in an amount equal to the Capital Contribution Amount in accordance with the Original Agreement in order for Borrower to have sufficient funds to make such capital contribution in return for the Target Equity.</w:t>
      </w:r>
    </w:p>
    <w:p>
      <w:pPr>
        <w:spacing w:after="0" w:line="123" w:lineRule="exact"/>
        <w:rPr>
          <w:rFonts w:ascii="Arial" w:cs="Arial" w:eastAsia="Arial" w:hAnsi="Arial"/>
          <w:sz w:val="16"/>
          <w:szCs w:val="16"/>
          <w:color w:val="auto"/>
        </w:rPr>
      </w:pPr>
    </w:p>
    <w:p>
      <w:pPr>
        <w:ind w:left="1300" w:right="60" w:hanging="644"/>
        <w:spacing w:after="0" w:line="277" w:lineRule="auto"/>
        <w:tabs>
          <w:tab w:leader="none" w:pos="131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Parties desire to enter into this Agreement, which amends and restates in its entirety the Original Agreement, to clarify and confirm the rights and obligations of Lender and Borrower.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w:t>
      </w:r>
    </w:p>
    <w:p>
      <w:pPr>
        <w:spacing w:after="0" w:line="229" w:lineRule="exact"/>
        <w:rPr>
          <w:rFonts w:ascii="Arial" w:cs="Arial" w:eastAsia="Arial" w:hAnsi="Arial"/>
          <w:sz w:val="18"/>
          <w:szCs w:val="18"/>
          <w:b w:val="1"/>
          <w:bCs w:val="1"/>
          <w:color w:val="auto"/>
        </w:rPr>
      </w:pPr>
    </w:p>
    <w:p>
      <w:pPr>
        <w:ind w:left="1300" w:right="160" w:hanging="648"/>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7"/>
          <w:szCs w:val="17"/>
          <w:color w:val="auto"/>
        </w:rPr>
        <w:t>On and subject to the terms and conditions hereof, Lender has provided Borrower with a loan in an aggregate amount of RMB5,000,000 Yuan (the “</w:t>
      </w:r>
      <w:r>
        <w:rPr>
          <w:rFonts w:ascii="Arial" w:cs="Arial" w:eastAsia="Arial" w:hAnsi="Arial"/>
          <w:sz w:val="17"/>
          <w:szCs w:val="17"/>
          <w:b w:val="1"/>
          <w:bCs w:val="1"/>
          <w:color w:val="auto"/>
        </w:rPr>
        <w:t>Loan</w:t>
      </w:r>
      <w:r>
        <w:rPr>
          <w:rFonts w:ascii="Arial" w:cs="Arial" w:eastAsia="Arial" w:hAnsi="Arial"/>
          <w:sz w:val="17"/>
          <w:szCs w:val="17"/>
          <w:color w:val="auto"/>
        </w:rPr>
        <w:t>”, which term shall be deemed to include Additional Loans (as defined in the following sentence), if any). Lender and Borrower further agree that Lender may in its absolute discretion provide to Borrower one or more additional loans (“</w:t>
      </w:r>
      <w:r>
        <w:rPr>
          <w:rFonts w:ascii="Arial" w:cs="Arial" w:eastAsia="Arial" w:hAnsi="Arial"/>
          <w:sz w:val="17"/>
          <w:szCs w:val="17"/>
          <w:b w:val="1"/>
          <w:bCs w:val="1"/>
          <w:color w:val="auto"/>
        </w:rPr>
        <w:t>Additional Loan</w:t>
      </w:r>
      <w:r>
        <w:rPr>
          <w:rFonts w:ascii="Arial" w:cs="Arial" w:eastAsia="Arial" w:hAnsi="Arial"/>
          <w:sz w:val="17"/>
          <w:szCs w:val="17"/>
          <w:color w:val="auto"/>
        </w:rPr>
        <w:t xml:space="preserve">”) from time to time in such amounts as agreed to by Lender and Borrower, provided that, for each such Additional Loan, Lender and Borrower shall execute a Supplemental Agreement to this Agreement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Both Parties agree and confirm that the Loan shall be interest-free, except as provided in Article 1.5 below. The Borrower has used the Loan solely for the purpose of paying for the Capital Contribution Amount to acquire the Target Equity and, unless with the prior written consent of the Lender, will not use the Loan for any other purpose.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1300" w:right="100" w:hanging="648"/>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1.2.The term of this Agreement (“</w:t>
      </w:r>
      <w:r>
        <w:rPr>
          <w:rFonts w:ascii="Arial" w:cs="Arial" w:eastAsia="Arial" w:hAnsi="Arial"/>
          <w:sz w:val="18"/>
          <w:szCs w:val="18"/>
          <w:b w:val="1"/>
          <w:bCs w:val="1"/>
          <w:color w:val="auto"/>
        </w:rPr>
        <w:t>Term</w:t>
      </w:r>
      <w:r>
        <w:rPr>
          <w:rFonts w:ascii="Arial" w:cs="Arial" w:eastAsia="Arial" w:hAnsi="Arial"/>
          <w:sz w:val="18"/>
          <w:szCs w:val="18"/>
          <w:color w:val="auto"/>
        </w:rPr>
        <w:t>”) shall be ten (10) years from the date of this Agreement. Unless otherwise indicated by the Lender at any time prior to its expiration, the Term will be automatically extended for another ten (10) years, and so forth thereafter. Subject to Article 1.3, Borrower shall repay all amounts outstanding in respect of the Loan (including any penalty or interest thereon) according to Article 1.4 at the expiry or termination of the Term.</w:t>
      </w:r>
    </w:p>
    <w:p>
      <w:pPr>
        <w:spacing w:after="0" w:line="184" w:lineRule="exact"/>
        <w:rPr>
          <w:rFonts w:ascii="Arial" w:cs="Arial" w:eastAsia="Arial" w:hAnsi="Arial"/>
          <w:sz w:val="18"/>
          <w:szCs w:val="18"/>
          <w:b w:val="1"/>
          <w:bCs w:val="1"/>
          <w:color w:val="auto"/>
        </w:rPr>
      </w:pPr>
    </w:p>
    <w:p>
      <w:pPr>
        <w:ind w:left="130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1.3.Borrower shall not, without Lender’s prior written consent, which may be granted at Lender’s sole and absolute discretion on a case by case basis, make any prepayment of the Loan prior to the expiration of the Term, except that in the event that any one or more of the following circumstances occur, the entire amount of the Loan shall become immediately due and payable at the Lender’s option, without requiring any notice period on the part of the Lender, in accordance with Article 1.4:</w:t>
      </w:r>
    </w:p>
    <w:p>
      <w:pPr>
        <w:spacing w:after="0" w:line="186" w:lineRule="exact"/>
        <w:rPr>
          <w:rFonts w:ascii="Arial" w:cs="Arial" w:eastAsia="Arial" w:hAnsi="Arial"/>
          <w:sz w:val="18"/>
          <w:szCs w:val="18"/>
          <w:b w:val="1"/>
          <w:bCs w:val="1"/>
          <w:color w:val="auto"/>
        </w:rPr>
      </w:pPr>
    </w:p>
    <w:p>
      <w:pPr>
        <w:ind w:left="1940" w:hanging="635"/>
        <w:spacing w:after="0"/>
        <w:tabs>
          <w:tab w:leader="none" w:pos="1940" w:val="left"/>
        </w:tabs>
        <w:numPr>
          <w:ilvl w:val="1"/>
          <w:numId w:val="324"/>
        </w:numPr>
        <w:rPr>
          <w:rFonts w:ascii="Arial" w:cs="Arial" w:eastAsia="Arial" w:hAnsi="Arial"/>
          <w:sz w:val="17"/>
          <w:szCs w:val="17"/>
          <w:color w:val="auto"/>
        </w:rPr>
      </w:pPr>
      <w:r>
        <w:rPr>
          <w:rFonts w:ascii="Arial" w:cs="Arial" w:eastAsia="Arial" w:hAnsi="Arial"/>
          <w:sz w:val="17"/>
          <w:szCs w:val="17"/>
          <w:color w:val="auto"/>
        </w:rPr>
        <w:t>Borrower becomes deceased, bankrupt, mentally incapacitated or is otherwise lacking in or has limitations in civil capacity;</w:t>
      </w:r>
    </w:p>
    <w:p>
      <w:pPr>
        <w:spacing w:after="0" w:line="236" w:lineRule="exact"/>
        <w:rPr>
          <w:rFonts w:ascii="Arial" w:cs="Arial" w:eastAsia="Arial" w:hAnsi="Arial"/>
          <w:sz w:val="17"/>
          <w:szCs w:val="17"/>
          <w:color w:val="auto"/>
        </w:rPr>
      </w:pPr>
    </w:p>
    <w:p>
      <w:pPr>
        <w:jc w:val="both"/>
        <w:ind w:left="1960" w:right="120" w:hanging="655"/>
        <w:spacing w:after="0" w:line="264" w:lineRule="auto"/>
        <w:tabs>
          <w:tab w:leader="none" w:pos="1967" w:val="left"/>
        </w:tabs>
        <w:numPr>
          <w:ilvl w:val="1"/>
          <w:numId w:val="324"/>
        </w:numPr>
        <w:rPr>
          <w:rFonts w:ascii="Arial" w:cs="Arial" w:eastAsia="Arial" w:hAnsi="Arial"/>
          <w:sz w:val="18"/>
          <w:szCs w:val="18"/>
          <w:color w:val="auto"/>
        </w:rPr>
      </w:pPr>
      <w:r>
        <w:rPr>
          <w:rFonts w:ascii="Arial" w:cs="Arial" w:eastAsia="Arial" w:hAnsi="Arial"/>
          <w:sz w:val="18"/>
          <w:szCs w:val="18"/>
          <w:color w:val="auto"/>
        </w:rPr>
        <w:t>Borrower, for any reason, ceases to be the holder of equity interests in the Domestic Company or reduces his proportion of equity interests in the Domestic Company from that set forth in Recital (A) above except for transfers of equity interests in the Domestic Company to which Lender has consented;</w:t>
      </w:r>
    </w:p>
    <w:p>
      <w:pPr>
        <w:spacing w:after="0" w:line="181" w:lineRule="exact"/>
        <w:rPr>
          <w:rFonts w:ascii="Arial" w:cs="Arial" w:eastAsia="Arial" w:hAnsi="Arial"/>
          <w:sz w:val="18"/>
          <w:szCs w:val="18"/>
          <w:color w:val="auto"/>
        </w:rPr>
      </w:pPr>
    </w:p>
    <w:p>
      <w:pPr>
        <w:ind w:left="1960" w:right="100" w:hanging="655"/>
        <w:spacing w:after="0" w:line="272" w:lineRule="auto"/>
        <w:tabs>
          <w:tab w:leader="none" w:pos="1971" w:val="left"/>
        </w:tabs>
        <w:numPr>
          <w:ilvl w:val="1"/>
          <w:numId w:val="324"/>
        </w:numPr>
        <w:rPr>
          <w:rFonts w:ascii="Arial" w:cs="Arial" w:eastAsia="Arial" w:hAnsi="Arial"/>
          <w:sz w:val="17"/>
          <w:szCs w:val="17"/>
          <w:color w:val="auto"/>
        </w:rPr>
      </w:pPr>
      <w:r>
        <w:rPr>
          <w:rFonts w:ascii="Arial" w:cs="Arial" w:eastAsia="Arial" w:hAnsi="Arial"/>
          <w:sz w:val="17"/>
          <w:szCs w:val="17"/>
          <w:color w:val="auto"/>
        </w:rPr>
        <w:t>Borrower (i) ceases to be employed by or to provide service to Lender or any affiliate of Lender for any reason, (ii) breaches his obligations set forth in the Equity Pledge Agreement, the Shareholder Voting Right Trust Agreement, the Exclusive Purchase Option Agreement or the Operating Agreement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or breaches his obligations set forth in this Agreement, or (iii) engages in any criminal act or is involved in any criminal activities; provided, that upon the occurrence of any of (i), (ii) or (iii) above, Borrower shall transfer his rights and obligation under this Agreement, together with his rights and obligations under the Transaction Documents, to a person designated by Lender and shall complete such transfer within 10 days after the occurrence of circumstance under this Article 1.3(c);</w:t>
      </w:r>
    </w:p>
    <w:p>
      <w:pPr>
        <w:spacing w:after="0" w:line="177" w:lineRule="exact"/>
        <w:rPr>
          <w:rFonts w:ascii="Arial" w:cs="Arial" w:eastAsia="Arial" w:hAnsi="Arial"/>
          <w:sz w:val="17"/>
          <w:szCs w:val="17"/>
          <w:color w:val="auto"/>
        </w:rPr>
      </w:pPr>
    </w:p>
    <w:p>
      <w:pPr>
        <w:ind w:left="1960" w:right="360" w:hanging="655"/>
        <w:spacing w:after="0" w:line="277" w:lineRule="auto"/>
        <w:tabs>
          <w:tab w:leader="none" w:pos="1967" w:val="left"/>
        </w:tabs>
        <w:numPr>
          <w:ilvl w:val="1"/>
          <w:numId w:val="324"/>
        </w:numPr>
        <w:rPr>
          <w:rFonts w:ascii="Arial" w:cs="Arial" w:eastAsia="Arial" w:hAnsi="Arial"/>
          <w:sz w:val="18"/>
          <w:szCs w:val="18"/>
          <w:color w:val="auto"/>
        </w:rPr>
      </w:pPr>
      <w:r>
        <w:rPr>
          <w:rFonts w:ascii="Arial" w:cs="Arial" w:eastAsia="Arial" w:hAnsi="Arial"/>
          <w:sz w:val="18"/>
          <w:szCs w:val="18"/>
          <w:color w:val="auto"/>
        </w:rPr>
        <w:t>Lender is permitted to acquire a direct equity interest in Domestic Company due to a change in PRC laws or regulations or the application or interpretation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-3974465</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16" w:gutter="0" w:footer="0" w:header="0"/>
        </w:sectPr>
      </w:pPr>
    </w:p>
    <w:bookmarkStart w:id="181" w:name="page182"/>
    <w:bookmarkEnd w:id="181"/>
    <w:p>
      <w:pPr>
        <w:spacing w:after="0" w:line="114" w:lineRule="exact"/>
        <w:rPr>
          <w:sz w:val="20"/>
          <w:szCs w:val="20"/>
          <w:color w:val="auto"/>
        </w:rPr>
      </w:pPr>
    </w:p>
    <w:p>
      <w:pPr>
        <w:ind w:left="1952" w:right="80" w:hanging="655"/>
        <w:spacing w:after="0" w:line="277" w:lineRule="auto"/>
        <w:tabs>
          <w:tab w:leader="none" w:pos="196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 court or other government authority deems this Agreement or any of the Transaction Documents or a substantial portion thereof to be invalid, illegal or unenforceable.</w:t>
      </w:r>
    </w:p>
    <w:p>
      <w:pPr>
        <w:spacing w:after="0" w:line="170" w:lineRule="exact"/>
        <w:rPr>
          <w:sz w:val="20"/>
          <w:szCs w:val="20"/>
          <w:color w:val="auto"/>
        </w:rPr>
      </w:pPr>
    </w:p>
    <w:p>
      <w:pPr>
        <w:jc w:val="both"/>
        <w:ind w:left="1292" w:right="220"/>
        <w:spacing w:after="0" w:line="264" w:lineRule="auto"/>
        <w:rPr>
          <w:sz w:val="20"/>
          <w:szCs w:val="20"/>
          <w:color w:val="auto"/>
        </w:rPr>
      </w:pPr>
      <w:r>
        <w:rPr>
          <w:rFonts w:ascii="Arial" w:cs="Arial" w:eastAsia="Arial" w:hAnsi="Arial"/>
          <w:sz w:val="18"/>
          <w:szCs w:val="18"/>
          <w:color w:val="auto"/>
        </w:rPr>
        <w:t>Notwithstanding the foregoing, Lender may at any time, in its sole and absolute discretion, issue a written repayment notice to Borrower requiring the repayment of the Loan, upon the occurrence of which the entire amount of the Loan shall become due and payable upon the expiry of thirty (30) days from the date of Lender’s written notice to Borrower.</w:t>
      </w:r>
    </w:p>
    <w:p>
      <w:pPr>
        <w:spacing w:after="0" w:line="181" w:lineRule="exact"/>
        <w:rPr>
          <w:sz w:val="20"/>
          <w:szCs w:val="20"/>
          <w:color w:val="auto"/>
        </w:rPr>
      </w:pPr>
    </w:p>
    <w:p>
      <w:pPr>
        <w:jc w:val="both"/>
        <w:ind w:left="1292" w:right="20" w:hanging="647"/>
        <w:spacing w:after="0" w:line="264" w:lineRule="auto"/>
        <w:tabs>
          <w:tab w:leader="none" w:pos="12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Both Parties hereby agree and confirm that Borrower may repay the Loan only in one of the following repayment methods as determined by Lender in its sole discretion, and Borrower agrees to take all actions (including executing and delivering documents or calling shareholders’ meetings) necessary or advisable to implement either of these methods:</w:t>
      </w:r>
    </w:p>
    <w:p>
      <w:pPr>
        <w:spacing w:after="0" w:line="181" w:lineRule="exact"/>
        <w:rPr>
          <w:sz w:val="20"/>
          <w:szCs w:val="20"/>
          <w:color w:val="auto"/>
        </w:rPr>
      </w:pPr>
    </w:p>
    <w:p>
      <w:pPr>
        <w:ind w:left="1952" w:right="60" w:hanging="655"/>
        <w:spacing w:after="0" w:line="277" w:lineRule="auto"/>
        <w:tabs>
          <w:tab w:leader="none" w:pos="1949" w:val="left"/>
        </w:tabs>
        <w:numPr>
          <w:ilvl w:val="0"/>
          <w:numId w:val="326"/>
        </w:numPr>
        <w:rPr>
          <w:rFonts w:ascii="Arial" w:cs="Arial" w:eastAsia="Arial" w:hAnsi="Arial"/>
          <w:sz w:val="18"/>
          <w:szCs w:val="18"/>
          <w:color w:val="auto"/>
        </w:rPr>
      </w:pPr>
      <w:r>
        <w:rPr>
          <w:rFonts w:ascii="Arial" w:cs="Arial" w:eastAsia="Arial" w:hAnsi="Arial"/>
          <w:sz w:val="18"/>
          <w:szCs w:val="18"/>
          <w:color w:val="auto"/>
        </w:rPr>
        <w:t>Equity Option. If selected by Lender, Borrower shall repay the Loan by transferring his equity interests in the Domestic Company (“</w:t>
      </w:r>
      <w:r>
        <w:rPr>
          <w:rFonts w:ascii="Arial" w:cs="Arial" w:eastAsia="Arial" w:hAnsi="Arial"/>
          <w:sz w:val="18"/>
          <w:szCs w:val="18"/>
          <w:b w:val="1"/>
          <w:bCs w:val="1"/>
          <w:color w:val="auto"/>
        </w:rPr>
        <w:t>Borrower’s Equity</w:t>
      </w:r>
      <w:r>
        <w:rPr>
          <w:rFonts w:ascii="Arial" w:cs="Arial" w:eastAsia="Arial" w:hAnsi="Arial"/>
          <w:sz w:val="18"/>
          <w:szCs w:val="18"/>
          <w:color w:val="auto"/>
        </w:rPr>
        <w:t>”) to Lender or Lender’s designated persons; or</w:t>
      </w:r>
    </w:p>
    <w:p>
      <w:pPr>
        <w:spacing w:after="0" w:line="170" w:lineRule="exact"/>
        <w:rPr>
          <w:rFonts w:ascii="Arial" w:cs="Arial" w:eastAsia="Arial" w:hAnsi="Arial"/>
          <w:sz w:val="18"/>
          <w:szCs w:val="18"/>
          <w:color w:val="auto"/>
        </w:rPr>
      </w:pPr>
    </w:p>
    <w:p>
      <w:pPr>
        <w:ind w:left="1952" w:right="60" w:hanging="655"/>
        <w:spacing w:after="0" w:line="279" w:lineRule="auto"/>
        <w:tabs>
          <w:tab w:leader="none" w:pos="1959" w:val="left"/>
        </w:tabs>
        <w:numPr>
          <w:ilvl w:val="0"/>
          <w:numId w:val="326"/>
        </w:numPr>
        <w:rPr>
          <w:rFonts w:ascii="Arial" w:cs="Arial" w:eastAsia="Arial" w:hAnsi="Arial"/>
          <w:sz w:val="17"/>
          <w:szCs w:val="17"/>
          <w:color w:val="auto"/>
        </w:rPr>
      </w:pPr>
      <w:r>
        <w:rPr>
          <w:rFonts w:ascii="Arial" w:cs="Arial" w:eastAsia="Arial" w:hAnsi="Arial"/>
          <w:sz w:val="17"/>
          <w:szCs w:val="17"/>
          <w:color w:val="auto"/>
        </w:rPr>
        <w:t>Alternative Repayment. As an alternative to the repayment method specified in Article 1.4(a) above, Lender may in its sole discretion determine that the Loan shall be repaid by another method upon delivering a written notice of such decision to Borrower. In such case, Borrower shall pay to Lender the outstanding amount of the Loan (including any interest) in cash or other property, as determined by Lender, following any conditions or procedures specified by Lender.</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the transfer price for Borrower’s Equity pursuant to Article 1.4(a) or the other consideration provided by Borrower pursuant to</w:t>
      </w:r>
    </w:p>
    <w:p>
      <w:pPr>
        <w:spacing w:after="0" w:line="23" w:lineRule="exact"/>
        <w:rPr>
          <w:sz w:val="20"/>
          <w:szCs w:val="20"/>
          <w:color w:val="auto"/>
        </w:rPr>
      </w:pPr>
    </w:p>
    <w:p>
      <w:pPr>
        <w:ind w:left="1292" w:right="20"/>
        <w:spacing w:after="0" w:line="270" w:lineRule="auto"/>
        <w:rPr>
          <w:sz w:val="20"/>
          <w:szCs w:val="20"/>
          <w:color w:val="auto"/>
        </w:rPr>
      </w:pPr>
      <w:r>
        <w:rPr>
          <w:rFonts w:ascii="Arial" w:cs="Arial" w:eastAsia="Arial" w:hAnsi="Arial"/>
          <w:sz w:val="17"/>
          <w:szCs w:val="17"/>
          <w:color w:val="auto"/>
        </w:rPr>
        <w:t>Article 1.4(b) exceeds the outstanding principal of the Loan hereunder, then such excess shall be deemed the aggregate interest accrued and payable by the Borrower upon the loan (calculated by the highest interest rate permitted by PRC laws). Borrower shall repay all interest on the Loan, together with the principal, capital utilization costs (if any) and penalty (if any), at the expiry or termination of the Term or when otherwise required hereunder. In the event that the aggregate interest accrued on the Loan exceeds the highest interest rate permitted by the PRC laws then in effect, the Borrower shall transfer an amount equal to any such excess transfer price to the Lender as a gift at the expiry or termination of the Term or when otherwise required hereunder.</w:t>
      </w:r>
    </w:p>
    <w:p>
      <w:pPr>
        <w:spacing w:after="0" w:line="17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Provided Borrower repays the Loan by transferring all of Borrower’s Equity to Lender or Lender’s designated persons pursuant to</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Article 1.4(a) or provides the other required consideration pursuant to Article 1.4(b) and subject to Borrower’s indemnification obligations</w:t>
      </w:r>
    </w:p>
    <w:p>
      <w:pPr>
        <w:spacing w:after="0" w:line="32"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set forth in Article 4.2 herein, Borrower shall have no further obligation to Lender for any principal, interest, capital utilization costs (if any)</w:t>
      </w:r>
    </w:p>
    <w:p>
      <w:pPr>
        <w:spacing w:after="0" w:line="32"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or penalty (if any) under the Loan.</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Any part or whole of the Loan repaid by Borrower may not be re-borrowed under this Agreement without Lender’s consent.</w:t>
      </w:r>
    </w:p>
    <w:p>
      <w:pPr>
        <w:spacing w:after="0" w:line="221" w:lineRule="exact"/>
        <w:rPr>
          <w:sz w:val="20"/>
          <w:szCs w:val="20"/>
          <w:color w:val="auto"/>
        </w:rPr>
      </w:pPr>
    </w:p>
    <w:p>
      <w:pPr>
        <w:ind w:left="652" w:hanging="652"/>
        <w:spacing w:after="0"/>
        <w:tabs>
          <w:tab w:leader="none" w:pos="652"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28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2.1.As of the date of this Agreement and during the Term through the date of termination or expiration of this Agreement, Lender represents and warrants to Borrower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Lender is a wholly foreign owned enterprise duly registered and existing under PRC law.</w:t>
      </w:r>
    </w:p>
    <w:p>
      <w:pPr>
        <w:spacing w:after="0" w:line="225" w:lineRule="exact"/>
        <w:rPr>
          <w:rFonts w:ascii="Arial" w:cs="Arial" w:eastAsia="Arial" w:hAnsi="Arial"/>
          <w:sz w:val="18"/>
          <w:szCs w:val="18"/>
          <w:color w:val="auto"/>
        </w:rPr>
      </w:pPr>
    </w:p>
    <w:p>
      <w:pPr>
        <w:ind w:left="1952" w:right="180" w:hanging="655"/>
        <w:spacing w:after="0" w:line="312" w:lineRule="auto"/>
        <w:tabs>
          <w:tab w:leader="none" w:pos="1959" w:val="left"/>
        </w:tabs>
        <w:numPr>
          <w:ilvl w:val="1"/>
          <w:numId w:val="327"/>
        </w:numPr>
        <w:rPr>
          <w:rFonts w:ascii="Arial" w:cs="Arial" w:eastAsia="Arial" w:hAnsi="Arial"/>
          <w:sz w:val="16"/>
          <w:szCs w:val="16"/>
          <w:color w:val="auto"/>
        </w:rPr>
      </w:pPr>
      <w:r>
        <w:rPr>
          <w:rFonts w:ascii="Arial" w:cs="Arial" w:eastAsia="Arial" w:hAnsi="Arial"/>
          <w:sz w:val="16"/>
          <w:szCs w:val="16"/>
          <w:color w:val="auto"/>
        </w:rPr>
        <w:t>Lender has the power to execute and perform its obligations under this Agreement. The execution and performance of this Agreement by Lender are in compliance with the articles of association or other organizational documents of Lender, and Lender has obtained all necessary and appropriate approvals and authorizations for the execution and performance of this Agreement.</w:t>
      </w:r>
    </w:p>
    <w:p>
      <w:pPr>
        <w:spacing w:after="0" w:line="146" w:lineRule="exact"/>
        <w:rPr>
          <w:rFonts w:ascii="Arial" w:cs="Arial" w:eastAsia="Arial" w:hAnsi="Arial"/>
          <w:sz w:val="16"/>
          <w:szCs w:val="16"/>
          <w:color w:val="auto"/>
        </w:rPr>
      </w:pPr>
    </w:p>
    <w:p>
      <w:pPr>
        <w:ind w:left="1952" w:right="300" w:hanging="655"/>
        <w:spacing w:after="0" w:line="286" w:lineRule="auto"/>
        <w:tabs>
          <w:tab w:leader="none" w:pos="1963" w:val="left"/>
        </w:tabs>
        <w:numPr>
          <w:ilvl w:val="1"/>
          <w:numId w:val="327"/>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Lender do not violate any laws and regulations or government approvals, authorizations, notices or other governmental documents having binding effect on or affecting Lender, nor do they violate any agreements between Lender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Lender upon execution.</w:t>
      </w:r>
    </w:p>
    <w:p>
      <w:pPr>
        <w:spacing w:after="0" w:line="225" w:lineRule="exact"/>
        <w:rPr>
          <w:sz w:val="20"/>
          <w:szCs w:val="20"/>
          <w:color w:val="auto"/>
        </w:rPr>
      </w:pPr>
    </w:p>
    <w:p>
      <w:pPr>
        <w:ind w:left="1292" w:right="100" w:hanging="647"/>
        <w:spacing w:after="0" w:line="277"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As of the date of this Agreement and during the Term through the date of termination or expiration of this Agreement, Borrower represents and warrants to Lender as follows:</w:t>
      </w:r>
    </w:p>
    <w:p>
      <w:pPr>
        <w:spacing w:after="0" w:line="170" w:lineRule="exact"/>
        <w:rPr>
          <w:sz w:val="20"/>
          <w:szCs w:val="20"/>
          <w:color w:val="auto"/>
        </w:rPr>
      </w:pPr>
    </w:p>
    <w:p>
      <w:pPr>
        <w:ind w:left="1952" w:right="160" w:hanging="655"/>
        <w:spacing w:after="0" w:line="277" w:lineRule="auto"/>
        <w:tabs>
          <w:tab w:leader="none" w:pos="194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Domestic Company is a limited liability company duly registered and existing under PRC law and Borrower is or will be the lawful holder of Borrower’s Equity.</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Borrower has the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120" w:hanging="655"/>
        <w:spacing w:after="0" w:line="286" w:lineRule="auto"/>
        <w:tabs>
          <w:tab w:leader="none" w:pos="1963"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Borrower do not violate any laws and regulations or government approvals, authorizations, notices or other governmental documents having binding effect on or affecting Borrower, nor do they violate any agreements between Borrower and any third party or any covenants made to any third party.</w:t>
      </w:r>
    </w:p>
    <w:p>
      <w:pPr>
        <w:spacing w:after="0" w:line="165" w:lineRule="exact"/>
        <w:rPr>
          <w:rFonts w:ascii="Arial" w:cs="Arial" w:eastAsia="Arial" w:hAnsi="Arial"/>
          <w:sz w:val="17"/>
          <w:szCs w:val="17"/>
          <w:color w:val="auto"/>
        </w:rPr>
      </w:pPr>
    </w:p>
    <w:p>
      <w:pPr>
        <w:ind w:left="1952" w:hanging="655"/>
        <w:spacing w:after="0"/>
        <w:tabs>
          <w:tab w:leader="none" w:pos="195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on Borrower upon execution.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952" w:right="220" w:hanging="655"/>
        <w:spacing w:after="0" w:line="312" w:lineRule="auto"/>
        <w:tabs>
          <w:tab w:leader="none" w:pos="1963" w:val="left"/>
        </w:tabs>
        <w:numPr>
          <w:ilvl w:val="0"/>
          <w:numId w:val="329"/>
        </w:numPr>
        <w:rPr>
          <w:rFonts w:ascii="Arial" w:cs="Arial" w:eastAsia="Arial" w:hAnsi="Arial"/>
          <w:sz w:val="16"/>
          <w:szCs w:val="16"/>
          <w:color w:val="auto"/>
        </w:rPr>
      </w:pPr>
      <w:r>
        <w:rPr>
          <w:rFonts w:ascii="Arial" w:cs="Arial" w:eastAsia="Arial" w:hAnsi="Arial"/>
          <w:sz w:val="16"/>
          <w:szCs w:val="16"/>
          <w:color w:val="auto"/>
        </w:rPr>
        <w:t>Except in accordance with the provisions of the Equity Pledge Agreement or otherwise agreed by relevant parties, Borrower has not (i) created any mortgage, pledge or other security interests on any whole or part of Borrower’s Equity, (ii) made any offer to any third party or accepted any offer made by any third party for the transfer of any whole or part of Borrower’s Equity, or</w:t>
      </w:r>
    </w:p>
    <w:p>
      <w:pPr>
        <w:sectPr>
          <w:pgSz w:w="11900" w:h="16953" w:orient="portrait"/>
          <w:cols w:equalWidth="0" w:num="1">
            <w:col w:w="11412"/>
          </w:cols>
          <w:pgMar w:left="248" w:top="125" w:right="239" w:bottom="0" w:gutter="0" w:footer="0" w:header="0"/>
        </w:sectPr>
      </w:pPr>
    </w:p>
    <w:bookmarkStart w:id="182" w:name="page183"/>
    <w:bookmarkEnd w:id="182"/>
    <w:p>
      <w:pPr>
        <w:spacing w:after="0" w:line="137" w:lineRule="exact"/>
        <w:rPr>
          <w:sz w:val="20"/>
          <w:szCs w:val="20"/>
          <w:color w:val="auto"/>
        </w:rPr>
      </w:pPr>
    </w:p>
    <w:p>
      <w:pPr>
        <w:ind w:left="1952" w:right="20" w:hanging="7"/>
        <w:spacing w:after="0" w:line="264" w:lineRule="auto"/>
        <w:tabs>
          <w:tab w:leader="none" w:pos="2267" w:val="left"/>
        </w:tabs>
        <w:numPr>
          <w:ilvl w:val="2"/>
          <w:numId w:val="330"/>
        </w:numPr>
        <w:rPr>
          <w:rFonts w:ascii="Arial" w:cs="Arial" w:eastAsia="Arial" w:hAnsi="Arial"/>
          <w:sz w:val="18"/>
          <w:szCs w:val="18"/>
          <w:color w:val="auto"/>
        </w:rPr>
      </w:pPr>
      <w:r>
        <w:rPr>
          <w:rFonts w:ascii="Arial" w:cs="Arial" w:eastAsia="Arial" w:hAnsi="Arial"/>
          <w:sz w:val="18"/>
          <w:szCs w:val="18"/>
          <w:color w:val="auto"/>
        </w:rPr>
        <w:t>entered into any agreement with any third party for the transfer of any whole or part of Borrower’s Equity unless consented by Lender. To the extent applicable, the spouse of Borrower shall not have any right to or interest in Borrower’s Equity, and Borrower’s Equity is Borrower’s individual property instead of marital property.</w:t>
      </w:r>
    </w:p>
    <w:p>
      <w:pPr>
        <w:spacing w:after="0" w:line="181" w:lineRule="exact"/>
        <w:rPr>
          <w:rFonts w:ascii="Arial" w:cs="Arial" w:eastAsia="Arial" w:hAnsi="Arial"/>
          <w:sz w:val="18"/>
          <w:szCs w:val="18"/>
          <w:color w:val="auto"/>
        </w:rPr>
      </w:pPr>
    </w:p>
    <w:p>
      <w:pPr>
        <w:ind w:left="1952" w:right="180" w:hanging="655"/>
        <w:spacing w:after="0" w:line="286" w:lineRule="auto"/>
        <w:tabs>
          <w:tab w:leader="none" w:pos="1956"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There are no pending disputes, litigations, arbitrations, administrative proceedings or any other legal proceedings relating to or involving Borrower and/or any of Borrower’s Equity, nor are there any potential disputes, litigations, arbitrations, administrative proceedings or any other legal proceedings relating to or involving Borrower and/or any of Borrower’s Equity.</w:t>
      </w:r>
    </w:p>
    <w:p>
      <w:pPr>
        <w:spacing w:after="0" w:line="161" w:lineRule="exact"/>
        <w:rPr>
          <w:rFonts w:ascii="Arial" w:cs="Arial" w:eastAsia="Arial" w:hAnsi="Arial"/>
          <w:sz w:val="17"/>
          <w:szCs w:val="17"/>
          <w:color w:val="auto"/>
        </w:rPr>
      </w:pPr>
    </w:p>
    <w:p>
      <w:pPr>
        <w:ind w:left="652" w:hanging="652"/>
        <w:spacing w:after="0"/>
        <w:tabs>
          <w:tab w:leader="none" w:pos="652"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Borrower’s Undertakings</w:t>
      </w:r>
    </w:p>
    <w:p>
      <w:pPr>
        <w:spacing w:after="0" w:line="229" w:lineRule="exact"/>
        <w:rPr>
          <w:rFonts w:ascii="Arial" w:cs="Arial" w:eastAsia="Arial" w:hAnsi="Arial"/>
          <w:sz w:val="18"/>
          <w:szCs w:val="18"/>
          <w:b w:val="1"/>
          <w:bCs w:val="1"/>
          <w:color w:val="auto"/>
        </w:rPr>
      </w:pPr>
    </w:p>
    <w:p>
      <w:pPr>
        <w:ind w:left="1292" w:right="9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3.1.Borrower undertakes in his capacity as a shareholder of the Domestic Company that Borrower will, and together with the other shareholder(s) of the Domestic Company will cause the Domestic Company to (as applicable):</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332"/>
        </w:numPr>
        <w:rPr>
          <w:rFonts w:ascii="Arial" w:cs="Arial" w:eastAsia="Arial" w:hAnsi="Arial"/>
          <w:sz w:val="17"/>
          <w:szCs w:val="17"/>
          <w:color w:val="auto"/>
        </w:rPr>
      </w:pPr>
      <w:r>
        <w:rPr>
          <w:rFonts w:ascii="Arial" w:cs="Arial" w:eastAsia="Arial" w:hAnsi="Arial"/>
          <w:sz w:val="17"/>
          <w:szCs w:val="17"/>
          <w:color w:val="auto"/>
        </w:rPr>
        <w:t>enter into the Transaction Documents in the same form and substance as set forth in Appendices I, II, III and IV hereto.</w:t>
      </w:r>
    </w:p>
    <w:p>
      <w:pPr>
        <w:spacing w:after="0" w:line="236" w:lineRule="exact"/>
        <w:rPr>
          <w:rFonts w:ascii="Arial" w:cs="Arial" w:eastAsia="Arial" w:hAnsi="Arial"/>
          <w:sz w:val="17"/>
          <w:szCs w:val="17"/>
          <w:color w:val="auto"/>
        </w:rPr>
      </w:pPr>
    </w:p>
    <w:p>
      <w:pPr>
        <w:ind w:left="1952" w:right="220" w:hanging="655"/>
        <w:spacing w:after="0" w:line="264" w:lineRule="auto"/>
        <w:tabs>
          <w:tab w:leader="none" w:pos="1959"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not without the prior written consent of Lender, supplement, amend or modify the business scope or organizational documents (including the articles of association) of the Domestic Company, or increase or reduce or in any form change the structure of the registered capital of the Domestic Company.</w:t>
      </w:r>
    </w:p>
    <w:p>
      <w:pPr>
        <w:spacing w:after="0" w:line="181" w:lineRule="exact"/>
        <w:rPr>
          <w:rFonts w:ascii="Arial" w:cs="Arial" w:eastAsia="Arial" w:hAnsi="Arial"/>
          <w:sz w:val="18"/>
          <w:szCs w:val="18"/>
          <w:color w:val="auto"/>
        </w:rPr>
      </w:pPr>
    </w:p>
    <w:p>
      <w:pPr>
        <w:ind w:left="1952" w:right="80" w:hanging="655"/>
        <w:spacing w:after="0" w:line="264" w:lineRule="auto"/>
        <w:tabs>
          <w:tab w:leader="none" w:pos="1963"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not without the prior written consent of Lender, sell, transfer, mortgage or otherwise dispose of any legal or beneficial rights and interests in the Domestic Company or any of its assets, businesses or revenues, or permit or create any encumbrance or other third party right thereon;</w:t>
      </w:r>
    </w:p>
    <w:p>
      <w:pPr>
        <w:spacing w:after="0" w:line="181" w:lineRule="exact"/>
        <w:rPr>
          <w:rFonts w:ascii="Arial" w:cs="Arial" w:eastAsia="Arial" w:hAnsi="Arial"/>
          <w:sz w:val="18"/>
          <w:szCs w:val="18"/>
          <w:color w:val="auto"/>
        </w:rPr>
      </w:pPr>
    </w:p>
    <w:p>
      <w:pPr>
        <w:ind w:left="1952" w:right="80" w:hanging="655"/>
        <w:spacing w:after="0" w:line="264" w:lineRule="auto"/>
        <w:tabs>
          <w:tab w:leader="none" w:pos="1959"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not without the prior written consent of Lender, incur, succeed to, guarantee or permit the existence of any debts except (i) debts incurred in the ordinary course of business and (ii) debts which have been disclosed to Lender and for which prior written consent has been obtained from Lender;</w:t>
      </w:r>
    </w:p>
    <w:p>
      <w:pPr>
        <w:spacing w:after="0" w:line="181" w:lineRule="exact"/>
        <w:rPr>
          <w:rFonts w:ascii="Arial" w:cs="Arial" w:eastAsia="Arial" w:hAnsi="Arial"/>
          <w:sz w:val="18"/>
          <w:szCs w:val="18"/>
          <w:color w:val="auto"/>
        </w:rPr>
      </w:pPr>
    </w:p>
    <w:p>
      <w:pPr>
        <w:ind w:left="1952" w:hanging="655"/>
        <w:spacing w:after="0"/>
        <w:tabs>
          <w:tab w:leader="none" w:pos="1952" w:val="left"/>
        </w:tabs>
        <w:numPr>
          <w:ilvl w:val="1"/>
          <w:numId w:val="332"/>
        </w:numPr>
        <w:rPr>
          <w:rFonts w:ascii="Arial" w:cs="Arial" w:eastAsia="Arial" w:hAnsi="Arial"/>
          <w:sz w:val="18"/>
          <w:szCs w:val="18"/>
          <w:color w:val="auto"/>
        </w:rPr>
      </w:pPr>
      <w:r>
        <w:rPr>
          <w:rFonts w:ascii="Arial" w:cs="Arial" w:eastAsia="Arial" w:hAnsi="Arial"/>
          <w:sz w:val="18"/>
          <w:szCs w:val="18"/>
          <w:color w:val="auto"/>
        </w:rPr>
        <w:t>not without the prior written consent of Lender, grant any loan or credit to any person;</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280" w:hanging="655"/>
        <w:spacing w:after="0" w:line="277" w:lineRule="auto"/>
        <w:tabs>
          <w:tab w:leader="none" w:pos="195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upon Lender’s request, provide to Lender all the information with respect to the operations and financial status of the Domestic Company;</w:t>
      </w:r>
    </w:p>
    <w:p>
      <w:pPr>
        <w:spacing w:after="0" w:line="170" w:lineRule="exact"/>
        <w:rPr>
          <w:rFonts w:ascii="Arial" w:cs="Arial" w:eastAsia="Arial" w:hAnsi="Arial"/>
          <w:sz w:val="18"/>
          <w:szCs w:val="18"/>
          <w:color w:val="auto"/>
        </w:rPr>
      </w:pPr>
    </w:p>
    <w:p>
      <w:pPr>
        <w:ind w:left="1952" w:right="340" w:hanging="655"/>
        <w:spacing w:after="0" w:line="277" w:lineRule="auto"/>
        <w:tabs>
          <w:tab w:leader="none" w:pos="197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not without the prior written consent of Lender, merge or amalgamate with or form any alliance with any person, or acquire or invest in any person;</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its assets, businesses and revenues;</w:t>
      </w:r>
    </w:p>
    <w:p>
      <w:pPr>
        <w:spacing w:after="0" w:line="170" w:lineRule="exact"/>
        <w:rPr>
          <w:rFonts w:ascii="Arial" w:cs="Arial" w:eastAsia="Arial" w:hAnsi="Arial"/>
          <w:sz w:val="18"/>
          <w:szCs w:val="18"/>
          <w:color w:val="auto"/>
        </w:rPr>
      </w:pPr>
    </w:p>
    <w:p>
      <w:pPr>
        <w:ind w:left="1952" w:right="520" w:hanging="655"/>
        <w:spacing w:after="0" w:line="264" w:lineRule="auto"/>
        <w:tabs>
          <w:tab w:leader="none" w:pos="1973"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to the extent necessary to maintain its ownership of all its assets, execute all necessary or appropriate documents, take all necessary or appropriate actions and file all necessary or appropriate complaints or raise necessary and appropriate defenses against all claims;</w:t>
      </w:r>
    </w:p>
    <w:p>
      <w:pPr>
        <w:spacing w:after="0" w:line="181" w:lineRule="exact"/>
        <w:rPr>
          <w:rFonts w:ascii="Arial" w:cs="Arial" w:eastAsia="Arial" w:hAnsi="Arial"/>
          <w:sz w:val="18"/>
          <w:szCs w:val="18"/>
          <w:color w:val="auto"/>
        </w:rPr>
      </w:pPr>
    </w:p>
    <w:p>
      <w:pPr>
        <w:ind w:left="1952" w:right="160" w:hanging="655"/>
        <w:spacing w:after="0" w:line="308" w:lineRule="auto"/>
        <w:tabs>
          <w:tab w:leader="none" w:pos="19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not without the prior written consent of Lender, declare or distribute any profit or dividend to shareholders in any form, but upon request of Lender, to immediately declare and distribute all the distributable profits to its respective shareholders;</w:t>
      </w:r>
    </w:p>
    <w:p>
      <w:pPr>
        <w:spacing w:after="0" w:line="146" w:lineRule="exact"/>
        <w:rPr>
          <w:rFonts w:ascii="Arial" w:cs="Arial" w:eastAsia="Arial" w:hAnsi="Arial"/>
          <w:sz w:val="17"/>
          <w:szCs w:val="17"/>
          <w:color w:val="auto"/>
        </w:rPr>
      </w:pPr>
    </w:p>
    <w:p>
      <w:pPr>
        <w:ind w:left="1952" w:hanging="655"/>
        <w:spacing w:after="0"/>
        <w:tabs>
          <w:tab w:leader="none" w:pos="1952"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at the request of Lender, appoint the persons designated by Lender as directors and senior officers of the Domestic Company; and</w:t>
      </w:r>
    </w:p>
    <w:p>
      <w:pPr>
        <w:spacing w:after="0" w:line="248" w:lineRule="exact"/>
        <w:rPr>
          <w:rFonts w:ascii="Arial" w:cs="Arial" w:eastAsia="Arial" w:hAnsi="Arial"/>
          <w:sz w:val="16"/>
          <w:szCs w:val="16"/>
          <w:color w:val="auto"/>
        </w:rPr>
      </w:pPr>
    </w:p>
    <w:p>
      <w:pPr>
        <w:ind w:left="1952" w:right="260" w:hanging="655"/>
        <w:spacing w:after="0" w:line="308" w:lineRule="auto"/>
        <w:tabs>
          <w:tab w:leader="none" w:pos="1973" w:val="left"/>
        </w:tabs>
        <w:numPr>
          <w:ilvl w:val="0"/>
          <w:numId w:val="333"/>
        </w:numPr>
        <w:rPr>
          <w:rFonts w:ascii="Arial" w:cs="Arial" w:eastAsia="Arial" w:hAnsi="Arial"/>
          <w:sz w:val="17"/>
          <w:szCs w:val="17"/>
          <w:color w:val="auto"/>
        </w:rPr>
      </w:pPr>
      <w:r>
        <w:rPr>
          <w:rFonts w:ascii="Arial" w:cs="Arial" w:eastAsia="Arial" w:hAnsi="Arial"/>
          <w:sz w:val="17"/>
          <w:szCs w:val="17"/>
          <w:color w:val="auto"/>
        </w:rPr>
        <w:t>strictly comply with the provisions under any agreements to which Borrower and Lender are parties and not take any actions or omit to take any actions that may adversely affect the effectiveness and enforceability of such agreements.</w:t>
      </w:r>
    </w:p>
    <w:p>
      <w:pPr>
        <w:spacing w:after="0" w:line="147"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Borrower undertakes that during the Term, he/she shall:</w:t>
      </w:r>
    </w:p>
    <w:p>
      <w:pPr>
        <w:spacing w:after="0" w:line="225" w:lineRule="exact"/>
        <w:rPr>
          <w:sz w:val="20"/>
          <w:szCs w:val="20"/>
          <w:color w:val="auto"/>
        </w:rPr>
      </w:pPr>
    </w:p>
    <w:p>
      <w:pPr>
        <w:jc w:val="both"/>
        <w:ind w:left="1952" w:hanging="655"/>
        <w:spacing w:after="0" w:line="264" w:lineRule="auto"/>
        <w:tabs>
          <w:tab w:leader="none" w:pos="194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except in accordance with the Equity Pledge Agreement, not sell, transfer, mortgage or otherwise dispose of the legal or beneficial rights and interests on Borrower’s Equity or permit or create any other security interest thereon without the prior written consent of Lender;</w:t>
      </w:r>
    </w:p>
    <w:p>
      <w:pPr>
        <w:spacing w:after="0" w:line="181" w:lineRule="exact"/>
        <w:rPr>
          <w:rFonts w:ascii="Arial" w:cs="Arial" w:eastAsia="Arial" w:hAnsi="Arial"/>
          <w:sz w:val="18"/>
          <w:szCs w:val="18"/>
          <w:color w:val="auto"/>
        </w:rPr>
      </w:pPr>
    </w:p>
    <w:p>
      <w:pPr>
        <w:ind w:left="1952" w:right="40" w:hanging="655"/>
        <w:spacing w:after="0" w:line="286" w:lineRule="auto"/>
        <w:tabs>
          <w:tab w:leader="none" w:pos="195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cause the shareholders’ meeting of the Domestic Company not to approve the sale, transfer, mortgage or disposal in any other way of the legal or beneficial rights and interests in Borrower’s Equity or permit the creation of any other security interest thereon without the prior written consent of Lender except in favor of Lender or Lender’s designated person;</w:t>
      </w:r>
    </w:p>
    <w:p>
      <w:pPr>
        <w:spacing w:after="0" w:line="165" w:lineRule="exact"/>
        <w:rPr>
          <w:rFonts w:ascii="Arial" w:cs="Arial" w:eastAsia="Arial" w:hAnsi="Arial"/>
          <w:sz w:val="17"/>
          <w:szCs w:val="17"/>
          <w:color w:val="auto"/>
        </w:rPr>
      </w:pPr>
    </w:p>
    <w:p>
      <w:pPr>
        <w:ind w:left="1952" w:right="80" w:hanging="655"/>
        <w:spacing w:after="0" w:line="277" w:lineRule="auto"/>
        <w:tabs>
          <w:tab w:leader="none" w:pos="1963" w:val="left"/>
        </w:tabs>
        <w:numPr>
          <w:ilvl w:val="0"/>
          <w:numId w:val="334"/>
        </w:numPr>
        <w:rPr>
          <w:rFonts w:ascii="Arial" w:cs="Arial" w:eastAsia="Arial" w:hAnsi="Arial"/>
          <w:sz w:val="18"/>
          <w:szCs w:val="18"/>
          <w:color w:val="auto"/>
        </w:rPr>
      </w:pPr>
      <w:r>
        <w:rPr>
          <w:rFonts w:ascii="Arial" w:cs="Arial" w:eastAsia="Arial" w:hAnsi="Arial"/>
          <w:sz w:val="18"/>
          <w:szCs w:val="18"/>
          <w:color w:val="auto"/>
        </w:rPr>
        <w:t>cause the shareholders’ meeting of the Domestic Company not to approve the merger or alliance with any person or acquisition or investment in any person without the prior written consent of Lender;</w:t>
      </w:r>
    </w:p>
    <w:p>
      <w:pPr>
        <w:spacing w:after="0" w:line="170" w:lineRule="exact"/>
        <w:rPr>
          <w:rFonts w:ascii="Arial" w:cs="Arial" w:eastAsia="Arial" w:hAnsi="Arial"/>
          <w:sz w:val="18"/>
          <w:szCs w:val="18"/>
          <w:color w:val="auto"/>
        </w:rPr>
      </w:pPr>
    </w:p>
    <w:p>
      <w:pPr>
        <w:ind w:left="1952" w:right="180" w:hanging="655"/>
        <w:spacing w:after="0" w:line="277" w:lineRule="auto"/>
        <w:tabs>
          <w:tab w:leader="none" w:pos="1959"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immediately notify Lender of the occurrence or threat of any litigation, arbitration or administrative proceedings in relation to or involving Borrower’s Equity;</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220" w:hanging="655"/>
        <w:spacing w:after="0" w:line="342" w:lineRule="auto"/>
        <w:tabs>
          <w:tab w:leader="none" w:pos="1963" w:val="left"/>
        </w:tabs>
        <w:numPr>
          <w:ilvl w:val="0"/>
          <w:numId w:val="335"/>
        </w:numPr>
        <w:rPr>
          <w:rFonts w:ascii="Arial" w:cs="Arial" w:eastAsia="Arial" w:hAnsi="Arial"/>
          <w:sz w:val="16"/>
          <w:szCs w:val="16"/>
          <w:color w:val="auto"/>
        </w:rPr>
      </w:pPr>
      <w:r>
        <w:rPr>
          <w:rFonts w:ascii="Arial" w:cs="Arial" w:eastAsia="Arial" w:hAnsi="Arial"/>
          <w:sz w:val="16"/>
          <w:szCs w:val="16"/>
          <w:color w:val="auto"/>
        </w:rPr>
        <w:t>to the extent necessary to maintain his ownership of Borrower’s Equity, execute all necessary or appropriate documents, take all necessary or appropriate actions and file all necessary or appropriate complaints or raise all necessary and appropriate defenses</w:t>
      </w:r>
    </w:p>
    <w:p>
      <w:pPr>
        <w:sectPr>
          <w:pgSz w:w="11900" w:h="16976" w:orient="portrait"/>
          <w:cols w:equalWidth="0" w:num="1">
            <w:col w:w="11392"/>
          </w:cols>
          <w:pgMar w:left="248" w:top="125" w:right="259" w:bottom="0" w:gutter="0" w:footer="0" w:header="0"/>
        </w:sectPr>
      </w:pPr>
    </w:p>
    <w:bookmarkStart w:id="183" w:name="page184"/>
    <w:bookmarkEnd w:id="183"/>
    <w:p>
      <w:pPr>
        <w:ind w:left="1952"/>
        <w:spacing w:after="0"/>
        <w:rPr>
          <w:sz w:val="20"/>
          <w:szCs w:val="20"/>
          <w:color w:val="auto"/>
        </w:rPr>
      </w:pPr>
      <w:r>
        <w:rPr>
          <w:rFonts w:ascii="Arial" w:cs="Arial" w:eastAsia="Arial" w:hAnsi="Arial"/>
          <w:sz w:val="18"/>
          <w:szCs w:val="18"/>
          <w:color w:val="auto"/>
        </w:rPr>
        <w:t>against all claims;</w:t>
      </w:r>
    </w:p>
    <w:p>
      <w:pPr>
        <w:spacing w:after="0" w:line="225" w:lineRule="exact"/>
        <w:rPr>
          <w:sz w:val="20"/>
          <w:szCs w:val="20"/>
          <w:color w:val="auto"/>
        </w:rPr>
      </w:pPr>
    </w:p>
    <w:p>
      <w:pPr>
        <w:ind w:left="1952" w:right="480" w:hanging="655"/>
        <w:spacing w:after="0" w:line="277" w:lineRule="auto"/>
        <w:tabs>
          <w:tab w:leader="none" w:pos="195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refrain from taking any action that may have a material adverse impact on the assets, business and liabilities of the Domestic Company;</w:t>
      </w:r>
    </w:p>
    <w:p>
      <w:pPr>
        <w:spacing w:after="0" w:line="170" w:lineRule="exact"/>
        <w:rPr>
          <w:rFonts w:ascii="Arial" w:cs="Arial" w:eastAsia="Arial" w:hAnsi="Arial"/>
          <w:sz w:val="18"/>
          <w:szCs w:val="18"/>
          <w:color w:val="auto"/>
        </w:rPr>
      </w:pPr>
    </w:p>
    <w:p>
      <w:pPr>
        <w:ind w:left="1952" w:hanging="655"/>
        <w:spacing w:after="0" w:line="277" w:lineRule="auto"/>
        <w:tabs>
          <w:tab w:leader="none" w:pos="1973" w:val="left"/>
        </w:tabs>
        <w:numPr>
          <w:ilvl w:val="1"/>
          <w:numId w:val="336"/>
        </w:numPr>
        <w:rPr>
          <w:rFonts w:ascii="Arial" w:cs="Arial" w:eastAsia="Arial" w:hAnsi="Arial"/>
          <w:sz w:val="18"/>
          <w:szCs w:val="18"/>
          <w:color w:val="auto"/>
        </w:rPr>
      </w:pPr>
      <w:r>
        <w:rPr>
          <w:rFonts w:ascii="Arial" w:cs="Arial" w:eastAsia="Arial" w:hAnsi="Arial"/>
          <w:sz w:val="18"/>
          <w:szCs w:val="18"/>
          <w:color w:val="auto"/>
        </w:rPr>
        <w:t>at the request of Lender, appoint the persons designated by Lender as directors of the Domestic Company (unless otherwise agreed by the Parties);</w:t>
      </w:r>
    </w:p>
    <w:p>
      <w:pPr>
        <w:spacing w:after="0" w:line="170" w:lineRule="exact"/>
        <w:rPr>
          <w:rFonts w:ascii="Arial" w:cs="Arial" w:eastAsia="Arial" w:hAnsi="Arial"/>
          <w:sz w:val="18"/>
          <w:szCs w:val="18"/>
          <w:color w:val="auto"/>
        </w:rPr>
      </w:pPr>
    </w:p>
    <w:p>
      <w:pPr>
        <w:ind w:left="1952" w:right="420" w:hanging="655"/>
        <w:spacing w:after="0" w:line="277" w:lineRule="auto"/>
        <w:tabs>
          <w:tab w:leader="none" w:pos="1959"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to the extent permitted by PRC laws, at the request of Lender at any time, promptly and unconditionally transfer all or part of Borrower’s Equity to Lender or Lender’s designated person(s) at any time;</w:t>
      </w:r>
    </w:p>
    <w:p>
      <w:pPr>
        <w:spacing w:after="0" w:line="170" w:lineRule="exact"/>
        <w:rPr>
          <w:rFonts w:ascii="Arial" w:cs="Arial" w:eastAsia="Arial" w:hAnsi="Arial"/>
          <w:sz w:val="18"/>
          <w:szCs w:val="18"/>
          <w:color w:val="auto"/>
        </w:rPr>
      </w:pPr>
    </w:p>
    <w:p>
      <w:pPr>
        <w:ind w:left="1952" w:right="20" w:hanging="655"/>
        <w:spacing w:after="0" w:line="259" w:lineRule="auto"/>
        <w:tabs>
          <w:tab w:leader="none" w:pos="1973" w:val="left"/>
        </w:tabs>
        <w:numPr>
          <w:ilvl w:val="1"/>
          <w:numId w:val="336"/>
        </w:numPr>
        <w:rPr>
          <w:rFonts w:ascii="Arial" w:cs="Arial" w:eastAsia="Arial" w:hAnsi="Arial"/>
          <w:sz w:val="18"/>
          <w:szCs w:val="18"/>
          <w:color w:val="auto"/>
        </w:rPr>
      </w:pPr>
      <w:r>
        <w:rPr>
          <w:rFonts w:ascii="Arial" w:cs="Arial" w:eastAsia="Arial" w:hAnsi="Arial"/>
          <w:sz w:val="18"/>
          <w:szCs w:val="18"/>
          <w:color w:val="auto"/>
        </w:rPr>
        <w:t>strictly abide by the provisions of this Agreement, the Transaction Documents and any other agreement to which Borrower and Lender are parties, perform his obligations under this Agreement, the Transaction Documents and any such other agreement, and refrain from taking any action or omit to take any action that may affect the effectiveness and enforceability of this Agreement, the Transaction Documents and any such other agreement; and</w:t>
      </w:r>
    </w:p>
    <w:p>
      <w:pPr>
        <w:spacing w:after="0" w:line="186" w:lineRule="exact"/>
        <w:rPr>
          <w:rFonts w:ascii="Arial" w:cs="Arial" w:eastAsia="Arial" w:hAnsi="Arial"/>
          <w:sz w:val="18"/>
          <w:szCs w:val="18"/>
          <w:color w:val="auto"/>
        </w:rPr>
      </w:pPr>
    </w:p>
    <w:p>
      <w:pPr>
        <w:ind w:left="1952" w:right="360" w:hanging="655"/>
        <w:spacing w:after="0" w:line="308" w:lineRule="auto"/>
        <w:tabs>
          <w:tab w:leader="none" w:pos="196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 xml:space="preserve">when Borrower gets married (if Borrower is not married already), promptly notify Lender in writing and deliver to Lender the Spousal Consent Letter executed by Borrower’s spouse,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652" w:hanging="652"/>
        <w:spacing w:after="0"/>
        <w:tabs>
          <w:tab w:leader="none" w:pos="652"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for Default</w:t>
      </w:r>
    </w:p>
    <w:p>
      <w:pPr>
        <w:spacing w:after="0" w:line="229" w:lineRule="exact"/>
        <w:rPr>
          <w:rFonts w:ascii="Arial" w:cs="Arial" w:eastAsia="Arial" w:hAnsi="Arial"/>
          <w:sz w:val="18"/>
          <w:szCs w:val="18"/>
          <w:b w:val="1"/>
          <w:bCs w:val="1"/>
          <w:color w:val="auto"/>
        </w:rPr>
      </w:pPr>
    </w:p>
    <w:p>
      <w:pPr>
        <w:ind w:left="1292" w:right="10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4.1.In the event that Borrower fails to repay the outstanding amount of the Loan when due and payable, Borrower shall be liable to pay default interest of 0.01% per day on the outstanding payment, until the date on which Borrower repays the outstanding amount of the Loan in full, together with interest thereon and any other amounts due and payable.</w:t>
      </w:r>
    </w:p>
    <w:p>
      <w:pPr>
        <w:spacing w:after="0" w:line="181" w:lineRule="exact"/>
        <w:rPr>
          <w:rFonts w:ascii="Arial" w:cs="Arial" w:eastAsia="Arial" w:hAnsi="Arial"/>
          <w:sz w:val="18"/>
          <w:szCs w:val="18"/>
          <w:b w:val="1"/>
          <w:bCs w:val="1"/>
          <w:color w:val="auto"/>
        </w:rPr>
      </w:pPr>
    </w:p>
    <w:p>
      <w:pPr>
        <w:ind w:left="1292" w:right="30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7"/>
          <w:szCs w:val="17"/>
          <w:color w:val="auto"/>
        </w:rPr>
        <w:t>Borrower hereby covenants that he will indemnify and hold harmless Lender against any action, charge, claim, cost, harm, demand, fee, liability, loss and procedure incurred by Lender arising out of Borrower’s breach of any of his obligations hereunder.</w:t>
      </w:r>
    </w:p>
    <w:p>
      <w:pPr>
        <w:spacing w:after="0" w:line="142" w:lineRule="exact"/>
        <w:rPr>
          <w:rFonts w:ascii="Arial" w:cs="Arial" w:eastAsia="Arial" w:hAnsi="Arial"/>
          <w:sz w:val="18"/>
          <w:szCs w:val="18"/>
          <w:b w:val="1"/>
          <w:bCs w:val="1"/>
          <w:color w:val="auto"/>
        </w:rPr>
      </w:pPr>
    </w:p>
    <w:p>
      <w:pPr>
        <w:ind w:left="652" w:hanging="652"/>
        <w:spacing w:after="0"/>
        <w:tabs>
          <w:tab w:leader="none" w:pos="652"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If to Lender: NetEase (Hangzhou) Network Co., Ltd.</w:t>
      </w:r>
    </w:p>
    <w:p>
      <w:pPr>
        <w:spacing w:after="0" w:line="229" w:lineRule="exact"/>
        <w:rPr>
          <w:sz w:val="20"/>
          <w:szCs w:val="20"/>
          <w:color w:val="auto"/>
        </w:rPr>
      </w:pPr>
    </w:p>
    <w:p>
      <w:pPr>
        <w:ind w:left="2092"/>
        <w:spacing w:after="0"/>
        <w:tabs>
          <w:tab w:leader="none" w:pos="4032"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7/F, Building 4, No. 599 Wangshang Road, Binjiang</w:t>
      </w:r>
    </w:p>
    <w:p>
      <w:pPr>
        <w:spacing w:after="0" w:line="23" w:lineRule="exact"/>
        <w:rPr>
          <w:sz w:val="20"/>
          <w:szCs w:val="20"/>
          <w:color w:val="auto"/>
        </w:rPr>
      </w:pPr>
    </w:p>
    <w:p>
      <w:pPr>
        <w:ind w:left="4052"/>
        <w:spacing w:after="0"/>
        <w:rPr>
          <w:sz w:val="20"/>
          <w:szCs w:val="20"/>
          <w:color w:val="auto"/>
        </w:rPr>
      </w:pPr>
      <w:r>
        <w:rPr>
          <w:rFonts w:ascii="Arial" w:cs="Arial" w:eastAsia="Arial" w:hAnsi="Arial"/>
          <w:sz w:val="18"/>
          <w:szCs w:val="18"/>
          <w:color w:val="auto"/>
        </w:rPr>
        <w:t>District, Hangzhou, Zhejiang, PRC</w:t>
      </w:r>
    </w:p>
    <w:p>
      <w:pPr>
        <w:spacing w:after="0" w:line="211" w:lineRule="exact"/>
        <w:rPr>
          <w:sz w:val="20"/>
          <w:szCs w:val="20"/>
          <w:color w:val="auto"/>
        </w:rPr>
      </w:pPr>
    </w:p>
    <w:p>
      <w:pPr>
        <w:ind w:left="2092"/>
        <w:spacing w:after="0"/>
        <w:tabs>
          <w:tab w:leader="none" w:pos="4032"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0571-89852163</w:t>
      </w:r>
    </w:p>
    <w:p>
      <w:pPr>
        <w:spacing w:after="0" w:line="225" w:lineRule="exact"/>
        <w:rPr>
          <w:sz w:val="20"/>
          <w:szCs w:val="20"/>
          <w:color w:val="auto"/>
        </w:rPr>
      </w:pPr>
    </w:p>
    <w:p>
      <w:pPr>
        <w:ind w:left="2092"/>
        <w:spacing w:after="0"/>
        <w:tabs>
          <w:tab w:leader="none" w:pos="4032"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liujianing@corp.netease.com</w:t>
      </w:r>
    </w:p>
    <w:p>
      <w:pPr>
        <w:spacing w:after="0" w:line="225" w:lineRule="exact"/>
        <w:rPr>
          <w:sz w:val="20"/>
          <w:szCs w:val="20"/>
          <w:color w:val="auto"/>
        </w:rPr>
      </w:pPr>
    </w:p>
    <w:p>
      <w:pPr>
        <w:ind w:left="2092"/>
        <w:spacing w:after="0"/>
        <w:tabs>
          <w:tab w:leader="none" w:pos="4032"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Liu Jianing</w:t>
      </w:r>
    </w:p>
    <w:p>
      <w:pPr>
        <w:spacing w:after="0" w:line="221"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If to Borrower: Hu Zhipeng</w:t>
      </w:r>
    </w:p>
    <w:p>
      <w:pPr>
        <w:spacing w:after="0" w:line="229" w:lineRule="exact"/>
        <w:rPr>
          <w:sz w:val="20"/>
          <w:szCs w:val="20"/>
          <w:color w:val="auto"/>
        </w:rPr>
      </w:pPr>
    </w:p>
    <w:p>
      <w:pPr>
        <w:ind w:left="2072"/>
        <w:spacing w:after="0"/>
        <w:tabs>
          <w:tab w:leader="none" w:pos="4012"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No. 14 South Street, Chaoyangmen, FESCO, Beijing,</w:t>
      </w:r>
    </w:p>
    <w:p>
      <w:pPr>
        <w:spacing w:after="0" w:line="23" w:lineRule="exact"/>
        <w:rPr>
          <w:sz w:val="20"/>
          <w:szCs w:val="20"/>
          <w:color w:val="auto"/>
        </w:rPr>
      </w:pPr>
    </w:p>
    <w:p>
      <w:pPr>
        <w:ind w:left="4032"/>
        <w:spacing w:after="0"/>
        <w:rPr>
          <w:sz w:val="20"/>
          <w:szCs w:val="20"/>
          <w:color w:val="auto"/>
        </w:rPr>
      </w:pPr>
      <w:r>
        <w:rPr>
          <w:rFonts w:ascii="Arial" w:cs="Arial" w:eastAsia="Arial" w:hAnsi="Arial"/>
          <w:sz w:val="18"/>
          <w:szCs w:val="18"/>
          <w:color w:val="auto"/>
        </w:rPr>
        <w:t>PRC</w:t>
      </w:r>
    </w:p>
    <w:p>
      <w:pPr>
        <w:spacing w:after="0" w:line="211" w:lineRule="exact"/>
        <w:rPr>
          <w:sz w:val="20"/>
          <w:szCs w:val="20"/>
          <w:color w:val="auto"/>
        </w:rPr>
      </w:pPr>
    </w:p>
    <w:p>
      <w:pPr>
        <w:ind w:left="2072"/>
        <w:spacing w:after="0"/>
        <w:tabs>
          <w:tab w:leader="none" w:pos="4012"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0571-89852760</w:t>
      </w:r>
    </w:p>
    <w:p>
      <w:pPr>
        <w:spacing w:after="0" w:line="225" w:lineRule="exact"/>
        <w:rPr>
          <w:sz w:val="20"/>
          <w:szCs w:val="20"/>
          <w:color w:val="auto"/>
        </w:rPr>
      </w:pPr>
    </w:p>
    <w:p>
      <w:pPr>
        <w:ind w:left="2072"/>
        <w:spacing w:after="0"/>
        <w:tabs>
          <w:tab w:leader="none" w:pos="4012"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zphu@corp.netease.com</w:t>
      </w:r>
    </w:p>
    <w:p>
      <w:pPr>
        <w:spacing w:after="0" w:line="221" w:lineRule="exact"/>
        <w:rPr>
          <w:sz w:val="20"/>
          <w:szCs w:val="20"/>
          <w:color w:val="auto"/>
        </w:rPr>
      </w:pPr>
    </w:p>
    <w:p>
      <w:pPr>
        <w:ind w:left="652" w:hanging="652"/>
        <w:spacing w:after="0"/>
        <w:tabs>
          <w:tab w:leader="none" w:pos="652"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52"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ectPr>
          <w:pgSz w:w="11900" w:h="16838" w:orient="portrait"/>
          <w:cols w:equalWidth="0" w:num="1">
            <w:col w:w="11392"/>
          </w:cols>
          <w:pgMar w:left="248" w:top="125" w:right="259" w:bottom="111" w:gutter="0" w:footer="0" w:header="0"/>
        </w:sectPr>
      </w:pP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125" w:right="259" w:bottom="111" w:gutter="0" w:footer="0" w:header="0"/>
          <w:type w:val="continuous"/>
        </w:sectPr>
      </w:pPr>
    </w:p>
    <w:bookmarkStart w:id="184" w:name="page185"/>
    <w:bookmarkEnd w:id="184"/>
    <w:p>
      <w:pPr>
        <w:ind w:left="660" w:hanging="652"/>
        <w:spacing w:after="0"/>
        <w:tabs>
          <w:tab w:leader="none" w:pos="6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300" w:right="2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7.1.The formation, effect, interpretation, performance, amendment, termination and dispute resolution of this Agreement shall be governed by PRC law.</w:t>
      </w:r>
    </w:p>
    <w:p>
      <w:pPr>
        <w:spacing w:after="0" w:line="170" w:lineRule="exact"/>
        <w:rPr>
          <w:rFonts w:ascii="Arial" w:cs="Arial" w:eastAsia="Arial" w:hAnsi="Arial"/>
          <w:sz w:val="18"/>
          <w:szCs w:val="18"/>
          <w:b w:val="1"/>
          <w:bCs w:val="1"/>
          <w:color w:val="auto"/>
        </w:rPr>
      </w:pPr>
    </w:p>
    <w:p>
      <w:pPr>
        <w:ind w:left="1300" w:right="60" w:hanging="648"/>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7.2.</w:t>
      </w:r>
      <w:r>
        <w:rPr>
          <w:rFonts w:ascii="Arial" w:cs="Arial" w:eastAsia="Arial" w:hAnsi="Arial"/>
          <w:sz w:val="16"/>
          <w:szCs w:val="16"/>
          <w:color w:val="auto"/>
        </w:rPr>
        <w:t>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the Lender.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68" w:lineRule="exact"/>
        <w:rPr>
          <w:rFonts w:ascii="Arial" w:cs="Arial" w:eastAsia="Arial" w:hAnsi="Arial"/>
          <w:sz w:val="18"/>
          <w:szCs w:val="18"/>
          <w:b w:val="1"/>
          <w:bCs w:val="1"/>
          <w:color w:val="auto"/>
        </w:rPr>
      </w:pPr>
    </w:p>
    <w:p>
      <w:pPr>
        <w:ind w:left="1300" w:right="56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7.3.</w:t>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300" w:right="7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8.1.This Agreement shall become effective on the date hereof, and shall expire upon the date of full performance by the Parties of their respective obligations under this Agreement.</w:t>
      </w:r>
    </w:p>
    <w:p>
      <w:pPr>
        <w:spacing w:after="0" w:line="170" w:lineRule="exact"/>
        <w:rPr>
          <w:rFonts w:ascii="Arial" w:cs="Arial" w:eastAsia="Arial" w:hAnsi="Arial"/>
          <w:sz w:val="18"/>
          <w:szCs w:val="18"/>
          <w:b w:val="1"/>
          <w:bCs w:val="1"/>
          <w:color w:val="auto"/>
        </w:rPr>
      </w:pPr>
    </w:p>
    <w:p>
      <w:pPr>
        <w:ind w:left="1300" w:right="28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8.2.</w:t>
      </w:r>
      <w:r>
        <w:rPr>
          <w:rFonts w:ascii="Arial" w:cs="Arial" w:eastAsia="Arial" w:hAnsi="Arial"/>
          <w:sz w:val="17"/>
          <w:szCs w:val="17"/>
          <w:color w:val="auto"/>
        </w:rPr>
        <w:t>This Agreement shall constitute the entire agreement of the Parties with respect to the subject matters hereof and shall supersede all prior oral and/or written agreements and understandings by the Parties with respect to the subject matters hereof.</w:t>
      </w:r>
    </w:p>
    <w:p>
      <w:pPr>
        <w:spacing w:after="0" w:line="14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8.3.</w:t>
      </w:r>
      <w:r>
        <w:rPr>
          <w:rFonts w:ascii="Arial" w:cs="Arial" w:eastAsia="Arial" w:hAnsi="Arial"/>
          <w:sz w:val="16"/>
          <w:szCs w:val="16"/>
          <w:color w:val="auto"/>
        </w:rPr>
        <w:t>This Agreement may not be amended or modified in any manner except by an instrument in writing signed by the Parties hereto.</w:t>
      </w:r>
    </w:p>
    <w:p>
      <w:pPr>
        <w:spacing w:after="0" w:line="225" w:lineRule="exact"/>
        <w:rPr>
          <w:rFonts w:ascii="Arial" w:cs="Arial" w:eastAsia="Arial" w:hAnsi="Arial"/>
          <w:sz w:val="18"/>
          <w:szCs w:val="18"/>
          <w:b w:val="1"/>
          <w:bCs w:val="1"/>
          <w:color w:val="auto"/>
        </w:rPr>
      </w:pPr>
    </w:p>
    <w:p>
      <w:pPr>
        <w:ind w:left="1300" w:right="80" w:hanging="648"/>
        <w:spacing w:after="0" w:line="302" w:lineRule="auto"/>
        <w:rPr>
          <w:rFonts w:ascii="Arial" w:cs="Arial" w:eastAsia="Arial" w:hAnsi="Arial"/>
          <w:sz w:val="18"/>
          <w:szCs w:val="18"/>
          <w:b w:val="1"/>
          <w:bCs w:val="1"/>
          <w:color w:val="auto"/>
        </w:rPr>
      </w:pPr>
      <w:r>
        <w:rPr>
          <w:rFonts w:ascii="Arial" w:cs="Arial" w:eastAsia="Arial" w:hAnsi="Arial"/>
          <w:sz w:val="18"/>
          <w:szCs w:val="18"/>
          <w:color w:val="auto"/>
        </w:rPr>
        <w:t>8.4.</w:t>
      </w:r>
      <w:r>
        <w:rPr>
          <w:rFonts w:ascii="Arial" w:cs="Arial" w:eastAsia="Arial" w:hAnsi="Arial"/>
          <w:sz w:val="16"/>
          <w:szCs w:val="16"/>
          <w:color w:val="auto"/>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hanging="647"/>
        <w:spacing w:after="0" w:line="312" w:lineRule="auto"/>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w:t>
      </w:r>
    </w:p>
    <w:p>
      <w:pPr>
        <w:spacing w:after="0" w:line="147" w:lineRule="exact"/>
        <w:rPr>
          <w:sz w:val="20"/>
          <w:szCs w:val="20"/>
          <w:color w:val="auto"/>
        </w:rPr>
      </w:pPr>
    </w:p>
    <w:p>
      <w:pPr>
        <w:ind w:left="1300" w:right="140" w:hanging="647"/>
        <w:spacing w:after="0" w:line="255" w:lineRule="auto"/>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If required under any applicable law, regulations or listing rules or required or deemed desirable by any stock exchange, government or other regulatory authority having competent jurisdiction over the Parties and their affiliates (the “</w:t>
      </w:r>
      <w:r>
        <w:rPr>
          <w:rFonts w:ascii="Arial" w:cs="Arial" w:eastAsia="Arial" w:hAnsi="Arial"/>
          <w:sz w:val="18"/>
          <w:szCs w:val="18"/>
          <w:b w:val="1"/>
          <w:bCs w:val="1"/>
          <w:color w:val="auto"/>
        </w:rPr>
        <w:t>Applicable Requirements</w:t>
      </w:r>
      <w:r>
        <w:rPr>
          <w:rFonts w:ascii="Arial" w:cs="Arial" w:eastAsia="Arial" w:hAnsi="Arial"/>
          <w:sz w:val="18"/>
          <w:szCs w:val="18"/>
          <w:color w:val="auto"/>
        </w:rPr>
        <w:t>”), Borrower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3 Business Days from demand by Lender.</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Pr>
          <w:p>
            <w:pPr>
              <w:ind w:left="4780"/>
              <w:spacing w:after="0"/>
              <w:rPr>
                <w:sz w:val="20"/>
                <w:szCs w:val="20"/>
                <w:color w:val="auto"/>
              </w:rPr>
            </w:pPr>
            <w:r>
              <w:rPr>
                <w:rFonts w:ascii="Arial" w:cs="Arial" w:eastAsia="Arial" w:hAnsi="Arial"/>
                <w:sz w:val="18"/>
                <w:szCs w:val="18"/>
                <w:b w:val="1"/>
                <w:bCs w:val="1"/>
                <w:color w:val="auto"/>
              </w:rPr>
              <w:t>Lender:</w:t>
            </w:r>
          </w:p>
        </w:tc>
        <w:tc>
          <w:tcPr>
            <w:tcW w:w="5060" w:type="dxa"/>
            <w:vAlign w:val="bottom"/>
          </w:tcPr>
          <w:p>
            <w:pPr>
              <w:spacing w:after="0"/>
              <w:rPr>
                <w:sz w:val="20"/>
                <w:szCs w:val="20"/>
                <w:color w:val="auto"/>
              </w:rPr>
            </w:pPr>
            <w:r>
              <w:rPr>
                <w:rFonts w:ascii="Arial" w:cs="Arial" w:eastAsia="Arial" w:hAnsi="Arial"/>
                <w:sz w:val="18"/>
                <w:szCs w:val="18"/>
                <w:b w:val="1"/>
                <w:bCs w:val="1"/>
                <w:color w:val="auto"/>
              </w:rPr>
              <w:t>NetEase (Hangzhou) Network Co., Ltd.</w:t>
            </w:r>
          </w:p>
        </w:tc>
        <w:tc>
          <w:tcPr>
            <w:tcW w:w="40" w:type="dxa"/>
            <w:vAlign w:val="bottom"/>
          </w:tcPr>
          <w:p>
            <w:pPr>
              <w:spacing w:after="0"/>
              <w:rPr>
                <w:sz w:val="19"/>
                <w:szCs w:val="19"/>
                <w:color w:val="auto"/>
              </w:rPr>
            </w:pPr>
          </w:p>
        </w:tc>
      </w:tr>
      <w:tr>
        <w:trPr>
          <w:trHeight w:val="230"/>
        </w:trPr>
        <w:tc>
          <w:tcPr>
            <w:tcW w:w="63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(Seal)</w:t>
            </w:r>
          </w:p>
        </w:tc>
        <w:tc>
          <w:tcPr>
            <w:tcW w:w="40" w:type="dxa"/>
            <w:vAlign w:val="bottom"/>
          </w:tcPr>
          <w:p>
            <w:pPr>
              <w:spacing w:after="0"/>
              <w:rPr>
                <w:sz w:val="20"/>
                <w:szCs w:val="20"/>
                <w:color w:val="auto"/>
              </w:rPr>
            </w:pPr>
          </w:p>
        </w:tc>
      </w:tr>
      <w:tr>
        <w:trPr>
          <w:trHeight w:val="648"/>
        </w:trPr>
        <w:tc>
          <w:tcPr>
            <w:tcW w:w="6360" w:type="dxa"/>
            <w:vAlign w:val="bottom"/>
          </w:tcPr>
          <w:p>
            <w:pPr>
              <w:ind w:left="4780"/>
              <w:spacing w:after="0"/>
              <w:rPr>
                <w:sz w:val="20"/>
                <w:szCs w:val="20"/>
                <w:color w:val="auto"/>
              </w:rPr>
            </w:pPr>
            <w:r>
              <w:rPr>
                <w:rFonts w:ascii="Arial" w:cs="Arial" w:eastAsia="Arial" w:hAnsi="Arial"/>
                <w:sz w:val="18"/>
                <w:szCs w:val="18"/>
                <w:b w:val="1"/>
                <w:bCs w:val="1"/>
                <w:color w:val="auto"/>
              </w:rPr>
              <w:t>Borrower:</w:t>
            </w:r>
          </w:p>
        </w:tc>
        <w:tc>
          <w:tcPr>
            <w:tcW w:w="5060" w:type="dxa"/>
            <w:vAlign w:val="bottom"/>
          </w:tcPr>
          <w:p>
            <w:pPr>
              <w:spacing w:after="0"/>
              <w:rPr>
                <w:sz w:val="20"/>
                <w:szCs w:val="20"/>
                <w:color w:val="auto"/>
              </w:rPr>
            </w:pPr>
            <w:r>
              <w:rPr>
                <w:rFonts w:ascii="Arial" w:cs="Arial" w:eastAsia="Arial" w:hAnsi="Arial"/>
                <w:sz w:val="18"/>
                <w:szCs w:val="18"/>
                <w:b w:val="1"/>
                <w:bCs w:val="1"/>
                <w:color w:val="auto"/>
              </w:rPr>
              <w:t>Hu Zhipeng</w:t>
            </w:r>
          </w:p>
        </w:tc>
        <w:tc>
          <w:tcPr>
            <w:tcW w:w="40" w:type="dxa"/>
            <w:vAlign w:val="bottom"/>
          </w:tcPr>
          <w:p>
            <w:pPr>
              <w:spacing w:after="0"/>
              <w:rPr>
                <w:sz w:val="24"/>
                <w:szCs w:val="24"/>
                <w:color w:val="auto"/>
              </w:rPr>
            </w:pPr>
          </w:p>
        </w:tc>
      </w:tr>
      <w:tr>
        <w:trPr>
          <w:trHeight w:val="432"/>
        </w:trPr>
        <w:tc>
          <w:tcPr>
            <w:tcW w:w="6360" w:type="dxa"/>
            <w:vAlign w:val="bottom"/>
          </w:tcPr>
          <w:p>
            <w:pPr>
              <w:spacing w:after="0"/>
              <w:rPr>
                <w:sz w:val="24"/>
                <w:szCs w:val="24"/>
                <w:color w:val="auto"/>
              </w:rPr>
            </w:pP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 Zhipeng</w:t>
            </w:r>
          </w:p>
        </w:tc>
        <w:tc>
          <w:tcPr>
            <w:tcW w:w="40" w:type="dxa"/>
            <w:vAlign w:val="bottom"/>
          </w:tcPr>
          <w:p>
            <w:pPr>
              <w:spacing w:after="0"/>
              <w:rPr>
                <w:sz w:val="24"/>
                <w:szCs w:val="24"/>
                <w:color w:val="auto"/>
              </w:rPr>
            </w:pPr>
          </w:p>
        </w:tc>
      </w:tr>
      <w:tr>
        <w:trPr>
          <w:trHeight w:val="341"/>
        </w:trPr>
        <w:tc>
          <w:tcPr>
            <w:tcW w:w="636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Appendix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Equity Pledge Agreement</w:t>
      </w:r>
    </w:p>
    <w:p>
      <w:pPr>
        <w:sectPr>
          <w:pgSz w:w="11900" w:h="16838" w:orient="portrait"/>
          <w:cols w:equalWidth="0" w:num="1">
            <w:col w:w="11460"/>
          </w:cols>
          <w:pgMar w:left="240" w:top="337" w:right="199" w:bottom="0" w:gutter="0" w:footer="0" w:header="0"/>
        </w:sectPr>
      </w:pPr>
    </w:p>
    <w:bookmarkStart w:id="185" w:name="page186"/>
    <w:bookmarkEnd w:id="185"/>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Shareholder Voting Right Trust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Exclusive Purchase Option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Operating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A</w:t>
            </w:r>
          </w:p>
        </w:tc>
      </w:tr>
      <w:tr>
        <w:trPr>
          <w:trHeight w:val="453"/>
        </w:trPr>
        <w:tc>
          <w:tcPr>
            <w:tcW w:w="8240" w:type="dxa"/>
            <w:vAlign w:val="bottom"/>
          </w:tcPr>
          <w:p>
            <w:pPr>
              <w:ind w:left="3320"/>
              <w:spacing w:after="0"/>
              <w:rPr>
                <w:sz w:val="20"/>
                <w:szCs w:val="20"/>
                <w:color w:val="auto"/>
              </w:rPr>
            </w:pPr>
            <w:r>
              <w:rPr>
                <w:rFonts w:ascii="Arial" w:cs="Arial" w:eastAsia="Arial" w:hAnsi="Arial"/>
                <w:sz w:val="18"/>
                <w:szCs w:val="18"/>
                <w:b w:val="1"/>
                <w:bCs w:val="1"/>
                <w:color w:val="auto"/>
              </w:rPr>
              <w:t>SUPPLEMENTAL AGREEMENT TO LOAN AGREEMENT</w:t>
            </w:r>
          </w:p>
        </w:tc>
        <w:tc>
          <w:tcPr>
            <w:tcW w:w="2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4"/>
        </w:trPr>
        <w:tc>
          <w:tcPr>
            <w:tcW w:w="10680" w:type="dxa"/>
            <w:vAlign w:val="bottom"/>
            <w:gridSpan w:val="2"/>
          </w:tcPr>
          <w:p>
            <w:pPr>
              <w:spacing w:after="0"/>
              <w:rPr>
                <w:sz w:val="20"/>
                <w:szCs w:val="20"/>
                <w:color w:val="auto"/>
              </w:rPr>
            </w:pPr>
            <w:r>
              <w:rPr>
                <w:rFonts w:ascii="Arial" w:cs="Arial" w:eastAsia="Arial" w:hAnsi="Arial"/>
                <w:sz w:val="18"/>
                <w:szCs w:val="18"/>
                <w:color w:val="auto"/>
                <w:w w:val="98"/>
              </w:rPr>
              <w:t xml:space="preserve">This </w:t>
            </w:r>
            <w:r>
              <w:rPr>
                <w:rFonts w:ascii="Arial" w:cs="Arial" w:eastAsia="Arial" w:hAnsi="Arial"/>
                <w:sz w:val="18"/>
                <w:szCs w:val="18"/>
                <w:b w:val="1"/>
                <w:bCs w:val="1"/>
                <w:color w:val="auto"/>
                <w:w w:val="98"/>
              </w:rPr>
              <w:t>SUPPLEMENTAL AGREEMENT</w:t>
            </w:r>
            <w:r>
              <w:rPr>
                <w:rFonts w:ascii="Arial" w:cs="Arial" w:eastAsia="Arial" w:hAnsi="Arial"/>
                <w:sz w:val="18"/>
                <w:szCs w:val="18"/>
                <w:color w:val="auto"/>
                <w:w w:val="98"/>
              </w:rPr>
              <w:t xml:space="preserve"> (this “</w:t>
            </w:r>
            <w:r>
              <w:rPr>
                <w:rFonts w:ascii="Arial" w:cs="Arial" w:eastAsia="Arial" w:hAnsi="Arial"/>
                <w:sz w:val="18"/>
                <w:szCs w:val="18"/>
                <w:b w:val="1"/>
                <w:bCs w:val="1"/>
                <w:color w:val="auto"/>
                <w:w w:val="98"/>
              </w:rPr>
              <w:t>Supplemental Agreement</w:t>
            </w:r>
            <w:r>
              <w:rPr>
                <w:rFonts w:ascii="Arial" w:cs="Arial" w:eastAsia="Arial" w:hAnsi="Arial"/>
                <w:sz w:val="18"/>
                <w:szCs w:val="18"/>
                <w:color w:val="auto"/>
                <w:w w:val="98"/>
              </w:rPr>
              <w:t>”) to that certain Amended and Restated Loan Agreement dated</w:t>
            </w:r>
          </w:p>
        </w:tc>
        <w:tc>
          <w:tcPr>
            <w:tcW w:w="740" w:type="dxa"/>
            <w:vAlign w:val="bottom"/>
          </w:tcPr>
          <w:p>
            <w:pPr>
              <w:ind w:left="360"/>
              <w:spacing w:after="0"/>
              <w:rPr>
                <w:sz w:val="20"/>
                <w:szCs w:val="20"/>
                <w:color w:val="auto"/>
              </w:rPr>
            </w:pPr>
            <w:r>
              <w:rPr>
                <w:rFonts w:ascii="Arial" w:cs="Arial" w:eastAsia="Arial" w:hAnsi="Arial"/>
                <w:sz w:val="18"/>
                <w:szCs w:val="18"/>
                <w:color w:val="auto"/>
              </w:rPr>
              <w:t>(as</w:t>
            </w:r>
          </w:p>
        </w:tc>
      </w:tr>
      <w:tr>
        <w:trPr>
          <w:trHeight w:val="234"/>
        </w:trPr>
        <w:tc>
          <w:tcPr>
            <w:tcW w:w="8240" w:type="dxa"/>
            <w:vAlign w:val="bottom"/>
          </w:tcPr>
          <w:p>
            <w:pPr>
              <w:spacing w:after="0"/>
              <w:rPr>
                <w:sz w:val="20"/>
                <w:szCs w:val="20"/>
                <w:color w:val="auto"/>
              </w:rPr>
            </w:pPr>
            <w:r>
              <w:rPr>
                <w:rFonts w:ascii="Arial" w:cs="Arial" w:eastAsia="Arial" w:hAnsi="Arial"/>
                <w:sz w:val="18"/>
                <w:szCs w:val="18"/>
                <w:color w:val="auto"/>
                <w:w w:val="99"/>
              </w:rPr>
              <w:t>the same may be amended and supplemented from time to time, the “</w:t>
            </w:r>
            <w:r>
              <w:rPr>
                <w:rFonts w:ascii="Arial" w:cs="Arial" w:eastAsia="Arial" w:hAnsi="Arial"/>
                <w:sz w:val="18"/>
                <w:szCs w:val="18"/>
                <w:b w:val="1"/>
                <w:bCs w:val="1"/>
                <w:color w:val="auto"/>
                <w:w w:val="99"/>
              </w:rPr>
              <w:t>Agreement</w:t>
            </w:r>
            <w:r>
              <w:rPr>
                <w:rFonts w:ascii="Arial" w:cs="Arial" w:eastAsia="Arial" w:hAnsi="Arial"/>
                <w:sz w:val="18"/>
                <w:szCs w:val="18"/>
                <w:color w:val="auto"/>
                <w:w w:val="99"/>
              </w:rPr>
              <w:t>”) is entered into as of</w:t>
            </w:r>
          </w:p>
        </w:tc>
        <w:tc>
          <w:tcPr>
            <w:tcW w:w="3180" w:type="dxa"/>
            <w:vAlign w:val="bottom"/>
            <w:gridSpan w:val="2"/>
          </w:tcPr>
          <w:p>
            <w:pPr>
              <w:ind w:left="140"/>
              <w:spacing w:after="0"/>
              <w:rPr>
                <w:sz w:val="20"/>
                <w:szCs w:val="20"/>
                <w:color w:val="auto"/>
              </w:rPr>
            </w:pPr>
            <w:r>
              <w:rPr>
                <w:rFonts w:ascii="Arial" w:cs="Arial" w:eastAsia="Arial" w:hAnsi="Arial"/>
                <w:sz w:val="18"/>
                <w:szCs w:val="18"/>
                <w:color w:val="auto"/>
              </w:rPr>
              <w:t>by and between NetEase (Hangzhou)</w:t>
            </w:r>
          </w:p>
        </w:tc>
      </w:tr>
    </w:tbl>
    <w:p>
      <w:pPr>
        <w:spacing w:after="0"/>
        <w:rPr>
          <w:sz w:val="20"/>
          <w:szCs w:val="20"/>
          <w:color w:val="auto"/>
        </w:rPr>
      </w:pPr>
      <w:r>
        <w:rPr>
          <w:rFonts w:ascii="Arial" w:cs="Arial" w:eastAsia="Arial" w:hAnsi="Arial"/>
          <w:sz w:val="18"/>
          <w:szCs w:val="18"/>
          <w:color w:val="auto"/>
        </w:rPr>
        <w:t>Network Co., Ltd. (“</w:t>
      </w:r>
      <w:r>
        <w:rPr>
          <w:rFonts w:ascii="Arial" w:cs="Arial" w:eastAsia="Arial" w:hAnsi="Arial"/>
          <w:sz w:val="18"/>
          <w:szCs w:val="18"/>
          <w:b w:val="1"/>
          <w:bCs w:val="1"/>
          <w:color w:val="auto"/>
        </w:rPr>
        <w:t>Lender</w:t>
      </w:r>
      <w:r>
        <w:rPr>
          <w:rFonts w:ascii="Arial" w:cs="Arial" w:eastAsia="Arial" w:hAnsi="Arial"/>
          <w:sz w:val="18"/>
          <w:szCs w:val="18"/>
          <w:color w:val="auto"/>
        </w:rPr>
        <w:t>”), a wholly foreign-owned enterprise incorporated in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 and Hu Zhipeng</w:t>
      </w:r>
    </w:p>
    <w:p>
      <w:pPr>
        <w:spacing w:after="0" w:line="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a citizen of the PRC and owner of 50% of the equity interests of Hangzhou NetEase Leihuo Network Co., Ltd. (the “</w:t>
      </w:r>
      <w:r>
        <w:rPr>
          <w:rFonts w:ascii="Arial" w:cs="Arial" w:eastAsia="Arial" w:hAnsi="Arial"/>
          <w:sz w:val="18"/>
          <w:szCs w:val="18"/>
          <w:b w:val="1"/>
          <w:bCs w:val="1"/>
          <w:color w:val="auto"/>
        </w:rPr>
        <w:t>Domestic Company</w:t>
      </w:r>
      <w:r>
        <w:rPr>
          <w:rFonts w:ascii="Arial" w:cs="Arial" w:eastAsia="Arial" w:hAnsi="Arial"/>
          <w:sz w:val="18"/>
          <w:szCs w:val="18"/>
          <w:color w:val="auto"/>
        </w:rPr>
        <w:t>”). Lender and Borrower are hereinafter collectively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Party</w:t>
      </w:r>
      <w:r>
        <w:rPr>
          <w:rFonts w:ascii="Arial" w:cs="Arial" w:eastAsia="Arial" w:hAnsi="Arial"/>
          <w:sz w:val="18"/>
          <w:szCs w:val="18"/>
          <w:color w:val="auto"/>
        </w:rPr>
        <w:t>.” Capitalized terms used herein and not otherwise defined shall have the respective meanings assigned to them in the Agreement.</w:t>
      </w:r>
    </w:p>
    <w:p>
      <w:pPr>
        <w:spacing w:after="0" w:line="18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supplement the Agreement in connection with the extension of a new loan from Lender to Borrower in connection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Company’s registered capital], as herein provided.</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agreements contained herein and subject to the terms and conditions herein set forth, the Parties agree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Agreement is hereby amended and supplemented as follows:</w:t>
      </w:r>
    </w:p>
    <w:p>
      <w:pPr>
        <w:spacing w:after="0" w:line="162" w:lineRule="exact"/>
        <w:rPr>
          <w:sz w:val="20"/>
          <w:szCs w:val="20"/>
          <w:color w:val="auto"/>
        </w:rPr>
      </w:pPr>
    </w:p>
    <w:p>
      <w:pPr>
        <w:spacing w:after="0"/>
        <w:tabs>
          <w:tab w:leader="none" w:pos="640" w:val="left"/>
          <w:tab w:leader="none" w:pos="88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Lender agrees to provide an additional loan to Borrower with an aggregate principal amount of RMB</w:t>
      </w:r>
      <w:r>
        <w:rPr>
          <w:sz w:val="20"/>
          <w:szCs w:val="20"/>
          <w:color w:val="auto"/>
        </w:rPr>
        <w:tab/>
      </w:r>
      <w:r>
        <w:rPr>
          <w:rFonts w:ascii="Arial" w:cs="Arial" w:eastAsia="Arial" w:hAnsi="Arial"/>
          <w:sz w:val="17"/>
          <w:szCs w:val="17"/>
          <w:color w:val="auto"/>
        </w:rPr>
        <w:t>(the “</w:t>
      </w:r>
      <w:r>
        <w:rPr>
          <w:rFonts w:ascii="Arial" w:cs="Arial" w:eastAsia="Arial" w:hAnsi="Arial"/>
          <w:sz w:val="17"/>
          <w:szCs w:val="17"/>
          <w:b w:val="1"/>
          <w:bCs w:val="1"/>
          <w:color w:val="auto"/>
        </w:rPr>
        <w:t>Additional Loan</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229" w:lineRule="exact"/>
        <w:rPr>
          <w:sz w:val="20"/>
          <w:szCs w:val="20"/>
          <w:color w:val="auto"/>
        </w:rPr>
      </w:pPr>
    </w:p>
    <w:p>
      <w:pPr>
        <w:ind w:left="660" w:right="340" w:hanging="652"/>
        <w:spacing w:after="0" w:line="277" w:lineRule="auto"/>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Borrower confirms that he has received the total amount of the Additional Loan and [has invested it into the Domestic Company as an additional capital contribution].</w:t>
      </w:r>
    </w:p>
    <w:p>
      <w:pPr>
        <w:spacing w:after="0" w:line="170" w:lineRule="exact"/>
        <w:rPr>
          <w:rFonts w:ascii="Arial" w:cs="Arial" w:eastAsia="Arial" w:hAnsi="Arial"/>
          <w:sz w:val="18"/>
          <w:szCs w:val="18"/>
          <w:color w:val="auto"/>
        </w:rPr>
      </w:pPr>
    </w:p>
    <w:p>
      <w:pPr>
        <w:ind w:left="660" w:right="180" w:hanging="652"/>
        <w:spacing w:after="0" w:line="264" w:lineRule="auto"/>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definition of, and any reference to, “Loan” in the Agreement shall be deemed to include the Additional Loan, and the Additional Loan shall be subject to the same terms and conditions of the Loan as provided in the Agreement. For the avoidance of doubt, the term of the Additional Loan shall be the same as the term of the Loan as specified in the Agreement.</w:t>
      </w:r>
    </w:p>
    <w:p>
      <w:pPr>
        <w:spacing w:after="0" w:line="181" w:lineRule="exact"/>
        <w:rPr>
          <w:rFonts w:ascii="Arial" w:cs="Arial" w:eastAsia="Arial" w:hAnsi="Arial"/>
          <w:sz w:val="18"/>
          <w:szCs w:val="18"/>
          <w:color w:val="auto"/>
        </w:rPr>
      </w:pPr>
    </w:p>
    <w:p>
      <w:pPr>
        <w:ind w:left="660" w:right="580" w:hanging="652"/>
        <w:spacing w:after="0" w:line="342" w:lineRule="auto"/>
        <w:tabs>
          <w:tab w:leader="none" w:pos="66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Each Party hereto represents and warrants to the other Party hereto that this Supplemental Agreement has been duly authorized, executed and delivered by it/he and constitutes a valid and legally binding agreement with respect to the subject matter contained herein.</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Articles 6, 7 and 8 of the Agreement are hereby incorporated into this Supplemental Agreement by this reference.</w:t>
      </w:r>
    </w:p>
    <w:p>
      <w:pPr>
        <w:spacing w:after="0" w:line="225"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This Supplemental Agreement contains the entire agreement between the Parties with respect to the subject matter of this Supplemental Agreement and supersedes and extinguishes all prior agreement and understandings, oral or written, with respect to such matter.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Supplemental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hanging="652"/>
        <w:spacing w:after="0"/>
        <w:tabs>
          <w:tab w:leader="none" w:pos="66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As amended and supplemented hereby, the terms and conditions and all the provisions of the Agreement are and will remain in full force and effect.</w:t>
      </w:r>
    </w:p>
    <w:p>
      <w:pPr>
        <w:spacing w:after="0" w:line="248" w:lineRule="exact"/>
        <w:rPr>
          <w:rFonts w:ascii="Arial" w:cs="Arial" w:eastAsia="Arial" w:hAnsi="Arial"/>
          <w:sz w:val="16"/>
          <w:szCs w:val="16"/>
          <w:color w:val="auto"/>
        </w:rPr>
      </w:pPr>
    </w:p>
    <w:p>
      <w:pPr>
        <w:ind w:left="660" w:right="440" w:hanging="652"/>
        <w:spacing w:after="0" w:line="277" w:lineRule="auto"/>
        <w:tabs>
          <w:tab w:leader="none" w:pos="6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This Supplemental Agreement may be executed in one or more counterparts, each of which shall be deemed to be an original instrument by the Parties executing such counterpart, but all of which shall be considered one and the same instrument.</w:t>
      </w:r>
    </w:p>
    <w:p>
      <w:pPr>
        <w:sectPr>
          <w:pgSz w:w="11900" w:h="16915" w:orient="portrait"/>
          <w:cols w:equalWidth="0" w:num="1">
            <w:col w:w="11420"/>
          </w:cols>
          <w:pgMar w:left="240" w:top="125" w:right="239" w:bottom="0" w:gutter="0" w:footer="0" w:header="0"/>
        </w:sectPr>
      </w:pPr>
    </w:p>
    <w:bookmarkStart w:id="186" w:name="page187"/>
    <w:bookmarkEnd w:id="186"/>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Supplemental Agreement has been signed by the Parties hereto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ind w:left="4580"/>
              <w:spacing w:after="0"/>
              <w:rPr>
                <w:sz w:val="20"/>
                <w:szCs w:val="20"/>
                <w:color w:val="auto"/>
              </w:rPr>
            </w:pPr>
            <w:r>
              <w:rPr>
                <w:rFonts w:ascii="Arial" w:cs="Arial" w:eastAsia="Arial" w:hAnsi="Arial"/>
                <w:sz w:val="18"/>
                <w:szCs w:val="18"/>
                <w:b w:val="1"/>
                <w:bCs w:val="1"/>
                <w:color w:val="auto"/>
              </w:rPr>
              <w:t>Lender:</w:t>
            </w:r>
          </w:p>
        </w:tc>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NetEase (Hangzhou) Network Co., Ltd.</w:t>
            </w:r>
          </w:p>
        </w:tc>
        <w:tc>
          <w:tcPr>
            <w:tcW w:w="4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(seal)</w:t>
            </w:r>
          </w:p>
        </w:tc>
        <w:tc>
          <w:tcPr>
            <w:tcW w:w="40" w:type="dxa"/>
            <w:vAlign w:val="bottom"/>
          </w:tcPr>
          <w:p>
            <w:pPr>
              <w:spacing w:after="0"/>
              <w:rPr>
                <w:sz w:val="20"/>
                <w:szCs w:val="20"/>
                <w:color w:val="auto"/>
              </w:rPr>
            </w:pPr>
          </w:p>
        </w:tc>
      </w:tr>
      <w:tr>
        <w:trPr>
          <w:trHeight w:val="432"/>
        </w:trPr>
        <w:tc>
          <w:tcPr>
            <w:tcW w:w="63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182"/>
        </w:trPr>
        <w:tc>
          <w:tcPr>
            <w:tcW w:w="6320" w:type="dxa"/>
            <w:vAlign w:val="bottom"/>
          </w:tcPr>
          <w:p>
            <w:pPr>
              <w:spacing w:after="0"/>
              <w:rPr>
                <w:sz w:val="15"/>
                <w:szCs w:val="15"/>
                <w:color w:val="auto"/>
              </w:rPr>
            </w:pPr>
          </w:p>
        </w:tc>
        <w:tc>
          <w:tcPr>
            <w:tcW w:w="84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2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63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0"/>
                <w:szCs w:val="20"/>
                <w:color w:val="auto"/>
              </w:rPr>
            </w:pPr>
          </w:p>
        </w:tc>
      </w:tr>
      <w:tr>
        <w:trPr>
          <w:trHeight w:val="432"/>
        </w:trPr>
        <w:tc>
          <w:tcPr>
            <w:tcW w:w="6320" w:type="dxa"/>
            <w:vAlign w:val="bottom"/>
          </w:tcPr>
          <w:p>
            <w:pPr>
              <w:ind w:left="4580"/>
              <w:spacing w:after="0"/>
              <w:rPr>
                <w:sz w:val="20"/>
                <w:szCs w:val="20"/>
                <w:color w:val="auto"/>
              </w:rPr>
            </w:pPr>
            <w:r>
              <w:rPr>
                <w:rFonts w:ascii="Arial" w:cs="Arial" w:eastAsia="Arial" w:hAnsi="Arial"/>
                <w:sz w:val="18"/>
                <w:szCs w:val="18"/>
                <w:b w:val="1"/>
                <w:bCs w:val="1"/>
                <w:color w:val="auto"/>
              </w:rPr>
              <w:t>Borrower:</w:t>
            </w:r>
          </w:p>
        </w:tc>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Hu Zhipeng</w:t>
            </w:r>
          </w:p>
        </w:tc>
        <w:tc>
          <w:tcPr>
            <w:tcW w:w="40" w:type="dxa"/>
            <w:vAlign w:val="bottom"/>
          </w:tcPr>
          <w:p>
            <w:pPr>
              <w:spacing w:after="0"/>
              <w:rPr>
                <w:sz w:val="24"/>
                <w:szCs w:val="24"/>
                <w:color w:val="auto"/>
              </w:rPr>
            </w:pPr>
          </w:p>
        </w:tc>
      </w:tr>
      <w:tr>
        <w:trPr>
          <w:trHeight w:val="432"/>
        </w:trPr>
        <w:tc>
          <w:tcPr>
            <w:tcW w:w="6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6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2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790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B</w:t>
            </w:r>
          </w:p>
        </w:tc>
      </w:tr>
      <w:tr>
        <w:trPr>
          <w:trHeight w:val="453"/>
        </w:trPr>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640" w:type="dxa"/>
            <w:vAlign w:val="bottom"/>
            <w:gridSpan w:val="2"/>
          </w:tcPr>
          <w:p>
            <w:pPr>
              <w:ind w:left="1680"/>
              <w:spacing w:after="0"/>
              <w:rPr>
                <w:sz w:val="20"/>
                <w:szCs w:val="20"/>
                <w:color w:val="auto"/>
              </w:rPr>
            </w:pPr>
            <w:r>
              <w:rPr>
                <w:rFonts w:ascii="Arial" w:cs="Arial" w:eastAsia="Arial" w:hAnsi="Arial"/>
                <w:sz w:val="18"/>
                <w:szCs w:val="18"/>
                <w:b w:val="1"/>
                <w:bCs w:val="1"/>
                <w:color w:val="auto"/>
              </w:rPr>
              <w:t>SPOUSAL CONSENT LETTER</w:t>
            </w:r>
          </w:p>
        </w:tc>
      </w:tr>
      <w:tr>
        <w:trPr>
          <w:trHeight w:val="218"/>
        </w:trPr>
        <w:tc>
          <w:tcPr>
            <w:tcW w:w="680" w:type="dxa"/>
            <w:vAlign w:val="bottom"/>
          </w:tcPr>
          <w:p>
            <w:pPr>
              <w:spacing w:after="0"/>
              <w:rPr>
                <w:sz w:val="20"/>
                <w:szCs w:val="20"/>
                <w:color w:val="auto"/>
              </w:rPr>
            </w:pPr>
            <w:r>
              <w:rPr>
                <w:rFonts w:ascii="Arial" w:cs="Arial" w:eastAsia="Arial" w:hAnsi="Arial"/>
                <w:sz w:val="18"/>
                <w:szCs w:val="18"/>
                <w:color w:val="auto"/>
              </w:rPr>
              <w:t>I,</w:t>
            </w:r>
          </w:p>
        </w:tc>
        <w:tc>
          <w:tcPr>
            <w:tcW w:w="2100" w:type="dxa"/>
            <w:vAlign w:val="bottom"/>
          </w:tcPr>
          <w:p>
            <w:pPr>
              <w:ind w:left="560"/>
              <w:spacing w:after="0"/>
              <w:rPr>
                <w:sz w:val="20"/>
                <w:szCs w:val="20"/>
                <w:color w:val="auto"/>
              </w:rPr>
            </w:pPr>
            <w:r>
              <w:rPr>
                <w:rFonts w:ascii="Arial" w:cs="Arial" w:eastAsia="Arial" w:hAnsi="Arial"/>
                <w:sz w:val="18"/>
                <w:szCs w:val="18"/>
                <w:color w:val="auto"/>
              </w:rPr>
              <w:t>(ID Card No.:</w:t>
            </w:r>
          </w:p>
        </w:tc>
        <w:tc>
          <w:tcPr>
            <w:tcW w:w="8640" w:type="dxa"/>
            <w:vAlign w:val="bottom"/>
            <w:gridSpan w:val="2"/>
          </w:tcPr>
          <w:p>
            <w:pPr>
              <w:ind w:left="540"/>
              <w:spacing w:after="0"/>
              <w:rPr>
                <w:sz w:val="20"/>
                <w:szCs w:val="20"/>
                <w:color w:val="auto"/>
              </w:rPr>
            </w:pPr>
            <w:r>
              <w:rPr>
                <w:rFonts w:ascii="Arial" w:cs="Arial" w:eastAsia="Arial" w:hAnsi="Arial"/>
                <w:sz w:val="18"/>
                <w:szCs w:val="18"/>
                <w:color w:val="auto"/>
                <w:w w:val="92"/>
              </w:rPr>
              <w:t>), am the lawful spouse of Hu Zhipeng (ID Card No.: 330106197812210436). I hereby unconditionally consent</w:t>
            </w:r>
          </w:p>
        </w:tc>
      </w:tr>
    </w:tbl>
    <w:p>
      <w:pPr>
        <w:spacing w:after="0" w:line="20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and agree that the disposition of the equity interest in Hangzhou NetEase Leihuo Network Co., Ltd. which is held by and registered under the name of my spouse will be made pursuant to the arrangements under the Loan Agreement dated , the Equity Pledge Agreement dated , the Exclusive Purchase Option Agreement dated , the Shareholder Voting Right Trust Agreement dated , the Operating Agreement dated ,</w:t>
      </w:r>
    </w:p>
    <w:p>
      <w:pPr>
        <w:ind w:right="260"/>
        <w:spacing w:after="0" w:line="261" w:lineRule="auto"/>
        <w:rPr>
          <w:sz w:val="20"/>
          <w:szCs w:val="20"/>
          <w:color w:val="auto"/>
        </w:rPr>
      </w:pPr>
      <w:r>
        <w:rPr>
          <w:rFonts w:ascii="Arial" w:cs="Arial" w:eastAsia="Arial" w:hAnsi="Arial"/>
          <w:sz w:val="18"/>
          <w:szCs w:val="18"/>
          <w:color w:val="auto"/>
        </w:rPr>
        <w:t>all of which were executed by my spouse as a party, and any other supplemental or related agreement(s) or amendments thereof that may be entered into by my spouse from time to time.</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 further undertake not to take any action with the intent to interfere with the above mentioned arrangements, including making any claim that such equity interest constitutes the property or community property between my spouse and me. I hereby waive unconditionally and irrevocably any and all rights or entitlements whatsoever to such equity interest that may be granted to me according to any applicable laws. I further acknowledge that I have had the opportunity to receive independent legal advice with respect to the matters set forth in this spousal consent letter and the legal consequences thereof and that I am signing this spousal consent letter of my own free will.</w:t>
      </w:r>
    </w:p>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 understand and agree that this spousal consent letter shall be governed by, and construed and enforced in accordance with, the laws of the People’s Republic of China. I agree to execute and deliver such other documents as may be necessary to carry out the intent of this spousal consent letter.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62775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4.47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PLEDGE AGREEMENT</w:t>
      </w:r>
    </w:p>
    <w:p>
      <w:pPr>
        <w:spacing w:after="0" w:line="20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This Amended and Restated Equity Pledge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December 1, 2015, to amend and restate in its entirety the Equity Pledge Agreement entered into by and among the following parties (or their predecessors in interest) on April 15, 2009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76" w:lineRule="exact"/>
        <w:rPr>
          <w:sz w:val="20"/>
          <w:szCs w:val="20"/>
          <w:color w:val="auto"/>
        </w:rPr>
      </w:pPr>
    </w:p>
    <w:p>
      <w:pPr>
        <w:jc w:val="both"/>
        <w:ind w:left="1300" w:right="40" w:hanging="644"/>
        <w:spacing w:after="0" w:line="347" w:lineRule="auto"/>
        <w:tabs>
          <w:tab w:leader="none" w:pos="1307" w:val="left"/>
        </w:tabs>
        <w:numPr>
          <w:ilvl w:val="0"/>
          <w:numId w:val="342"/>
        </w:numPr>
        <w:rPr>
          <w:rFonts w:ascii="Arial" w:cs="Arial" w:eastAsia="Arial" w:hAnsi="Arial"/>
          <w:sz w:val="16"/>
          <w:szCs w:val="16"/>
          <w:color w:val="auto"/>
        </w:rPr>
      </w:pPr>
      <w:r>
        <w:rPr>
          <w:rFonts w:ascii="Arial" w:cs="Arial" w:eastAsia="Arial" w:hAnsi="Arial"/>
          <w:sz w:val="16"/>
          <w:szCs w:val="16"/>
          <w:b w:val="1"/>
          <w:bCs w:val="1"/>
          <w:color w:val="auto"/>
        </w:rPr>
        <w:t xml:space="preserve">NetEase (Hangzhou) Network Co., Ltd. </w:t>
      </w:r>
      <w:r>
        <w:rPr>
          <w:rFonts w:ascii="Arial" w:cs="Arial" w:eastAsia="Arial" w:hAnsi="Arial"/>
          <w:sz w:val="16"/>
          <w:szCs w:val="16"/>
          <w:color w:val="auto"/>
        </w:rPr>
        <w:t>(the “</w:t>
      </w:r>
      <w:r>
        <w:rPr>
          <w:rFonts w:ascii="Arial" w:cs="Arial" w:eastAsia="Arial" w:hAnsi="Arial"/>
          <w:sz w:val="16"/>
          <w:szCs w:val="16"/>
          <w:b w:val="1"/>
          <w:bCs w:val="1"/>
          <w:color w:val="auto"/>
        </w:rPr>
        <w:t>Pledgee</w:t>
      </w:r>
      <w:r>
        <w:rPr>
          <w:rFonts w:ascii="Arial" w:cs="Arial" w:eastAsia="Arial" w:hAnsi="Arial"/>
          <w:sz w:val="16"/>
          <w:szCs w:val="16"/>
          <w:color w:val="auto"/>
        </w:rPr>
        <w:t>”), a wholly foreign owned enterprise registered in Hangzhou, People’s Republic of</w:t>
      </w:r>
      <w:r>
        <w:rPr>
          <w:rFonts w:ascii="Arial" w:cs="Arial" w:eastAsia="Arial" w:hAnsi="Arial"/>
          <w:sz w:val="16"/>
          <w:szCs w:val="16"/>
          <w:b w:val="1"/>
          <w:bCs w:val="1"/>
          <w:color w:val="auto"/>
        </w:rPr>
        <w:t xml:space="preserve"> </w:t>
      </w:r>
      <w:r>
        <w:rPr>
          <w:rFonts w:ascii="Arial" w:cs="Arial" w:eastAsia="Arial" w:hAnsi="Arial"/>
          <w:sz w:val="16"/>
          <w:szCs w:val="16"/>
          <w:color w:val="auto"/>
        </w:rPr>
        <w:t>China (“</w:t>
      </w:r>
      <w:r>
        <w:rPr>
          <w:rFonts w:ascii="Arial" w:cs="Arial" w:eastAsia="Arial" w:hAnsi="Arial"/>
          <w:sz w:val="16"/>
          <w:szCs w:val="16"/>
          <w:b w:val="1"/>
          <w:bCs w:val="1"/>
          <w:color w:val="auto"/>
        </w:rPr>
        <w:t>PRC</w:t>
      </w:r>
      <w:r>
        <w:rPr>
          <w:rFonts w:ascii="Arial" w:cs="Arial" w:eastAsia="Arial" w:hAnsi="Arial"/>
          <w:sz w:val="16"/>
          <w:szCs w:val="16"/>
          <w:color w:val="auto"/>
        </w:rPr>
        <w:t>”) with its registration address at 7/F, Building 4, No. 599 Wangshang Road, Binjiang District, Hangzhou, Zhejiang, PRC; and</w:t>
      </w:r>
    </w:p>
    <w:p>
      <w:pPr>
        <w:spacing w:after="0" w:line="116" w:lineRule="exact"/>
        <w:rPr>
          <w:rFonts w:ascii="Arial" w:cs="Arial" w:eastAsia="Arial" w:hAnsi="Arial"/>
          <w:sz w:val="16"/>
          <w:szCs w:val="16"/>
          <w:color w:val="auto"/>
        </w:rPr>
      </w:pPr>
    </w:p>
    <w:p>
      <w:pPr>
        <w:ind w:left="1300" w:right="420" w:hanging="644"/>
        <w:spacing w:after="0" w:line="282" w:lineRule="auto"/>
        <w:tabs>
          <w:tab w:leader="none" w:pos="1307" w:val="left"/>
        </w:tabs>
        <w:numPr>
          <w:ilvl w:val="0"/>
          <w:numId w:val="342"/>
        </w:numPr>
        <w:rPr>
          <w:rFonts w:ascii="Arial" w:cs="Arial" w:eastAsia="Arial" w:hAnsi="Arial"/>
          <w:sz w:val="18"/>
          <w:szCs w:val="18"/>
          <w:color w:val="auto"/>
        </w:rPr>
      </w:pPr>
      <w:r>
        <w:rPr>
          <w:rFonts w:ascii="Arial" w:cs="Arial" w:eastAsia="Arial" w:hAnsi="Arial"/>
          <w:sz w:val="18"/>
          <w:szCs w:val="18"/>
          <w:b w:val="1"/>
          <w:bCs w:val="1"/>
          <w:color w:val="auto"/>
        </w:rPr>
        <w:t xml:space="preserve">Hu Tianlei </w:t>
      </w:r>
      <w:r>
        <w:rPr>
          <w:rFonts w:ascii="Arial" w:cs="Arial" w:eastAsia="Arial" w:hAnsi="Arial"/>
          <w:sz w:val="18"/>
          <w:szCs w:val="18"/>
          <w:color w:val="auto"/>
        </w:rPr>
        <w:t>(ID Number: 330206198210210412, the “</w:t>
      </w:r>
      <w:r>
        <w:rPr>
          <w:rFonts w:ascii="Arial" w:cs="Arial" w:eastAsia="Arial" w:hAnsi="Arial"/>
          <w:sz w:val="18"/>
          <w:szCs w:val="18"/>
          <w:b w:val="1"/>
          <w:bCs w:val="1"/>
          <w:color w:val="auto"/>
        </w:rPr>
        <w:t>Pledgor</w:t>
      </w:r>
      <w:r>
        <w:rPr>
          <w:rFonts w:ascii="Arial" w:cs="Arial" w:eastAsia="Arial" w:hAnsi="Arial"/>
          <w:sz w:val="18"/>
          <w:szCs w:val="18"/>
          <w:color w:val="auto"/>
        </w:rPr>
        <w:t>”), a PRC citizen with his/her address at No. 38 Zheda Road, West Lake</w:t>
      </w:r>
      <w:r>
        <w:rPr>
          <w:rFonts w:ascii="Arial" w:cs="Arial" w:eastAsia="Arial" w:hAnsi="Arial"/>
          <w:sz w:val="18"/>
          <w:szCs w:val="18"/>
          <w:b w:val="1"/>
          <w:bCs w:val="1"/>
          <w:color w:val="auto"/>
        </w:rPr>
        <w:t xml:space="preserve"> </w:t>
      </w:r>
      <w:r>
        <w:rPr>
          <w:rFonts w:ascii="Arial" w:cs="Arial" w:eastAsia="Arial" w:hAnsi="Arial"/>
          <w:sz w:val="18"/>
          <w:szCs w:val="18"/>
          <w:color w:val="auto"/>
        </w:rPr>
        <w:t>District, Hangzhou, Zhejiang, PRC.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Pledgee and the Pledgor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9" w:lineRule="exact"/>
        <w:rPr>
          <w:sz w:val="20"/>
          <w:szCs w:val="20"/>
          <w:color w:val="auto"/>
        </w:rPr>
      </w:pPr>
    </w:p>
    <w:p>
      <w:pPr>
        <w:ind w:left="1300" w:right="60" w:hanging="644"/>
        <w:spacing w:after="0" w:line="259" w:lineRule="auto"/>
        <w:tabs>
          <w:tab w:leader="none" w:pos="13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Pledgor is a registered shareholder of Hangzhou NetEase Leihuo Network Co., Ltd., a limited liability company registered in the PRC with its registration address at Room 702, Building 4, No. 599 Wangshang Road, Binjiang District, Hangzhou, Zhejiang, PRC (the “</w:t>
      </w:r>
      <w:r>
        <w:rPr>
          <w:rFonts w:ascii="Arial" w:cs="Arial" w:eastAsia="Arial" w:hAnsi="Arial"/>
          <w:sz w:val="18"/>
          <w:szCs w:val="18"/>
          <w:b w:val="1"/>
          <w:bCs w:val="1"/>
          <w:color w:val="auto"/>
        </w:rPr>
        <w:t>Domestic Company</w:t>
      </w:r>
      <w:r>
        <w:rPr>
          <w:rFonts w:ascii="Arial" w:cs="Arial" w:eastAsia="Arial" w:hAnsi="Arial"/>
          <w:sz w:val="18"/>
          <w:szCs w:val="18"/>
          <w:color w:val="auto"/>
        </w:rPr>
        <w:t xml:space="preserve">”), and holds 50% of the equity interests in the Domestic Company. The equity structure of Domestic Company as of the date of execution of this Agreement is set forth in </w:t>
      </w:r>
      <w:r>
        <w:rPr>
          <w:rFonts w:ascii="Arial" w:cs="Arial" w:eastAsia="Arial" w:hAnsi="Arial"/>
          <w:sz w:val="18"/>
          <w:szCs w:val="18"/>
          <w:u w:val="single" w:color="auto"/>
          <w:color w:val="auto"/>
        </w:rPr>
        <w:t>Appendix 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00" w:right="100" w:hanging="644"/>
        <w:spacing w:after="0" w:line="264" w:lineRule="auto"/>
        <w:tabs>
          <w:tab w:leader="none" w:pos="131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Pursuant to an Amended and Restated Loan Agreement dated December 1, 2015 between the Pledgee and the Pledgor (as the same may be amended and supplemented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the Pledgee has provided a loan to the Pledgor in the original principal amount of RMB5,000,000 Yuan.</w:t>
      </w:r>
    </w:p>
    <w:p>
      <w:pPr>
        <w:spacing w:after="0" w:line="181" w:lineRule="exact"/>
        <w:rPr>
          <w:rFonts w:ascii="Arial" w:cs="Arial" w:eastAsia="Arial" w:hAnsi="Arial"/>
          <w:sz w:val="18"/>
          <w:szCs w:val="18"/>
          <w:color w:val="auto"/>
        </w:rPr>
      </w:pPr>
    </w:p>
    <w:p>
      <w:pPr>
        <w:ind w:left="1300" w:right="20" w:hanging="644"/>
        <w:spacing w:after="0" w:line="312" w:lineRule="auto"/>
        <w:tabs>
          <w:tab w:leader="none" w:pos="131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Pursuant to a Shareholder Voting Right Trust Agreement dated as of December 1, 2015among the Pledgee and the Pledgor (as amended and supplemented from time to time, the “</w:t>
      </w:r>
      <w:r>
        <w:rPr>
          <w:rFonts w:ascii="Arial" w:cs="Arial" w:eastAsia="Arial" w:hAnsi="Arial"/>
          <w:sz w:val="16"/>
          <w:szCs w:val="16"/>
          <w:b w:val="1"/>
          <w:bCs w:val="1"/>
          <w:color w:val="auto"/>
        </w:rPr>
        <w:t>Voting Trust Agreement</w:t>
      </w:r>
      <w:r>
        <w:rPr>
          <w:rFonts w:ascii="Arial" w:cs="Arial" w:eastAsia="Arial" w:hAnsi="Arial"/>
          <w:sz w:val="16"/>
          <w:szCs w:val="16"/>
          <w:color w:val="auto"/>
        </w:rPr>
        <w:t>”), the Pledgor has irrevocably appointed the Pledgee as proxy and vested the Pledgee with full power to exercise on his behalf all of his shareholder’s voting rights in respect of the Domestic Company.</w:t>
      </w:r>
    </w:p>
    <w:p>
      <w:pPr>
        <w:spacing w:after="0" w:line="146" w:lineRule="exact"/>
        <w:rPr>
          <w:rFonts w:ascii="Arial" w:cs="Arial" w:eastAsia="Arial" w:hAnsi="Arial"/>
          <w:sz w:val="16"/>
          <w:szCs w:val="16"/>
          <w:color w:val="auto"/>
        </w:rPr>
      </w:pPr>
    </w:p>
    <w:p>
      <w:pPr>
        <w:ind w:left="1300" w:right="220" w:hanging="644"/>
        <w:spacing w:after="0" w:line="312" w:lineRule="auto"/>
        <w:tabs>
          <w:tab w:leader="none" w:pos="13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Pursuant to an Amended and Restated Exclusive Purchase Option Agreement dated as of December 1, 2015 among the Pledgee, the Pledgor and the Domestic Company (as amended and supplemented from time to time, the “</w:t>
      </w:r>
      <w:r>
        <w:rPr>
          <w:rFonts w:ascii="Arial" w:cs="Arial" w:eastAsia="Arial" w:hAnsi="Arial"/>
          <w:sz w:val="16"/>
          <w:szCs w:val="16"/>
          <w:b w:val="1"/>
          <w:bCs w:val="1"/>
          <w:color w:val="auto"/>
        </w:rPr>
        <w:t>Purchase Option Agreement</w:t>
      </w:r>
      <w:r>
        <w:rPr>
          <w:rFonts w:ascii="Arial" w:cs="Arial" w:eastAsia="Arial" w:hAnsi="Arial"/>
          <w:sz w:val="16"/>
          <w:szCs w:val="16"/>
          <w:color w:val="auto"/>
        </w:rPr>
        <w:t>”), the Pledgor has irrevocably granted to the Pledgee an option to purchase all or a portion of the Pledgor’s equity interests in the Domestic Company.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1300" w:right="180" w:hanging="644"/>
        <w:spacing w:after="0" w:line="259" w:lineRule="auto"/>
        <w:tabs>
          <w:tab w:leader="none" w:pos="131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Pursuant to an Amended and Restated Operating Agreement dated as of December 1, 2015 among the Pledgee, the Pledgor, the Domestic Company and the other Parties thereto (as amended and supplemented from time to time, the “</w:t>
      </w:r>
      <w:r>
        <w:rPr>
          <w:rFonts w:ascii="Arial" w:cs="Arial" w:eastAsia="Arial" w:hAnsi="Arial"/>
          <w:sz w:val="18"/>
          <w:szCs w:val="18"/>
          <w:b w:val="1"/>
          <w:bCs w:val="1"/>
          <w:color w:val="auto"/>
        </w:rPr>
        <w:t>Operating Agreement</w:t>
      </w:r>
      <w:r>
        <w:rPr>
          <w:rFonts w:ascii="Arial" w:cs="Arial" w:eastAsia="Arial" w:hAnsi="Arial"/>
          <w:sz w:val="18"/>
          <w:szCs w:val="18"/>
          <w:color w:val="auto"/>
        </w:rPr>
        <w:t>”), the Pledgor has agreed, among other things, not to engage in certain transactions relating to the Domestic Company without the Pledgee’s prior written consent.</w:t>
      </w:r>
    </w:p>
    <w:p>
      <w:pPr>
        <w:spacing w:after="0" w:line="186" w:lineRule="exact"/>
        <w:rPr>
          <w:rFonts w:ascii="Arial" w:cs="Arial" w:eastAsia="Arial" w:hAnsi="Arial"/>
          <w:sz w:val="18"/>
          <w:szCs w:val="18"/>
          <w:color w:val="auto"/>
        </w:rPr>
      </w:pPr>
    </w:p>
    <w:p>
      <w:pPr>
        <w:jc w:val="both"/>
        <w:ind w:left="1300" w:right="300" w:hanging="644"/>
        <w:spacing w:after="0" w:line="264" w:lineRule="auto"/>
        <w:tabs>
          <w:tab w:leader="none" w:pos="131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As security for performance by the Pledgor of the Contract Obligations (as defined below) and discharge and satisfaction of the Secured Debts (as defined below), the Pledgor agrees to pledge all of his equity interests in the Domestic Company to the Pledgee and grants the Pledgee the right to repayment in first priority on and 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-1497965</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jc w:val="right"/>
        <w:ind w:left="1300" w:right="1980" w:hanging="648"/>
        <w:spacing w:after="0" w:line="561"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 xml:space="preserve">Unless the context otherwise requires, the following terms in this Agreement shall have the following meanings: </w:t>
      </w:r>
      <w:r>
        <w:rPr>
          <w:rFonts w:ascii="Arial" w:cs="Arial" w:eastAsia="Arial" w:hAnsi="Arial"/>
          <w:sz w:val="16"/>
          <w:szCs w:val="16"/>
          <w:b w:val="1"/>
          <w:bCs w:val="1"/>
          <w:color w:val="auto"/>
        </w:rPr>
        <w:t xml:space="preserve">“Breaching Event” </w:t>
      </w:r>
      <w:r>
        <w:rPr>
          <w:rFonts w:ascii="Arial" w:cs="Arial" w:eastAsia="Arial" w:hAnsi="Arial"/>
          <w:sz w:val="16"/>
          <w:szCs w:val="16"/>
          <w:color w:val="auto"/>
        </w:rPr>
        <w:t>shall mean any breach by the Pledgor of any of his Contract Obligations (as defined below).</w:t>
      </w:r>
    </w:p>
    <w:p>
      <w:pPr>
        <w:ind w:left="1300" w:right="40"/>
        <w:spacing w:after="0" w:line="261" w:lineRule="auto"/>
        <w:rPr>
          <w:sz w:val="20"/>
          <w:szCs w:val="20"/>
          <w:color w:val="auto"/>
        </w:rPr>
      </w:pPr>
      <w:r>
        <w:rPr>
          <w:rFonts w:ascii="Arial" w:cs="Arial" w:eastAsia="Arial" w:hAnsi="Arial"/>
          <w:sz w:val="18"/>
          <w:szCs w:val="18"/>
          <w:b w:val="1"/>
          <w:bCs w:val="1"/>
          <w:color w:val="auto"/>
        </w:rPr>
        <w:t xml:space="preserve">“Contract Obligations” </w:t>
      </w:r>
      <w:r>
        <w:rPr>
          <w:rFonts w:ascii="Arial" w:cs="Arial" w:eastAsia="Arial" w:hAnsi="Arial"/>
          <w:sz w:val="18"/>
          <w:szCs w:val="18"/>
          <w:color w:val="auto"/>
        </w:rPr>
        <w:t>shall mean the obligations of the Pledgor to repay the Loan (as defined in the Loan Agreement)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contractual obligations of the Pledgor under the Voting Trust Agreement, all contractual obligations of the Pledgor under the Purchase Option Agreement, all contractual obligations of the Pledgor under the Operating Agreement and all contractual obligations of the Pledgor under this Agreement.</w:t>
      </w:r>
    </w:p>
    <w:p>
      <w:pPr>
        <w:spacing w:after="0" w:line="180" w:lineRule="exact"/>
        <w:rPr>
          <w:sz w:val="20"/>
          <w:szCs w:val="20"/>
          <w:color w:val="auto"/>
        </w:rPr>
      </w:pPr>
    </w:p>
    <w:p>
      <w:pPr>
        <w:jc w:val="both"/>
        <w:ind w:left="1300" w:right="100"/>
        <w:spacing w:after="0" w:line="266" w:lineRule="auto"/>
        <w:rPr>
          <w:sz w:val="20"/>
          <w:szCs w:val="20"/>
          <w:color w:val="auto"/>
        </w:rPr>
      </w:pPr>
      <w:r>
        <w:rPr>
          <w:rFonts w:ascii="Arial" w:cs="Arial" w:eastAsia="Arial" w:hAnsi="Arial"/>
          <w:sz w:val="18"/>
          <w:szCs w:val="18"/>
          <w:b w:val="1"/>
          <w:bCs w:val="1"/>
          <w:color w:val="auto"/>
        </w:rPr>
        <w:t xml:space="preserve">“Pledged Equity” </w:t>
      </w:r>
      <w:r>
        <w:rPr>
          <w:rFonts w:ascii="Arial" w:cs="Arial" w:eastAsia="Arial" w:hAnsi="Arial"/>
          <w:sz w:val="18"/>
          <w:szCs w:val="18"/>
          <w:color w:val="auto"/>
        </w:rPr>
        <w:t>shall mean all of the equity interests in the Domestic Company which are legally owned by the Pledgor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are to be pledged to the Pledgee pursuant to the provisions hereof as the security for the performance by the Pledgor of the Contract Obligations.</w:t>
      </w:r>
    </w:p>
    <w:p>
      <w:pPr>
        <w:spacing w:after="0" w:line="176" w:lineRule="exact"/>
        <w:rPr>
          <w:sz w:val="20"/>
          <w:szCs w:val="20"/>
          <w:color w:val="auto"/>
        </w:rPr>
      </w:pPr>
    </w:p>
    <w:p>
      <w:pPr>
        <w:ind w:left="1300" w:right="180"/>
        <w:spacing w:after="0" w:line="282" w:lineRule="auto"/>
        <w:rPr>
          <w:sz w:val="20"/>
          <w:szCs w:val="20"/>
          <w:color w:val="auto"/>
        </w:rPr>
      </w:pPr>
      <w:r>
        <w:rPr>
          <w:rFonts w:ascii="Arial" w:cs="Arial" w:eastAsia="Arial" w:hAnsi="Arial"/>
          <w:sz w:val="18"/>
          <w:szCs w:val="18"/>
          <w:b w:val="1"/>
          <w:bCs w:val="1"/>
          <w:color w:val="auto"/>
        </w:rPr>
        <w:t xml:space="preserve">“PRC Law” </w:t>
      </w:r>
      <w:r>
        <w:rPr>
          <w:rFonts w:ascii="Arial" w:cs="Arial" w:eastAsia="Arial" w:hAnsi="Arial"/>
          <w:sz w:val="18"/>
          <w:szCs w:val="18"/>
          <w:color w:val="auto"/>
        </w:rPr>
        <w:t>shall mean the then valid laws, administrative regulations, administrative rules, local regulations, judicial interpretations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binding regulatory documents of the PRC.</w:t>
      </w:r>
    </w:p>
    <w:p>
      <w:pPr>
        <w:spacing w:after="0" w:line="162" w:lineRule="exact"/>
        <w:rPr>
          <w:sz w:val="20"/>
          <w:szCs w:val="20"/>
          <w:color w:val="auto"/>
        </w:rPr>
      </w:pPr>
    </w:p>
    <w:p>
      <w:pPr>
        <w:ind w:left="1300" w:right="80"/>
        <w:spacing w:after="0" w:line="347" w:lineRule="auto"/>
        <w:rPr>
          <w:sz w:val="20"/>
          <w:szCs w:val="20"/>
          <w:color w:val="auto"/>
        </w:rPr>
      </w:pPr>
      <w:r>
        <w:rPr>
          <w:rFonts w:ascii="Arial" w:cs="Arial" w:eastAsia="Arial" w:hAnsi="Arial"/>
          <w:sz w:val="16"/>
          <w:szCs w:val="16"/>
          <w:b w:val="1"/>
          <w:bCs w:val="1"/>
          <w:color w:val="auto"/>
        </w:rPr>
        <w:t xml:space="preserve">“Secured Debts” </w:t>
      </w:r>
      <w:r>
        <w:rPr>
          <w:rFonts w:ascii="Arial" w:cs="Arial" w:eastAsia="Arial" w:hAnsi="Arial"/>
          <w:sz w:val="16"/>
          <w:szCs w:val="16"/>
          <w:color w:val="auto"/>
        </w:rPr>
        <w:t>shall mean all direct, indirect and consequential losses and losses of foreseeable profits suffered by the Pledgee due to</w:t>
      </w:r>
      <w:r>
        <w:rPr>
          <w:rFonts w:ascii="Arial" w:cs="Arial" w:eastAsia="Arial" w:hAnsi="Arial"/>
          <w:sz w:val="16"/>
          <w:szCs w:val="16"/>
          <w:b w:val="1"/>
          <w:bCs w:val="1"/>
          <w:color w:val="auto"/>
        </w:rPr>
        <w:t xml:space="preserve"> </w:t>
      </w:r>
      <w:r>
        <w:rPr>
          <w:rFonts w:ascii="Arial" w:cs="Arial" w:eastAsia="Arial" w:hAnsi="Arial"/>
          <w:sz w:val="16"/>
          <w:szCs w:val="16"/>
          <w:color w:val="auto"/>
        </w:rPr>
        <w:t>any Breaching Event of any of the Pledgor, and all fees incurred by Pledgee for the enforcement of the Contract Obligations of the Pledgor.</w:t>
      </w:r>
    </w:p>
    <w:p>
      <w:pPr>
        <w:spacing w:after="0" w:line="116" w:lineRule="exact"/>
        <w:rPr>
          <w:sz w:val="20"/>
          <w:szCs w:val="20"/>
          <w:color w:val="auto"/>
        </w:rPr>
      </w:pPr>
    </w:p>
    <w:p>
      <w:pPr>
        <w:ind w:left="1300" w:right="300"/>
        <w:spacing w:after="0" w:line="282" w:lineRule="auto"/>
        <w:rPr>
          <w:sz w:val="20"/>
          <w:szCs w:val="20"/>
          <w:color w:val="auto"/>
        </w:rPr>
      </w:pPr>
      <w:r>
        <w:rPr>
          <w:rFonts w:ascii="Arial" w:cs="Arial" w:eastAsia="Arial" w:hAnsi="Arial"/>
          <w:sz w:val="18"/>
          <w:szCs w:val="18"/>
          <w:b w:val="1"/>
          <w:bCs w:val="1"/>
          <w:color w:val="auto"/>
        </w:rPr>
        <w:t xml:space="preserve">“Transaction Agreements” </w:t>
      </w:r>
      <w:r>
        <w:rPr>
          <w:rFonts w:ascii="Arial" w:cs="Arial" w:eastAsia="Arial" w:hAnsi="Arial"/>
          <w:sz w:val="18"/>
          <w:szCs w:val="18"/>
          <w:color w:val="auto"/>
        </w:rPr>
        <w:t>shall mean the Loan Agreement, the Purchase Option Agreement, the Operating Agreement and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Trust Agreement.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references to any PRC Law herein shall be deemed:</w:t>
      </w:r>
    </w:p>
    <w:p>
      <w:pPr>
        <w:sectPr>
          <w:pgSz w:w="11900" w:h="16838" w:orient="portrait"/>
          <w:cols w:equalWidth="0" w:num="1">
            <w:col w:w="11420"/>
          </w:cols>
          <w:pgMar w:left="240" w:top="121" w:right="239" w:bottom="0" w:gutter="0" w:footer="0" w:header="0"/>
        </w:sectPr>
      </w:pPr>
    </w:p>
    <w:bookmarkStart w:id="188" w:name="page189"/>
    <w:bookmarkEnd w:id="188"/>
    <w:p>
      <w:pPr>
        <w:spacing w:after="0" w:line="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60" w:firstLine="5"/>
        <w:spacing w:after="0" w:line="277" w:lineRule="auto"/>
        <w:tabs>
          <w:tab w:leader="none" w:pos="19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to include references to the amendments, changes, supplements and reenactments of such law, irrespective of whether they take effect before or after the formation of this Agreement;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to include references to other decisions, notices or regulations enacted in accordance therewith or effective as a result thereof.</w:t>
      </w:r>
    </w:p>
    <w:p>
      <w:pPr>
        <w:spacing w:after="0" w:line="248" w:lineRule="exact"/>
        <w:rPr>
          <w:sz w:val="20"/>
          <w:szCs w:val="20"/>
          <w:color w:val="auto"/>
        </w:rPr>
      </w:pPr>
    </w:p>
    <w:p>
      <w:pPr>
        <w:ind w:left="1292" w:right="40" w:hanging="647"/>
        <w:spacing w:after="0" w:line="277" w:lineRule="auto"/>
        <w:tabs>
          <w:tab w:leader="none" w:pos="12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stated in the context herein, all references to an Article, clause, item or paragraph shall refer to the relevant article, clause, item or paragraph of this Agreement.</w:t>
      </w:r>
    </w:p>
    <w:p>
      <w:pPr>
        <w:spacing w:after="0" w:line="166" w:lineRule="exact"/>
        <w:rPr>
          <w:sz w:val="20"/>
          <w:szCs w:val="20"/>
          <w:color w:val="auto"/>
        </w:rPr>
      </w:pPr>
    </w:p>
    <w:p>
      <w:pPr>
        <w:ind w:left="652" w:hanging="652"/>
        <w:spacing w:after="0"/>
        <w:tabs>
          <w:tab w:leader="none" w:pos="652"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Pledge</w:t>
      </w:r>
    </w:p>
    <w:p>
      <w:pPr>
        <w:spacing w:after="0" w:line="229" w:lineRule="exact"/>
        <w:rPr>
          <w:rFonts w:ascii="Arial" w:cs="Arial" w:eastAsia="Arial" w:hAnsi="Arial"/>
          <w:sz w:val="18"/>
          <w:szCs w:val="18"/>
          <w:b w:val="1"/>
          <w:bCs w:val="1"/>
          <w:color w:val="auto"/>
        </w:rPr>
      </w:pPr>
    </w:p>
    <w:p>
      <w:pPr>
        <w:ind w:left="1292" w:right="14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2.1.As collateral security for the timely and complete payment and performance of all Contract Obligations, the Pledgor hereby pledges to the Pledgee a first security interest in all of the Pledgor’s rights, title and interests, whether now owned or hereinafter acquired by the Pledgor, in the Pledged Equity (the “</w:t>
      </w:r>
      <w:r>
        <w:rPr>
          <w:rFonts w:ascii="Arial" w:cs="Arial" w:eastAsia="Arial" w:hAnsi="Arial"/>
          <w:sz w:val="18"/>
          <w:szCs w:val="18"/>
          <w:b w:val="1"/>
          <w:bCs w:val="1"/>
          <w:color w:val="auto"/>
        </w:rPr>
        <w:t>Equity Pledge</w:t>
      </w:r>
      <w:r>
        <w:rPr>
          <w:rFonts w:ascii="Arial" w:cs="Arial" w:eastAsia="Arial" w:hAnsi="Arial"/>
          <w:sz w:val="18"/>
          <w:szCs w:val="18"/>
          <w:color w:val="auto"/>
        </w:rPr>
        <w:t>”).</w:t>
      </w:r>
    </w:p>
    <w:p>
      <w:pPr>
        <w:spacing w:after="0" w:line="177" w:lineRule="exact"/>
        <w:rPr>
          <w:sz w:val="20"/>
          <w:szCs w:val="20"/>
          <w:color w:val="auto"/>
        </w:rPr>
      </w:pPr>
    </w:p>
    <w:p>
      <w:pPr>
        <w:ind w:left="1292" w:right="20" w:hanging="647"/>
        <w:spacing w:after="0" w:line="293" w:lineRule="auto"/>
        <w:tabs>
          <w:tab w:leader="none" w:pos="127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Pledgor shall have been or will be registered at the local branch of State Administration for Industry and Commerce (“</w:t>
      </w:r>
      <w:r>
        <w:rPr>
          <w:rFonts w:ascii="Arial" w:cs="Arial" w:eastAsia="Arial" w:hAnsi="Arial"/>
          <w:sz w:val="16"/>
          <w:szCs w:val="16"/>
          <w:b w:val="1"/>
          <w:bCs w:val="1"/>
          <w:color w:val="auto"/>
        </w:rPr>
        <w:t>SAIC</w:t>
      </w:r>
      <w:r>
        <w:rPr>
          <w:rFonts w:ascii="Arial" w:cs="Arial" w:eastAsia="Arial" w:hAnsi="Arial"/>
          <w:sz w:val="16"/>
          <w:szCs w:val="16"/>
          <w:color w:val="auto"/>
        </w:rPr>
        <w:t>”) as one of the shareholders of the Domestic Company holding his proportion of the equity interests in the Domestic Company as set forth in Recital</w:t>
      </w:r>
    </w:p>
    <w:p>
      <w:pPr>
        <w:spacing w:after="0" w:line="1" w:lineRule="exact"/>
        <w:rPr>
          <w:sz w:val="20"/>
          <w:szCs w:val="20"/>
          <w:color w:val="auto"/>
        </w:rPr>
      </w:pPr>
    </w:p>
    <w:p>
      <w:pPr>
        <w:ind w:left="1292" w:right="80" w:firstLine="5"/>
        <w:spacing w:after="0" w:line="261" w:lineRule="auto"/>
        <w:tabs>
          <w:tab w:leader="none" w:pos="1587"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above and hold such equity interests free and clear of encumbrances except for the Equity Pledge as provided in this Agreement and/or as otherwise agreed by the Parties.</w:t>
      </w:r>
    </w:p>
    <w:p>
      <w:pPr>
        <w:spacing w:after="0" w:line="184" w:lineRule="exact"/>
        <w:rPr>
          <w:sz w:val="20"/>
          <w:szCs w:val="20"/>
          <w:color w:val="auto"/>
        </w:rPr>
      </w:pPr>
    </w:p>
    <w:p>
      <w:pPr>
        <w:ind w:left="1292" w:right="120" w:hanging="647"/>
        <w:spacing w:after="0" w:line="293" w:lineRule="auto"/>
        <w:tabs>
          <w:tab w:leader="none" w:pos="12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Pledgor hereby undertakes that he will be responsible for recording the Equity Pledge on the register of equityholders (if any) of the Domestic Company on the date hereof or as soon as practicable from the date hereof, and will use his best endeavors to register the Equity Pledge with SAIC (the “</w:t>
      </w:r>
      <w:r>
        <w:rPr>
          <w:rFonts w:ascii="Arial" w:cs="Arial" w:eastAsia="Arial" w:hAnsi="Arial"/>
          <w:sz w:val="16"/>
          <w:szCs w:val="16"/>
          <w:b w:val="1"/>
          <w:bCs w:val="1"/>
          <w:color w:val="auto"/>
        </w:rPr>
        <w:t>Registration of Equity Pledge</w:t>
      </w:r>
      <w:r>
        <w:rPr>
          <w:rFonts w:ascii="Arial" w:cs="Arial" w:eastAsia="Arial" w:hAnsi="Arial"/>
          <w:sz w:val="16"/>
          <w:szCs w:val="16"/>
          <w:color w:val="auto"/>
        </w:rPr>
        <w:t>”). In the event the SAIC requires that the Registration of Equity Pledge be completed by using an equity pledge agreement between the Parties substantially in form stipulated by the SAIC, subject to Section 13.5, the Parties shall enter into an equity pledge agreement in such stipulated form (the “</w:t>
      </w:r>
      <w:r>
        <w:rPr>
          <w:rFonts w:ascii="Arial" w:cs="Arial" w:eastAsia="Arial" w:hAnsi="Arial"/>
          <w:sz w:val="16"/>
          <w:szCs w:val="16"/>
          <w:b w:val="1"/>
          <w:bCs w:val="1"/>
          <w:color w:val="auto"/>
        </w:rPr>
        <w:t>Registration Version</w:t>
      </w:r>
      <w:r>
        <w:rPr>
          <w:rFonts w:ascii="Arial" w:cs="Arial" w:eastAsia="Arial" w:hAnsi="Arial"/>
          <w:sz w:val="16"/>
          <w:szCs w:val="16"/>
          <w:color w:val="auto"/>
        </w:rPr>
        <w:t>”) and the Pledgor shall and hereby undertakes that he will use his best endeavors to register the Equity Pledge with SAIC by using the Registration Version.</w:t>
      </w:r>
    </w:p>
    <w:p>
      <w:pPr>
        <w:spacing w:after="0" w:line="165" w:lineRule="exact"/>
        <w:rPr>
          <w:sz w:val="20"/>
          <w:szCs w:val="20"/>
          <w:color w:val="auto"/>
        </w:rPr>
      </w:pPr>
    </w:p>
    <w:p>
      <w:pPr>
        <w:ind w:left="1292" w:right="200" w:hanging="647"/>
        <w:spacing w:after="0" w:line="277" w:lineRule="auto"/>
        <w:tabs>
          <w:tab w:leader="none" w:pos="12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During the term of this Agreement, the Pledgee shall not be liable in any way for impairment in value of the Pledged Equity, nor shall the Pledgor have any right to make any claims against the Pledgee for such impairment in value.</w:t>
      </w:r>
    </w:p>
    <w:p>
      <w:pPr>
        <w:spacing w:after="0" w:line="170" w:lineRule="exact"/>
        <w:rPr>
          <w:sz w:val="20"/>
          <w:szCs w:val="20"/>
          <w:color w:val="auto"/>
        </w:rPr>
      </w:pPr>
    </w:p>
    <w:p>
      <w:pPr>
        <w:ind w:left="1292" w:right="260" w:hanging="647"/>
        <w:spacing w:after="0" w:line="277" w:lineRule="auto"/>
        <w:tabs>
          <w:tab w:leader="none" w:pos="12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Upon the occurrence of any Breaching Event, the Pledgee shall have the right to dispose of the Pledged Equity in the manner set forth in Article 4 hereof.</w:t>
      </w:r>
    </w:p>
    <w:p>
      <w:pPr>
        <w:spacing w:after="0" w:line="170" w:lineRule="exact"/>
        <w:rPr>
          <w:sz w:val="20"/>
          <w:szCs w:val="20"/>
          <w:color w:val="auto"/>
        </w:rPr>
      </w:pPr>
    </w:p>
    <w:p>
      <w:pPr>
        <w:ind w:left="1292" w:right="720" w:hanging="647"/>
        <w:spacing w:after="0" w:line="342" w:lineRule="auto"/>
        <w:tabs>
          <w:tab w:leader="none" w:pos="127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Without the prior written consent of the Pledgee, the Pledgor shall not increase the registered capital of the Domestic Company by contributing additional capital, or allowing any third party to contribute additional capital to the Domestic Company.</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340" w:hanging="647"/>
        <w:spacing w:after="0" w:line="277" w:lineRule="auto"/>
        <w:tabs>
          <w:tab w:leader="none" w:pos="1272"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Without the prior written consent of the Pledgee, the Pledgor shall not consent to the adoption of any shareholders’ resolution or by any other means permit the Domestic Company to declare or distribute any dividends or profits.</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Without the prior written consent of the Pledgee, the Pledgor shall not enter into any transactions with the Domestic Company.</w:t>
      </w:r>
    </w:p>
    <w:p>
      <w:pPr>
        <w:spacing w:after="0" w:line="225" w:lineRule="exact"/>
        <w:rPr>
          <w:sz w:val="20"/>
          <w:szCs w:val="20"/>
          <w:color w:val="auto"/>
        </w:rPr>
      </w:pPr>
    </w:p>
    <w:p>
      <w:pPr>
        <w:ind w:left="1292" w:right="120" w:hanging="647"/>
        <w:spacing w:after="0" w:line="255" w:lineRule="auto"/>
        <w:tabs>
          <w:tab w:leader="none" w:pos="1272"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During the term of the Equity Pledge, the Pledgor shall deliver to the Pledgee’s custody the original capital contribution certificate for the Pledged Equity and the original equityholders’ register (if any) containing the Equity Pledge within five business days from the execution of this Agreement or from the completion of any re-registration of shareholding if the percentage of equity interests changes (in such case, the Pledgor shall deliver to the Pledgee’s custody the updated original capital contribution certificates for the Pledged Equity and the updated original equityholders’ register (if any) containing the Equity Pledge). The Pledgee shall take custody of such original documents during the entire term of this Agreement.</w:t>
      </w:r>
    </w:p>
    <w:p>
      <w:pPr>
        <w:spacing w:after="0" w:line="193" w:lineRule="exact"/>
        <w:rPr>
          <w:sz w:val="20"/>
          <w:szCs w:val="20"/>
          <w:color w:val="auto"/>
        </w:rPr>
      </w:pPr>
    </w:p>
    <w:p>
      <w:pPr>
        <w:ind w:left="1292" w:right="20" w:hanging="647"/>
        <w:spacing w:after="0" w:line="277" w:lineRule="auto"/>
        <w:tabs>
          <w:tab w:leader="none" w:pos="1272" w:val="left"/>
        </w:tabs>
        <w:rPr>
          <w:sz w:val="20"/>
          <w:szCs w:val="20"/>
          <w:color w:val="auto"/>
        </w:rPr>
      </w:pPr>
      <w:r>
        <w:rPr>
          <w:rFonts w:ascii="Arial" w:cs="Arial" w:eastAsia="Arial" w:hAnsi="Arial"/>
          <w:sz w:val="18"/>
          <w:szCs w:val="18"/>
          <w:color w:val="auto"/>
        </w:rPr>
        <w:t>2.10.</w:t>
        <w:tab/>
        <w:t>The Pledgee shall have the right to collect dividends or any other distribution paid with respect to the Pledged Equity during the term of this Agreement.</w:t>
      </w:r>
    </w:p>
    <w:p>
      <w:pPr>
        <w:spacing w:after="0" w:line="166" w:lineRule="exact"/>
        <w:rPr>
          <w:sz w:val="20"/>
          <w:szCs w:val="20"/>
          <w:color w:val="auto"/>
        </w:rPr>
      </w:pPr>
    </w:p>
    <w:p>
      <w:pPr>
        <w:ind w:left="652" w:hanging="652"/>
        <w:spacing w:after="0"/>
        <w:tabs>
          <w:tab w:leader="none" w:pos="652"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Pledge</w:t>
      </w:r>
    </w:p>
    <w:p>
      <w:pPr>
        <w:spacing w:after="0" w:line="229" w:lineRule="exact"/>
        <w:rPr>
          <w:rFonts w:ascii="Arial" w:cs="Arial" w:eastAsia="Arial" w:hAnsi="Arial"/>
          <w:sz w:val="18"/>
          <w:szCs w:val="18"/>
          <w:b w:val="1"/>
          <w:bCs w:val="1"/>
          <w:color w:val="auto"/>
        </w:rPr>
      </w:pPr>
    </w:p>
    <w:p>
      <w:pPr>
        <w:ind w:left="652" w:right="2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Upon full and complete performance by the Pledgor of all of his Contract Obligations (including the full discharge and satisfaction of the Secured Debts), the Pledgee shall, at the request of the Pledgor, release the pledge, and shall cooperate with the Pledgor to go through the formalities to cancel the record of the Equity Pledge in the register of equityholders (if any) of the Domestic Company and the registration with SAIC, and all expenses reasonably incurred in connection with such release shall be borne by the Domestic Company. The Parties shall procure the Domestic Company to bear such expenses.</w:t>
      </w:r>
    </w:p>
    <w:p>
      <w:pPr>
        <w:spacing w:after="0" w:line="184" w:lineRule="exact"/>
        <w:rPr>
          <w:rFonts w:ascii="Arial" w:cs="Arial" w:eastAsia="Arial" w:hAnsi="Arial"/>
          <w:sz w:val="18"/>
          <w:szCs w:val="18"/>
          <w:b w:val="1"/>
          <w:bCs w:val="1"/>
          <w:color w:val="auto"/>
        </w:rPr>
      </w:pPr>
    </w:p>
    <w:p>
      <w:pPr>
        <w:ind w:left="652" w:hanging="652"/>
        <w:spacing w:after="0"/>
        <w:tabs>
          <w:tab w:leader="none" w:pos="652"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Disposal of the Pledged Equity</w:t>
      </w:r>
    </w:p>
    <w:p>
      <w:pPr>
        <w:spacing w:after="0" w:line="229" w:lineRule="exact"/>
        <w:rPr>
          <w:rFonts w:ascii="Arial" w:cs="Arial" w:eastAsia="Arial" w:hAnsi="Arial"/>
          <w:sz w:val="18"/>
          <w:szCs w:val="18"/>
          <w:b w:val="1"/>
          <w:bCs w:val="1"/>
          <w:color w:val="auto"/>
        </w:rPr>
      </w:pPr>
    </w:p>
    <w:p>
      <w:pPr>
        <w:ind w:left="1292" w:hanging="648"/>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color w:val="auto"/>
        </w:rPr>
        <w:t>The Pledgor and the Pledgee hereby agree that, upon the occurrence of any Breaching Event, the Pledgee shall have the right to exercise, upon giving written notice to the Pledgor, all of the rights and powers enjoyed by him under PRC Law, the Transaction Agreements and the terms hereof, including but not limited to being repaid in priority with proceeds from the sale of the Pledged Equity. If the Pledgee disposes of the Pledged Equity in accordance with this Agreement, the Pledgor and the Domestic Company shall provide all necessary assistance to enable the Pledgee to enforce the Equity Pledge in accordance with this Agreement.</w:t>
      </w:r>
    </w:p>
    <w:p>
      <w:pPr>
        <w:spacing w:after="0" w:line="172" w:lineRule="exact"/>
        <w:rPr>
          <w:rFonts w:ascii="Arial" w:cs="Arial" w:eastAsia="Arial" w:hAnsi="Arial"/>
          <w:sz w:val="18"/>
          <w:szCs w:val="18"/>
          <w:b w:val="1"/>
          <w:bCs w:val="1"/>
          <w:color w:val="auto"/>
        </w:rPr>
      </w:pPr>
    </w:p>
    <w:p>
      <w:pPr>
        <w:ind w:left="1292" w:right="4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4.2.The Pledgee shall have the right to designate in writing its legal counsel or other agents to exercise on its behalf any and all rights and powers referred to above, and the Pledgor shall not raise any objection thereto.</w:t>
      </w:r>
    </w:p>
    <w:p>
      <w:pPr>
        <w:sectPr>
          <w:pgSz w:w="11900" w:h="16929" w:orient="portrait"/>
          <w:cols w:equalWidth="0" w:num="1">
            <w:col w:w="11392"/>
          </w:cols>
          <w:pgMar w:left="248" w:top="125" w:right="259" w:bottom="0" w:gutter="0" w:footer="0" w:header="0"/>
        </w:sectPr>
      </w:pPr>
    </w:p>
    <w:bookmarkStart w:id="189" w:name="page190"/>
    <w:bookmarkEnd w:id="189"/>
    <w:p>
      <w:pPr>
        <w:spacing w:after="0" w:line="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reasonable costs incurred by the Pledgee in connection with its exercise of any and all rights and powers set out above shall be borne by the Pledgor, and the Pledgee shall have the right to deduct the costs actually incurred from the proceeds that it acquires from the exercise of its rights and powers.</w:t>
      </w:r>
    </w:p>
    <w:p>
      <w:pPr>
        <w:spacing w:after="0" w:line="18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proceeds that the Pledgee acquires from the exercise of its rights and powers shall be applied in the following order of priority:</w:t>
      </w:r>
    </w:p>
    <w:p>
      <w:pPr>
        <w:spacing w:after="0" w:line="225" w:lineRule="exact"/>
        <w:rPr>
          <w:sz w:val="20"/>
          <w:szCs w:val="20"/>
          <w:color w:val="auto"/>
        </w:rPr>
      </w:pPr>
    </w:p>
    <w:p>
      <w:pPr>
        <w:ind w:left="1952" w:right="280" w:hanging="655"/>
        <w:spacing w:after="0" w:line="277" w:lineRule="auto"/>
        <w:tabs>
          <w:tab w:leader="none" w:pos="195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first, to pay any cost incurred in connection with the disposal of the Pledged Equity and the exercise by the Pledgee of its rights and powers (including remuneration paid to its legal counsels and agents);</w:t>
      </w:r>
    </w:p>
    <w:p>
      <w:pPr>
        <w:spacing w:after="0" w:line="170" w:lineRule="exact"/>
        <w:rPr>
          <w:rFonts w:ascii="Arial" w:cs="Arial" w:eastAsia="Arial" w:hAnsi="Arial"/>
          <w:sz w:val="18"/>
          <w:szCs w:val="18"/>
          <w:color w:val="auto"/>
        </w:rPr>
      </w:pPr>
    </w:p>
    <w:p>
      <w:pPr>
        <w:ind w:left="1952" w:right="220" w:hanging="655"/>
        <w:spacing w:after="0" w:line="277" w:lineRule="auto"/>
        <w:tabs>
          <w:tab w:leader="none" w:pos="1959"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second, to pay any taxes and levies payable for the disposal of the Pledged Equity (for the avoidance of doubt, such taxes do not include any income tax);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third, to repay the Pledgee for the Secured Debts.</w:t>
      </w:r>
    </w:p>
    <w:p>
      <w:pPr>
        <w:spacing w:after="0" w:line="225" w:lineRule="exact"/>
        <w:rPr>
          <w:sz w:val="20"/>
          <w:szCs w:val="20"/>
          <w:color w:val="auto"/>
        </w:rPr>
      </w:pPr>
    </w:p>
    <w:p>
      <w:pPr>
        <w:ind w:left="1292" w:right="60"/>
        <w:spacing w:after="0" w:line="264" w:lineRule="auto"/>
        <w:rPr>
          <w:sz w:val="20"/>
          <w:szCs w:val="20"/>
          <w:color w:val="auto"/>
        </w:rPr>
      </w:pPr>
      <w:r>
        <w:rPr>
          <w:rFonts w:ascii="Arial" w:cs="Arial" w:eastAsia="Arial" w:hAnsi="Arial"/>
          <w:sz w:val="18"/>
          <w:szCs w:val="18"/>
          <w:color w:val="auto"/>
        </w:rPr>
        <w:t>Any proceeds remaining after payment of the above amounts shall be paid to the Pledgee or its designee. The Pledgee shall have no obligation to account to the Pledgor for proceeds of disposition of the Pledged Equity and the Pledgor hereby waives any rights that he may have to demand such amount from the Pledgee.</w:t>
      </w:r>
    </w:p>
    <w:p>
      <w:pPr>
        <w:spacing w:after="0" w:line="177" w:lineRule="exact"/>
        <w:rPr>
          <w:sz w:val="20"/>
          <w:szCs w:val="20"/>
          <w:color w:val="auto"/>
        </w:rPr>
      </w:pPr>
    </w:p>
    <w:p>
      <w:pPr>
        <w:ind w:left="652" w:hanging="652"/>
        <w:spacing w:after="0"/>
        <w:tabs>
          <w:tab w:leader="none" w:pos="652"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Continuity and No Waiver</w:t>
      </w:r>
    </w:p>
    <w:p>
      <w:pPr>
        <w:spacing w:after="0" w:line="229" w:lineRule="exact"/>
        <w:rPr>
          <w:rFonts w:ascii="Arial" w:cs="Arial" w:eastAsia="Arial" w:hAnsi="Arial"/>
          <w:sz w:val="18"/>
          <w:szCs w:val="18"/>
          <w:b w:val="1"/>
          <w:bCs w:val="1"/>
          <w:color w:val="auto"/>
        </w:rPr>
      </w:pPr>
    </w:p>
    <w:p>
      <w:pPr>
        <w:ind w:left="652" w:right="1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Equity Pledge hereunder is a continuous security, and will continue to be valid until the full performance of the Contract Obligations or the full discharge and satisfaction of the Secured Debts. Neither exemption or grace period granted by the Pledgee to the Pledgor in respect of any breach, nor delay by the Pledgee in exercising any of its rights under the Transaction Agreements and this Agreement, shall affect the rights of the Pledgee under this Agreement, relevant PRC Law and the Transaction Agreements, the rights of the Pledgee to demand at any time thereafter the strict performance of the Transaction Agreements and this Agreement by the Pledgor or the rights the Pledgee may be entitled to due to any subsequent breach by the Pledgor of his obligations under the Transaction Agreements and/or this Agreement.</w:t>
      </w:r>
    </w:p>
    <w:p>
      <w:pPr>
        <w:spacing w:after="0" w:line="174" w:lineRule="exact"/>
        <w:rPr>
          <w:rFonts w:ascii="Arial" w:cs="Arial" w:eastAsia="Arial" w:hAnsi="Arial"/>
          <w:sz w:val="18"/>
          <w:szCs w:val="18"/>
          <w:b w:val="1"/>
          <w:bCs w:val="1"/>
          <w:color w:val="auto"/>
        </w:rPr>
      </w:pPr>
    </w:p>
    <w:p>
      <w:pPr>
        <w:ind w:left="652" w:hanging="652"/>
        <w:spacing w:after="0"/>
        <w:tabs>
          <w:tab w:leader="none" w:pos="652"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6.1.As of the date of this Agreement and during the term of this Agreement through the date of termination or expiration of this Agreement, the Pledgor hereby represents and warrants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350"/>
        </w:numPr>
        <w:rPr>
          <w:rFonts w:ascii="Arial" w:cs="Arial" w:eastAsia="Arial" w:hAnsi="Arial"/>
          <w:sz w:val="18"/>
          <w:szCs w:val="18"/>
          <w:color w:val="auto"/>
        </w:rPr>
      </w:pPr>
      <w:r>
        <w:rPr>
          <w:rFonts w:ascii="Arial" w:cs="Arial" w:eastAsia="Arial" w:hAnsi="Arial"/>
          <w:sz w:val="18"/>
          <w:szCs w:val="18"/>
          <w:color w:val="auto"/>
        </w:rPr>
        <w:t>The Pledgor is a PRC citizen with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140" w:hanging="655"/>
        <w:spacing w:after="0" w:line="286" w:lineRule="auto"/>
        <w:tabs>
          <w:tab w:leader="none" w:pos="1959" w:val="left"/>
        </w:tabs>
        <w:numPr>
          <w:ilvl w:val="1"/>
          <w:numId w:val="350"/>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the Pledgor do not violate any laws and regulations or government approvals, authorizations, notices or other governmental documents having binding effect on or affecting the Pledgor, nor do they violate any agreements between the Pledgor and any third party or any covenants made to any third party.</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655"/>
        <w:spacing w:after="0"/>
        <w:tabs>
          <w:tab w:leader="none" w:pos="195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This Agreement constitutes the lawful, valid and enforceable obligations of the Pledgor.</w:t>
      </w:r>
    </w:p>
    <w:p>
      <w:pPr>
        <w:spacing w:after="0" w:line="225" w:lineRule="exact"/>
        <w:rPr>
          <w:rFonts w:ascii="Arial" w:cs="Arial" w:eastAsia="Arial" w:hAnsi="Arial"/>
          <w:sz w:val="18"/>
          <w:szCs w:val="18"/>
          <w:color w:val="auto"/>
        </w:rPr>
      </w:pPr>
    </w:p>
    <w:p>
      <w:pPr>
        <w:ind w:left="1952" w:right="600" w:hanging="655"/>
        <w:spacing w:after="0" w:line="277" w:lineRule="auto"/>
        <w:tabs>
          <w:tab w:leader="none" w:pos="195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All reports, documents and information provided by the Pledgor to the Pledgee are true, correct and accurate in all material respects.</w:t>
      </w:r>
    </w:p>
    <w:p>
      <w:pPr>
        <w:spacing w:after="0" w:line="170" w:lineRule="exact"/>
        <w:rPr>
          <w:rFonts w:ascii="Arial" w:cs="Arial" w:eastAsia="Arial" w:hAnsi="Arial"/>
          <w:sz w:val="18"/>
          <w:szCs w:val="18"/>
          <w:color w:val="auto"/>
        </w:rPr>
      </w:pPr>
    </w:p>
    <w:p>
      <w:pPr>
        <w:ind w:left="1952" w:right="140" w:hanging="655"/>
        <w:spacing w:after="0" w:line="286" w:lineRule="auto"/>
        <w:tabs>
          <w:tab w:leader="none" w:pos="1963"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The Pledgor constitutes the only legal owner of the Pledged Equity, with no existing dispute concerning the ownership of the Pledged Equity. Except for the restrictions imposed by the Transaction Agreements and this Agreement or as otherwise agreed by the Parties, the Pledgor has the right to dispose of the Pledged Equity or any part thereof.</w:t>
      </w:r>
    </w:p>
    <w:p>
      <w:pPr>
        <w:spacing w:after="0" w:line="165" w:lineRule="exact"/>
        <w:rPr>
          <w:rFonts w:ascii="Arial" w:cs="Arial" w:eastAsia="Arial" w:hAnsi="Arial"/>
          <w:sz w:val="17"/>
          <w:szCs w:val="17"/>
          <w:color w:val="auto"/>
        </w:rPr>
      </w:pPr>
    </w:p>
    <w:p>
      <w:pPr>
        <w:ind w:left="1952" w:right="80" w:hanging="655"/>
        <w:spacing w:after="0" w:line="308" w:lineRule="auto"/>
        <w:tabs>
          <w:tab w:leader="none" w:pos="1956" w:val="left"/>
        </w:tabs>
        <w:numPr>
          <w:ilvl w:val="0"/>
          <w:numId w:val="351"/>
        </w:numPr>
        <w:rPr>
          <w:rFonts w:ascii="Arial" w:cs="Arial" w:eastAsia="Arial" w:hAnsi="Arial"/>
          <w:sz w:val="17"/>
          <w:szCs w:val="17"/>
          <w:color w:val="auto"/>
        </w:rPr>
      </w:pPr>
      <w:r>
        <w:rPr>
          <w:rFonts w:ascii="Arial" w:cs="Arial" w:eastAsia="Arial" w:hAnsi="Arial"/>
          <w:sz w:val="17"/>
          <w:szCs w:val="17"/>
          <w:color w:val="auto"/>
        </w:rPr>
        <w:t>Except for the encumbrance set on the Pledged Equity hereunder and otherwise agreed by the Parties and the rights set forth under the Transaction Agreements, there is no other encumbrance or third party interest over the Pledged Equity.</w:t>
      </w:r>
    </w:p>
    <w:p>
      <w:pPr>
        <w:spacing w:after="0" w:line="146" w:lineRule="exact"/>
        <w:rPr>
          <w:rFonts w:ascii="Arial" w:cs="Arial" w:eastAsia="Arial" w:hAnsi="Arial"/>
          <w:sz w:val="17"/>
          <w:szCs w:val="17"/>
          <w:color w:val="auto"/>
        </w:rPr>
      </w:pPr>
    </w:p>
    <w:p>
      <w:pPr>
        <w:ind w:left="1952" w:right="60" w:hanging="655"/>
        <w:spacing w:after="0" w:line="277" w:lineRule="auto"/>
        <w:tabs>
          <w:tab w:leader="none" w:pos="1973"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Pledged Equity is capable of being pledged or transferred according to PRC Law, and the Pledgor has the full right and power to pledge the Pledged Equity to the Pledgee according to this Agreement.</w:t>
      </w:r>
    </w:p>
    <w:p>
      <w:pPr>
        <w:spacing w:after="0" w:line="170" w:lineRule="exact"/>
        <w:rPr>
          <w:rFonts w:ascii="Arial" w:cs="Arial" w:eastAsia="Arial" w:hAnsi="Arial"/>
          <w:sz w:val="18"/>
          <w:szCs w:val="18"/>
          <w:color w:val="auto"/>
        </w:rPr>
      </w:pPr>
    </w:p>
    <w:p>
      <w:pPr>
        <w:ind w:left="1952" w:right="40" w:hanging="655"/>
        <w:spacing w:after="0" w:line="259" w:lineRule="auto"/>
        <w:tabs>
          <w:tab w:leader="none" w:pos="195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consent, permission, waiver or authorization by any third person, or any approval, permission or exemption by any government authority, or any registration or filing formalities with any government authority to be effected or obtained in respect of the execution and performance hereof and the creation of the Equity Pledge hereunder have been or will be handled or obtained, and will be fully effective during the term of this Agreement.</w:t>
      </w:r>
    </w:p>
    <w:p>
      <w:pPr>
        <w:spacing w:after="0" w:line="186" w:lineRule="exact"/>
        <w:rPr>
          <w:rFonts w:ascii="Arial" w:cs="Arial" w:eastAsia="Arial" w:hAnsi="Arial"/>
          <w:sz w:val="18"/>
          <w:szCs w:val="18"/>
          <w:color w:val="auto"/>
        </w:rPr>
      </w:pPr>
    </w:p>
    <w:p>
      <w:pPr>
        <w:ind w:left="1972" w:hanging="675"/>
        <w:spacing w:after="0"/>
        <w:tabs>
          <w:tab w:leader="none" w:pos="1972"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Equity Pledge hereunder constitutes a first pledge on the Pledged Equity.</w:t>
      </w:r>
    </w:p>
    <w:p>
      <w:pPr>
        <w:spacing w:after="0" w:line="225" w:lineRule="exact"/>
        <w:rPr>
          <w:rFonts w:ascii="Arial" w:cs="Arial" w:eastAsia="Arial" w:hAnsi="Arial"/>
          <w:sz w:val="18"/>
          <w:szCs w:val="18"/>
          <w:color w:val="auto"/>
        </w:rPr>
      </w:pPr>
    </w:p>
    <w:p>
      <w:pPr>
        <w:ind w:left="1952" w:right="60" w:hanging="655"/>
        <w:spacing w:after="0" w:line="279" w:lineRule="auto"/>
        <w:tabs>
          <w:tab w:leader="none" w:pos="19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There is no pending or, to the knowledge of the Pledgor, threatened litigation, legal process or demand by any court or any arbitral tribunal or by any government authority or any administration authority against the Pledgor, or his property, or the Pledged Equity, which would have a material adverse effect on the economic status of the Pledgor or his capability to perform the obligations hereunder and the Contract Obligations or to discharge and satisfy the Secured Debts.</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As of the date of this Agreement and during the term of this Agreement through the date of termination or expiration of this Agreement, the</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Pledgee hereby represents and warrants as follows:</w:t>
      </w:r>
    </w:p>
    <w:p>
      <w:pPr>
        <w:sectPr>
          <w:pgSz w:w="11900" w:h="16888" w:orient="portrait"/>
          <w:cols w:equalWidth="0" w:num="1">
            <w:col w:w="11412"/>
          </w:cols>
          <w:pgMar w:left="248" w:top="341" w:right="239" w:bottom="0" w:gutter="0" w:footer="0" w:header="0"/>
        </w:sectPr>
      </w:pPr>
    </w:p>
    <w:bookmarkStart w:id="190" w:name="page191"/>
    <w:bookmarkEnd w:id="190"/>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32" w:hanging="635"/>
        <w:spacing w:after="0"/>
        <w:tabs>
          <w:tab w:leader="none" w:pos="1932"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Pledgee is a wholly foreign owned enterprise duly registered and existing under PRC Law.</w:t>
      </w:r>
    </w:p>
    <w:p>
      <w:pPr>
        <w:spacing w:after="0" w:line="225" w:lineRule="exact"/>
        <w:rPr>
          <w:rFonts w:ascii="Arial" w:cs="Arial" w:eastAsia="Arial" w:hAnsi="Arial"/>
          <w:sz w:val="18"/>
          <w:szCs w:val="18"/>
          <w:color w:val="auto"/>
        </w:rPr>
      </w:pPr>
    </w:p>
    <w:p>
      <w:pPr>
        <w:ind w:left="1952" w:right="140" w:hanging="655"/>
        <w:spacing w:after="0" w:line="259" w:lineRule="auto"/>
        <w:tabs>
          <w:tab w:leader="none" w:pos="1959"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Pledgee has the power to execute and perform its obligations under this Agreement. The execution and performance of this Agreement by the Pledgee is in compliance with the articles of association or other organizational documents of the Pledgee, and the Pledgee has obtained all necessary and appropriate approvals and authorizations for the execution and performance of this Agreement.</w:t>
      </w:r>
    </w:p>
    <w:p>
      <w:pPr>
        <w:spacing w:after="0" w:line="186" w:lineRule="exact"/>
        <w:rPr>
          <w:rFonts w:ascii="Arial" w:cs="Arial" w:eastAsia="Arial" w:hAnsi="Arial"/>
          <w:sz w:val="18"/>
          <w:szCs w:val="18"/>
          <w:color w:val="auto"/>
        </w:rPr>
      </w:pPr>
    </w:p>
    <w:p>
      <w:pPr>
        <w:ind w:left="1952" w:hanging="655"/>
        <w:spacing w:after="0"/>
        <w:tabs>
          <w:tab w:leader="none" w:pos="1952"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the Pledgee.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by the Pledgor</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Pledgor hereby undertakes to the Pledgee as follows:</w:t>
      </w:r>
    </w:p>
    <w:p>
      <w:pPr>
        <w:spacing w:after="0" w:line="225" w:lineRule="exact"/>
        <w:rPr>
          <w:rFonts w:ascii="Arial" w:cs="Arial" w:eastAsia="Arial" w:hAnsi="Arial"/>
          <w:sz w:val="18"/>
          <w:szCs w:val="18"/>
          <w:b w:val="1"/>
          <w:bCs w:val="1"/>
          <w:color w:val="auto"/>
        </w:rPr>
      </w:pPr>
    </w:p>
    <w:p>
      <w:pPr>
        <w:ind w:left="1952" w:right="240" w:hanging="655"/>
        <w:spacing w:after="0" w:line="264" w:lineRule="auto"/>
        <w:tabs>
          <w:tab w:leader="none" w:pos="1949" w:val="left"/>
        </w:tabs>
        <w:numPr>
          <w:ilvl w:val="1"/>
          <w:numId w:val="353"/>
        </w:numPr>
        <w:rPr>
          <w:rFonts w:ascii="Arial" w:cs="Arial" w:eastAsia="Arial" w:hAnsi="Arial"/>
          <w:sz w:val="18"/>
          <w:szCs w:val="18"/>
          <w:color w:val="auto"/>
        </w:rPr>
      </w:pPr>
      <w:r>
        <w:rPr>
          <w:rFonts w:ascii="Arial" w:cs="Arial" w:eastAsia="Arial" w:hAnsi="Arial"/>
          <w:sz w:val="18"/>
          <w:szCs w:val="18"/>
          <w:color w:val="auto"/>
        </w:rPr>
        <w:t>Without the prior written consent by the Pledgee, the Pledgor shall not establish or permit to establish any further pledge or any other encumbrance on the Pledged Equity. Any pledge or other encumbrance on all or part of the Pledged Equity without such prior written consent shall be null and void.</w:t>
      </w:r>
    </w:p>
    <w:p>
      <w:pPr>
        <w:spacing w:after="0" w:line="181" w:lineRule="exact"/>
        <w:rPr>
          <w:rFonts w:ascii="Arial" w:cs="Arial" w:eastAsia="Arial" w:hAnsi="Arial"/>
          <w:sz w:val="18"/>
          <w:szCs w:val="18"/>
          <w:color w:val="auto"/>
        </w:rPr>
      </w:pPr>
    </w:p>
    <w:p>
      <w:pPr>
        <w:ind w:left="1952" w:right="60" w:hanging="655"/>
        <w:spacing w:after="0" w:line="312" w:lineRule="auto"/>
        <w:tabs>
          <w:tab w:leader="none" w:pos="1959" w:val="left"/>
        </w:tabs>
        <w:numPr>
          <w:ilvl w:val="1"/>
          <w:numId w:val="353"/>
        </w:numPr>
        <w:rPr>
          <w:rFonts w:ascii="Arial" w:cs="Arial" w:eastAsia="Arial" w:hAnsi="Arial"/>
          <w:sz w:val="16"/>
          <w:szCs w:val="16"/>
          <w:color w:val="auto"/>
        </w:rPr>
      </w:pPr>
      <w:r>
        <w:rPr>
          <w:rFonts w:ascii="Arial" w:cs="Arial" w:eastAsia="Arial" w:hAnsi="Arial"/>
          <w:sz w:val="16"/>
          <w:szCs w:val="16"/>
          <w:color w:val="auto"/>
        </w:rPr>
        <w:t>Without having the Pledgee’s prior written consent, the Pledgor shall not transfer the Pledged Equity, and any attempt by the Pledgor to transfer the Pledged Equity shall be null and void. The proceeds from the transfer of the Pledged Equity by the Pledgor shall be used to repay to the Pledgee in advance the Secured Debts or submit the same to the third party agreed with the Pledgee.</w:t>
      </w:r>
    </w:p>
    <w:p>
      <w:pPr>
        <w:spacing w:after="0" w:line="146" w:lineRule="exact"/>
        <w:rPr>
          <w:rFonts w:ascii="Arial" w:cs="Arial" w:eastAsia="Arial" w:hAnsi="Arial"/>
          <w:sz w:val="16"/>
          <w:szCs w:val="16"/>
          <w:color w:val="auto"/>
        </w:rPr>
      </w:pPr>
    </w:p>
    <w:p>
      <w:pPr>
        <w:ind w:left="1952" w:right="20" w:hanging="655"/>
        <w:spacing w:after="0" w:line="279" w:lineRule="auto"/>
        <w:tabs>
          <w:tab w:leader="none" w:pos="1963" w:val="left"/>
        </w:tabs>
        <w:numPr>
          <w:ilvl w:val="1"/>
          <w:numId w:val="353"/>
        </w:numPr>
        <w:rPr>
          <w:rFonts w:ascii="Arial" w:cs="Arial" w:eastAsia="Arial" w:hAnsi="Arial"/>
          <w:sz w:val="17"/>
          <w:szCs w:val="17"/>
          <w:color w:val="auto"/>
        </w:rPr>
      </w:pPr>
      <w:r>
        <w:rPr>
          <w:rFonts w:ascii="Arial" w:cs="Arial" w:eastAsia="Arial" w:hAnsi="Arial"/>
          <w:sz w:val="17"/>
          <w:szCs w:val="17"/>
          <w:color w:val="auto"/>
        </w:rPr>
        <w:t>The Pledgor shall promptly notify the Pledgee of any litigation, arbitration, claim or other proceedings which may adversely affect the interest of the Pledgor or the Pledgee under the Transaction Agreements and hereunder or in respect of the Pledged Equity, shall keep the Pledgee timely informed of developments in connection therewith and shall take all reasonable measures to defend such proceedings and protect the interest of the Pledgee in the Pledged Equity.</w:t>
      </w:r>
    </w:p>
    <w:p>
      <w:pPr>
        <w:spacing w:after="0" w:line="171" w:lineRule="exact"/>
        <w:rPr>
          <w:rFonts w:ascii="Arial" w:cs="Arial" w:eastAsia="Arial" w:hAnsi="Arial"/>
          <w:sz w:val="17"/>
          <w:szCs w:val="17"/>
          <w:color w:val="auto"/>
        </w:rPr>
      </w:pPr>
    </w:p>
    <w:p>
      <w:pPr>
        <w:ind w:left="1952" w:right="40" w:hanging="655"/>
        <w:spacing w:after="0" w:line="277" w:lineRule="auto"/>
        <w:tabs>
          <w:tab w:leader="none" w:pos="1959"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Pledgor shall not take or permit any act or action which may adversely affect the interest of the Pledgee under the Transaction Agreements and hereunder or in respect of the Pledged Equity.</w:t>
      </w:r>
    </w:p>
    <w:p>
      <w:pPr>
        <w:spacing w:after="0" w:line="170" w:lineRule="exact"/>
        <w:rPr>
          <w:rFonts w:ascii="Arial" w:cs="Arial" w:eastAsia="Arial" w:hAnsi="Arial"/>
          <w:sz w:val="18"/>
          <w:szCs w:val="18"/>
          <w:color w:val="auto"/>
        </w:rPr>
      </w:pPr>
    </w:p>
    <w:p>
      <w:pPr>
        <w:ind w:left="1952" w:hanging="655"/>
        <w:spacing w:after="0" w:line="264" w:lineRule="auto"/>
        <w:tabs>
          <w:tab w:leader="none" w:pos="1963"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At the request of the Pledgee, the Pledgor shall cause the Domestic Company to, within the first month of each calendar quarter, provide the Pledgee with the financial statements, including (but not limited to) the balance sheet, the profit statement and the cash flow statement of the Domestic Company for the previous calendar quarter.</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Circumstances</w:t>
      </w:r>
    </w:p>
    <w:p>
      <w:pPr>
        <w:spacing w:after="0" w:line="229" w:lineRule="exact"/>
        <w:rPr>
          <w:rFonts w:ascii="Arial" w:cs="Arial" w:eastAsia="Arial" w:hAnsi="Arial"/>
          <w:sz w:val="18"/>
          <w:szCs w:val="18"/>
          <w:b w:val="1"/>
          <w:bCs w:val="1"/>
          <w:color w:val="auto"/>
        </w:rPr>
      </w:pPr>
    </w:p>
    <w:p>
      <w:pPr>
        <w:ind w:left="6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Subject to compliance with other terms of the Transaction Agreements and this Agreement, the event of any promulgation or change of any PRC Law, regulations or rules, or change in interpretation or application of such laws, regulations and rules, or the change of the relevant registration procedures which causes the Pledgee to believe that it will be illegal or in conflict with such laws, regulations or rules to further maintain the effectiveness of this Agreement and/or dispose of the Pledged Equity in the manner provided herein, the Pledgor shall, at the written direction of the Pledgee and in accordance with the reasonable request of the Pledgee, promptly take all actions and/or execute any agreement or other document, in order to:</w:t>
      </w:r>
    </w:p>
    <w:p>
      <w:pPr>
        <w:spacing w:after="0" w:line="193" w:lineRule="exact"/>
        <w:rPr>
          <w:rFonts w:ascii="Arial" w:cs="Arial" w:eastAsia="Arial" w:hAnsi="Arial"/>
          <w:sz w:val="18"/>
          <w:szCs w:val="18"/>
          <w:b w:val="1"/>
          <w:bCs w:val="1"/>
          <w:color w:val="auto"/>
        </w:rPr>
      </w:pPr>
    </w:p>
    <w:p>
      <w:pPr>
        <w:ind w:left="1352" w:hanging="704"/>
        <w:spacing w:after="0"/>
        <w:tabs>
          <w:tab w:leader="none" w:pos="1352" w:val="left"/>
        </w:tabs>
        <w:numPr>
          <w:ilvl w:val="1"/>
          <w:numId w:val="354"/>
        </w:numPr>
        <w:rPr>
          <w:rFonts w:ascii="Arial" w:cs="Arial" w:eastAsia="Arial" w:hAnsi="Arial"/>
          <w:sz w:val="18"/>
          <w:szCs w:val="18"/>
          <w:color w:val="auto"/>
        </w:rPr>
      </w:pPr>
      <w:r>
        <w:rPr>
          <w:rFonts w:ascii="Arial" w:cs="Arial" w:eastAsia="Arial" w:hAnsi="Arial"/>
          <w:sz w:val="18"/>
          <w:szCs w:val="18"/>
          <w:color w:val="auto"/>
        </w:rPr>
        <w:t>keep this Agreement valid and effective;</w:t>
      </w:r>
    </w:p>
    <w:p>
      <w:pPr>
        <w:spacing w:after="0" w:line="225" w:lineRule="exact"/>
        <w:rPr>
          <w:rFonts w:ascii="Arial" w:cs="Arial" w:eastAsia="Arial" w:hAnsi="Arial"/>
          <w:sz w:val="18"/>
          <w:szCs w:val="18"/>
          <w:color w:val="auto"/>
        </w:rPr>
      </w:pPr>
    </w:p>
    <w:p>
      <w:pPr>
        <w:ind w:left="1352" w:hanging="704"/>
        <w:spacing w:after="0"/>
        <w:tabs>
          <w:tab w:leader="none" w:pos="1352" w:val="left"/>
        </w:tabs>
        <w:numPr>
          <w:ilvl w:val="1"/>
          <w:numId w:val="354"/>
        </w:numPr>
        <w:rPr>
          <w:rFonts w:ascii="Arial" w:cs="Arial" w:eastAsia="Arial" w:hAnsi="Arial"/>
          <w:sz w:val="18"/>
          <w:szCs w:val="18"/>
          <w:color w:val="auto"/>
        </w:rPr>
      </w:pPr>
      <w:r>
        <w:rPr>
          <w:rFonts w:ascii="Arial" w:cs="Arial" w:eastAsia="Arial" w:hAnsi="Arial"/>
          <w:sz w:val="18"/>
          <w:szCs w:val="18"/>
          <w:color w:val="auto"/>
        </w:rPr>
        <w:t>facilitate the disposal of the Pledged Equity in the manner provided herein; and/or</w:t>
      </w:r>
    </w:p>
    <w:p>
      <w:pPr>
        <w:spacing w:after="0" w:line="225" w:lineRule="exact"/>
        <w:rPr>
          <w:rFonts w:ascii="Arial" w:cs="Arial" w:eastAsia="Arial" w:hAnsi="Arial"/>
          <w:sz w:val="18"/>
          <w:szCs w:val="18"/>
          <w:color w:val="auto"/>
        </w:rPr>
      </w:pPr>
    </w:p>
    <w:p>
      <w:pPr>
        <w:ind w:left="1352" w:hanging="704"/>
        <w:spacing w:after="0"/>
        <w:tabs>
          <w:tab w:leader="none" w:pos="1352" w:val="left"/>
        </w:tabs>
        <w:numPr>
          <w:ilvl w:val="1"/>
          <w:numId w:val="354"/>
        </w:numPr>
        <w:rPr>
          <w:rFonts w:ascii="Arial" w:cs="Arial" w:eastAsia="Arial" w:hAnsi="Arial"/>
          <w:sz w:val="18"/>
          <w:szCs w:val="18"/>
          <w:color w:val="auto"/>
        </w:rPr>
      </w:pPr>
      <w:r>
        <w:rPr>
          <w:rFonts w:ascii="Arial" w:cs="Arial" w:eastAsia="Arial" w:hAnsi="Arial"/>
          <w:sz w:val="18"/>
          <w:szCs w:val="18"/>
          <w:color w:val="auto"/>
        </w:rPr>
        <w:t>maintain or realize the intention or the security established hereunder.</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and Term of the Agreement</w:t>
      </w:r>
    </w:p>
    <w:p>
      <w:pPr>
        <w:spacing w:after="0" w:line="229" w:lineRule="exact"/>
        <w:rPr>
          <w:rFonts w:ascii="Arial" w:cs="Arial" w:eastAsia="Arial" w:hAnsi="Arial"/>
          <w:sz w:val="18"/>
          <w:szCs w:val="18"/>
          <w:b w:val="1"/>
          <w:bCs w:val="1"/>
          <w:color w:val="auto"/>
        </w:rPr>
      </w:pPr>
    </w:p>
    <w:p>
      <w:pPr>
        <w:ind w:left="1292"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9.1.This Agreement shall become effective when it has been duly executed by the parties hereto and recorded in the register of equityholders (if any) of the Domestic Company, and the Equity Pledge under this Agreement or the Registration Version, as applicable, shall become effective when it has been registered with SAIC to the extent permitted by SAIC. The Pledgor shall carry out all the approval and registration formalities in a timely manner as required by PRC Law (including but not limited to the registration of the Equity Pledge with SAIC to the extent permitted by SAIC) and shall take all other necessary actions required for completing such approval and/or registration formalities.</w:t>
      </w:r>
    </w:p>
    <w:p>
      <w:pPr>
        <w:spacing w:after="0" w:line="193" w:lineRule="exact"/>
        <w:rPr>
          <w:rFonts w:ascii="Arial" w:cs="Arial" w:eastAsia="Arial" w:hAnsi="Arial"/>
          <w:sz w:val="18"/>
          <w:szCs w:val="18"/>
          <w:b w:val="1"/>
          <w:bCs w:val="1"/>
          <w:color w:val="auto"/>
        </w:rPr>
      </w:pPr>
    </w:p>
    <w:p>
      <w:pPr>
        <w:ind w:left="1292" w:right="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9.2.This Agreement shall continue to be valid until the full performance of the Contract Obligations or the full discharge and satisfaction of the Secured Debts.</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1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w:t>
      </w:r>
    </w:p>
    <w:p>
      <w:pPr>
        <w:sectPr>
          <w:pgSz w:w="11900" w:h="16838" w:orient="portrait"/>
          <w:cols w:equalWidth="0" w:num="1">
            <w:col w:w="11372"/>
          </w:cols>
          <w:pgMar w:left="248" w:top="341" w:right="279" w:bottom="0" w:gutter="0" w:footer="0" w:header="0"/>
        </w:sectPr>
      </w:pPr>
    </w:p>
    <w:bookmarkStart w:id="191" w:name="page192"/>
    <w:bookmarkEnd w:id="191"/>
    <w:p>
      <w:pPr>
        <w:spacing w:after="0" w:line="68" w:lineRule="exact"/>
        <w:rPr>
          <w:sz w:val="20"/>
          <w:szCs w:val="20"/>
          <w:color w:val="auto"/>
        </w:rPr>
      </w:pPr>
    </w:p>
    <w:p>
      <w:pPr>
        <w:ind w:left="652" w:right="100"/>
        <w:spacing w:after="0" w:line="308" w:lineRule="auto"/>
        <w:rPr>
          <w:sz w:val="20"/>
          <w:szCs w:val="20"/>
          <w:color w:val="auto"/>
        </w:rPr>
      </w:pPr>
      <w:r>
        <w:rPr>
          <w:rFonts w:ascii="Arial" w:cs="Arial" w:eastAsia="Arial" w:hAnsi="Arial"/>
          <w:sz w:val="17"/>
          <w:szCs w:val="17"/>
          <w:color w:val="auto"/>
        </w:rPr>
        <w:t>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If to Pledgee: NetEase (Hangzhou) Network Co., Ltd.</w:t>
      </w:r>
    </w:p>
    <w:p>
      <w:pPr>
        <w:sectPr>
          <w:pgSz w:w="11900" w:h="16906" w:orient="portrait"/>
          <w:cols w:equalWidth="0" w:num="1">
            <w:col w:w="11392"/>
          </w:cols>
          <w:pgMar w:left="248" w:top="125" w:right="259" w:bottom="0" w:gutter="0" w:footer="0" w:header="0"/>
        </w:sectPr>
      </w:pP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7/F, Building 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 599 Wangshang Road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Binjiang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Hangzhou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Zhejiang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200" w:lineRule="exact"/>
        <w:rPr>
          <w:sz w:val="20"/>
          <w:szCs w:val="20"/>
          <w:color w:val="auto"/>
        </w:rPr>
      </w:pPr>
    </w:p>
    <w:p>
      <w:pPr>
        <w:sectPr>
          <w:pgSz w:w="11900" w:h="16906" w:orient="portrait"/>
          <w:cols w:equalWidth="0" w:num="2">
            <w:col w:w="2352" w:space="720"/>
            <w:col w:w="8320"/>
          </w:cols>
          <w:pgMar w:left="248" w:top="125" w:right="259" w:bottom="0" w:gutter="0" w:footer="0" w:header="0"/>
          <w:type w:val="continuous"/>
        </w:sectPr>
      </w:pPr>
    </w:p>
    <w:p>
      <w:pPr>
        <w:spacing w:after="0" w:line="34"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0571-89852163</w:t>
      </w:r>
    </w:p>
    <w:p>
      <w:pPr>
        <w:spacing w:after="0" w:line="200" w:lineRule="exact"/>
        <w:rPr>
          <w:sz w:val="20"/>
          <w:szCs w:val="20"/>
          <w:color w:val="auto"/>
        </w:rPr>
      </w:pPr>
    </w:p>
    <w:p>
      <w:pPr>
        <w:sectPr>
          <w:pgSz w:w="11900" w:h="16906" w:orient="portrait"/>
          <w:cols w:equalWidth="0" w:num="2">
            <w:col w:w="2352" w:space="720"/>
            <w:col w:w="8320"/>
          </w:cols>
          <w:pgMar w:left="248" w:top="125" w:right="259" w:bottom="0" w:gutter="0" w:footer="0" w:header="0"/>
          <w:type w:val="continuous"/>
        </w:sectPr>
      </w:pPr>
    </w:p>
    <w:p>
      <w:pPr>
        <w:spacing w:after="0" w:line="48" w:lineRule="exact"/>
        <w:rPr>
          <w:sz w:val="20"/>
          <w:szCs w:val="20"/>
          <w:color w:val="auto"/>
        </w:rPr>
      </w:pPr>
    </w:p>
    <w:p>
      <w:pPr>
        <w:jc w:val="center"/>
        <w:ind w:left="71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liujianing@corp.netease.com</w:t>
      </w:r>
    </w:p>
    <w:p>
      <w:pPr>
        <w:spacing w:after="0" w:line="211" w:lineRule="exact"/>
        <w:rPr>
          <w:sz w:val="20"/>
          <w:szCs w:val="20"/>
          <w:color w:val="auto"/>
        </w:rPr>
      </w:pPr>
    </w:p>
    <w:p>
      <w:pPr>
        <w:sectPr>
          <w:pgSz w:w="11900" w:h="16906" w:orient="portrait"/>
          <w:cols w:equalWidth="0" w:num="2">
            <w:col w:w="2352" w:space="720"/>
            <w:col w:w="8320"/>
          </w:cols>
          <w:pgMar w:left="248" w:top="125" w:right="259" w:bottom="0" w:gutter="0" w:footer="0" w:header="0"/>
          <w:type w:val="continuous"/>
        </w:sectPr>
      </w:pPr>
    </w:p>
    <w:p>
      <w:pPr>
        <w:spacing w:after="0" w:line="37"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Liu Jianing</w:t>
      </w:r>
    </w:p>
    <w:p>
      <w:pPr>
        <w:spacing w:after="0" w:line="211" w:lineRule="exact"/>
        <w:rPr>
          <w:sz w:val="20"/>
          <w:szCs w:val="20"/>
          <w:color w:val="auto"/>
        </w:rPr>
      </w:pPr>
    </w:p>
    <w:p>
      <w:pPr>
        <w:sectPr>
          <w:pgSz w:w="11900" w:h="16906" w:orient="portrait"/>
          <w:cols w:equalWidth="0" w:num="2">
            <w:col w:w="2352" w:space="720"/>
            <w:col w:w="8320"/>
          </w:cols>
          <w:pgMar w:left="248" w:top="125" w:right="259" w:bottom="0" w:gutter="0" w:footer="0" w:header="0"/>
          <w:type w:val="continuous"/>
        </w:sectPr>
      </w:pPr>
    </w:p>
    <w:p>
      <w:pPr>
        <w:spacing w:after="0" w:line="33" w:lineRule="exact"/>
        <w:rPr>
          <w:sz w:val="20"/>
          <w:szCs w:val="20"/>
          <w:color w:val="auto"/>
        </w:rPr>
      </w:pPr>
    </w:p>
    <w:p>
      <w:pPr>
        <w:ind w:left="652"/>
        <w:spacing w:after="0"/>
        <w:rPr>
          <w:sz w:val="20"/>
          <w:szCs w:val="20"/>
          <w:color w:val="auto"/>
        </w:rPr>
      </w:pPr>
      <w:r>
        <w:rPr>
          <w:rFonts w:ascii="Arial" w:cs="Arial" w:eastAsia="Arial" w:hAnsi="Arial"/>
          <w:sz w:val="17"/>
          <w:szCs w:val="17"/>
          <w:b w:val="1"/>
          <w:bCs w:val="1"/>
          <w:color w:val="auto"/>
        </w:rPr>
        <w:t>If to Pledgor: Hu Tianlei</w:t>
      </w:r>
    </w:p>
    <w:p>
      <w:pPr>
        <w:sectPr>
          <w:pgSz w:w="11900" w:h="16906" w:orient="portrait"/>
          <w:cols w:equalWidth="0" w:num="1">
            <w:col w:w="11392"/>
          </w:cols>
          <w:pgMar w:left="248" w:top="125" w:right="259" w:bottom="0" w:gutter="0" w:footer="0" w:header="0"/>
          <w:type w:val="continuous"/>
        </w:sectPr>
      </w:pPr>
    </w:p>
    <w:p>
      <w:pPr>
        <w:spacing w:after="0" w:line="241"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 38 Zheda Road, West Lake District, Hangzhou,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Zhejiang, PRC</w:t>
      </w:r>
    </w:p>
    <w:p>
      <w:pPr>
        <w:spacing w:after="0" w:line="200" w:lineRule="exact"/>
        <w:rPr>
          <w:sz w:val="20"/>
          <w:szCs w:val="20"/>
          <w:color w:val="auto"/>
        </w:rPr>
      </w:pPr>
    </w:p>
    <w:p>
      <w:pPr>
        <w:sectPr>
          <w:pgSz w:w="11900" w:h="16906" w:orient="portrait"/>
          <w:cols w:equalWidth="0" w:num="2">
            <w:col w:w="2352" w:space="720"/>
            <w:col w:w="8320"/>
          </w:cols>
          <w:pgMar w:left="248" w:top="125" w:right="259" w:bottom="0" w:gutter="0" w:footer="0" w:header="0"/>
          <w:type w:val="continuous"/>
        </w:sectPr>
      </w:pPr>
    </w:p>
    <w:p>
      <w:pPr>
        <w:spacing w:after="0" w:line="11"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0571-89852510</w:t>
      </w:r>
    </w:p>
    <w:p>
      <w:pPr>
        <w:spacing w:after="0" w:line="200" w:lineRule="exact"/>
        <w:rPr>
          <w:sz w:val="20"/>
          <w:szCs w:val="20"/>
          <w:color w:val="auto"/>
        </w:rPr>
      </w:pPr>
    </w:p>
    <w:p>
      <w:pPr>
        <w:sectPr>
          <w:pgSz w:w="11900" w:h="16906" w:orient="portrait"/>
          <w:cols w:equalWidth="0" w:num="2">
            <w:col w:w="2352" w:space="720"/>
            <w:col w:w="8320"/>
          </w:cols>
          <w:pgMar w:left="248" w:top="125" w:right="259" w:bottom="0" w:gutter="0" w:footer="0" w:header="0"/>
          <w:type w:val="continuous"/>
        </w:sectPr>
      </w:pPr>
    </w:p>
    <w:p>
      <w:pPr>
        <w:spacing w:after="0" w:line="48" w:lineRule="exact"/>
        <w:rPr>
          <w:sz w:val="20"/>
          <w:szCs w:val="20"/>
          <w:color w:val="auto"/>
        </w:rPr>
      </w:pPr>
    </w:p>
    <w:p>
      <w:pPr>
        <w:jc w:val="center"/>
        <w:ind w:left="71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hutianlei@corp.netease.com</w:t>
      </w:r>
    </w:p>
    <w:p>
      <w:pPr>
        <w:spacing w:after="0" w:line="211" w:lineRule="exact"/>
        <w:rPr>
          <w:sz w:val="20"/>
          <w:szCs w:val="20"/>
          <w:color w:val="auto"/>
        </w:rPr>
      </w:pPr>
    </w:p>
    <w:p>
      <w:pPr>
        <w:sectPr>
          <w:pgSz w:w="11900" w:h="16906" w:orient="portrait"/>
          <w:cols w:equalWidth="0" w:num="2">
            <w:col w:w="2352" w:space="720"/>
            <w:col w:w="8320"/>
          </w:cols>
          <w:pgMar w:left="248" w:top="125" w:right="259" w:bottom="0" w:gutter="0" w:footer="0" w:header="0"/>
          <w:type w:val="continuous"/>
        </w:sectPr>
      </w:pPr>
    </w:p>
    <w:p>
      <w:pPr>
        <w:spacing w:after="0" w:line="33" w:lineRule="exact"/>
        <w:rPr>
          <w:sz w:val="20"/>
          <w:szCs w:val="20"/>
          <w:color w:val="auto"/>
        </w:rPr>
      </w:pPr>
    </w:p>
    <w:p>
      <w:pPr>
        <w:ind w:left="632" w:hanging="632"/>
        <w:spacing w:after="0"/>
        <w:tabs>
          <w:tab w:leader="none" w:pos="632"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52"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sz w:val="20"/>
          <w:szCs w:val="20"/>
          <w:color w:val="auto"/>
        </w:rPr>
      </w:pPr>
    </w:p>
    <w:p>
      <w:pPr>
        <w:ind w:left="1292" w:hanging="647"/>
        <w:spacing w:after="0" w:line="277" w:lineRule="auto"/>
        <w:tabs>
          <w:tab w:leader="none" w:pos="1272" w:val="left"/>
        </w:tabs>
        <w:rPr>
          <w:sz w:val="20"/>
          <w:szCs w:val="20"/>
          <w:color w:val="auto"/>
        </w:rPr>
      </w:pPr>
      <w:r>
        <w:rPr>
          <w:rFonts w:ascii="Arial" w:cs="Arial" w:eastAsia="Arial" w:hAnsi="Arial"/>
          <w:sz w:val="18"/>
          <w:szCs w:val="18"/>
          <w:color w:val="auto"/>
        </w:rPr>
        <w:t>12.1.</w:t>
        <w:tab/>
        <w:t>The formation, validity, interpretation, performance, amendment, termination and dispute resolution of this Agreement shall be governed by PRC Law.</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60" w:hanging="647"/>
        <w:spacing w:after="0" w:line="287" w:lineRule="auto"/>
        <w:tabs>
          <w:tab w:leader="none" w:pos="127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the Pledgee.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69" w:lineRule="exact"/>
        <w:rPr>
          <w:sz w:val="20"/>
          <w:szCs w:val="20"/>
          <w:color w:val="auto"/>
        </w:rPr>
      </w:pPr>
    </w:p>
    <w:p>
      <w:pPr>
        <w:ind w:left="1292" w:right="500" w:hanging="647"/>
        <w:spacing w:after="0" w:line="308" w:lineRule="auto"/>
        <w:tabs>
          <w:tab w:leader="none" w:pos="127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3" w:lineRule="exact"/>
        <w:rPr>
          <w:sz w:val="20"/>
          <w:szCs w:val="20"/>
          <w:color w:val="auto"/>
        </w:rPr>
      </w:pPr>
    </w:p>
    <w:p>
      <w:pPr>
        <w:ind w:left="652" w:hanging="652"/>
        <w:spacing w:after="0"/>
        <w:tabs>
          <w:tab w:leader="none" w:pos="652"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292" w:right="12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13.1. The Pledgee may, upon notice to the Pledgor but without the Pledgor’s consent, assign the Pledgee’s rights and/or obligations hereunder to any third party. In the event of an assignment by the Pledgee hereunder, the Pledgor shall, at the request of the Pledgee, execute a new pledge agreement with the assignee on the same terms and conditions as this Agreement and register such change with the SAIC. The Pledgor may not, without the Pledgee’s prior written consent, assign any of the Pledgor’s rights, obligations and/or liabilities hereunder to any third party. Successors or permitted assignees (if any) of the Pledgor shall be bound by, and continue to perform, the obligations of the Pledgor under this Agreement.</w:t>
      </w:r>
    </w:p>
    <w:p>
      <w:pPr>
        <w:sectPr>
          <w:pgSz w:w="11900" w:h="16906" w:orient="portrait"/>
          <w:cols w:equalWidth="0" w:num="1">
            <w:col w:w="11392"/>
          </w:cols>
          <w:pgMar w:left="248" w:top="125" w:right="259" w:bottom="0" w:gutter="0" w:footer="0" w:header="0"/>
          <w:type w:val="continuous"/>
        </w:sectPr>
      </w:pPr>
    </w:p>
    <w:bookmarkStart w:id="192" w:name="page193"/>
    <w:bookmarkEnd w:id="192"/>
    <w:p>
      <w:pPr>
        <w:jc w:val="both"/>
        <w:ind w:left="1300" w:right="160" w:hanging="647"/>
        <w:spacing w:after="0" w:line="277" w:lineRule="auto"/>
        <w:tabs>
          <w:tab w:leader="none" w:pos="1280" w:val="left"/>
        </w:tabs>
        <w:rPr>
          <w:sz w:val="20"/>
          <w:szCs w:val="20"/>
          <w:color w:val="auto"/>
        </w:rPr>
      </w:pPr>
      <w:r>
        <w:rPr>
          <w:rFonts w:ascii="Arial" w:cs="Arial" w:eastAsia="Arial" w:hAnsi="Arial"/>
          <w:sz w:val="18"/>
          <w:szCs w:val="18"/>
          <w:color w:val="auto"/>
        </w:rPr>
        <w:t>13.2.</w:t>
        <w:tab/>
        <w:t>The amount of Secured Debts determined by the Pledgee in exercising its rights over the Pledged Equity in accordance with the provisions contained herein shall be conclusive evidence of the amount of the Secured Debts hereunder.</w:t>
      </w:r>
    </w:p>
    <w:p>
      <w:pPr>
        <w:spacing w:after="0" w:line="170" w:lineRule="exact"/>
        <w:rPr>
          <w:sz w:val="20"/>
          <w:szCs w:val="20"/>
          <w:color w:val="auto"/>
        </w:rPr>
      </w:pPr>
    </w:p>
    <w:p>
      <w:pPr>
        <w:jc w:val="both"/>
        <w:ind w:left="1300" w:right="160" w:hanging="647"/>
        <w:spacing w:after="0" w:line="264" w:lineRule="auto"/>
        <w:tabs>
          <w:tab w:leader="none" w:pos="1280" w:val="left"/>
        </w:tabs>
        <w:rPr>
          <w:sz w:val="20"/>
          <w:szCs w:val="20"/>
          <w:color w:val="auto"/>
        </w:rPr>
      </w:pPr>
      <w:r>
        <w:rPr>
          <w:rFonts w:ascii="Arial" w:cs="Arial" w:eastAsia="Arial" w:hAnsi="Arial"/>
          <w:sz w:val="18"/>
          <w:szCs w:val="18"/>
          <w:color w:val="auto"/>
        </w:rPr>
        <w:t>13.3.</w:t>
        <w:tab/>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This Agreement may not be amended or modified in any manner except by an instrument in writing signed by the Parties hereto.</w:t>
      </w:r>
    </w:p>
    <w:p>
      <w:pPr>
        <w:spacing w:after="0" w:line="225" w:lineRule="exact"/>
        <w:rPr>
          <w:sz w:val="20"/>
          <w:szCs w:val="20"/>
          <w:color w:val="auto"/>
        </w:rPr>
      </w:pPr>
    </w:p>
    <w:p>
      <w:pPr>
        <w:ind w:left="1300" w:right="80" w:hanging="647"/>
        <w:spacing w:after="0" w:line="302" w:lineRule="auto"/>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54" w:lineRule="exact"/>
        <w:rPr>
          <w:sz w:val="20"/>
          <w:szCs w:val="20"/>
          <w:color w:val="auto"/>
        </w:rPr>
      </w:pPr>
    </w:p>
    <w:p>
      <w:pPr>
        <w:ind w:left="1300" w:right="60" w:hanging="647"/>
        <w:spacing w:after="0" w:line="291" w:lineRule="auto"/>
        <w:tabs>
          <w:tab w:leader="none" w:pos="12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In the event the Registration Version is used for the purposes of the Registration of the Equity Pledge, the Parties agree that, to the extent there is any discrepancy between this Agreement and the Registration Version and/or to the extent any contents of this Agreement supplement the Registration Version, this Agreement shall prevail. 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 and the Parties will negotiate in good faith to amend this Agreement with respect to the unenforceable provision to replace it with an enforceable provision which as closely as possible reflects the intent of the Parties.</w:t>
      </w:r>
    </w:p>
    <w:p>
      <w:pPr>
        <w:spacing w:after="0" w:line="163" w:lineRule="exact"/>
        <w:rPr>
          <w:sz w:val="20"/>
          <w:szCs w:val="20"/>
          <w:color w:val="auto"/>
        </w:rPr>
      </w:pPr>
    </w:p>
    <w:p>
      <w:pPr>
        <w:ind w:left="1300" w:right="180" w:hanging="647"/>
        <w:spacing w:after="0" w:line="258" w:lineRule="auto"/>
        <w:tabs>
          <w:tab w:leader="none" w:pos="1280" w:val="left"/>
        </w:tabs>
        <w:rPr>
          <w:sz w:val="20"/>
          <w:szCs w:val="20"/>
          <w:color w:val="auto"/>
        </w:rPr>
      </w:pPr>
      <w:r>
        <w:rPr>
          <w:rFonts w:ascii="Arial" w:cs="Arial" w:eastAsia="Arial" w:hAnsi="Arial"/>
          <w:sz w:val="18"/>
          <w:szCs w:val="18"/>
          <w:color w:val="auto"/>
        </w:rPr>
        <w:t>13.7.</w:t>
        <w:tab/>
        <w:t>Upon the execution of this Agreement, the Pledgor shall enter into a power of attorney (the “</w:t>
      </w:r>
      <w:r>
        <w:rPr>
          <w:rFonts w:ascii="Arial" w:cs="Arial" w:eastAsia="Arial" w:hAnsi="Arial"/>
          <w:sz w:val="18"/>
          <w:szCs w:val="18"/>
          <w:b w:val="1"/>
          <w:bCs w:val="1"/>
          <w:color w:val="auto"/>
        </w:rPr>
        <w:t>Power of Attorney</w:t>
      </w:r>
      <w:r>
        <w:rPr>
          <w:rFonts w:ascii="Arial" w:cs="Arial" w:eastAsia="Arial" w:hAnsi="Arial"/>
          <w:sz w:val="18"/>
          <w:szCs w:val="18"/>
          <w:color w:val="auto"/>
        </w:rPr>
        <w:t xml:space="preserve">”, the form of which is set forth in </w:t>
      </w:r>
      <w:r>
        <w:rPr>
          <w:rFonts w:ascii="Arial" w:cs="Arial" w:eastAsia="Arial" w:hAnsi="Arial"/>
          <w:sz w:val="18"/>
          <w:szCs w:val="18"/>
          <w:u w:val="single" w:color="auto"/>
          <w:color w:val="auto"/>
        </w:rPr>
        <w:t>Appendix II</w:t>
      </w:r>
      <w:r>
        <w:rPr>
          <w:rFonts w:ascii="Arial" w:cs="Arial" w:eastAsia="Arial" w:hAnsi="Arial"/>
          <w:sz w:val="18"/>
          <w:szCs w:val="18"/>
          <w:color w:val="auto"/>
        </w:rPr>
        <w:t xml:space="preserve"> attached hereto) to authorize a person acceptable to the Pledgee to sign, on behalf of the Pledgor and according to this Agreement, any and all legal documents necessary for the exercise of the Pledgee’s rights hereunder. Such Power of Attorney shall be delivered to the Pledgee and the Pledgee may, at any time if necessary, require the Pledgor to execute multiple copies of the Power of Attorney and deliver the same to the relevant government authority.</w:t>
      </w:r>
    </w:p>
    <w:p>
      <w:pPr>
        <w:spacing w:after="0" w:line="188" w:lineRule="exact"/>
        <w:rPr>
          <w:sz w:val="20"/>
          <w:szCs w:val="20"/>
          <w:color w:val="auto"/>
        </w:rPr>
      </w:pPr>
    </w:p>
    <w:p>
      <w:pPr>
        <w:ind w:left="1300" w:right="60" w:hanging="647"/>
        <w:spacing w:after="0" w:line="290" w:lineRule="auto"/>
        <w:tabs>
          <w:tab w:leader="none" w:pos="12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Each Party shall use all reasonable efforts to do and perform, or cause to be done and performed, all such further acts and things and shall execute and deliver all such other agreements, certificates, instruments and documents as may be necessary or desirable to give effect to the terms and intent of this Agreement and any ancillary documents. If required under any applicable law, regulations or listing rules or required or deemed desirable by any stock exchange, government or other regulatory authority having competent jurisdiction over the Parties or their affiliates (the “</w:t>
      </w:r>
      <w:r>
        <w:rPr>
          <w:rFonts w:ascii="Arial" w:cs="Arial" w:eastAsia="Arial" w:hAnsi="Arial"/>
          <w:sz w:val="16"/>
          <w:szCs w:val="16"/>
          <w:b w:val="1"/>
          <w:bCs w:val="1"/>
          <w:color w:val="auto"/>
        </w:rPr>
        <w:t>Applicable Requirements</w:t>
      </w:r>
      <w:r>
        <w:rPr>
          <w:rFonts w:ascii="Arial" w:cs="Arial" w:eastAsia="Arial" w:hAnsi="Arial"/>
          <w:sz w:val="16"/>
          <w:szCs w:val="16"/>
          <w:color w:val="auto"/>
        </w:rPr>
        <w:t>”), the Pledgor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three (3) Business Days from demand by the Pledgee.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p>
      <w:pPr>
        <w:ind w:left="4880"/>
        <w:spacing w:after="0"/>
        <w:tabs>
          <w:tab w:leader="none" w:pos="5800" w:val="left"/>
        </w:tabs>
        <w:rPr>
          <w:sz w:val="20"/>
          <w:szCs w:val="20"/>
          <w:color w:val="auto"/>
        </w:rPr>
      </w:pPr>
      <w:r>
        <w:rPr>
          <w:rFonts w:ascii="Arial" w:cs="Arial" w:eastAsia="Arial" w:hAnsi="Arial"/>
          <w:sz w:val="18"/>
          <w:szCs w:val="18"/>
          <w:b w:val="1"/>
          <w:bCs w:val="1"/>
          <w:color w:val="auto"/>
        </w:rPr>
        <w:t>Pledgee:</w:t>
        <w:tab/>
        <w:t>NetEase (Hangzhou) Network Co., Ltd.</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jc w:val="center"/>
        <w:ind w:left="4920"/>
        <w:spacing w:after="0"/>
        <w:tabs>
          <w:tab w:leader="none" w:pos="260" w:val="left"/>
        </w:tabs>
        <w:rPr>
          <w:sz w:val="20"/>
          <w:szCs w:val="20"/>
          <w:color w:val="auto"/>
        </w:rPr>
      </w:pPr>
      <w:r>
        <w:rPr>
          <w:rFonts w:ascii="Arial" w:cs="Arial" w:eastAsia="Arial" w:hAnsi="Arial"/>
          <w:sz w:val="18"/>
          <w:szCs w:val="18"/>
          <w:b w:val="1"/>
          <w:bCs w:val="1"/>
          <w:color w:val="auto"/>
        </w:rPr>
        <w:t>Pledgor:</w:t>
        <w:tab/>
        <w:t>Hu Tianlei</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Hu Tianlei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55917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5591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180" w:type="dxa"/>
            <w:vAlign w:val="bottom"/>
            <w:gridSpan w:val="2"/>
          </w:tcPr>
          <w:p>
            <w:pPr>
              <w:jc w:val="center"/>
              <w:ind w:right="5320"/>
              <w:spacing w:after="0"/>
              <w:rPr>
                <w:sz w:val="20"/>
                <w:szCs w:val="20"/>
                <w:color w:val="auto"/>
              </w:rPr>
            </w:pPr>
            <w:r>
              <w:rPr>
                <w:rFonts w:ascii="Arial" w:cs="Arial" w:eastAsia="Arial" w:hAnsi="Arial"/>
                <w:sz w:val="18"/>
                <w:szCs w:val="18"/>
                <w:b w:val="1"/>
                <w:bCs w:val="1"/>
                <w:color w:val="auto"/>
                <w:w w:val="93"/>
              </w:rPr>
              <w:t>Appendix I</w:t>
            </w:r>
          </w:p>
        </w:tc>
      </w:tr>
      <w:tr>
        <w:trPr>
          <w:trHeight w:val="20"/>
        </w:trPr>
        <w:tc>
          <w:tcPr>
            <w:tcW w:w="2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53"/>
        </w:trPr>
        <w:tc>
          <w:tcPr>
            <w:tcW w:w="2020" w:type="dxa"/>
            <w:vAlign w:val="bottom"/>
          </w:tcPr>
          <w:p>
            <w:pPr>
              <w:spacing w:after="0"/>
              <w:rPr>
                <w:sz w:val="24"/>
                <w:szCs w:val="24"/>
                <w:color w:val="auto"/>
              </w:rPr>
            </w:pPr>
          </w:p>
        </w:tc>
        <w:tc>
          <w:tcPr>
            <w:tcW w:w="94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0"/>
              </w:rPr>
              <w:t>Basic Information of the Domestic Company</w:t>
            </w:r>
          </w:p>
        </w:tc>
      </w:tr>
      <w:tr>
        <w:trPr>
          <w:trHeight w:val="432"/>
        </w:trPr>
        <w:tc>
          <w:tcPr>
            <w:tcW w:w="2020" w:type="dxa"/>
            <w:vAlign w:val="bottom"/>
          </w:tcPr>
          <w:p>
            <w:pPr>
              <w:spacing w:after="0"/>
              <w:rPr>
                <w:sz w:val="20"/>
                <w:szCs w:val="20"/>
                <w:color w:val="auto"/>
              </w:rPr>
            </w:pPr>
            <w:r>
              <w:rPr>
                <w:rFonts w:ascii="Arial" w:cs="Arial" w:eastAsia="Arial" w:hAnsi="Arial"/>
                <w:sz w:val="18"/>
                <w:szCs w:val="18"/>
                <w:color w:val="auto"/>
              </w:rPr>
              <w:t>Company Name:</w:t>
            </w:r>
          </w:p>
        </w:tc>
        <w:tc>
          <w:tcPr>
            <w:tcW w:w="9440" w:type="dxa"/>
            <w:vAlign w:val="bottom"/>
            <w:gridSpan w:val="3"/>
          </w:tcPr>
          <w:p>
            <w:pPr>
              <w:ind w:left="560"/>
              <w:spacing w:after="0"/>
              <w:rPr>
                <w:sz w:val="20"/>
                <w:szCs w:val="20"/>
                <w:color w:val="auto"/>
              </w:rPr>
            </w:pPr>
            <w:r>
              <w:rPr>
                <w:rFonts w:ascii="Arial" w:cs="Arial" w:eastAsia="Arial" w:hAnsi="Arial"/>
                <w:sz w:val="18"/>
                <w:szCs w:val="18"/>
                <w:color w:val="auto"/>
              </w:rPr>
              <w:t>Hangzhou NetEase Leihuo Network Co., Ltd.</w:t>
            </w:r>
          </w:p>
        </w:tc>
      </w:tr>
      <w:tr>
        <w:trPr>
          <w:trHeight w:val="432"/>
        </w:trPr>
        <w:tc>
          <w:tcPr>
            <w:tcW w:w="2020" w:type="dxa"/>
            <w:vAlign w:val="bottom"/>
          </w:tcPr>
          <w:p>
            <w:pPr>
              <w:spacing w:after="0"/>
              <w:rPr>
                <w:sz w:val="20"/>
                <w:szCs w:val="20"/>
                <w:color w:val="auto"/>
              </w:rPr>
            </w:pPr>
            <w:r>
              <w:rPr>
                <w:rFonts w:ascii="Arial" w:cs="Arial" w:eastAsia="Arial" w:hAnsi="Arial"/>
                <w:sz w:val="18"/>
                <w:szCs w:val="18"/>
                <w:color w:val="auto"/>
              </w:rPr>
              <w:t>Registered Address:</w:t>
            </w:r>
          </w:p>
        </w:tc>
        <w:tc>
          <w:tcPr>
            <w:tcW w:w="9440" w:type="dxa"/>
            <w:vAlign w:val="bottom"/>
            <w:gridSpan w:val="3"/>
          </w:tcPr>
          <w:p>
            <w:pPr>
              <w:ind w:left="560"/>
              <w:spacing w:after="0"/>
              <w:rPr>
                <w:sz w:val="20"/>
                <w:szCs w:val="20"/>
                <w:color w:val="auto"/>
              </w:rPr>
            </w:pPr>
            <w:r>
              <w:rPr>
                <w:rFonts w:ascii="Arial" w:cs="Arial" w:eastAsia="Arial" w:hAnsi="Arial"/>
                <w:sz w:val="18"/>
                <w:szCs w:val="18"/>
                <w:color w:val="auto"/>
              </w:rPr>
              <w:t>Room 702, Building 4, No. 599 Wangshang Road, Binjiang District, Hangzhou, Zhejiang, PRC</w:t>
            </w:r>
          </w:p>
        </w:tc>
      </w:tr>
      <w:tr>
        <w:trPr>
          <w:trHeight w:val="432"/>
        </w:trPr>
        <w:tc>
          <w:tcPr>
            <w:tcW w:w="2020" w:type="dxa"/>
            <w:vAlign w:val="bottom"/>
          </w:tcPr>
          <w:p>
            <w:pPr>
              <w:spacing w:after="0"/>
              <w:rPr>
                <w:sz w:val="20"/>
                <w:szCs w:val="20"/>
                <w:color w:val="auto"/>
              </w:rPr>
            </w:pPr>
            <w:r>
              <w:rPr>
                <w:rFonts w:ascii="Arial" w:cs="Arial" w:eastAsia="Arial" w:hAnsi="Arial"/>
                <w:sz w:val="18"/>
                <w:szCs w:val="18"/>
                <w:color w:val="auto"/>
              </w:rPr>
              <w:t>Registered Capital:</w:t>
            </w:r>
          </w:p>
        </w:tc>
        <w:tc>
          <w:tcPr>
            <w:tcW w:w="9440" w:type="dxa"/>
            <w:vAlign w:val="bottom"/>
            <w:gridSpan w:val="3"/>
          </w:tcPr>
          <w:p>
            <w:pPr>
              <w:ind w:left="560"/>
              <w:spacing w:after="0"/>
              <w:rPr>
                <w:sz w:val="20"/>
                <w:szCs w:val="20"/>
                <w:color w:val="auto"/>
              </w:rPr>
            </w:pPr>
            <w:r>
              <w:rPr>
                <w:rFonts w:ascii="Arial" w:cs="Arial" w:eastAsia="Arial" w:hAnsi="Arial"/>
                <w:sz w:val="18"/>
                <w:szCs w:val="18"/>
                <w:color w:val="auto"/>
              </w:rPr>
              <w:t>RMB 10,000,000 Yuan</w:t>
            </w:r>
          </w:p>
        </w:tc>
      </w:tr>
      <w:tr>
        <w:trPr>
          <w:trHeight w:val="418"/>
        </w:trPr>
        <w:tc>
          <w:tcPr>
            <w:tcW w:w="2020" w:type="dxa"/>
            <w:vAlign w:val="bottom"/>
          </w:tcPr>
          <w:p>
            <w:pPr>
              <w:spacing w:after="0"/>
              <w:rPr>
                <w:sz w:val="20"/>
                <w:szCs w:val="20"/>
                <w:color w:val="auto"/>
              </w:rPr>
            </w:pPr>
            <w:r>
              <w:rPr>
                <w:rFonts w:ascii="Arial" w:cs="Arial" w:eastAsia="Arial" w:hAnsi="Arial"/>
                <w:sz w:val="18"/>
                <w:szCs w:val="18"/>
                <w:color w:val="auto"/>
              </w:rPr>
              <w:t>Equity Structure:</w:t>
            </w:r>
          </w:p>
        </w:tc>
        <w:tc>
          <w:tcPr>
            <w:tcW w:w="9440" w:type="dxa"/>
            <w:vAlign w:val="bottom"/>
            <w:gridSpan w:val="3"/>
          </w:tcPr>
          <w:p>
            <w:pPr>
              <w:ind w:left="560"/>
              <w:spacing w:after="0"/>
              <w:rPr>
                <w:sz w:val="20"/>
                <w:szCs w:val="20"/>
                <w:color w:val="auto"/>
              </w:rPr>
            </w:pPr>
            <w:r>
              <w:rPr>
                <w:rFonts w:ascii="Arial" w:cs="Arial" w:eastAsia="Arial" w:hAnsi="Arial"/>
                <w:sz w:val="18"/>
                <w:szCs w:val="18"/>
                <w:color w:val="auto"/>
              </w:rPr>
              <w:t>Hu Zhipeng — 50%</w:t>
            </w:r>
          </w:p>
        </w:tc>
      </w:tr>
      <w:tr>
        <w:trPr>
          <w:trHeight w:val="230"/>
        </w:trPr>
        <w:tc>
          <w:tcPr>
            <w:tcW w:w="2020" w:type="dxa"/>
            <w:vAlign w:val="bottom"/>
          </w:tcPr>
          <w:p>
            <w:pPr>
              <w:spacing w:after="0"/>
              <w:rPr>
                <w:sz w:val="20"/>
                <w:szCs w:val="20"/>
                <w:color w:val="auto"/>
              </w:rPr>
            </w:pPr>
          </w:p>
        </w:tc>
        <w:tc>
          <w:tcPr>
            <w:tcW w:w="9440" w:type="dxa"/>
            <w:vAlign w:val="bottom"/>
            <w:gridSpan w:val="3"/>
          </w:tcPr>
          <w:p>
            <w:pPr>
              <w:ind w:left="560"/>
              <w:spacing w:after="0"/>
              <w:rPr>
                <w:sz w:val="20"/>
                <w:szCs w:val="20"/>
                <w:color w:val="auto"/>
              </w:rPr>
            </w:pPr>
            <w:r>
              <w:rPr>
                <w:rFonts w:ascii="Arial" w:cs="Arial" w:eastAsia="Arial" w:hAnsi="Arial"/>
                <w:sz w:val="18"/>
                <w:szCs w:val="18"/>
                <w:color w:val="auto"/>
              </w:rPr>
              <w:t>Hu Tianlei — 50%</w:t>
            </w:r>
          </w:p>
        </w:tc>
      </w:tr>
      <w:tr>
        <w:trPr>
          <w:trHeight w:val="348"/>
        </w:trPr>
        <w:tc>
          <w:tcPr>
            <w:tcW w:w="2020" w:type="dxa"/>
            <w:vAlign w:val="bottom"/>
            <w:tcBorders>
              <w:bottom w:val="single" w:sz="8" w:color="808080"/>
            </w:tcBorders>
          </w:tcPr>
          <w:p>
            <w:pPr>
              <w:spacing w:after="0"/>
              <w:rPr>
                <w:sz w:val="24"/>
                <w:szCs w:val="24"/>
                <w:color w:val="auto"/>
              </w:rPr>
            </w:pPr>
          </w:p>
        </w:tc>
        <w:tc>
          <w:tcPr>
            <w:tcW w:w="32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208"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960" w:type="dxa"/>
            <w:vAlign w:val="bottom"/>
            <w:gridSpan w:val="2"/>
          </w:tcPr>
          <w:p>
            <w:pPr>
              <w:jc w:val="center"/>
              <w:ind w:right="3020"/>
              <w:spacing w:after="0"/>
              <w:rPr>
                <w:sz w:val="20"/>
                <w:szCs w:val="20"/>
                <w:color w:val="auto"/>
              </w:rPr>
            </w:pPr>
            <w:r>
              <w:rPr>
                <w:rFonts w:ascii="Arial" w:cs="Arial" w:eastAsia="Arial" w:hAnsi="Arial"/>
                <w:sz w:val="18"/>
                <w:szCs w:val="18"/>
                <w:b w:val="1"/>
                <w:bCs w:val="1"/>
                <w:color w:val="auto"/>
                <w:w w:val="96"/>
              </w:rPr>
              <w:t>Appendix II</w:t>
            </w:r>
          </w:p>
        </w:tc>
        <w:tc>
          <w:tcPr>
            <w:tcW w:w="2180" w:type="dxa"/>
            <w:vAlign w:val="bottom"/>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53"/>
        </w:trPr>
        <w:tc>
          <w:tcPr>
            <w:tcW w:w="3660" w:type="dxa"/>
            <w:vAlign w:val="bottom"/>
          </w:tcPr>
          <w:p>
            <w:pPr>
              <w:spacing w:after="0"/>
              <w:rPr>
                <w:sz w:val="24"/>
                <w:szCs w:val="24"/>
                <w:color w:val="auto"/>
              </w:rPr>
            </w:pPr>
          </w:p>
        </w:tc>
        <w:tc>
          <w:tcPr>
            <w:tcW w:w="554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w w:val="91"/>
              </w:rPr>
              <w:t>Power of Attorney</w:t>
            </w:r>
          </w:p>
        </w:tc>
        <w:tc>
          <w:tcPr>
            <w:tcW w:w="2180" w:type="dxa"/>
            <w:vAlign w:val="bottom"/>
          </w:tcPr>
          <w:p>
            <w:pPr>
              <w:spacing w:after="0"/>
              <w:rPr>
                <w:sz w:val="24"/>
                <w:szCs w:val="24"/>
                <w:color w:val="auto"/>
              </w:rPr>
            </w:pPr>
          </w:p>
        </w:tc>
      </w:tr>
      <w:tr>
        <w:trPr>
          <w:trHeight w:val="418"/>
        </w:trPr>
        <w:tc>
          <w:tcPr>
            <w:tcW w:w="3660" w:type="dxa"/>
            <w:vAlign w:val="bottom"/>
          </w:tcPr>
          <w:p>
            <w:pPr>
              <w:spacing w:after="0"/>
              <w:rPr>
                <w:sz w:val="20"/>
                <w:szCs w:val="20"/>
                <w:color w:val="auto"/>
              </w:rPr>
            </w:pPr>
            <w:r>
              <w:rPr>
                <w:rFonts w:ascii="Arial" w:cs="Arial" w:eastAsia="Arial" w:hAnsi="Arial"/>
                <w:sz w:val="18"/>
                <w:szCs w:val="18"/>
                <w:color w:val="auto"/>
              </w:rPr>
              <w:t>I, Hu Tianlei, hereby irrevocably entrust</w:t>
            </w:r>
          </w:p>
        </w:tc>
        <w:tc>
          <w:tcPr>
            <w:tcW w:w="7720" w:type="dxa"/>
            <w:vAlign w:val="bottom"/>
            <w:gridSpan w:val="4"/>
          </w:tcPr>
          <w:p>
            <w:pPr>
              <w:ind w:left="200"/>
              <w:spacing w:after="0"/>
              <w:rPr>
                <w:sz w:val="20"/>
                <w:szCs w:val="20"/>
                <w:color w:val="auto"/>
              </w:rPr>
            </w:pPr>
            <w:r>
              <w:rPr>
                <w:rFonts w:ascii="Arial" w:cs="Arial" w:eastAsia="Arial" w:hAnsi="Arial"/>
                <w:sz w:val="18"/>
                <w:szCs w:val="18"/>
                <w:color w:val="auto"/>
                <w:w w:val="89"/>
              </w:rPr>
              <w:t>as my authorized representative, to sign all legal documents necessary for NetEase (Hangzhou) Network</w:t>
            </w:r>
          </w:p>
        </w:tc>
      </w:tr>
      <w:tr>
        <w:trPr>
          <w:trHeight w:val="216"/>
        </w:trPr>
        <w:tc>
          <w:tcPr>
            <w:tcW w:w="9200" w:type="dxa"/>
            <w:vAlign w:val="bottom"/>
            <w:gridSpan w:val="4"/>
          </w:tcPr>
          <w:p>
            <w:pPr>
              <w:spacing w:after="0"/>
              <w:rPr>
                <w:sz w:val="20"/>
                <w:szCs w:val="20"/>
                <w:color w:val="auto"/>
              </w:rPr>
            </w:pPr>
            <w:r>
              <w:rPr>
                <w:rFonts w:ascii="Arial" w:cs="Arial" w:eastAsia="Arial" w:hAnsi="Arial"/>
                <w:sz w:val="18"/>
                <w:szCs w:val="18"/>
                <w:color w:val="auto"/>
                <w:w w:val="95"/>
              </w:rPr>
              <w:t>Co., Ltd. as the pledgee to exercise its rights under the Amended and Restated Equity Pledge Agreement entered into on</w:t>
            </w:r>
          </w:p>
        </w:tc>
        <w:tc>
          <w:tcPr>
            <w:tcW w:w="2180" w:type="dxa"/>
            <w:vAlign w:val="bottom"/>
          </w:tcPr>
          <w:p>
            <w:pPr>
              <w:ind w:left="540"/>
              <w:spacing w:after="0"/>
              <w:rPr>
                <w:sz w:val="20"/>
                <w:szCs w:val="20"/>
                <w:color w:val="auto"/>
              </w:rPr>
            </w:pPr>
            <w:r>
              <w:rPr>
                <w:rFonts w:ascii="Arial" w:cs="Arial" w:eastAsia="Arial" w:hAnsi="Arial"/>
                <w:sz w:val="18"/>
                <w:szCs w:val="18"/>
                <w:color w:val="auto"/>
              </w:rPr>
              <w:t>by and between</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w w:val="95"/>
              </w:rPr>
              <w:t>NetEase (Hangzhou) Network Co., Ltd. and me.</w:t>
            </w:r>
          </w:p>
        </w:tc>
        <w:tc>
          <w:tcPr>
            <w:tcW w:w="1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198"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17145</wp:posOffset>
            </wp:positionV>
            <wp:extent cx="331914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19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229870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4.48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PLEDGE AGREEMENT</w:t>
      </w:r>
    </w:p>
    <w:p>
      <w:pPr>
        <w:spacing w:after="0" w:line="20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This Amended and Restated Equity Pledge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December 1, 2015, to amend and restate in its entirety the Equity Pledge Agreement entered into by and among the following parties (or their predecessors in interest) on April 15, 2009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76" w:lineRule="exact"/>
        <w:rPr>
          <w:sz w:val="20"/>
          <w:szCs w:val="20"/>
          <w:color w:val="auto"/>
        </w:rPr>
      </w:pPr>
    </w:p>
    <w:p>
      <w:pPr>
        <w:jc w:val="both"/>
        <w:ind w:left="1300" w:right="40" w:hanging="644"/>
        <w:spacing w:after="0" w:line="347" w:lineRule="auto"/>
        <w:tabs>
          <w:tab w:leader="none" w:pos="1307" w:val="left"/>
        </w:tabs>
        <w:numPr>
          <w:ilvl w:val="0"/>
          <w:numId w:val="357"/>
        </w:numPr>
        <w:rPr>
          <w:rFonts w:ascii="Arial" w:cs="Arial" w:eastAsia="Arial" w:hAnsi="Arial"/>
          <w:sz w:val="16"/>
          <w:szCs w:val="16"/>
          <w:color w:val="auto"/>
        </w:rPr>
      </w:pPr>
      <w:r>
        <w:rPr>
          <w:rFonts w:ascii="Arial" w:cs="Arial" w:eastAsia="Arial" w:hAnsi="Arial"/>
          <w:sz w:val="16"/>
          <w:szCs w:val="16"/>
          <w:b w:val="1"/>
          <w:bCs w:val="1"/>
          <w:color w:val="auto"/>
        </w:rPr>
        <w:t xml:space="preserve">NetEase (Hangzhou) Network Co., Ltd. </w:t>
      </w:r>
      <w:r>
        <w:rPr>
          <w:rFonts w:ascii="Arial" w:cs="Arial" w:eastAsia="Arial" w:hAnsi="Arial"/>
          <w:sz w:val="16"/>
          <w:szCs w:val="16"/>
          <w:color w:val="auto"/>
        </w:rPr>
        <w:t>(the “</w:t>
      </w:r>
      <w:r>
        <w:rPr>
          <w:rFonts w:ascii="Arial" w:cs="Arial" w:eastAsia="Arial" w:hAnsi="Arial"/>
          <w:sz w:val="16"/>
          <w:szCs w:val="16"/>
          <w:b w:val="1"/>
          <w:bCs w:val="1"/>
          <w:color w:val="auto"/>
        </w:rPr>
        <w:t>Pledgee</w:t>
      </w:r>
      <w:r>
        <w:rPr>
          <w:rFonts w:ascii="Arial" w:cs="Arial" w:eastAsia="Arial" w:hAnsi="Arial"/>
          <w:sz w:val="16"/>
          <w:szCs w:val="16"/>
          <w:color w:val="auto"/>
        </w:rPr>
        <w:t>”), a wholly foreign owned enterprise registered in Hangzhou, People’s Republic of</w:t>
      </w:r>
      <w:r>
        <w:rPr>
          <w:rFonts w:ascii="Arial" w:cs="Arial" w:eastAsia="Arial" w:hAnsi="Arial"/>
          <w:sz w:val="16"/>
          <w:szCs w:val="16"/>
          <w:b w:val="1"/>
          <w:bCs w:val="1"/>
          <w:color w:val="auto"/>
        </w:rPr>
        <w:t xml:space="preserve"> </w:t>
      </w:r>
      <w:r>
        <w:rPr>
          <w:rFonts w:ascii="Arial" w:cs="Arial" w:eastAsia="Arial" w:hAnsi="Arial"/>
          <w:sz w:val="16"/>
          <w:szCs w:val="16"/>
          <w:color w:val="auto"/>
        </w:rPr>
        <w:t>China (“</w:t>
      </w:r>
      <w:r>
        <w:rPr>
          <w:rFonts w:ascii="Arial" w:cs="Arial" w:eastAsia="Arial" w:hAnsi="Arial"/>
          <w:sz w:val="16"/>
          <w:szCs w:val="16"/>
          <w:b w:val="1"/>
          <w:bCs w:val="1"/>
          <w:color w:val="auto"/>
        </w:rPr>
        <w:t>PRC</w:t>
      </w:r>
      <w:r>
        <w:rPr>
          <w:rFonts w:ascii="Arial" w:cs="Arial" w:eastAsia="Arial" w:hAnsi="Arial"/>
          <w:sz w:val="16"/>
          <w:szCs w:val="16"/>
          <w:color w:val="auto"/>
        </w:rPr>
        <w:t>”) with its registration address at 7/F, Building 4, No. 599 Wangshang Road, Binjiang District, Hangzhou, Zhejiang, PRC; and</w:t>
      </w:r>
    </w:p>
    <w:p>
      <w:pPr>
        <w:spacing w:after="0" w:line="116" w:lineRule="exact"/>
        <w:rPr>
          <w:rFonts w:ascii="Arial" w:cs="Arial" w:eastAsia="Arial" w:hAnsi="Arial"/>
          <w:sz w:val="16"/>
          <w:szCs w:val="16"/>
          <w:color w:val="auto"/>
        </w:rPr>
      </w:pPr>
    </w:p>
    <w:p>
      <w:pPr>
        <w:ind w:left="1300" w:right="1120" w:hanging="644"/>
        <w:spacing w:after="0" w:line="282" w:lineRule="auto"/>
        <w:tabs>
          <w:tab w:leader="none" w:pos="1307" w:val="left"/>
        </w:tabs>
        <w:numPr>
          <w:ilvl w:val="0"/>
          <w:numId w:val="357"/>
        </w:numPr>
        <w:rPr>
          <w:rFonts w:ascii="Arial" w:cs="Arial" w:eastAsia="Arial" w:hAnsi="Arial"/>
          <w:sz w:val="18"/>
          <w:szCs w:val="18"/>
          <w:color w:val="auto"/>
        </w:rPr>
      </w:pPr>
      <w:r>
        <w:rPr>
          <w:rFonts w:ascii="Arial" w:cs="Arial" w:eastAsia="Arial" w:hAnsi="Arial"/>
          <w:sz w:val="18"/>
          <w:szCs w:val="18"/>
          <w:b w:val="1"/>
          <w:bCs w:val="1"/>
          <w:color w:val="auto"/>
        </w:rPr>
        <w:t xml:space="preserve">Hu Zhipeng </w:t>
      </w:r>
      <w:r>
        <w:rPr>
          <w:rFonts w:ascii="Arial" w:cs="Arial" w:eastAsia="Arial" w:hAnsi="Arial"/>
          <w:sz w:val="18"/>
          <w:szCs w:val="18"/>
          <w:color w:val="auto"/>
        </w:rPr>
        <w:t>(ID Number: 330106197812210436, the “</w:t>
      </w:r>
      <w:r>
        <w:rPr>
          <w:rFonts w:ascii="Arial" w:cs="Arial" w:eastAsia="Arial" w:hAnsi="Arial"/>
          <w:sz w:val="18"/>
          <w:szCs w:val="18"/>
          <w:b w:val="1"/>
          <w:bCs w:val="1"/>
          <w:color w:val="auto"/>
        </w:rPr>
        <w:t>Pledgor</w:t>
      </w:r>
      <w:r>
        <w:rPr>
          <w:rFonts w:ascii="Arial" w:cs="Arial" w:eastAsia="Arial" w:hAnsi="Arial"/>
          <w:sz w:val="18"/>
          <w:szCs w:val="18"/>
          <w:color w:val="auto"/>
        </w:rPr>
        <w:t>”), a PRC citizen with his/her address at No. 14 South Street,</w:t>
      </w:r>
      <w:r>
        <w:rPr>
          <w:rFonts w:ascii="Arial" w:cs="Arial" w:eastAsia="Arial" w:hAnsi="Arial"/>
          <w:sz w:val="18"/>
          <w:szCs w:val="18"/>
          <w:b w:val="1"/>
          <w:bCs w:val="1"/>
          <w:color w:val="auto"/>
        </w:rPr>
        <w:t xml:space="preserve"> </w:t>
      </w:r>
      <w:r>
        <w:rPr>
          <w:rFonts w:ascii="Arial" w:cs="Arial" w:eastAsia="Arial" w:hAnsi="Arial"/>
          <w:sz w:val="18"/>
          <w:szCs w:val="18"/>
          <w:color w:val="auto"/>
        </w:rPr>
        <w:t>Chaoyangmen, FESCO, Beijing, PRC.</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Pledgee and the Pledgor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229" w:lineRule="exact"/>
        <w:rPr>
          <w:sz w:val="20"/>
          <w:szCs w:val="20"/>
          <w:color w:val="auto"/>
        </w:rPr>
      </w:pPr>
    </w:p>
    <w:p>
      <w:pPr>
        <w:ind w:left="1300" w:right="60" w:hanging="644"/>
        <w:spacing w:after="0" w:line="259" w:lineRule="auto"/>
        <w:tabs>
          <w:tab w:leader="none" w:pos="132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Pledgor is a registered shareholder of Hangzhou NetEase Leihuo Network Co., Ltd., a limited liability company registered in the PRC with its registration address at Room 702, Building 4, No. 599 Wangshang Road, Binjiang District, Hangzhou, Zhejiang, PRC (the “</w:t>
      </w:r>
      <w:r>
        <w:rPr>
          <w:rFonts w:ascii="Arial" w:cs="Arial" w:eastAsia="Arial" w:hAnsi="Arial"/>
          <w:sz w:val="18"/>
          <w:szCs w:val="18"/>
          <w:b w:val="1"/>
          <w:bCs w:val="1"/>
          <w:color w:val="auto"/>
        </w:rPr>
        <w:t>Domestic Company</w:t>
      </w:r>
      <w:r>
        <w:rPr>
          <w:rFonts w:ascii="Arial" w:cs="Arial" w:eastAsia="Arial" w:hAnsi="Arial"/>
          <w:sz w:val="18"/>
          <w:szCs w:val="18"/>
          <w:color w:val="auto"/>
        </w:rPr>
        <w:t xml:space="preserve">”), and holds 50% of the equity interests in the Domestic Company. The equity structure of Domestic Company as of the date of execution of this Agreement is set forth in </w:t>
      </w:r>
      <w:r>
        <w:rPr>
          <w:rFonts w:ascii="Arial" w:cs="Arial" w:eastAsia="Arial" w:hAnsi="Arial"/>
          <w:sz w:val="18"/>
          <w:szCs w:val="18"/>
          <w:u w:val="single" w:color="auto"/>
          <w:color w:val="auto"/>
        </w:rPr>
        <w:t>Appendix I</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00" w:right="100" w:hanging="644"/>
        <w:spacing w:after="0" w:line="264" w:lineRule="auto"/>
        <w:tabs>
          <w:tab w:leader="none" w:pos="131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Pursuant to an Amended and Restated Loan Agreement dated December 1, 2015 between the Pledgee and the Pledgor (as the same may be amended and supplemented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the Pledgee has provided a loan to the Pledgor in the original principal amount of RMB5,000,000 Yuan.</w:t>
      </w:r>
    </w:p>
    <w:p>
      <w:pPr>
        <w:spacing w:after="0" w:line="181" w:lineRule="exact"/>
        <w:rPr>
          <w:rFonts w:ascii="Arial" w:cs="Arial" w:eastAsia="Arial" w:hAnsi="Arial"/>
          <w:sz w:val="18"/>
          <w:szCs w:val="18"/>
          <w:color w:val="auto"/>
        </w:rPr>
      </w:pPr>
    </w:p>
    <w:p>
      <w:pPr>
        <w:ind w:left="1300" w:right="280" w:hanging="644"/>
        <w:spacing w:after="0" w:line="312" w:lineRule="auto"/>
        <w:tabs>
          <w:tab w:leader="none" w:pos="131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Pursuant to a Shareholder Voting Right Trust Agreement dated as of December 1, 2015 among the Pledgee and the Pledgor (as amended and supplemented from time to time, the “</w:t>
      </w:r>
      <w:r>
        <w:rPr>
          <w:rFonts w:ascii="Arial" w:cs="Arial" w:eastAsia="Arial" w:hAnsi="Arial"/>
          <w:sz w:val="16"/>
          <w:szCs w:val="16"/>
          <w:b w:val="1"/>
          <w:bCs w:val="1"/>
          <w:color w:val="auto"/>
        </w:rPr>
        <w:t>Voting Trust Agreement</w:t>
      </w:r>
      <w:r>
        <w:rPr>
          <w:rFonts w:ascii="Arial" w:cs="Arial" w:eastAsia="Arial" w:hAnsi="Arial"/>
          <w:sz w:val="16"/>
          <w:szCs w:val="16"/>
          <w:color w:val="auto"/>
        </w:rPr>
        <w:t>”), the Pledgor has irrevocably appointed the Pledgee as proxy and vested the Pledgee with full power to exercise on his behalf all of his shareholder’s voting rights in respect of the Domestic Company.</w:t>
      </w:r>
    </w:p>
    <w:p>
      <w:pPr>
        <w:spacing w:after="0" w:line="146" w:lineRule="exact"/>
        <w:rPr>
          <w:rFonts w:ascii="Arial" w:cs="Arial" w:eastAsia="Arial" w:hAnsi="Arial"/>
          <w:sz w:val="16"/>
          <w:szCs w:val="16"/>
          <w:color w:val="auto"/>
        </w:rPr>
      </w:pPr>
    </w:p>
    <w:p>
      <w:pPr>
        <w:ind w:left="1300" w:right="220" w:hanging="644"/>
        <w:spacing w:after="0" w:line="312" w:lineRule="auto"/>
        <w:tabs>
          <w:tab w:leader="none" w:pos="1320" w:val="left"/>
        </w:tabs>
        <w:numPr>
          <w:ilvl w:val="0"/>
          <w:numId w:val="358"/>
        </w:numPr>
        <w:rPr>
          <w:rFonts w:ascii="Arial" w:cs="Arial" w:eastAsia="Arial" w:hAnsi="Arial"/>
          <w:sz w:val="16"/>
          <w:szCs w:val="16"/>
          <w:color w:val="auto"/>
        </w:rPr>
      </w:pPr>
      <w:r>
        <w:rPr>
          <w:rFonts w:ascii="Arial" w:cs="Arial" w:eastAsia="Arial" w:hAnsi="Arial"/>
          <w:sz w:val="16"/>
          <w:szCs w:val="16"/>
          <w:color w:val="auto"/>
        </w:rPr>
        <w:t>Pursuant to an Amended and Restated Exclusive Purchase Option Agreement dated as of December 1, 2015 among the Pledgee, the Pledgor and the Domestic Company (as amended and supplemented from time to time, the “</w:t>
      </w:r>
      <w:r>
        <w:rPr>
          <w:rFonts w:ascii="Arial" w:cs="Arial" w:eastAsia="Arial" w:hAnsi="Arial"/>
          <w:sz w:val="16"/>
          <w:szCs w:val="16"/>
          <w:b w:val="1"/>
          <w:bCs w:val="1"/>
          <w:color w:val="auto"/>
        </w:rPr>
        <w:t>Purchase Option Agreement</w:t>
      </w:r>
      <w:r>
        <w:rPr>
          <w:rFonts w:ascii="Arial" w:cs="Arial" w:eastAsia="Arial" w:hAnsi="Arial"/>
          <w:sz w:val="16"/>
          <w:szCs w:val="16"/>
          <w:color w:val="auto"/>
        </w:rPr>
        <w:t>”), the Pledgor has irrevocably granted to the Pledgee an option to purchase all or a portion of the Pledgor’s equity interests in the Domestic Company.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left="1300" w:right="180" w:hanging="644"/>
        <w:spacing w:after="0" w:line="259" w:lineRule="auto"/>
        <w:tabs>
          <w:tab w:leader="none" w:pos="131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Pursuant to an Amended and Restated Operating Agreement dated as of December 1, 2015 among the Pledgee, the Pledgor, the Domestic Company and the other Parties thereto (as amended and supplemented from time to time, the “</w:t>
      </w:r>
      <w:r>
        <w:rPr>
          <w:rFonts w:ascii="Arial" w:cs="Arial" w:eastAsia="Arial" w:hAnsi="Arial"/>
          <w:sz w:val="18"/>
          <w:szCs w:val="18"/>
          <w:b w:val="1"/>
          <w:bCs w:val="1"/>
          <w:color w:val="auto"/>
        </w:rPr>
        <w:t>Operating Agreement</w:t>
      </w:r>
      <w:r>
        <w:rPr>
          <w:rFonts w:ascii="Arial" w:cs="Arial" w:eastAsia="Arial" w:hAnsi="Arial"/>
          <w:sz w:val="18"/>
          <w:szCs w:val="18"/>
          <w:color w:val="auto"/>
        </w:rPr>
        <w:t>”), the Pledgor has agreed, among other things, not to engage in certain transactions relating to the Domestic Company without the Pledgee’s prior written consent.</w:t>
      </w:r>
    </w:p>
    <w:p>
      <w:pPr>
        <w:spacing w:after="0" w:line="186" w:lineRule="exact"/>
        <w:rPr>
          <w:rFonts w:ascii="Arial" w:cs="Arial" w:eastAsia="Arial" w:hAnsi="Arial"/>
          <w:sz w:val="18"/>
          <w:szCs w:val="18"/>
          <w:color w:val="auto"/>
        </w:rPr>
      </w:pPr>
    </w:p>
    <w:p>
      <w:pPr>
        <w:jc w:val="both"/>
        <w:ind w:left="1300" w:right="300" w:hanging="644"/>
        <w:spacing w:after="0" w:line="264" w:lineRule="auto"/>
        <w:tabs>
          <w:tab w:leader="none" w:pos="131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As security for performance by the Pledgor of the Contract Obligations (as defined below) and discharge and satisfaction of the Secured Debts (as defined below), the Pledgor agrees to pledge all of his equity interests in the Domestic Company to the Pledgee and grants the Pledgee the right to repayment in first priority on and 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-1497965</wp:posOffset>
            </wp:positionV>
            <wp:extent cx="726757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Therefore</w:t>
      </w:r>
      <w:r>
        <w:rPr>
          <w:rFonts w:ascii="Arial" w:cs="Arial" w:eastAsia="Arial" w:hAnsi="Arial"/>
          <w:sz w:val="18"/>
          <w:szCs w:val="18"/>
          <w:color w:val="auto"/>
        </w:rPr>
        <w:t>, the Parties enter into this Agreement as follows upon friendly negotiation:</w:t>
      </w:r>
    </w:p>
    <w:p>
      <w:pPr>
        <w:spacing w:after="0" w:line="225" w:lineRule="exact"/>
        <w:rPr>
          <w:sz w:val="20"/>
          <w:szCs w:val="20"/>
          <w:color w:val="auto"/>
        </w:rPr>
      </w:pPr>
    </w:p>
    <w:p>
      <w:pPr>
        <w:ind w:left="660" w:hanging="652"/>
        <w:spacing w:after="0"/>
        <w:tabs>
          <w:tab w:leader="none" w:pos="6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jc w:val="right"/>
        <w:ind w:left="1300" w:right="1980" w:hanging="648"/>
        <w:spacing w:after="0" w:line="561"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6"/>
          <w:szCs w:val="16"/>
          <w:color w:val="auto"/>
        </w:rPr>
        <w:t xml:space="preserve">Unless the context otherwise requires, the following terms in this Agreement shall have the following meanings: </w:t>
      </w:r>
      <w:r>
        <w:rPr>
          <w:rFonts w:ascii="Arial" w:cs="Arial" w:eastAsia="Arial" w:hAnsi="Arial"/>
          <w:sz w:val="16"/>
          <w:szCs w:val="16"/>
          <w:b w:val="1"/>
          <w:bCs w:val="1"/>
          <w:color w:val="auto"/>
        </w:rPr>
        <w:t xml:space="preserve">“Breaching Event” </w:t>
      </w:r>
      <w:r>
        <w:rPr>
          <w:rFonts w:ascii="Arial" w:cs="Arial" w:eastAsia="Arial" w:hAnsi="Arial"/>
          <w:sz w:val="16"/>
          <w:szCs w:val="16"/>
          <w:color w:val="auto"/>
        </w:rPr>
        <w:t>shall mean any breach by the Pledgor of any of his Contract Obligations (as defined below).</w:t>
      </w:r>
    </w:p>
    <w:p>
      <w:pPr>
        <w:ind w:left="1300" w:right="40"/>
        <w:spacing w:after="0" w:line="261" w:lineRule="auto"/>
        <w:rPr>
          <w:sz w:val="20"/>
          <w:szCs w:val="20"/>
          <w:color w:val="auto"/>
        </w:rPr>
      </w:pPr>
      <w:r>
        <w:rPr>
          <w:rFonts w:ascii="Arial" w:cs="Arial" w:eastAsia="Arial" w:hAnsi="Arial"/>
          <w:sz w:val="18"/>
          <w:szCs w:val="18"/>
          <w:b w:val="1"/>
          <w:bCs w:val="1"/>
          <w:color w:val="auto"/>
        </w:rPr>
        <w:t xml:space="preserve">“Contract Obligations” </w:t>
      </w:r>
      <w:r>
        <w:rPr>
          <w:rFonts w:ascii="Arial" w:cs="Arial" w:eastAsia="Arial" w:hAnsi="Arial"/>
          <w:sz w:val="18"/>
          <w:szCs w:val="18"/>
          <w:color w:val="auto"/>
        </w:rPr>
        <w:t>shall mean the obligations of the Pledgor to repay the Loan (as defined in the Loan Agreement)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all contractual obligations of the Pledgor under the Voting Trust Agreement, all contractual obligations of the Pledgor under the Purchase Option Agreement, all contractual obligations of the Pledgor under the Operating Agreement and all contractual obligations of the Pledgor under this Agreement.</w:t>
      </w:r>
    </w:p>
    <w:p>
      <w:pPr>
        <w:spacing w:after="0" w:line="180" w:lineRule="exact"/>
        <w:rPr>
          <w:sz w:val="20"/>
          <w:szCs w:val="20"/>
          <w:color w:val="auto"/>
        </w:rPr>
      </w:pPr>
    </w:p>
    <w:p>
      <w:pPr>
        <w:jc w:val="both"/>
        <w:ind w:left="1300" w:right="100"/>
        <w:spacing w:after="0" w:line="266" w:lineRule="auto"/>
        <w:rPr>
          <w:sz w:val="20"/>
          <w:szCs w:val="20"/>
          <w:color w:val="auto"/>
        </w:rPr>
      </w:pPr>
      <w:r>
        <w:rPr>
          <w:rFonts w:ascii="Arial" w:cs="Arial" w:eastAsia="Arial" w:hAnsi="Arial"/>
          <w:sz w:val="18"/>
          <w:szCs w:val="18"/>
          <w:b w:val="1"/>
          <w:bCs w:val="1"/>
          <w:color w:val="auto"/>
        </w:rPr>
        <w:t xml:space="preserve">“Pledged Equity” </w:t>
      </w:r>
      <w:r>
        <w:rPr>
          <w:rFonts w:ascii="Arial" w:cs="Arial" w:eastAsia="Arial" w:hAnsi="Arial"/>
          <w:sz w:val="18"/>
          <w:szCs w:val="18"/>
          <w:color w:val="auto"/>
        </w:rPr>
        <w:t>shall mean all of the equity interests in the Domestic Company which are legally owned by the Pledgor during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are to be pledged to the Pledgee pursuant to the provisions hereof as the security for the performance by the Pledgor of the Contract Obligations.</w:t>
      </w:r>
    </w:p>
    <w:p>
      <w:pPr>
        <w:spacing w:after="0" w:line="176" w:lineRule="exact"/>
        <w:rPr>
          <w:sz w:val="20"/>
          <w:szCs w:val="20"/>
          <w:color w:val="auto"/>
        </w:rPr>
      </w:pPr>
    </w:p>
    <w:p>
      <w:pPr>
        <w:ind w:left="1300" w:right="180"/>
        <w:spacing w:after="0" w:line="282" w:lineRule="auto"/>
        <w:rPr>
          <w:sz w:val="20"/>
          <w:szCs w:val="20"/>
          <w:color w:val="auto"/>
        </w:rPr>
      </w:pPr>
      <w:r>
        <w:rPr>
          <w:rFonts w:ascii="Arial" w:cs="Arial" w:eastAsia="Arial" w:hAnsi="Arial"/>
          <w:sz w:val="18"/>
          <w:szCs w:val="18"/>
          <w:b w:val="1"/>
          <w:bCs w:val="1"/>
          <w:color w:val="auto"/>
        </w:rPr>
        <w:t xml:space="preserve">“PRC Law” </w:t>
      </w:r>
      <w:r>
        <w:rPr>
          <w:rFonts w:ascii="Arial" w:cs="Arial" w:eastAsia="Arial" w:hAnsi="Arial"/>
          <w:sz w:val="18"/>
          <w:szCs w:val="18"/>
          <w:color w:val="auto"/>
        </w:rPr>
        <w:t>shall mean the then valid laws, administrative regulations, administrative rules, local regulations, judicial interpretations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binding regulatory documents of the PRC.</w:t>
      </w:r>
    </w:p>
    <w:p>
      <w:pPr>
        <w:spacing w:after="0" w:line="162" w:lineRule="exact"/>
        <w:rPr>
          <w:sz w:val="20"/>
          <w:szCs w:val="20"/>
          <w:color w:val="auto"/>
        </w:rPr>
      </w:pPr>
    </w:p>
    <w:p>
      <w:pPr>
        <w:ind w:left="1300" w:right="80"/>
        <w:spacing w:after="0" w:line="347" w:lineRule="auto"/>
        <w:rPr>
          <w:sz w:val="20"/>
          <w:szCs w:val="20"/>
          <w:color w:val="auto"/>
        </w:rPr>
      </w:pPr>
      <w:r>
        <w:rPr>
          <w:rFonts w:ascii="Arial" w:cs="Arial" w:eastAsia="Arial" w:hAnsi="Arial"/>
          <w:sz w:val="16"/>
          <w:szCs w:val="16"/>
          <w:b w:val="1"/>
          <w:bCs w:val="1"/>
          <w:color w:val="auto"/>
        </w:rPr>
        <w:t xml:space="preserve">“Secured Debts” </w:t>
      </w:r>
      <w:r>
        <w:rPr>
          <w:rFonts w:ascii="Arial" w:cs="Arial" w:eastAsia="Arial" w:hAnsi="Arial"/>
          <w:sz w:val="16"/>
          <w:szCs w:val="16"/>
          <w:color w:val="auto"/>
        </w:rPr>
        <w:t>shall mean all direct, indirect and consequential losses and losses of foreseeable profits suffered by the Pledgee due to</w:t>
      </w:r>
      <w:r>
        <w:rPr>
          <w:rFonts w:ascii="Arial" w:cs="Arial" w:eastAsia="Arial" w:hAnsi="Arial"/>
          <w:sz w:val="16"/>
          <w:szCs w:val="16"/>
          <w:b w:val="1"/>
          <w:bCs w:val="1"/>
          <w:color w:val="auto"/>
        </w:rPr>
        <w:t xml:space="preserve"> </w:t>
      </w:r>
      <w:r>
        <w:rPr>
          <w:rFonts w:ascii="Arial" w:cs="Arial" w:eastAsia="Arial" w:hAnsi="Arial"/>
          <w:sz w:val="16"/>
          <w:szCs w:val="16"/>
          <w:color w:val="auto"/>
        </w:rPr>
        <w:t>any Breaching Event of any of the Pledgor, and all fees incurred by Pledgee for the enforcement of the Contract Obligations of the Pledgor.</w:t>
      </w:r>
    </w:p>
    <w:p>
      <w:pPr>
        <w:spacing w:after="0" w:line="116" w:lineRule="exact"/>
        <w:rPr>
          <w:sz w:val="20"/>
          <w:szCs w:val="20"/>
          <w:color w:val="auto"/>
        </w:rPr>
      </w:pPr>
    </w:p>
    <w:p>
      <w:pPr>
        <w:ind w:left="1300" w:right="300"/>
        <w:spacing w:after="0" w:line="282" w:lineRule="auto"/>
        <w:rPr>
          <w:sz w:val="20"/>
          <w:szCs w:val="20"/>
          <w:color w:val="auto"/>
        </w:rPr>
      </w:pPr>
      <w:r>
        <w:rPr>
          <w:rFonts w:ascii="Arial" w:cs="Arial" w:eastAsia="Arial" w:hAnsi="Arial"/>
          <w:sz w:val="18"/>
          <w:szCs w:val="18"/>
          <w:b w:val="1"/>
          <w:bCs w:val="1"/>
          <w:color w:val="auto"/>
        </w:rPr>
        <w:t xml:space="preserve">“Transaction Agreements” </w:t>
      </w:r>
      <w:r>
        <w:rPr>
          <w:rFonts w:ascii="Arial" w:cs="Arial" w:eastAsia="Arial" w:hAnsi="Arial"/>
          <w:sz w:val="18"/>
          <w:szCs w:val="18"/>
          <w:color w:val="auto"/>
        </w:rPr>
        <w:t>shall mean the Loan Agreement, the Purchase Option Agreement, the Operating Agreement and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Trust Agreement.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references to any PRC Law herein shall be deemed:</w:t>
      </w:r>
    </w:p>
    <w:p>
      <w:pPr>
        <w:sectPr>
          <w:pgSz w:w="11900" w:h="16838" w:orient="portrait"/>
          <w:cols w:equalWidth="0" w:num="1">
            <w:col w:w="11420"/>
          </w:cols>
          <w:pgMar w:left="240" w:top="121" w:right="239" w:bottom="0" w:gutter="0" w:footer="0" w:header="0"/>
        </w:sectPr>
      </w:pPr>
    </w:p>
    <w:bookmarkStart w:id="195" w:name="page196"/>
    <w:bookmarkEnd w:id="195"/>
    <w:p>
      <w:pPr>
        <w:spacing w:after="0" w:line="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260" w:firstLine="5"/>
        <w:spacing w:after="0" w:line="277" w:lineRule="auto"/>
        <w:tabs>
          <w:tab w:leader="none" w:pos="1947"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to include references to the amendments, changes, supplements and reenactments of such law, irrespective of whether they take effect before or after the formation of this Agreement;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to include references to other decisions, notices or regulations enacted in accordance therewith or effective as a result thereof.</w:t>
      </w:r>
    </w:p>
    <w:p>
      <w:pPr>
        <w:spacing w:after="0" w:line="248" w:lineRule="exact"/>
        <w:rPr>
          <w:sz w:val="20"/>
          <w:szCs w:val="20"/>
          <w:color w:val="auto"/>
        </w:rPr>
      </w:pPr>
    </w:p>
    <w:p>
      <w:pPr>
        <w:ind w:left="1292" w:right="40" w:hanging="647"/>
        <w:spacing w:after="0" w:line="277" w:lineRule="auto"/>
        <w:tabs>
          <w:tab w:leader="none" w:pos="12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Unless otherwise stated in the context herein, all references to an Article, clause, item or paragraph shall refer to the relevant article, clause, item or paragraph of this Agreement.</w:t>
      </w:r>
    </w:p>
    <w:p>
      <w:pPr>
        <w:spacing w:after="0" w:line="166" w:lineRule="exact"/>
        <w:rPr>
          <w:sz w:val="20"/>
          <w:szCs w:val="20"/>
          <w:color w:val="auto"/>
        </w:rPr>
      </w:pPr>
    </w:p>
    <w:p>
      <w:pPr>
        <w:ind w:left="652" w:hanging="652"/>
        <w:spacing w:after="0"/>
        <w:tabs>
          <w:tab w:leader="none" w:pos="652"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Pledge</w:t>
      </w:r>
    </w:p>
    <w:p>
      <w:pPr>
        <w:spacing w:after="0" w:line="229" w:lineRule="exact"/>
        <w:rPr>
          <w:rFonts w:ascii="Arial" w:cs="Arial" w:eastAsia="Arial" w:hAnsi="Arial"/>
          <w:sz w:val="18"/>
          <w:szCs w:val="18"/>
          <w:b w:val="1"/>
          <w:bCs w:val="1"/>
          <w:color w:val="auto"/>
        </w:rPr>
      </w:pPr>
    </w:p>
    <w:p>
      <w:pPr>
        <w:ind w:left="1292" w:right="140" w:hanging="648"/>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2.1.As collateral security for the timely and complete payment and performance of all Contract Obligations, the Pledgor hereby pledges to the Pledgee a first security interest in all of the Pledgor’s rights, title and interests, whether now owned or hereinafter acquired by the Pledgor, in the Pledged Equity (the “</w:t>
      </w:r>
      <w:r>
        <w:rPr>
          <w:rFonts w:ascii="Arial" w:cs="Arial" w:eastAsia="Arial" w:hAnsi="Arial"/>
          <w:sz w:val="18"/>
          <w:szCs w:val="18"/>
          <w:b w:val="1"/>
          <w:bCs w:val="1"/>
          <w:color w:val="auto"/>
        </w:rPr>
        <w:t>Equity Pledge</w:t>
      </w:r>
      <w:r>
        <w:rPr>
          <w:rFonts w:ascii="Arial" w:cs="Arial" w:eastAsia="Arial" w:hAnsi="Arial"/>
          <w:sz w:val="18"/>
          <w:szCs w:val="18"/>
          <w:color w:val="auto"/>
        </w:rPr>
        <w:t>”).</w:t>
      </w:r>
    </w:p>
    <w:p>
      <w:pPr>
        <w:spacing w:after="0" w:line="177" w:lineRule="exact"/>
        <w:rPr>
          <w:rFonts w:ascii="Arial" w:cs="Arial" w:eastAsia="Arial" w:hAnsi="Arial"/>
          <w:sz w:val="18"/>
          <w:szCs w:val="18"/>
          <w:b w:val="1"/>
          <w:bCs w:val="1"/>
          <w:color w:val="auto"/>
        </w:rPr>
      </w:pPr>
    </w:p>
    <w:p>
      <w:pPr>
        <w:ind w:left="1292" w:right="20" w:hanging="648"/>
        <w:spacing w:after="0" w:line="293" w:lineRule="auto"/>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color w:val="auto"/>
        </w:rPr>
        <w:t>The Pledgor shall have been or will be registered at the local branch of State Administration for Industry and Commerce (“</w:t>
      </w:r>
      <w:r>
        <w:rPr>
          <w:rFonts w:ascii="Arial" w:cs="Arial" w:eastAsia="Arial" w:hAnsi="Arial"/>
          <w:sz w:val="16"/>
          <w:szCs w:val="16"/>
          <w:b w:val="1"/>
          <w:bCs w:val="1"/>
          <w:color w:val="auto"/>
        </w:rPr>
        <w:t>SAIC</w:t>
      </w:r>
      <w:r>
        <w:rPr>
          <w:rFonts w:ascii="Arial" w:cs="Arial" w:eastAsia="Arial" w:hAnsi="Arial"/>
          <w:sz w:val="16"/>
          <w:szCs w:val="16"/>
          <w:color w:val="auto"/>
        </w:rPr>
        <w:t>”) as one of the shareholders of the Domestic Company holding his proportion of the equity interests in the Domestic Company as set forth in Recital</w:t>
      </w:r>
    </w:p>
    <w:p>
      <w:pPr>
        <w:spacing w:after="0" w:line="1" w:lineRule="exact"/>
        <w:rPr>
          <w:rFonts w:ascii="Arial" w:cs="Arial" w:eastAsia="Arial" w:hAnsi="Arial"/>
          <w:sz w:val="18"/>
          <w:szCs w:val="18"/>
          <w:b w:val="1"/>
          <w:bCs w:val="1"/>
          <w:color w:val="auto"/>
        </w:rPr>
      </w:pPr>
    </w:p>
    <w:p>
      <w:pPr>
        <w:ind w:left="1292" w:right="80" w:firstLine="5"/>
        <w:spacing w:after="0" w:line="261" w:lineRule="auto"/>
        <w:tabs>
          <w:tab w:leader="none" w:pos="1587"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above and hold such equity interests free and clear of encumbrances except for the Equity Pledge as provided in this Agreement and/or as otherwise agreed by the Parties.</w:t>
      </w:r>
    </w:p>
    <w:p>
      <w:pPr>
        <w:spacing w:after="0" w:line="184" w:lineRule="exact"/>
        <w:rPr>
          <w:sz w:val="20"/>
          <w:szCs w:val="20"/>
          <w:color w:val="auto"/>
        </w:rPr>
      </w:pPr>
    </w:p>
    <w:p>
      <w:pPr>
        <w:ind w:left="1292" w:right="120" w:hanging="647"/>
        <w:spacing w:after="0" w:line="293" w:lineRule="auto"/>
        <w:tabs>
          <w:tab w:leader="none" w:pos="127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Pledgor hereby undertakes that he will be responsible for recording the Equity Pledge on the register of equityholders (if any) of the Domestic Company on the date hereof or as soon as practicable from the date hereof, and will use his best endeavors to register the Equity Pledge with SAIC (the “</w:t>
      </w:r>
      <w:r>
        <w:rPr>
          <w:rFonts w:ascii="Arial" w:cs="Arial" w:eastAsia="Arial" w:hAnsi="Arial"/>
          <w:sz w:val="16"/>
          <w:szCs w:val="16"/>
          <w:b w:val="1"/>
          <w:bCs w:val="1"/>
          <w:color w:val="auto"/>
        </w:rPr>
        <w:t>Registration of Equity Pledge</w:t>
      </w:r>
      <w:r>
        <w:rPr>
          <w:rFonts w:ascii="Arial" w:cs="Arial" w:eastAsia="Arial" w:hAnsi="Arial"/>
          <w:sz w:val="16"/>
          <w:szCs w:val="16"/>
          <w:color w:val="auto"/>
        </w:rPr>
        <w:t>”). In the event the SAIC requires that the Registration of Equity Pledge be completed by using an equity pledge agreement between the Parties substantially in form stipulated by the SAIC, subject to Section 13.5, the Parties shall enter into an equity pledge agreement in such stipulated form (the “</w:t>
      </w:r>
      <w:r>
        <w:rPr>
          <w:rFonts w:ascii="Arial" w:cs="Arial" w:eastAsia="Arial" w:hAnsi="Arial"/>
          <w:sz w:val="16"/>
          <w:szCs w:val="16"/>
          <w:b w:val="1"/>
          <w:bCs w:val="1"/>
          <w:color w:val="auto"/>
        </w:rPr>
        <w:t>Registration Version</w:t>
      </w:r>
      <w:r>
        <w:rPr>
          <w:rFonts w:ascii="Arial" w:cs="Arial" w:eastAsia="Arial" w:hAnsi="Arial"/>
          <w:sz w:val="16"/>
          <w:szCs w:val="16"/>
          <w:color w:val="auto"/>
        </w:rPr>
        <w:t>”) and the Pledgor shall and hereby undertakes that he will use his best endeavors to register the Equity Pledge with SAIC by using the Registration Version.</w:t>
      </w:r>
    </w:p>
    <w:p>
      <w:pPr>
        <w:spacing w:after="0" w:line="165" w:lineRule="exact"/>
        <w:rPr>
          <w:sz w:val="20"/>
          <w:szCs w:val="20"/>
          <w:color w:val="auto"/>
        </w:rPr>
      </w:pPr>
    </w:p>
    <w:p>
      <w:pPr>
        <w:ind w:left="1292" w:right="200" w:hanging="647"/>
        <w:spacing w:after="0" w:line="277" w:lineRule="auto"/>
        <w:tabs>
          <w:tab w:leader="none" w:pos="1272"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During the term of this Agreement, the Pledgee shall not be liable in any way for impairment in value of the Pledged Equity, nor shall the Pledgor have any right to make any claims against the Pledgee for such impairment in value.</w:t>
      </w:r>
    </w:p>
    <w:p>
      <w:pPr>
        <w:spacing w:after="0" w:line="170" w:lineRule="exact"/>
        <w:rPr>
          <w:sz w:val="20"/>
          <w:szCs w:val="20"/>
          <w:color w:val="auto"/>
        </w:rPr>
      </w:pPr>
    </w:p>
    <w:p>
      <w:pPr>
        <w:ind w:left="1292" w:right="260" w:hanging="647"/>
        <w:spacing w:after="0" w:line="277" w:lineRule="auto"/>
        <w:tabs>
          <w:tab w:leader="none" w:pos="1272"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Upon the occurrence of any Breaching Event, the Pledgee shall have the right to dispose of the Pledged Equity in the manner set forth in Article 4 hereof.</w:t>
      </w:r>
    </w:p>
    <w:p>
      <w:pPr>
        <w:spacing w:after="0" w:line="170" w:lineRule="exact"/>
        <w:rPr>
          <w:sz w:val="20"/>
          <w:szCs w:val="20"/>
          <w:color w:val="auto"/>
        </w:rPr>
      </w:pPr>
    </w:p>
    <w:p>
      <w:pPr>
        <w:ind w:left="1292" w:right="720" w:hanging="647"/>
        <w:spacing w:after="0" w:line="342" w:lineRule="auto"/>
        <w:tabs>
          <w:tab w:leader="none" w:pos="1272"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Without the prior written consent of the Pledgee, the Pledgor shall not increase the registered capital of the Domestic Company by contributing additional capital, or allowing any third party to contribute additional capital to the Domestic Company.</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340" w:hanging="647"/>
        <w:spacing w:after="0" w:line="277" w:lineRule="auto"/>
        <w:tabs>
          <w:tab w:leader="none" w:pos="1272"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Without the prior written consent of the Pledgee, the Pledgor shall not consent to the adoption of any shareholders’ resolution or by any other means permit the Domestic Company to declare or distribute any dividends or profits.</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Without the prior written consent of the Pledgee, the Pledgor shall not enter into any transactions with the Domestic Company.</w:t>
      </w:r>
    </w:p>
    <w:p>
      <w:pPr>
        <w:spacing w:after="0" w:line="225" w:lineRule="exact"/>
        <w:rPr>
          <w:sz w:val="20"/>
          <w:szCs w:val="20"/>
          <w:color w:val="auto"/>
        </w:rPr>
      </w:pPr>
    </w:p>
    <w:p>
      <w:pPr>
        <w:ind w:left="1292" w:right="120" w:hanging="647"/>
        <w:spacing w:after="0" w:line="255" w:lineRule="auto"/>
        <w:tabs>
          <w:tab w:leader="none" w:pos="1272"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During the term of the Equity Pledge, the Pledgor shall deliver to the Pledgee’s custody the original capital contribution certificate for the Pledged Equity and the original equityholders’ register (if any) containing the Equity Pledge within five business days from the execution of this Agreement or from the completion of any re-registration of shareholding if the percentage of equity interests changes (in such case, the Pledgor shall deliver to the Pledgee’s custody the updated original capital contribution certificates for the Pledged Equity and the updated original equityholders’ register (if any) containing the Equity Pledge). The Pledgee shall take custody of such original documents during the entire term of this Agreement.</w:t>
      </w:r>
    </w:p>
    <w:p>
      <w:pPr>
        <w:spacing w:after="0" w:line="193" w:lineRule="exact"/>
        <w:rPr>
          <w:sz w:val="20"/>
          <w:szCs w:val="20"/>
          <w:color w:val="auto"/>
        </w:rPr>
      </w:pPr>
    </w:p>
    <w:p>
      <w:pPr>
        <w:ind w:left="1292" w:right="20" w:hanging="647"/>
        <w:spacing w:after="0" w:line="277" w:lineRule="auto"/>
        <w:tabs>
          <w:tab w:leader="none" w:pos="1272" w:val="left"/>
        </w:tabs>
        <w:rPr>
          <w:sz w:val="20"/>
          <w:szCs w:val="20"/>
          <w:color w:val="auto"/>
        </w:rPr>
      </w:pPr>
      <w:r>
        <w:rPr>
          <w:rFonts w:ascii="Arial" w:cs="Arial" w:eastAsia="Arial" w:hAnsi="Arial"/>
          <w:sz w:val="18"/>
          <w:szCs w:val="18"/>
          <w:color w:val="auto"/>
        </w:rPr>
        <w:t>2.10.</w:t>
        <w:tab/>
        <w:t>The Pledgee shall have the right to collect dividends or any other distribution paid with respect to the Pledged Equity during the term of this Agreement.</w:t>
      </w:r>
    </w:p>
    <w:p>
      <w:pPr>
        <w:spacing w:after="0" w:line="166" w:lineRule="exact"/>
        <w:rPr>
          <w:sz w:val="20"/>
          <w:szCs w:val="20"/>
          <w:color w:val="auto"/>
        </w:rPr>
      </w:pPr>
    </w:p>
    <w:p>
      <w:pPr>
        <w:ind w:left="652" w:hanging="652"/>
        <w:spacing w:after="0"/>
        <w:tabs>
          <w:tab w:leader="none" w:pos="652"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Pledge</w:t>
      </w:r>
    </w:p>
    <w:p>
      <w:pPr>
        <w:spacing w:after="0" w:line="229" w:lineRule="exact"/>
        <w:rPr>
          <w:rFonts w:ascii="Arial" w:cs="Arial" w:eastAsia="Arial" w:hAnsi="Arial"/>
          <w:sz w:val="18"/>
          <w:szCs w:val="18"/>
          <w:b w:val="1"/>
          <w:bCs w:val="1"/>
          <w:color w:val="auto"/>
        </w:rPr>
      </w:pPr>
    </w:p>
    <w:p>
      <w:pPr>
        <w:ind w:left="652" w:right="2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Upon full and complete performance by the Pledgor of all of his Contract Obligations (including the full discharge and satisfaction of the Secured Debts), the Pledgee shall, at the request of the Pledgor, release the pledge, and shall cooperate with the Pledgor to go through the formalities to cancel the record of the Equity Pledge in the register of equityholders (if any) of the Domestic Company and the registration with SAIC, and all expenses reasonably incurred in connection with such release shall be borne by the Domestic Company. The Parties shall procure the Domestic Company to bear such expenses.</w:t>
      </w:r>
    </w:p>
    <w:p>
      <w:pPr>
        <w:spacing w:after="0" w:line="184" w:lineRule="exact"/>
        <w:rPr>
          <w:rFonts w:ascii="Arial" w:cs="Arial" w:eastAsia="Arial" w:hAnsi="Arial"/>
          <w:sz w:val="18"/>
          <w:szCs w:val="18"/>
          <w:b w:val="1"/>
          <w:bCs w:val="1"/>
          <w:color w:val="auto"/>
        </w:rPr>
      </w:pPr>
    </w:p>
    <w:p>
      <w:pPr>
        <w:ind w:left="652" w:hanging="652"/>
        <w:spacing w:after="0"/>
        <w:tabs>
          <w:tab w:leader="none" w:pos="652"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Disposal of the Pledged Equity</w:t>
      </w:r>
    </w:p>
    <w:p>
      <w:pPr>
        <w:spacing w:after="0" w:line="229" w:lineRule="exact"/>
        <w:rPr>
          <w:rFonts w:ascii="Arial" w:cs="Arial" w:eastAsia="Arial" w:hAnsi="Arial"/>
          <w:sz w:val="18"/>
          <w:szCs w:val="18"/>
          <w:b w:val="1"/>
          <w:bCs w:val="1"/>
          <w:color w:val="auto"/>
        </w:rPr>
      </w:pPr>
    </w:p>
    <w:p>
      <w:pPr>
        <w:ind w:left="1292" w:hanging="648"/>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color w:val="auto"/>
        </w:rPr>
        <w:t>The Pledgor and the Pledgee hereby agree that, upon the occurrence of any Breaching Event, the Pledgee shall have the right to exercise, upon giving written notice to the Pledgor, all of the rights and powers enjoyed by him under PRC Law, the Transaction Agreements and the terms hereof, including but not limited to being repaid in priority with proceeds from the sale of the Pledged Equity. If the Pledgee disposes of the Pledged Equity in accordance with this Agreement, the Pledgor and the Domestic Company shall provide all necessary assistance to enable the Pledgee to enforce the Equity Pledge in accordance with this Agreement.</w:t>
      </w:r>
    </w:p>
    <w:p>
      <w:pPr>
        <w:spacing w:after="0" w:line="172" w:lineRule="exact"/>
        <w:rPr>
          <w:rFonts w:ascii="Arial" w:cs="Arial" w:eastAsia="Arial" w:hAnsi="Arial"/>
          <w:sz w:val="18"/>
          <w:szCs w:val="18"/>
          <w:b w:val="1"/>
          <w:bCs w:val="1"/>
          <w:color w:val="auto"/>
        </w:rPr>
      </w:pPr>
    </w:p>
    <w:p>
      <w:pPr>
        <w:ind w:left="1292" w:right="4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4.2.The Pledgee shall have the right to designate in writing its legal counsel or other agents to exercise on its behalf any and all rights and powers referred to above, and the Pledgor shall not raise any objection thereto.</w:t>
      </w:r>
    </w:p>
    <w:p>
      <w:pPr>
        <w:sectPr>
          <w:pgSz w:w="11900" w:h="16929" w:orient="portrait"/>
          <w:cols w:equalWidth="0" w:num="1">
            <w:col w:w="11392"/>
          </w:cols>
          <w:pgMar w:left="248" w:top="125" w:right="259" w:bottom="0" w:gutter="0" w:footer="0" w:header="0"/>
        </w:sectPr>
      </w:pPr>
    </w:p>
    <w:bookmarkStart w:id="196" w:name="page197"/>
    <w:bookmarkEnd w:id="196"/>
    <w:p>
      <w:pPr>
        <w:spacing w:after="0" w:line="5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92" w:hanging="647"/>
        <w:spacing w:after="0" w:line="264" w:lineRule="auto"/>
        <w:tabs>
          <w:tab w:leader="none" w:pos="127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reasonable costs incurred by the Pledgee in connection with its exercise of any and all rights and powers set out above shall be borne by the Pledgor, and the Pledgee shall have the right to deduct the costs actually incurred from the proceeds that it acquires from the exercise of its rights and powers.</w:t>
      </w:r>
    </w:p>
    <w:p>
      <w:pPr>
        <w:spacing w:after="0" w:line="18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proceeds that the Pledgee acquires from the exercise of its rights and powers shall be applied in the following order of priority:</w:t>
      </w:r>
    </w:p>
    <w:p>
      <w:pPr>
        <w:spacing w:after="0" w:line="225" w:lineRule="exact"/>
        <w:rPr>
          <w:sz w:val="20"/>
          <w:szCs w:val="20"/>
          <w:color w:val="auto"/>
        </w:rPr>
      </w:pPr>
    </w:p>
    <w:p>
      <w:pPr>
        <w:ind w:left="1952" w:right="280" w:hanging="655"/>
        <w:spacing w:after="0" w:line="277" w:lineRule="auto"/>
        <w:tabs>
          <w:tab w:leader="none" w:pos="195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first, to pay any cost incurred in connection with the disposal of the Pledged Equity and the exercise by the Pledgee of its rights and powers (including remuneration paid to its legal counsels and agents);</w:t>
      </w:r>
    </w:p>
    <w:p>
      <w:pPr>
        <w:spacing w:after="0" w:line="170" w:lineRule="exact"/>
        <w:rPr>
          <w:rFonts w:ascii="Arial" w:cs="Arial" w:eastAsia="Arial" w:hAnsi="Arial"/>
          <w:sz w:val="18"/>
          <w:szCs w:val="18"/>
          <w:color w:val="auto"/>
        </w:rPr>
      </w:pPr>
    </w:p>
    <w:p>
      <w:pPr>
        <w:ind w:left="1952" w:right="220" w:hanging="655"/>
        <w:spacing w:after="0" w:line="277" w:lineRule="auto"/>
        <w:tabs>
          <w:tab w:leader="none" w:pos="195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second, to pay any taxes and levies payable for the disposal of the Pledged Equity (for the avoidance of doubt, such taxes do not include any income tax); and</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third, to repay the Pledgee for the Secured Debts.</w:t>
      </w:r>
    </w:p>
    <w:p>
      <w:pPr>
        <w:spacing w:after="0" w:line="225" w:lineRule="exact"/>
        <w:rPr>
          <w:sz w:val="20"/>
          <w:szCs w:val="20"/>
          <w:color w:val="auto"/>
        </w:rPr>
      </w:pPr>
    </w:p>
    <w:p>
      <w:pPr>
        <w:ind w:left="1292" w:right="60"/>
        <w:spacing w:after="0" w:line="264" w:lineRule="auto"/>
        <w:rPr>
          <w:sz w:val="20"/>
          <w:szCs w:val="20"/>
          <w:color w:val="auto"/>
        </w:rPr>
      </w:pPr>
      <w:r>
        <w:rPr>
          <w:rFonts w:ascii="Arial" w:cs="Arial" w:eastAsia="Arial" w:hAnsi="Arial"/>
          <w:sz w:val="18"/>
          <w:szCs w:val="18"/>
          <w:color w:val="auto"/>
        </w:rPr>
        <w:t>Any proceeds remaining after payment of the above amounts shall be paid to the Pledgee or its designee. The Pledgee shall have no obligation to account to the Pledgor for proceeds of disposition of the Pledged Equity and the Pledgor hereby waives any rights that he may have to demand such amount from the Pledgee.</w:t>
      </w:r>
    </w:p>
    <w:p>
      <w:pPr>
        <w:spacing w:after="0" w:line="177" w:lineRule="exact"/>
        <w:rPr>
          <w:sz w:val="20"/>
          <w:szCs w:val="20"/>
          <w:color w:val="auto"/>
        </w:rPr>
      </w:pPr>
    </w:p>
    <w:p>
      <w:pPr>
        <w:ind w:left="652" w:hanging="652"/>
        <w:spacing w:after="0"/>
        <w:tabs>
          <w:tab w:leader="none" w:pos="652"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Continuity and No Waiver</w:t>
      </w:r>
    </w:p>
    <w:p>
      <w:pPr>
        <w:spacing w:after="0" w:line="229" w:lineRule="exact"/>
        <w:rPr>
          <w:rFonts w:ascii="Arial" w:cs="Arial" w:eastAsia="Arial" w:hAnsi="Arial"/>
          <w:sz w:val="18"/>
          <w:szCs w:val="18"/>
          <w:b w:val="1"/>
          <w:bCs w:val="1"/>
          <w:color w:val="auto"/>
        </w:rPr>
      </w:pPr>
    </w:p>
    <w:p>
      <w:pPr>
        <w:ind w:left="652" w:right="1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Equity Pledge hereunder is a continuous security, and will continue to be valid until the full performance of the Contract Obligations or the full discharge and satisfaction of the Secured Debts. Neither exemption or grace period granted by the Pledgee to the Pledgor in respect of any breach, nor delay by the Pledgee in exercising any of its rights under the Transaction Agreements and this Agreement, shall affect the rights of the Pledgee under this Agreement, relevant PRC Law and the Transaction Agreements, the rights of the Pledgee to demand at any time thereafter the strict performance of the Transaction Agreements and this Agreement by the Pledgor or the rights the Pledgee may be entitled to due to any subsequent breach by the Pledgor of his obligations under the Transaction Agreements and/or this Agreement.</w:t>
      </w:r>
    </w:p>
    <w:p>
      <w:pPr>
        <w:spacing w:after="0" w:line="174" w:lineRule="exact"/>
        <w:rPr>
          <w:rFonts w:ascii="Arial" w:cs="Arial" w:eastAsia="Arial" w:hAnsi="Arial"/>
          <w:sz w:val="18"/>
          <w:szCs w:val="18"/>
          <w:b w:val="1"/>
          <w:bCs w:val="1"/>
          <w:color w:val="auto"/>
        </w:rPr>
      </w:pPr>
    </w:p>
    <w:p>
      <w:pPr>
        <w:ind w:left="652" w:hanging="652"/>
        <w:spacing w:after="0"/>
        <w:tabs>
          <w:tab w:leader="none" w:pos="652"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1292" w:right="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6.1.As of the date of this Agreement and during the term of this Agreement through the date of termination or expiration of this Agreement, the Pledgor hereby represents and warrants as follows:</w:t>
      </w:r>
    </w:p>
    <w:p>
      <w:pPr>
        <w:spacing w:after="0" w:line="170" w:lineRule="exact"/>
        <w:rPr>
          <w:rFonts w:ascii="Arial" w:cs="Arial" w:eastAsia="Arial" w:hAnsi="Arial"/>
          <w:sz w:val="18"/>
          <w:szCs w:val="18"/>
          <w:b w:val="1"/>
          <w:bCs w:val="1"/>
          <w:color w:val="auto"/>
        </w:rPr>
      </w:pPr>
    </w:p>
    <w:p>
      <w:pPr>
        <w:ind w:left="1932" w:hanging="635"/>
        <w:spacing w:after="0"/>
        <w:tabs>
          <w:tab w:leader="none" w:pos="1932"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Pledgor is a PRC citizen with power and capacity to execute and perform his obligations under this Agreement.</w:t>
      </w:r>
    </w:p>
    <w:p>
      <w:pPr>
        <w:spacing w:after="0" w:line="225" w:lineRule="exact"/>
        <w:rPr>
          <w:rFonts w:ascii="Arial" w:cs="Arial" w:eastAsia="Arial" w:hAnsi="Arial"/>
          <w:sz w:val="18"/>
          <w:szCs w:val="18"/>
          <w:color w:val="auto"/>
        </w:rPr>
      </w:pPr>
    </w:p>
    <w:p>
      <w:pPr>
        <w:ind w:left="1952" w:right="140" w:hanging="655"/>
        <w:spacing w:after="0" w:line="286" w:lineRule="auto"/>
        <w:tabs>
          <w:tab w:leader="none" w:pos="1959" w:val="left"/>
        </w:tabs>
        <w:numPr>
          <w:ilvl w:val="1"/>
          <w:numId w:val="364"/>
        </w:numPr>
        <w:rPr>
          <w:rFonts w:ascii="Arial" w:cs="Arial" w:eastAsia="Arial" w:hAnsi="Arial"/>
          <w:sz w:val="17"/>
          <w:szCs w:val="17"/>
          <w:color w:val="auto"/>
        </w:rPr>
      </w:pPr>
      <w:r>
        <w:rPr>
          <w:rFonts w:ascii="Arial" w:cs="Arial" w:eastAsia="Arial" w:hAnsi="Arial"/>
          <w:sz w:val="17"/>
          <w:szCs w:val="17"/>
          <w:color w:val="auto"/>
        </w:rPr>
        <w:t>The execution and performance of this Agreement by the Pledgor do not violate any laws and regulations or government approvals, authorizations, notices or other governmental documents having binding effect on or affecting the Pledgor, nor do they violate any agreements between the Pledgor and any third party or any covenants made to any third party.</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655"/>
        <w:spacing w:after="0"/>
        <w:tabs>
          <w:tab w:leader="none" w:pos="195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This Agreement constitutes the lawful, valid and enforceable obligations of the Pledgor.</w:t>
      </w:r>
    </w:p>
    <w:p>
      <w:pPr>
        <w:spacing w:after="0" w:line="225" w:lineRule="exact"/>
        <w:rPr>
          <w:rFonts w:ascii="Arial" w:cs="Arial" w:eastAsia="Arial" w:hAnsi="Arial"/>
          <w:sz w:val="18"/>
          <w:szCs w:val="18"/>
          <w:color w:val="auto"/>
        </w:rPr>
      </w:pPr>
    </w:p>
    <w:p>
      <w:pPr>
        <w:ind w:left="1952" w:right="600" w:hanging="655"/>
        <w:spacing w:after="0" w:line="277" w:lineRule="auto"/>
        <w:tabs>
          <w:tab w:leader="none" w:pos="195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All reports, documents and information provided by the Pledgor to the Pledgee are true, correct and accurate in all material respects.</w:t>
      </w:r>
    </w:p>
    <w:p>
      <w:pPr>
        <w:spacing w:after="0" w:line="170" w:lineRule="exact"/>
        <w:rPr>
          <w:rFonts w:ascii="Arial" w:cs="Arial" w:eastAsia="Arial" w:hAnsi="Arial"/>
          <w:sz w:val="18"/>
          <w:szCs w:val="18"/>
          <w:color w:val="auto"/>
        </w:rPr>
      </w:pPr>
    </w:p>
    <w:p>
      <w:pPr>
        <w:ind w:left="1952" w:right="140" w:hanging="655"/>
        <w:spacing w:after="0" w:line="286" w:lineRule="auto"/>
        <w:tabs>
          <w:tab w:leader="none" w:pos="1963"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Pledgor constitutes the only legal owner of the Pledged Equity, with no existing dispute concerning the ownership of the Pledged Equity. Except for the restrictions imposed by the Transaction Agreements and this Agreement or as otherwise agreed by the Parties, the Pledgor has the right to dispose of the Pledged Equity or any part thereof.</w:t>
      </w:r>
    </w:p>
    <w:p>
      <w:pPr>
        <w:spacing w:after="0" w:line="165" w:lineRule="exact"/>
        <w:rPr>
          <w:rFonts w:ascii="Arial" w:cs="Arial" w:eastAsia="Arial" w:hAnsi="Arial"/>
          <w:sz w:val="17"/>
          <w:szCs w:val="17"/>
          <w:color w:val="auto"/>
        </w:rPr>
      </w:pPr>
    </w:p>
    <w:p>
      <w:pPr>
        <w:ind w:left="1952" w:right="80" w:hanging="655"/>
        <w:spacing w:after="0" w:line="308" w:lineRule="auto"/>
        <w:tabs>
          <w:tab w:leader="none" w:pos="1956" w:val="left"/>
        </w:tabs>
        <w:numPr>
          <w:ilvl w:val="0"/>
          <w:numId w:val="365"/>
        </w:numPr>
        <w:rPr>
          <w:rFonts w:ascii="Arial" w:cs="Arial" w:eastAsia="Arial" w:hAnsi="Arial"/>
          <w:sz w:val="17"/>
          <w:szCs w:val="17"/>
          <w:color w:val="auto"/>
        </w:rPr>
      </w:pPr>
      <w:r>
        <w:rPr>
          <w:rFonts w:ascii="Arial" w:cs="Arial" w:eastAsia="Arial" w:hAnsi="Arial"/>
          <w:sz w:val="17"/>
          <w:szCs w:val="17"/>
          <w:color w:val="auto"/>
        </w:rPr>
        <w:t>Except for the encumbrance set on the Pledged Equity hereunder and otherwise agreed by the Parties and the rights set forth under the Transaction Agreements, there is no other encumbrance or third party interest over the Pledged Equity.</w:t>
      </w:r>
    </w:p>
    <w:p>
      <w:pPr>
        <w:spacing w:after="0" w:line="146" w:lineRule="exact"/>
        <w:rPr>
          <w:rFonts w:ascii="Arial" w:cs="Arial" w:eastAsia="Arial" w:hAnsi="Arial"/>
          <w:sz w:val="17"/>
          <w:szCs w:val="17"/>
          <w:color w:val="auto"/>
        </w:rPr>
      </w:pPr>
    </w:p>
    <w:p>
      <w:pPr>
        <w:ind w:left="1952" w:right="60" w:hanging="655"/>
        <w:spacing w:after="0" w:line="277" w:lineRule="auto"/>
        <w:tabs>
          <w:tab w:leader="none" w:pos="1973"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Pledged Equity is capable of being pledged or transferred according to PRC Law, and the Pledgor has the full right and power to pledge the Pledged Equity to the Pledgee according to this Agreement.</w:t>
      </w:r>
    </w:p>
    <w:p>
      <w:pPr>
        <w:spacing w:after="0" w:line="170" w:lineRule="exact"/>
        <w:rPr>
          <w:rFonts w:ascii="Arial" w:cs="Arial" w:eastAsia="Arial" w:hAnsi="Arial"/>
          <w:sz w:val="18"/>
          <w:szCs w:val="18"/>
          <w:color w:val="auto"/>
        </w:rPr>
      </w:pPr>
    </w:p>
    <w:p>
      <w:pPr>
        <w:ind w:left="1952" w:right="40" w:hanging="655"/>
        <w:spacing w:after="0" w:line="259" w:lineRule="auto"/>
        <w:tabs>
          <w:tab w:leader="none" w:pos="1959"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consent, permission, waiver or authorization by any third person, or any approval, permission or exemption by any government authority, or any registration or filing formalities with any government authority to be effected or obtained in respect of the execution and performance hereof and the creation of the Equity Pledge hereunder have been or will be handled or obtained, and will be fully effective during the term of this Agreement.</w:t>
      </w:r>
    </w:p>
    <w:p>
      <w:pPr>
        <w:spacing w:after="0" w:line="186" w:lineRule="exact"/>
        <w:rPr>
          <w:rFonts w:ascii="Arial" w:cs="Arial" w:eastAsia="Arial" w:hAnsi="Arial"/>
          <w:sz w:val="18"/>
          <w:szCs w:val="18"/>
          <w:color w:val="auto"/>
        </w:rPr>
      </w:pPr>
    </w:p>
    <w:p>
      <w:pPr>
        <w:ind w:left="1972" w:hanging="675"/>
        <w:spacing w:after="0"/>
        <w:tabs>
          <w:tab w:leader="none" w:pos="1972"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Equity Pledge hereunder constitutes a first pledge on the Pledged Equity.</w:t>
      </w:r>
    </w:p>
    <w:p>
      <w:pPr>
        <w:spacing w:after="0" w:line="225" w:lineRule="exact"/>
        <w:rPr>
          <w:rFonts w:ascii="Arial" w:cs="Arial" w:eastAsia="Arial" w:hAnsi="Arial"/>
          <w:sz w:val="18"/>
          <w:szCs w:val="18"/>
          <w:color w:val="auto"/>
        </w:rPr>
      </w:pPr>
    </w:p>
    <w:p>
      <w:pPr>
        <w:ind w:left="1952" w:right="60" w:hanging="655"/>
        <w:spacing w:after="0" w:line="279" w:lineRule="auto"/>
        <w:tabs>
          <w:tab w:leader="none" w:pos="196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There is no pending or, to the knowledge of the Pledgor, threatened litigation, legal process or demand by any court or any arbitral tribunal or by any government authority or any administration authority against the Pledgor, or his property, or the Pledged Equity, which would have a material adverse effect on the economic status of the Pledgor or his capability to perform the obligations hereunder and the Contract Obligations or to discharge and satisfy the Secured Debts.</w:t>
      </w:r>
    </w:p>
    <w:p>
      <w:pPr>
        <w:spacing w:after="0" w:line="171"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As of the date of this Agreement and during the term of this Agreement through the date of termination or expiration of this Agreement, the</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Pledgee hereby represents and warrants as follows:</w:t>
      </w:r>
    </w:p>
    <w:p>
      <w:pPr>
        <w:sectPr>
          <w:pgSz w:w="11900" w:h="16888" w:orient="portrait"/>
          <w:cols w:equalWidth="0" w:num="1">
            <w:col w:w="11412"/>
          </w:cols>
          <w:pgMar w:left="248" w:top="341" w:right="239" w:bottom="0" w:gutter="0" w:footer="0" w:header="0"/>
        </w:sectPr>
      </w:pPr>
    </w:p>
    <w:bookmarkStart w:id="197" w:name="page198"/>
    <w:bookmarkEnd w:id="197"/>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32" w:hanging="635"/>
        <w:spacing w:after="0"/>
        <w:tabs>
          <w:tab w:leader="none" w:pos="193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The Pledgee is a wholly foreign owned enterprise duly registered and existing under PRC Law.</w:t>
      </w:r>
    </w:p>
    <w:p>
      <w:pPr>
        <w:spacing w:after="0" w:line="225" w:lineRule="exact"/>
        <w:rPr>
          <w:rFonts w:ascii="Arial" w:cs="Arial" w:eastAsia="Arial" w:hAnsi="Arial"/>
          <w:sz w:val="18"/>
          <w:szCs w:val="18"/>
          <w:color w:val="auto"/>
        </w:rPr>
      </w:pPr>
    </w:p>
    <w:p>
      <w:pPr>
        <w:ind w:left="1952" w:right="140" w:hanging="655"/>
        <w:spacing w:after="0" w:line="259" w:lineRule="auto"/>
        <w:tabs>
          <w:tab w:leader="none" w:pos="1959"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The Pledgee has the power to execute and perform its obligations under this Agreement. The execution and performance of this Agreement by the Pledgee is in compliance with the articles of association or other organizational documents of the Pledgee, and the Pledgee has obtained all necessary and appropriate approvals and authorizations for the execution and performance of this Agreement.</w:t>
      </w:r>
    </w:p>
    <w:p>
      <w:pPr>
        <w:spacing w:after="0" w:line="186" w:lineRule="exact"/>
        <w:rPr>
          <w:rFonts w:ascii="Arial" w:cs="Arial" w:eastAsia="Arial" w:hAnsi="Arial"/>
          <w:sz w:val="18"/>
          <w:szCs w:val="18"/>
          <w:color w:val="auto"/>
        </w:rPr>
      </w:pPr>
    </w:p>
    <w:p>
      <w:pPr>
        <w:ind w:left="1952" w:hanging="655"/>
        <w:spacing w:after="0"/>
        <w:tabs>
          <w:tab w:leader="none" w:pos="1952"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This Agreement shall constitute lawful, valid and enforceable obligations of the Pledgee.</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Undertakings by the Pledgor</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Pledgor hereby undertakes to the Pledgee as follows:</w:t>
      </w:r>
    </w:p>
    <w:p>
      <w:pPr>
        <w:spacing w:after="0" w:line="225" w:lineRule="exact"/>
        <w:rPr>
          <w:rFonts w:ascii="Arial" w:cs="Arial" w:eastAsia="Arial" w:hAnsi="Arial"/>
          <w:sz w:val="18"/>
          <w:szCs w:val="18"/>
          <w:b w:val="1"/>
          <w:bCs w:val="1"/>
          <w:color w:val="auto"/>
        </w:rPr>
      </w:pPr>
    </w:p>
    <w:p>
      <w:pPr>
        <w:ind w:left="1952" w:right="240" w:hanging="655"/>
        <w:spacing w:after="0" w:line="264" w:lineRule="auto"/>
        <w:tabs>
          <w:tab w:leader="none" w:pos="1949"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Without the prior written consent by the Pledgee, the Pledgor shall not establish or permit to establish any further pledge or any other encumbrance on the Pledged Equity. Any pledge or other encumbrance on all or part of the Pledged Equity without such prior written consent shall be null and void.</w:t>
      </w:r>
    </w:p>
    <w:p>
      <w:pPr>
        <w:spacing w:after="0" w:line="181" w:lineRule="exact"/>
        <w:rPr>
          <w:rFonts w:ascii="Arial" w:cs="Arial" w:eastAsia="Arial" w:hAnsi="Arial"/>
          <w:sz w:val="18"/>
          <w:szCs w:val="18"/>
          <w:color w:val="auto"/>
        </w:rPr>
      </w:pPr>
    </w:p>
    <w:p>
      <w:pPr>
        <w:ind w:left="1952" w:right="60" w:hanging="655"/>
        <w:spacing w:after="0" w:line="312" w:lineRule="auto"/>
        <w:tabs>
          <w:tab w:leader="none" w:pos="1959" w:val="left"/>
        </w:tabs>
        <w:numPr>
          <w:ilvl w:val="1"/>
          <w:numId w:val="367"/>
        </w:numPr>
        <w:rPr>
          <w:rFonts w:ascii="Arial" w:cs="Arial" w:eastAsia="Arial" w:hAnsi="Arial"/>
          <w:sz w:val="16"/>
          <w:szCs w:val="16"/>
          <w:color w:val="auto"/>
        </w:rPr>
      </w:pPr>
      <w:r>
        <w:rPr>
          <w:rFonts w:ascii="Arial" w:cs="Arial" w:eastAsia="Arial" w:hAnsi="Arial"/>
          <w:sz w:val="16"/>
          <w:szCs w:val="16"/>
          <w:color w:val="auto"/>
        </w:rPr>
        <w:t>Without having the Pledgee’s prior written consent, the Pledgor shall not transfer the Pledged Equity, and any attempt by the Pledgor to transfer the Pledged Equity shall be null and void. The proceeds from the transfer of the Pledged Equity by the Pledgor shall be used to repay to the Pledgee in advance the Secured Debts or submit the same to the third party agreed with the Pledgee.</w:t>
      </w:r>
    </w:p>
    <w:p>
      <w:pPr>
        <w:spacing w:after="0" w:line="146" w:lineRule="exact"/>
        <w:rPr>
          <w:rFonts w:ascii="Arial" w:cs="Arial" w:eastAsia="Arial" w:hAnsi="Arial"/>
          <w:sz w:val="16"/>
          <w:szCs w:val="16"/>
          <w:color w:val="auto"/>
        </w:rPr>
      </w:pPr>
    </w:p>
    <w:p>
      <w:pPr>
        <w:ind w:left="1952" w:right="20" w:hanging="655"/>
        <w:spacing w:after="0" w:line="279" w:lineRule="auto"/>
        <w:tabs>
          <w:tab w:leader="none" w:pos="1963" w:val="left"/>
        </w:tabs>
        <w:numPr>
          <w:ilvl w:val="1"/>
          <w:numId w:val="367"/>
        </w:numPr>
        <w:rPr>
          <w:rFonts w:ascii="Arial" w:cs="Arial" w:eastAsia="Arial" w:hAnsi="Arial"/>
          <w:sz w:val="17"/>
          <w:szCs w:val="17"/>
          <w:color w:val="auto"/>
        </w:rPr>
      </w:pPr>
      <w:r>
        <w:rPr>
          <w:rFonts w:ascii="Arial" w:cs="Arial" w:eastAsia="Arial" w:hAnsi="Arial"/>
          <w:sz w:val="17"/>
          <w:szCs w:val="17"/>
          <w:color w:val="auto"/>
        </w:rPr>
        <w:t>The Pledgor shall promptly notify the Pledgee of any litigation, arbitration, claim or other proceedings which may adversely affect the interest of the Pledgor or the Pledgee under the Transaction Agreements and hereunder or in respect of the Pledged Equity, shall keep the Pledgee timely informed of developments in connection therewith and shall take all reasonable measures to defend such proceedings and protect the interest of the Pledgee in the Pledged Equity.</w:t>
      </w:r>
    </w:p>
    <w:p>
      <w:pPr>
        <w:spacing w:after="0" w:line="171" w:lineRule="exact"/>
        <w:rPr>
          <w:rFonts w:ascii="Arial" w:cs="Arial" w:eastAsia="Arial" w:hAnsi="Arial"/>
          <w:sz w:val="17"/>
          <w:szCs w:val="17"/>
          <w:color w:val="auto"/>
        </w:rPr>
      </w:pPr>
    </w:p>
    <w:p>
      <w:pPr>
        <w:ind w:left="1952" w:right="40" w:hanging="655"/>
        <w:spacing w:after="0" w:line="277" w:lineRule="auto"/>
        <w:tabs>
          <w:tab w:leader="none" w:pos="1959"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Pledgor shall not take or permit any act or action which may adversely affect the interest of the Pledgee under the Transaction Agreements and hereunder or in respect of the Pledged Equity.</w:t>
      </w:r>
    </w:p>
    <w:p>
      <w:pPr>
        <w:spacing w:after="0" w:line="170" w:lineRule="exact"/>
        <w:rPr>
          <w:rFonts w:ascii="Arial" w:cs="Arial" w:eastAsia="Arial" w:hAnsi="Arial"/>
          <w:sz w:val="18"/>
          <w:szCs w:val="18"/>
          <w:color w:val="auto"/>
        </w:rPr>
      </w:pPr>
    </w:p>
    <w:p>
      <w:pPr>
        <w:ind w:left="1952" w:hanging="655"/>
        <w:spacing w:after="0" w:line="264" w:lineRule="auto"/>
        <w:tabs>
          <w:tab w:leader="none" w:pos="1963" w:val="left"/>
        </w:tabs>
        <w:numPr>
          <w:ilvl w:val="1"/>
          <w:numId w:val="367"/>
        </w:numPr>
        <w:rPr>
          <w:rFonts w:ascii="Arial" w:cs="Arial" w:eastAsia="Arial" w:hAnsi="Arial"/>
          <w:sz w:val="18"/>
          <w:szCs w:val="18"/>
          <w:color w:val="auto"/>
        </w:rPr>
      </w:pPr>
      <w:r>
        <w:rPr>
          <w:rFonts w:ascii="Arial" w:cs="Arial" w:eastAsia="Arial" w:hAnsi="Arial"/>
          <w:sz w:val="18"/>
          <w:szCs w:val="18"/>
          <w:color w:val="auto"/>
        </w:rPr>
        <w:t>At the request of the Pledgee, the Pledgor shall cause the Domestic Company to, within the first month of each calendar quarter, provide the Pledgee with the financial statements, including (but not limited to) the balance sheet, the profit statement and the cash flow statement of the Domestic Company for the previous calendar quarter.</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hanging="652"/>
        <w:spacing w:after="0"/>
        <w:tabs>
          <w:tab w:leader="none" w:pos="652"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Circumstances</w:t>
      </w:r>
    </w:p>
    <w:p>
      <w:pPr>
        <w:spacing w:after="0" w:line="229" w:lineRule="exact"/>
        <w:rPr>
          <w:rFonts w:ascii="Arial" w:cs="Arial" w:eastAsia="Arial" w:hAnsi="Arial"/>
          <w:sz w:val="18"/>
          <w:szCs w:val="18"/>
          <w:b w:val="1"/>
          <w:bCs w:val="1"/>
          <w:color w:val="auto"/>
        </w:rPr>
      </w:pPr>
    </w:p>
    <w:p>
      <w:pPr>
        <w:ind w:left="652"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Subject to compliance with other terms of the Transaction Agreements and this Agreement, the event of any promulgation or change of any PRC Law, regulations or rules, or change in interpretation or application of such laws, regulations and rules, or the change of the relevant registration procedures which causes the Pledgee to believe that it will be illegal or in conflict with such laws, regulations or rules to further maintain the effectiveness of this Agreement and/or dispose of the Pledged Equity in the manner provided herein, the Pledgor shall, at the written direction of the Pledgee and in accordance with the reasonable request of the Pledgee, promptly take all actions and/or execute any agreement or other document, in order to:</w:t>
      </w:r>
    </w:p>
    <w:p>
      <w:pPr>
        <w:spacing w:after="0" w:line="193" w:lineRule="exact"/>
        <w:rPr>
          <w:rFonts w:ascii="Arial" w:cs="Arial" w:eastAsia="Arial" w:hAnsi="Arial"/>
          <w:sz w:val="18"/>
          <w:szCs w:val="18"/>
          <w:b w:val="1"/>
          <w:bCs w:val="1"/>
          <w:color w:val="auto"/>
        </w:rPr>
      </w:pPr>
    </w:p>
    <w:p>
      <w:pPr>
        <w:ind w:left="1312" w:hanging="664"/>
        <w:spacing w:after="0"/>
        <w:tabs>
          <w:tab w:leader="none" w:pos="131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keep this Agreement valid and effective;</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facilitate the disposal of the Pledged Equity in the manner provided herein; and/or</w:t>
      </w:r>
    </w:p>
    <w:p>
      <w:pPr>
        <w:spacing w:after="0" w:line="225" w:lineRule="exact"/>
        <w:rPr>
          <w:rFonts w:ascii="Arial" w:cs="Arial" w:eastAsia="Arial" w:hAnsi="Arial"/>
          <w:sz w:val="18"/>
          <w:szCs w:val="18"/>
          <w:color w:val="auto"/>
        </w:rPr>
      </w:pPr>
    </w:p>
    <w:p>
      <w:pPr>
        <w:ind w:left="1312" w:hanging="664"/>
        <w:spacing w:after="0"/>
        <w:tabs>
          <w:tab w:leader="none" w:pos="1312" w:val="left"/>
        </w:tabs>
        <w:numPr>
          <w:ilvl w:val="1"/>
          <w:numId w:val="368"/>
        </w:numPr>
        <w:rPr>
          <w:rFonts w:ascii="Arial" w:cs="Arial" w:eastAsia="Arial" w:hAnsi="Arial"/>
          <w:sz w:val="18"/>
          <w:szCs w:val="18"/>
          <w:color w:val="auto"/>
        </w:rPr>
      </w:pPr>
      <w:r>
        <w:rPr>
          <w:rFonts w:ascii="Arial" w:cs="Arial" w:eastAsia="Arial" w:hAnsi="Arial"/>
          <w:sz w:val="18"/>
          <w:szCs w:val="18"/>
          <w:color w:val="auto"/>
        </w:rPr>
        <w:t>maintain or realize the intention or the security established hereunder.</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and Term of the Agreement</w:t>
      </w:r>
    </w:p>
    <w:p>
      <w:pPr>
        <w:spacing w:after="0" w:line="229" w:lineRule="exact"/>
        <w:rPr>
          <w:rFonts w:ascii="Arial" w:cs="Arial" w:eastAsia="Arial" w:hAnsi="Arial"/>
          <w:sz w:val="18"/>
          <w:szCs w:val="18"/>
          <w:b w:val="1"/>
          <w:bCs w:val="1"/>
          <w:color w:val="auto"/>
        </w:rPr>
      </w:pPr>
    </w:p>
    <w:p>
      <w:pPr>
        <w:ind w:left="1292"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9.1.This Agreement shall become effective when it has been duly executed by the parties hereto and recorded in the register of equityholders (if any) of the Domestic Company, and the Equity Pledge under this Agreement or the Registration Version, as applicable, shall become effective when it has been registered with SAIC to the extent permitted by SAIC. The Pledgor shall carry out all the approval and registration formalities in a timely manner as required by PRC Law (including but not limited to the registration of the Equity Pledge with SAIC to the extent permitted by SAIC) and shall take all other necessary actions required for completing such approval and/or registration formalities.</w:t>
      </w:r>
    </w:p>
    <w:p>
      <w:pPr>
        <w:spacing w:after="0" w:line="193" w:lineRule="exact"/>
        <w:rPr>
          <w:rFonts w:ascii="Arial" w:cs="Arial" w:eastAsia="Arial" w:hAnsi="Arial"/>
          <w:sz w:val="18"/>
          <w:szCs w:val="18"/>
          <w:b w:val="1"/>
          <w:bCs w:val="1"/>
          <w:color w:val="auto"/>
        </w:rPr>
      </w:pPr>
    </w:p>
    <w:p>
      <w:pPr>
        <w:ind w:left="1292" w:right="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9.2.This Agreement shall continue to be valid until the full performance of the Contract Obligations or the full discharge and satisfaction of the Secured Debts.</w:t>
      </w:r>
    </w:p>
    <w:p>
      <w:pPr>
        <w:spacing w:after="0" w:line="166" w:lineRule="exact"/>
        <w:rPr>
          <w:rFonts w:ascii="Arial" w:cs="Arial" w:eastAsia="Arial" w:hAnsi="Arial"/>
          <w:sz w:val="18"/>
          <w:szCs w:val="18"/>
          <w:b w:val="1"/>
          <w:bCs w:val="1"/>
          <w:color w:val="auto"/>
        </w:rPr>
      </w:pPr>
    </w:p>
    <w:p>
      <w:pPr>
        <w:ind w:left="652" w:hanging="652"/>
        <w:spacing w:after="0"/>
        <w:tabs>
          <w:tab w:leader="none" w:pos="652"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rFonts w:ascii="Arial" w:cs="Arial" w:eastAsia="Arial" w:hAnsi="Arial"/>
          <w:sz w:val="18"/>
          <w:szCs w:val="18"/>
          <w:b w:val="1"/>
          <w:bCs w:val="1"/>
          <w:color w:val="auto"/>
        </w:rPr>
      </w:pPr>
    </w:p>
    <w:p>
      <w:pPr>
        <w:ind w:left="652" w:right="1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either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w:t>
      </w:r>
    </w:p>
    <w:p>
      <w:pPr>
        <w:sectPr>
          <w:pgSz w:w="11900" w:h="16838" w:orient="portrait"/>
          <w:cols w:equalWidth="0" w:num="1">
            <w:col w:w="11372"/>
          </w:cols>
          <w:pgMar w:left="248" w:top="341" w:right="279" w:bottom="0" w:gutter="0" w:footer="0" w:header="0"/>
        </w:sectPr>
      </w:pPr>
    </w:p>
    <w:bookmarkStart w:id="198" w:name="page199"/>
    <w:bookmarkEnd w:id="198"/>
    <w:p>
      <w:pPr>
        <w:ind w:left="652" w:right="100"/>
        <w:spacing w:after="0" w:line="308" w:lineRule="auto"/>
        <w:rPr>
          <w:sz w:val="20"/>
          <w:szCs w:val="20"/>
          <w:color w:val="auto"/>
        </w:rPr>
      </w:pPr>
      <w:r>
        <w:rPr>
          <w:rFonts w:ascii="Arial" w:cs="Arial" w:eastAsia="Arial" w:hAnsi="Arial"/>
          <w:sz w:val="17"/>
          <w:szCs w:val="17"/>
          <w:color w:val="auto"/>
        </w:rPr>
        <w:t>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If to Pledgee: NetEase (Hangzhou) Network Co., Ltd.</w:t>
      </w:r>
    </w:p>
    <w:p>
      <w:pPr>
        <w:sectPr>
          <w:pgSz w:w="11900" w:h="16838" w:orient="portrait"/>
          <w:cols w:equalWidth="0" w:num="1">
            <w:col w:w="11392"/>
          </w:cols>
          <w:pgMar w:left="248" w:top="125" w:right="259" w:bottom="0" w:gutter="0" w:footer="0" w:header="0"/>
        </w:sectPr>
      </w:pP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7/F, Building 4, No. 599 Wangshang Road, Binjiang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District, Hangzhou, Zhejiang, PRC</w:t>
      </w:r>
    </w:p>
    <w:p>
      <w:pPr>
        <w:spacing w:after="0" w:line="200" w:lineRule="exact"/>
        <w:rPr>
          <w:sz w:val="20"/>
          <w:szCs w:val="20"/>
          <w:color w:val="auto"/>
        </w:rPr>
      </w:pPr>
    </w:p>
    <w:p>
      <w:pPr>
        <w:sectPr>
          <w:pgSz w:w="11900" w:h="16838" w:orient="portrait"/>
          <w:cols w:equalWidth="0" w:num="2">
            <w:col w:w="2252" w:space="720"/>
            <w:col w:w="8420"/>
          </w:cols>
          <w:pgMar w:left="248" w:top="125" w:right="259" w:bottom="0" w:gutter="0" w:footer="0" w:header="0"/>
          <w:type w:val="continuous"/>
        </w:sectPr>
      </w:pPr>
    </w:p>
    <w:p>
      <w:pPr>
        <w:spacing w:after="0" w:line="11" w:lineRule="exact"/>
        <w:rPr>
          <w:sz w:val="20"/>
          <w:szCs w:val="20"/>
          <w:color w:val="auto"/>
        </w:rPr>
      </w:pPr>
    </w:p>
    <w:p>
      <w:pPr>
        <w:jc w:val="center"/>
        <w:ind w:left="65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0571-89852163</w:t>
      </w:r>
    </w:p>
    <w:p>
      <w:pPr>
        <w:spacing w:after="0" w:line="200" w:lineRule="exact"/>
        <w:rPr>
          <w:sz w:val="20"/>
          <w:szCs w:val="20"/>
          <w:color w:val="auto"/>
        </w:rPr>
      </w:pPr>
    </w:p>
    <w:p>
      <w:pPr>
        <w:sectPr>
          <w:pgSz w:w="11900" w:h="16838" w:orient="portrait"/>
          <w:cols w:equalWidth="0" w:num="2">
            <w:col w:w="2252" w:space="720"/>
            <w:col w:w="8420"/>
          </w:cols>
          <w:pgMar w:left="248" w:top="125" w:right="259" w:bottom="0" w:gutter="0" w:footer="0" w:header="0"/>
          <w:type w:val="continuous"/>
        </w:sectPr>
      </w:pPr>
    </w:p>
    <w:p>
      <w:pPr>
        <w:spacing w:after="0" w:line="48" w:lineRule="exact"/>
        <w:rPr>
          <w:sz w:val="20"/>
          <w:szCs w:val="20"/>
          <w:color w:val="auto"/>
        </w:rPr>
      </w:pPr>
    </w:p>
    <w:p>
      <w:pPr>
        <w:jc w:val="center"/>
        <w:ind w:left="81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liujianing@corp.netease.com</w:t>
      </w:r>
    </w:p>
    <w:p>
      <w:pPr>
        <w:spacing w:after="0" w:line="211" w:lineRule="exact"/>
        <w:rPr>
          <w:sz w:val="20"/>
          <w:szCs w:val="20"/>
          <w:color w:val="auto"/>
        </w:rPr>
      </w:pPr>
    </w:p>
    <w:p>
      <w:pPr>
        <w:sectPr>
          <w:pgSz w:w="11900" w:h="16838" w:orient="portrait"/>
          <w:cols w:equalWidth="0" w:num="2">
            <w:col w:w="2252" w:space="720"/>
            <w:col w:w="8420"/>
          </w:cols>
          <w:pgMar w:left="248" w:top="125" w:right="259" w:bottom="0" w:gutter="0" w:footer="0" w:header="0"/>
          <w:type w:val="continuous"/>
        </w:sectPr>
      </w:pPr>
    </w:p>
    <w:p>
      <w:pPr>
        <w:spacing w:after="0" w:line="37" w:lineRule="exact"/>
        <w:rPr>
          <w:sz w:val="20"/>
          <w:szCs w:val="20"/>
          <w:color w:val="auto"/>
        </w:rPr>
      </w:pPr>
    </w:p>
    <w:p>
      <w:pPr>
        <w:ind w:left="1292"/>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Liu Jianing</w:t>
      </w:r>
    </w:p>
    <w:p>
      <w:pPr>
        <w:spacing w:after="0" w:line="200" w:lineRule="exact"/>
        <w:rPr>
          <w:sz w:val="20"/>
          <w:szCs w:val="20"/>
          <w:color w:val="auto"/>
        </w:rPr>
      </w:pPr>
    </w:p>
    <w:p>
      <w:pPr>
        <w:sectPr>
          <w:pgSz w:w="11900" w:h="16838" w:orient="portrait"/>
          <w:cols w:equalWidth="0" w:num="2">
            <w:col w:w="2252" w:space="720"/>
            <w:col w:w="8420"/>
          </w:cols>
          <w:pgMar w:left="248" w:top="125" w:right="259" w:bottom="0" w:gutter="0" w:footer="0" w:header="0"/>
          <w:type w:val="continuous"/>
        </w:sectPr>
      </w:pPr>
    </w:p>
    <w:p>
      <w:pPr>
        <w:spacing w:after="0" w:line="33" w:lineRule="exact"/>
        <w:rPr>
          <w:sz w:val="20"/>
          <w:szCs w:val="20"/>
          <w:color w:val="auto"/>
        </w:rPr>
      </w:pPr>
    </w:p>
    <w:p>
      <w:pPr>
        <w:ind w:left="652"/>
        <w:spacing w:after="0"/>
        <w:rPr>
          <w:sz w:val="20"/>
          <w:szCs w:val="20"/>
          <w:color w:val="auto"/>
        </w:rPr>
      </w:pPr>
      <w:r>
        <w:rPr>
          <w:rFonts w:ascii="Arial" w:cs="Arial" w:eastAsia="Arial" w:hAnsi="Arial"/>
          <w:sz w:val="17"/>
          <w:szCs w:val="17"/>
          <w:b w:val="1"/>
          <w:bCs w:val="1"/>
          <w:color w:val="auto"/>
        </w:rPr>
        <w:t>If to Pledgor: Hu Zhipeng</w:t>
      </w:r>
    </w:p>
    <w:p>
      <w:pPr>
        <w:sectPr>
          <w:pgSz w:w="11900" w:h="16838" w:orient="portrait"/>
          <w:cols w:equalWidth="0" w:num="1">
            <w:col w:w="11392"/>
          </w:cols>
          <w:pgMar w:left="248" w:top="125" w:right="259" w:bottom="0" w:gutter="0" w:footer="0" w:header="0"/>
          <w:type w:val="continuous"/>
        </w:sectPr>
      </w:pPr>
    </w:p>
    <w:p>
      <w:pPr>
        <w:spacing w:after="0" w:line="241" w:lineRule="exact"/>
        <w:rPr>
          <w:sz w:val="20"/>
          <w:szCs w:val="20"/>
          <w:color w:val="auto"/>
        </w:rPr>
      </w:pPr>
    </w:p>
    <w:p>
      <w:pPr>
        <w:ind w:left="1292"/>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 14 South Street, Chaoyangmen, FESCO, Beijing,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PRC</w:t>
      </w:r>
    </w:p>
    <w:p>
      <w:pPr>
        <w:spacing w:after="0" w:line="200" w:lineRule="exact"/>
        <w:rPr>
          <w:sz w:val="20"/>
          <w:szCs w:val="20"/>
          <w:color w:val="auto"/>
        </w:rPr>
      </w:pPr>
    </w:p>
    <w:p>
      <w:pPr>
        <w:sectPr>
          <w:pgSz w:w="11900" w:h="16838" w:orient="portrait"/>
          <w:cols w:equalWidth="0" w:num="2">
            <w:col w:w="2252" w:space="720"/>
            <w:col w:w="8420"/>
          </w:cols>
          <w:pgMar w:left="248" w:top="125" w:right="259" w:bottom="0" w:gutter="0" w:footer="0" w:header="0"/>
          <w:type w:val="continuous"/>
        </w:sectPr>
      </w:pPr>
    </w:p>
    <w:p>
      <w:pPr>
        <w:spacing w:after="0" w:line="11" w:lineRule="exact"/>
        <w:rPr>
          <w:sz w:val="20"/>
          <w:szCs w:val="20"/>
          <w:color w:val="auto"/>
        </w:rPr>
      </w:pPr>
    </w:p>
    <w:p>
      <w:pPr>
        <w:jc w:val="center"/>
        <w:ind w:left="652"/>
        <w:spacing w:after="0"/>
        <w:rPr>
          <w:sz w:val="20"/>
          <w:szCs w:val="20"/>
          <w:color w:val="auto"/>
        </w:rPr>
      </w:pPr>
      <w:r>
        <w:rPr>
          <w:rFonts w:ascii="Arial" w:cs="Arial" w:eastAsia="Arial" w:hAnsi="Arial"/>
          <w:sz w:val="16"/>
          <w:szCs w:val="16"/>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0571-89852760</w:t>
      </w:r>
    </w:p>
    <w:p>
      <w:pPr>
        <w:spacing w:after="0" w:line="200" w:lineRule="exact"/>
        <w:rPr>
          <w:sz w:val="20"/>
          <w:szCs w:val="20"/>
          <w:color w:val="auto"/>
        </w:rPr>
      </w:pPr>
    </w:p>
    <w:p>
      <w:pPr>
        <w:sectPr>
          <w:pgSz w:w="11900" w:h="16838" w:orient="portrait"/>
          <w:cols w:equalWidth="0" w:num="2">
            <w:col w:w="2252" w:space="720"/>
            <w:col w:w="8420"/>
          </w:cols>
          <w:pgMar w:left="248" w:top="125" w:right="259" w:bottom="0" w:gutter="0" w:footer="0" w:header="0"/>
          <w:type w:val="continuous"/>
        </w:sectPr>
      </w:pPr>
    </w:p>
    <w:p>
      <w:pPr>
        <w:spacing w:after="0" w:line="48" w:lineRule="exact"/>
        <w:rPr>
          <w:sz w:val="20"/>
          <w:szCs w:val="20"/>
          <w:color w:val="auto"/>
        </w:rPr>
      </w:pPr>
    </w:p>
    <w:p>
      <w:pPr>
        <w:jc w:val="center"/>
        <w:ind w:left="812"/>
        <w:spacing w:after="0"/>
        <w:rPr>
          <w:sz w:val="20"/>
          <w:szCs w:val="20"/>
          <w:color w:val="auto"/>
        </w:rPr>
      </w:pPr>
      <w:r>
        <w:rPr>
          <w:rFonts w:ascii="Arial" w:cs="Arial" w:eastAsia="Arial" w:hAnsi="Arial"/>
          <w:sz w:val="17"/>
          <w:szCs w:val="17"/>
          <w:color w:val="auto"/>
        </w:rPr>
        <w:t>Email: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zphu@corp.netease.com</w:t>
      </w:r>
    </w:p>
    <w:p>
      <w:pPr>
        <w:spacing w:after="0" w:line="222" w:lineRule="exact"/>
        <w:rPr>
          <w:sz w:val="20"/>
          <w:szCs w:val="20"/>
          <w:color w:val="auto"/>
        </w:rPr>
      </w:pPr>
    </w:p>
    <w:p>
      <w:pPr>
        <w:sectPr>
          <w:pgSz w:w="11900" w:h="16838" w:orient="portrait"/>
          <w:cols w:equalWidth="0" w:num="2">
            <w:col w:w="2252" w:space="720"/>
            <w:col w:w="8420"/>
          </w:cols>
          <w:pgMar w:left="248" w:top="125" w:right="259" w:bottom="0" w:gutter="0" w:footer="0" w:header="0"/>
          <w:type w:val="continuous"/>
        </w:sectPr>
      </w:pPr>
    </w:p>
    <w:p>
      <w:pPr>
        <w:spacing w:after="0" w:line="33" w:lineRule="exact"/>
        <w:rPr>
          <w:sz w:val="20"/>
          <w:szCs w:val="20"/>
          <w:color w:val="auto"/>
        </w:rPr>
      </w:pPr>
    </w:p>
    <w:p>
      <w:pPr>
        <w:ind w:left="632" w:hanging="632"/>
        <w:spacing w:after="0"/>
        <w:tabs>
          <w:tab w:leader="none" w:pos="632"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rFonts w:ascii="Arial" w:cs="Arial" w:eastAsia="Arial" w:hAnsi="Arial"/>
          <w:sz w:val="18"/>
          <w:szCs w:val="18"/>
          <w:b w:val="1"/>
          <w:bCs w:val="1"/>
          <w:color w:val="auto"/>
        </w:rPr>
      </w:pPr>
    </w:p>
    <w:p>
      <w:pPr>
        <w:ind w:left="652"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Parties acknowledge and confirm that any oral or written information exchanged among them with respect to this Agreement constitutes confidential information. The Parties shall maintain the confidentiality of all such information. Without the prior written consent of the Party who had provided such information, none of the Parties shall disclose any confidential information to any third party, except in the following circumstances: (a) such information is or comes into the public domain (through no fault or disclosure by the receiving party); (b) information disclosed as required by applicable laws or rules or regulations of any stock exchange; or (c) information required to be disclosed by any Party to its legal or financial advisors regarding the transactions contemplated hereunder, and such legal or financial advisors are also bound by duties of confidentiality similar to the duties set forth in this Article. Disclosure of any confidential information by the staff or employee of any Party shall be deemed as disclosure of such confidential information by such Party, for which the Party shall be held liable for breach of this Agreement. This Article shall survive the termination of this Agreement for any reason.</w:t>
      </w:r>
    </w:p>
    <w:p>
      <w:pPr>
        <w:spacing w:after="0" w:line="177" w:lineRule="exact"/>
        <w:rPr>
          <w:rFonts w:ascii="Arial" w:cs="Arial" w:eastAsia="Arial" w:hAnsi="Arial"/>
          <w:sz w:val="18"/>
          <w:szCs w:val="18"/>
          <w:b w:val="1"/>
          <w:bCs w:val="1"/>
          <w:color w:val="auto"/>
        </w:rPr>
      </w:pPr>
    </w:p>
    <w:p>
      <w:pPr>
        <w:ind w:left="652" w:hanging="652"/>
        <w:spacing w:after="0"/>
        <w:tabs>
          <w:tab w:leader="none" w:pos="652"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 and Dispute Resolution</w:t>
      </w:r>
    </w:p>
    <w:p>
      <w:pPr>
        <w:spacing w:after="0" w:line="229" w:lineRule="exact"/>
        <w:rPr>
          <w:rFonts w:ascii="Arial" w:cs="Arial" w:eastAsia="Arial" w:hAnsi="Arial"/>
          <w:sz w:val="18"/>
          <w:szCs w:val="18"/>
          <w:b w:val="1"/>
          <w:bCs w:val="1"/>
          <w:color w:val="auto"/>
        </w:rPr>
      </w:pPr>
    </w:p>
    <w:p>
      <w:pPr>
        <w:ind w:left="1292"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12.1. The formation, validity, interpretation, performance, amendment, termination and dispute resolution of this Agreement shall be governed by PRC Law.</w:t>
      </w:r>
    </w:p>
    <w:p>
      <w:pPr>
        <w:spacing w:after="0" w:line="170" w:lineRule="exact"/>
        <w:rPr>
          <w:rFonts w:ascii="Arial" w:cs="Arial" w:eastAsia="Arial" w:hAnsi="Arial"/>
          <w:sz w:val="18"/>
          <w:szCs w:val="18"/>
          <w:b w:val="1"/>
          <w:bCs w:val="1"/>
          <w:color w:val="auto"/>
        </w:rPr>
      </w:pPr>
    </w:p>
    <w:p>
      <w:pPr>
        <w:ind w:left="1292" w:right="60" w:hanging="648"/>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12.2. Any dispute arising from the interpretation and performance of this Agreement shall first be resolved through friendly consultations by the Parties. If the dispute fails to be resolved within thirty (30) days after one Party gives notice requesting consultations to the other Party, either Party may refer such dispute to a competent court having legal jurisdiction over the registration place of the Pledgee.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6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right="500" w:hanging="647"/>
        <w:spacing w:after="0" w:line="308" w:lineRule="auto"/>
        <w:tabs>
          <w:tab w:leader="none" w:pos="127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During the existence of any dispute, the Parties shall continue to exercise their remaining respective rights, and fulfill their remaining respective obligations under this Agreement, except insofar as the same may relate directly to the matters in dispute.</w:t>
      </w:r>
    </w:p>
    <w:p>
      <w:pPr>
        <w:spacing w:after="0" w:line="143" w:lineRule="exact"/>
        <w:rPr>
          <w:sz w:val="20"/>
          <w:szCs w:val="20"/>
          <w:color w:val="auto"/>
        </w:rPr>
      </w:pPr>
    </w:p>
    <w:p>
      <w:pPr>
        <w:ind w:left="652" w:hanging="652"/>
        <w:spacing w:after="0"/>
        <w:tabs>
          <w:tab w:leader="none" w:pos="652"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b w:val="1"/>
          <w:bCs w:val="1"/>
          <w:color w:val="auto"/>
        </w:rPr>
      </w:pPr>
    </w:p>
    <w:p>
      <w:pPr>
        <w:ind w:left="1292" w:right="120" w:hanging="648"/>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13.1. The Pledgee may, upon notice to the Pledgor but without the Pledgor’s consent, assign the Pledgee’s rights and/or obligations hereunder to any third party. In the event of an assignment by the Pledgee hereunder, the Pledgor shall, at the request of the Pledgee, execute a new pledge agreement with the assignee on the same terms and conditions as this Agreement and register such change with the SAIC. The Pledgor may not, without the Pledgee’s prior written consent, assign any of the Pledgor’s rights, obligations and/or liabilities hereunder to any third party. Successors or permitted assignees (if any) of the Pledgor shall be bound by, and continue to perform, the obligations of the Pledgor under this Agreement.</w:t>
      </w:r>
    </w:p>
    <w:p>
      <w:pPr>
        <w:spacing w:after="0" w:line="193" w:lineRule="exact"/>
        <w:rPr>
          <w:rFonts w:ascii="Arial" w:cs="Arial" w:eastAsia="Arial" w:hAnsi="Arial"/>
          <w:sz w:val="18"/>
          <w:szCs w:val="18"/>
          <w:b w:val="1"/>
          <w:bCs w:val="1"/>
          <w:color w:val="auto"/>
        </w:rPr>
      </w:pPr>
    </w:p>
    <w:p>
      <w:pPr>
        <w:ind w:left="1292" w:right="10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13.2. The amount of Secured Debts determined by the Pledgee in exercising its rights over the Pledged Equity in accordance with the provisions contained herein shall be conclusive evidence of the amount of the Secured Debts hereunder.</w:t>
      </w:r>
    </w:p>
    <w:p>
      <w:pPr>
        <w:sectPr>
          <w:pgSz w:w="11900" w:h="16838" w:orient="portrait"/>
          <w:cols w:equalWidth="0" w:num="1">
            <w:col w:w="11392"/>
          </w:cols>
          <w:pgMar w:left="248" w:top="125" w:right="259" w:bottom="0" w:gutter="0" w:footer="0" w:header="0"/>
          <w:type w:val="continuous"/>
        </w:sectPr>
      </w:pPr>
    </w:p>
    <w:bookmarkStart w:id="199" w:name="page200"/>
    <w:bookmarkEnd w:id="199"/>
    <w:p>
      <w:pPr>
        <w:jc w:val="both"/>
        <w:ind w:left="1300" w:right="160" w:hanging="647"/>
        <w:spacing w:after="0" w:line="264" w:lineRule="auto"/>
        <w:tabs>
          <w:tab w:leader="none" w:pos="1280" w:val="left"/>
        </w:tabs>
        <w:rPr>
          <w:sz w:val="20"/>
          <w:szCs w:val="20"/>
          <w:color w:val="auto"/>
        </w:rPr>
      </w:pPr>
      <w:r>
        <w:rPr>
          <w:rFonts w:ascii="Arial" w:cs="Arial" w:eastAsia="Arial" w:hAnsi="Arial"/>
          <w:sz w:val="18"/>
          <w:szCs w:val="18"/>
          <w:color w:val="auto"/>
        </w:rPr>
        <w:t>13.3.</w:t>
        <w:tab/>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spacing w:after="0" w:line="181" w:lineRule="exact"/>
        <w:rPr>
          <w:sz w:val="20"/>
          <w:szCs w:val="20"/>
          <w:color w:val="auto"/>
        </w:rPr>
      </w:pPr>
    </w:p>
    <w:p>
      <w:pPr>
        <w:jc w:val="center"/>
        <w:ind w:right="240"/>
        <w:spacing w:after="0"/>
        <w:tabs>
          <w:tab w:leader="none" w:pos="2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This Agreement may not be amended or modified in any manner except by an instrument in writing signed by the Parties hereto.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647"/>
        <w:spacing w:after="0" w:line="302" w:lineRule="auto"/>
        <w:tabs>
          <w:tab w:leader="none" w:pos="128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No waiver of any provision of this Agreement shall be effective unless made in writing and signed by the Parties. The waiver by any Party of a breach of any provision of this Agreement shall not operate or be construed as a waiver of any preceding or succeeding breach and no failure by either Party to exercise any right or privilege hereunder shall be deemed a waiver of such Party’s rights or privileges hereunder or shall be deemed a waiver of such Party’s rights to exercise the same at any subsequent time or times hereunder.</w:t>
      </w:r>
    </w:p>
    <w:p>
      <w:pPr>
        <w:spacing w:after="0" w:line="154" w:lineRule="exact"/>
        <w:rPr>
          <w:sz w:val="20"/>
          <w:szCs w:val="20"/>
          <w:color w:val="auto"/>
        </w:rPr>
      </w:pPr>
    </w:p>
    <w:p>
      <w:pPr>
        <w:ind w:left="1300" w:right="60" w:hanging="647"/>
        <w:spacing w:after="0" w:line="291" w:lineRule="auto"/>
        <w:tabs>
          <w:tab w:leader="none" w:pos="128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In the event the Registration Version is used for the purposes of the Registration of the Equity Pledge, the Parties agree that, to the extent there is any discrepancy between this Agreement and the Registration Version and/or to the extent any contents of this Agreement supplement the Registration Version, this Agreement shall prevail. If any provision of this Agreement is deemed or becomes invalid, illegal or unenforceable, such provision shall be construed or deemed amended to conform to applicable laws so as to be valid and enforceable, or, if it cannot be so construed or deemed amended without materially altering the intention of the Parties, it shall be stricken and the remainder of this Agreement shall remain in full force and effect, and the Parties will negotiate in good faith to amend this Agreement with respect to the unenforceable provision to replace it with an enforceable provision which as closely as possible reflects the intent of the Parties.</w:t>
      </w:r>
    </w:p>
    <w:p>
      <w:pPr>
        <w:spacing w:after="0" w:line="163" w:lineRule="exact"/>
        <w:rPr>
          <w:sz w:val="20"/>
          <w:szCs w:val="20"/>
          <w:color w:val="auto"/>
        </w:rPr>
      </w:pPr>
    </w:p>
    <w:p>
      <w:pPr>
        <w:ind w:left="1300" w:right="180" w:hanging="647"/>
        <w:spacing w:after="0" w:line="258" w:lineRule="auto"/>
        <w:tabs>
          <w:tab w:leader="none" w:pos="1280" w:val="left"/>
        </w:tabs>
        <w:rPr>
          <w:sz w:val="20"/>
          <w:szCs w:val="20"/>
          <w:color w:val="auto"/>
        </w:rPr>
      </w:pPr>
      <w:r>
        <w:rPr>
          <w:rFonts w:ascii="Arial" w:cs="Arial" w:eastAsia="Arial" w:hAnsi="Arial"/>
          <w:sz w:val="18"/>
          <w:szCs w:val="18"/>
          <w:color w:val="auto"/>
        </w:rPr>
        <w:t>13.7.</w:t>
        <w:tab/>
        <w:t>Upon the execution of this Agreement, the Pledgor shall enter into a power of attorney (the “</w:t>
      </w:r>
      <w:r>
        <w:rPr>
          <w:rFonts w:ascii="Arial" w:cs="Arial" w:eastAsia="Arial" w:hAnsi="Arial"/>
          <w:sz w:val="18"/>
          <w:szCs w:val="18"/>
          <w:b w:val="1"/>
          <w:bCs w:val="1"/>
          <w:color w:val="auto"/>
        </w:rPr>
        <w:t>Power of Attorney</w:t>
      </w:r>
      <w:r>
        <w:rPr>
          <w:rFonts w:ascii="Arial" w:cs="Arial" w:eastAsia="Arial" w:hAnsi="Arial"/>
          <w:sz w:val="18"/>
          <w:szCs w:val="18"/>
          <w:color w:val="auto"/>
        </w:rPr>
        <w:t xml:space="preserve">”, the form of which is set forth in </w:t>
      </w:r>
      <w:r>
        <w:rPr>
          <w:rFonts w:ascii="Arial" w:cs="Arial" w:eastAsia="Arial" w:hAnsi="Arial"/>
          <w:sz w:val="18"/>
          <w:szCs w:val="18"/>
          <w:u w:val="single" w:color="auto"/>
          <w:color w:val="auto"/>
        </w:rPr>
        <w:t>Appendix II</w:t>
      </w:r>
      <w:r>
        <w:rPr>
          <w:rFonts w:ascii="Arial" w:cs="Arial" w:eastAsia="Arial" w:hAnsi="Arial"/>
          <w:sz w:val="18"/>
          <w:szCs w:val="18"/>
          <w:color w:val="auto"/>
        </w:rPr>
        <w:t xml:space="preserve"> attached hereto) to authorize a person acceptable to the Pledgee to sign, on behalf of the Pledgor and according to this Agreement, any and all legal documents necessary for the exercise of the Pledgee’s rights hereunder. Such Power of Attorney shall be delivered to the Pledgee and the Pledgee may, at any time if necessary, require the Pledgor to execute multiple copies of the Power of Attorney and deliver the same to the relevant government authority.</w:t>
      </w:r>
    </w:p>
    <w:p>
      <w:pPr>
        <w:spacing w:after="0" w:line="188" w:lineRule="exact"/>
        <w:rPr>
          <w:sz w:val="20"/>
          <w:szCs w:val="20"/>
          <w:color w:val="auto"/>
        </w:rPr>
      </w:pPr>
    </w:p>
    <w:p>
      <w:pPr>
        <w:ind w:left="1300" w:right="60" w:hanging="647"/>
        <w:spacing w:after="0" w:line="290" w:lineRule="auto"/>
        <w:tabs>
          <w:tab w:leader="none" w:pos="128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Each Party shall use all reasonable efforts to do and perform, or cause to be done and performed, all such further acts and things and shall execute and deliver all such other agreements, certificates, instruments and documents as may be necessary or desirable to give effect to the terms and intent of this Agreement and any ancillary documents. If required under any applicable law, regulations or listing rules or required or deemed desirable by any stock exchange, government or other regulatory authority having competent jurisdiction over the Parties or their affiliates (the “</w:t>
      </w:r>
      <w:r>
        <w:rPr>
          <w:rFonts w:ascii="Arial" w:cs="Arial" w:eastAsia="Arial" w:hAnsi="Arial"/>
          <w:sz w:val="16"/>
          <w:szCs w:val="16"/>
          <w:b w:val="1"/>
          <w:bCs w:val="1"/>
          <w:color w:val="auto"/>
        </w:rPr>
        <w:t>Applicable Requirements</w:t>
      </w:r>
      <w:r>
        <w:rPr>
          <w:rFonts w:ascii="Arial" w:cs="Arial" w:eastAsia="Arial" w:hAnsi="Arial"/>
          <w:sz w:val="16"/>
          <w:szCs w:val="16"/>
          <w:color w:val="auto"/>
        </w:rPr>
        <w:t>”), the Pledgor agrees and undertakes to (a) take all such actions (including the amendment of this Agreement and its appendices, any authorizations, documents and notices entered into or delivered in connection with this Agreement and the execution of additional documents) to comply with or, as applicable, meet the Applicable Requirements and (b) take all actions referred to in paragraph (a) above within three (3) Business Days from demand by the Pledgee.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duly executed by the Parties as of the date first above written.</w:t>
      </w:r>
    </w:p>
    <w:p>
      <w:pPr>
        <w:spacing w:after="0" w:line="225" w:lineRule="exact"/>
        <w:rPr>
          <w:sz w:val="20"/>
          <w:szCs w:val="20"/>
          <w:color w:val="auto"/>
        </w:rPr>
      </w:pPr>
    </w:p>
    <w:p>
      <w:pPr>
        <w:ind w:left="4700"/>
        <w:spacing w:after="0"/>
        <w:tabs>
          <w:tab w:leader="none" w:pos="5700" w:val="left"/>
        </w:tabs>
        <w:rPr>
          <w:sz w:val="20"/>
          <w:szCs w:val="20"/>
          <w:color w:val="auto"/>
        </w:rPr>
      </w:pPr>
      <w:r>
        <w:rPr>
          <w:rFonts w:ascii="Arial" w:cs="Arial" w:eastAsia="Arial" w:hAnsi="Arial"/>
          <w:sz w:val="18"/>
          <w:szCs w:val="18"/>
          <w:b w:val="1"/>
          <w:bCs w:val="1"/>
          <w:color w:val="auto"/>
        </w:rPr>
        <w:t>Pledgee:</w:t>
      </w:r>
      <w:r>
        <w:rPr>
          <w:sz w:val="20"/>
          <w:szCs w:val="20"/>
          <w:color w:val="auto"/>
        </w:rPr>
        <w:tab/>
      </w:r>
      <w:r>
        <w:rPr>
          <w:rFonts w:ascii="Arial" w:cs="Arial" w:eastAsia="Arial" w:hAnsi="Arial"/>
          <w:sz w:val="18"/>
          <w:szCs w:val="18"/>
          <w:b w:val="1"/>
          <w:bCs w:val="1"/>
          <w:color w:val="auto"/>
        </w:rPr>
        <w:t>NetEase (Hangzhou) Network Co., Ltd.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23" w:lineRule="exact"/>
        <w:rPr>
          <w:sz w:val="20"/>
          <w:szCs w:val="20"/>
          <w:color w:val="auto"/>
        </w:rPr>
      </w:pPr>
    </w:p>
    <w:p>
      <w:pPr>
        <w:jc w:val="center"/>
        <w:ind w:left="4580"/>
        <w:spacing w:after="0"/>
        <w:tabs>
          <w:tab w:leader="none" w:pos="360" w:val="left"/>
        </w:tabs>
        <w:rPr>
          <w:sz w:val="20"/>
          <w:szCs w:val="20"/>
          <w:color w:val="auto"/>
        </w:rPr>
      </w:pPr>
      <w:r>
        <w:rPr>
          <w:rFonts w:ascii="Arial" w:cs="Arial" w:eastAsia="Arial" w:hAnsi="Arial"/>
          <w:sz w:val="18"/>
          <w:szCs w:val="18"/>
          <w:b w:val="1"/>
          <w:bCs w:val="1"/>
          <w:color w:val="auto"/>
        </w:rPr>
        <w:t>Pledgor:</w:t>
      </w:r>
      <w:r>
        <w:rPr>
          <w:sz w:val="20"/>
          <w:szCs w:val="20"/>
          <w:color w:val="auto"/>
        </w:rPr>
        <w:tab/>
      </w:r>
      <w:r>
        <w:rPr>
          <w:rFonts w:ascii="Arial" w:cs="Arial" w:eastAsia="Arial" w:hAnsi="Arial"/>
          <w:sz w:val="18"/>
          <w:szCs w:val="18"/>
          <w:b w:val="1"/>
          <w:bCs w:val="1"/>
          <w:color w:val="auto"/>
        </w:rPr>
        <w:t>Hu Zhipeng</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Hu Zhipeng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180" w:type="dxa"/>
            <w:vAlign w:val="bottom"/>
            <w:gridSpan w:val="2"/>
          </w:tcPr>
          <w:p>
            <w:pPr>
              <w:jc w:val="center"/>
              <w:ind w:right="5320"/>
              <w:spacing w:after="0"/>
              <w:rPr>
                <w:sz w:val="20"/>
                <w:szCs w:val="20"/>
                <w:color w:val="auto"/>
              </w:rPr>
            </w:pPr>
            <w:r>
              <w:rPr>
                <w:rFonts w:ascii="Arial" w:cs="Arial" w:eastAsia="Arial" w:hAnsi="Arial"/>
                <w:sz w:val="18"/>
                <w:szCs w:val="18"/>
                <w:b w:val="1"/>
                <w:bCs w:val="1"/>
                <w:color w:val="auto"/>
                <w:w w:val="93"/>
              </w:rPr>
              <w:t>Appendix I</w:t>
            </w:r>
          </w:p>
        </w:tc>
      </w:tr>
      <w:tr>
        <w:trPr>
          <w:trHeight w:val="20"/>
        </w:trPr>
        <w:tc>
          <w:tcPr>
            <w:tcW w:w="20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453"/>
        </w:trPr>
        <w:tc>
          <w:tcPr>
            <w:tcW w:w="2060" w:type="dxa"/>
            <w:vAlign w:val="bottom"/>
          </w:tcPr>
          <w:p>
            <w:pPr>
              <w:spacing w:after="0"/>
              <w:rPr>
                <w:sz w:val="24"/>
                <w:szCs w:val="24"/>
                <w:color w:val="auto"/>
              </w:rPr>
            </w:pPr>
          </w:p>
        </w:tc>
        <w:tc>
          <w:tcPr>
            <w:tcW w:w="940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90"/>
              </w:rPr>
              <w:t>Basic Information of the Domestic Company</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Company Name:</w:t>
            </w:r>
          </w:p>
        </w:tc>
        <w:tc>
          <w:tcPr>
            <w:tcW w:w="9400" w:type="dxa"/>
            <w:vAlign w:val="bottom"/>
            <w:gridSpan w:val="3"/>
          </w:tcPr>
          <w:p>
            <w:pPr>
              <w:ind w:left="600"/>
              <w:spacing w:after="0"/>
              <w:rPr>
                <w:sz w:val="20"/>
                <w:szCs w:val="20"/>
                <w:color w:val="auto"/>
              </w:rPr>
            </w:pPr>
            <w:r>
              <w:rPr>
                <w:rFonts w:ascii="Arial" w:cs="Arial" w:eastAsia="Arial" w:hAnsi="Arial"/>
                <w:sz w:val="18"/>
                <w:szCs w:val="18"/>
                <w:color w:val="auto"/>
              </w:rPr>
              <w:t>Hangzhou NetEase Leihuo Network Co., Ltd.</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Registered Address:</w:t>
            </w:r>
          </w:p>
        </w:tc>
        <w:tc>
          <w:tcPr>
            <w:tcW w:w="9400" w:type="dxa"/>
            <w:vAlign w:val="bottom"/>
            <w:gridSpan w:val="3"/>
          </w:tcPr>
          <w:p>
            <w:pPr>
              <w:ind w:left="600"/>
              <w:spacing w:after="0"/>
              <w:rPr>
                <w:sz w:val="20"/>
                <w:szCs w:val="20"/>
                <w:color w:val="auto"/>
              </w:rPr>
            </w:pPr>
            <w:r>
              <w:rPr>
                <w:rFonts w:ascii="Arial" w:cs="Arial" w:eastAsia="Arial" w:hAnsi="Arial"/>
                <w:sz w:val="18"/>
                <w:szCs w:val="18"/>
                <w:color w:val="auto"/>
              </w:rPr>
              <w:t>Room 702, Building 4, No. 599 Wangshang Road, Binjiang District, Hangzhou, Zhejiang, PRC</w:t>
            </w: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Registered Capital:</w:t>
            </w:r>
          </w:p>
        </w:tc>
        <w:tc>
          <w:tcPr>
            <w:tcW w:w="9400" w:type="dxa"/>
            <w:vAlign w:val="bottom"/>
            <w:gridSpan w:val="3"/>
          </w:tcPr>
          <w:p>
            <w:pPr>
              <w:ind w:left="600"/>
              <w:spacing w:after="0"/>
              <w:rPr>
                <w:sz w:val="20"/>
                <w:szCs w:val="20"/>
                <w:color w:val="auto"/>
              </w:rPr>
            </w:pPr>
            <w:r>
              <w:rPr>
                <w:rFonts w:ascii="Arial" w:cs="Arial" w:eastAsia="Arial" w:hAnsi="Arial"/>
                <w:sz w:val="18"/>
                <w:szCs w:val="18"/>
                <w:color w:val="auto"/>
              </w:rPr>
              <w:t>RMB 10,000,000 Yuan</w:t>
            </w: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Equity Structure:</w:t>
            </w:r>
          </w:p>
        </w:tc>
        <w:tc>
          <w:tcPr>
            <w:tcW w:w="9400" w:type="dxa"/>
            <w:vAlign w:val="bottom"/>
            <w:gridSpan w:val="3"/>
          </w:tcPr>
          <w:p>
            <w:pPr>
              <w:ind w:left="600"/>
              <w:spacing w:after="0"/>
              <w:rPr>
                <w:sz w:val="20"/>
                <w:szCs w:val="20"/>
                <w:color w:val="auto"/>
              </w:rPr>
            </w:pPr>
            <w:r>
              <w:rPr>
                <w:rFonts w:ascii="Arial" w:cs="Arial" w:eastAsia="Arial" w:hAnsi="Arial"/>
                <w:sz w:val="18"/>
                <w:szCs w:val="18"/>
                <w:color w:val="auto"/>
              </w:rPr>
              <w:t>Hu Zhipeng — 50%</w:t>
            </w:r>
          </w:p>
        </w:tc>
      </w:tr>
      <w:tr>
        <w:trPr>
          <w:trHeight w:val="230"/>
        </w:trPr>
        <w:tc>
          <w:tcPr>
            <w:tcW w:w="2060" w:type="dxa"/>
            <w:vAlign w:val="bottom"/>
          </w:tcPr>
          <w:p>
            <w:pPr>
              <w:spacing w:after="0"/>
              <w:rPr>
                <w:sz w:val="20"/>
                <w:szCs w:val="20"/>
                <w:color w:val="auto"/>
              </w:rPr>
            </w:pPr>
          </w:p>
        </w:tc>
        <w:tc>
          <w:tcPr>
            <w:tcW w:w="9400" w:type="dxa"/>
            <w:vAlign w:val="bottom"/>
            <w:gridSpan w:val="3"/>
          </w:tcPr>
          <w:p>
            <w:pPr>
              <w:ind w:left="600"/>
              <w:spacing w:after="0"/>
              <w:rPr>
                <w:sz w:val="20"/>
                <w:szCs w:val="20"/>
                <w:color w:val="auto"/>
              </w:rPr>
            </w:pPr>
            <w:r>
              <w:rPr>
                <w:rFonts w:ascii="Arial" w:cs="Arial" w:eastAsia="Arial" w:hAnsi="Arial"/>
                <w:sz w:val="18"/>
                <w:szCs w:val="18"/>
                <w:color w:val="auto"/>
              </w:rPr>
              <w:t>Hu Tianlei — 50%</w:t>
            </w:r>
          </w:p>
        </w:tc>
      </w:tr>
      <w:tr>
        <w:trPr>
          <w:trHeight w:val="348"/>
        </w:trPr>
        <w:tc>
          <w:tcPr>
            <w:tcW w:w="206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Appendix II</w:t>
      </w:r>
    </w:p>
    <w:p>
      <w:pPr>
        <w:sectPr>
          <w:pgSz w:w="11900" w:h="16838" w:orient="portrait"/>
          <w:cols w:equalWidth="0" w:num="1">
            <w:col w:w="11460"/>
          </w:cols>
          <w:pgMar w:left="240" w:top="125" w:right="199" w:bottom="0" w:gutter="0" w:footer="0" w:header="0"/>
        </w:sectPr>
      </w:pPr>
    </w:p>
    <w:bookmarkStart w:id="200" w:name="page201"/>
    <w:bookmarkEnd w:id="200"/>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 Hu Zhipeng, hereby irrevocably entrust as my authorized representative, to sign all legal documents necessary for NetEase (Hangzhou) Network Co., Ltd. as the pledgee to exercise its rights under the Amended and Restated Equity Pledge Agreement entered into on by and between NetEase (Hangzhou) Network Co., Ltd. and me.</w:t>
      </w:r>
    </w:p>
    <w:p>
      <w:pPr>
        <w:spacing w:after="0" w:line="177"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Signature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17145</wp:posOffset>
            </wp:positionV>
            <wp:extent cx="30784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0784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229870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01" w:name="page202"/>
    <w:bookmarkEnd w:id="201"/>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4.49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PURCHASE OPTION AGREEMENT</w:t>
      </w:r>
    </w:p>
    <w:p>
      <w:pPr>
        <w:spacing w:after="0" w:line="207"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color w:val="auto"/>
        </w:rPr>
        <w:t>This Amended and Restated Exclusive Purchase Option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December 1, 2015 to amend and restate in its entirety the Exclusive Purchase Option Agreement entered into by and among the following parties (or their predecessors in interest) on April 15, 2009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76"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Party A:</w:t>
      </w:r>
      <w:r>
        <w:rPr>
          <w:sz w:val="20"/>
          <w:szCs w:val="20"/>
          <w:color w:val="auto"/>
        </w:rPr>
        <w:tab/>
      </w:r>
      <w:r>
        <w:rPr>
          <w:rFonts w:ascii="Arial" w:cs="Arial" w:eastAsia="Arial" w:hAnsi="Arial"/>
          <w:sz w:val="16"/>
          <w:szCs w:val="16"/>
          <w:b w:val="1"/>
          <w:bCs w:val="1"/>
          <w:color w:val="auto"/>
        </w:rPr>
        <w:t>NetEase (Hangzhou) Network Co., Ltd</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Address</w:t>
      </w:r>
      <w:r>
        <w:rPr>
          <w:rFonts w:ascii="Arial" w:cs="Arial" w:eastAsia="Arial" w:hAnsi="Arial"/>
          <w:sz w:val="18"/>
          <w:szCs w:val="18"/>
          <w:color w:val="auto"/>
        </w:rPr>
        <w:t>: 7/F, Building 4, No. 599 Wangshang Road, Binjiang District, Hangzhou, Zhejiang, PRC</w:t>
      </w:r>
    </w:p>
    <w:p>
      <w:pPr>
        <w:sectPr>
          <w:pgSz w:w="11900" w:h="16885" w:orient="portrait"/>
          <w:cols w:equalWidth="0" w:num="1">
            <w:col w:w="11420"/>
          </w:cols>
          <w:pgMar w:left="240" w:top="12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Number: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 Tianlei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330206198210210412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 38 Zheda Road, West Lake District, Hangzhou, Zhejiang, PRC</w:t>
      </w:r>
    </w:p>
    <w:p>
      <w:pPr>
        <w:spacing w:after="0" w:line="200" w:lineRule="exact"/>
        <w:rPr>
          <w:sz w:val="20"/>
          <w:szCs w:val="20"/>
          <w:color w:val="auto"/>
        </w:rPr>
      </w:pPr>
    </w:p>
    <w:p>
      <w:pPr>
        <w:sectPr>
          <w:pgSz w:w="11900" w:h="16885" w:orient="portrait"/>
          <w:cols w:equalWidth="0" w:num="2">
            <w:col w:w="1280" w:space="720"/>
            <w:col w:w="942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Hangzhou NetEase Leihuo Network Co., Ltd.</w:t>
      </w:r>
    </w:p>
    <w:p>
      <w:pPr>
        <w:spacing w:after="0" w:line="207" w:lineRule="exact"/>
        <w:rPr>
          <w:sz w:val="20"/>
          <w:szCs w:val="20"/>
          <w:color w:val="auto"/>
        </w:rPr>
      </w:pPr>
    </w:p>
    <w:p>
      <w:pPr>
        <w:sectPr>
          <w:pgSz w:w="11900" w:h="16885" w:orient="portrait"/>
          <w:cols w:equalWidth="0" w:num="2">
            <w:col w:w="1280" w:space="720"/>
            <w:col w:w="9420"/>
          </w:cols>
          <w:pgMar w:left="240" w:top="12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Registration Address: </w:t>
      </w:r>
      <w:r>
        <w:rPr>
          <w:rFonts w:ascii="Arial" w:cs="Arial" w:eastAsia="Arial" w:hAnsi="Arial"/>
          <w:sz w:val="18"/>
          <w:szCs w:val="18"/>
          <w:color w:val="auto"/>
        </w:rPr>
        <w:t>Room 702, Building 4, No. 599 Wangshang Road, Binjiang District, Hangzhou, Zhejiang, PRC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and Party C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hanging="652"/>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Party A is a wholly foreign-owned enterprise incorporated under the laws of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Party C is a limited liability company incorporated in the PRC;</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Party B is a shareholder of Party C. Party B has ownership of 50% of the equity interest in Party C (the “</w:t>
      </w:r>
      <w:r>
        <w:rPr>
          <w:rFonts w:ascii="Arial" w:cs="Arial" w:eastAsia="Arial" w:hAnsi="Arial"/>
          <w:sz w:val="18"/>
          <w:szCs w:val="18"/>
          <w:b w:val="1"/>
          <w:bCs w:val="1"/>
          <w:color w:val="auto"/>
        </w:rPr>
        <w:t>Equity Interest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right="280" w:hanging="652"/>
        <w:spacing w:after="0" w:line="259" w:lineRule="auto"/>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Party A and Party B entered into an amended and restated loan agreement (as the same may be amended and supplemented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on December 1, 2015 pursuant to which Party A made a loan, and may make additional loans from time to time, to Party B (such loans are hereinafter collectively referred to as the “</w:t>
      </w:r>
      <w:r>
        <w:rPr>
          <w:rFonts w:ascii="Arial" w:cs="Arial" w:eastAsia="Arial" w:hAnsi="Arial"/>
          <w:sz w:val="18"/>
          <w:szCs w:val="18"/>
          <w:b w:val="1"/>
          <w:bCs w:val="1"/>
          <w:color w:val="auto"/>
        </w:rPr>
        <w:t>Loan</w:t>
      </w:r>
      <w:r>
        <w:rPr>
          <w:rFonts w:ascii="Arial" w:cs="Arial" w:eastAsia="Arial" w:hAnsi="Arial"/>
          <w:sz w:val="18"/>
          <w:szCs w:val="18"/>
          <w:color w:val="auto"/>
        </w:rPr>
        <w:t>”), so that Party B could invest the proceeds from the Loan in Party C as a capital contribution; and</w:t>
      </w:r>
    </w:p>
    <w:p>
      <w:pPr>
        <w:spacing w:after="0" w:line="182" w:lineRule="exact"/>
        <w:rPr>
          <w:rFonts w:ascii="Arial" w:cs="Arial" w:eastAsia="Arial" w:hAnsi="Arial"/>
          <w:sz w:val="18"/>
          <w:szCs w:val="18"/>
          <w:color w:val="auto"/>
        </w:rPr>
      </w:pPr>
    </w:p>
    <w:p>
      <w:pPr>
        <w:ind w:left="660" w:right="580" w:hanging="652"/>
        <w:spacing w:after="0" w:line="503" w:lineRule="auto"/>
        <w:tabs>
          <w:tab w:leader="none" w:pos="6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Party A and Party B entered into an amended and restated equity pledge agreement (the “</w:t>
      </w:r>
      <w:r>
        <w:rPr>
          <w:rFonts w:ascii="Arial" w:cs="Arial" w:eastAsia="Arial" w:hAnsi="Arial"/>
          <w:sz w:val="18"/>
          <w:szCs w:val="18"/>
          <w:b w:val="1"/>
          <w:bCs w:val="1"/>
          <w:color w:val="auto"/>
        </w:rPr>
        <w:t>Equity Pledge Agreement</w:t>
      </w:r>
      <w:r>
        <w:rPr>
          <w:rFonts w:ascii="Arial" w:cs="Arial" w:eastAsia="Arial" w:hAnsi="Arial"/>
          <w:sz w:val="18"/>
          <w:szCs w:val="18"/>
          <w:color w:val="auto"/>
        </w:rPr>
        <w:t xml:space="preserve">”) on December 1, 2015. </w:t>
      </w: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Purchase and Sale of Interest</w:t>
      </w:r>
    </w:p>
    <w:p>
      <w:pPr>
        <w:spacing w:after="0" w:line="22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Granting of Rights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Equity Option</w:t>
      </w:r>
    </w:p>
    <w:p>
      <w:pPr>
        <w:spacing w:after="0" w:line="225" w:lineRule="exact"/>
        <w:rPr>
          <w:sz w:val="20"/>
          <w:szCs w:val="20"/>
          <w:color w:val="auto"/>
        </w:rPr>
      </w:pPr>
    </w:p>
    <w:p>
      <w:pPr>
        <w:ind w:left="1300" w:right="120"/>
        <w:spacing w:after="0" w:line="293" w:lineRule="auto"/>
        <w:rPr>
          <w:sz w:val="20"/>
          <w:szCs w:val="20"/>
          <w:color w:val="auto"/>
        </w:rPr>
      </w:pPr>
      <w:r>
        <w:rPr>
          <w:rFonts w:ascii="Arial" w:cs="Arial" w:eastAsia="Arial" w:hAnsi="Arial"/>
          <w:sz w:val="16"/>
          <w:szCs w:val="16"/>
          <w:color w:val="auto"/>
        </w:rPr>
        <w:t>Party B hereby irrevocably grants to Party A an option (exercisable one or more times) to purchase or cause any one or more persons designated by Party A (“</w:t>
      </w:r>
      <w:r>
        <w:rPr>
          <w:rFonts w:ascii="Arial" w:cs="Arial" w:eastAsia="Arial" w:hAnsi="Arial"/>
          <w:sz w:val="16"/>
          <w:szCs w:val="16"/>
          <w:b w:val="1"/>
          <w:bCs w:val="1"/>
          <w:color w:val="auto"/>
        </w:rPr>
        <w:t>Designated Persons</w:t>
      </w:r>
      <w:r>
        <w:rPr>
          <w:rFonts w:ascii="Arial" w:cs="Arial" w:eastAsia="Arial" w:hAnsi="Arial"/>
          <w:sz w:val="16"/>
          <w:szCs w:val="16"/>
          <w:color w:val="auto"/>
        </w:rPr>
        <w:t>”) to purchase, to the extent permitted under PRC law, according to the steps determined by Party A, at the price specified in Article 1.3 of this Agreement, and at any time from Party B, a portion of, or all of, the Equity Interest (the “</w:t>
      </w:r>
      <w:r>
        <w:rPr>
          <w:rFonts w:ascii="Arial" w:cs="Arial" w:eastAsia="Arial" w:hAnsi="Arial"/>
          <w:sz w:val="16"/>
          <w:szCs w:val="16"/>
          <w:b w:val="1"/>
          <w:bCs w:val="1"/>
          <w:color w:val="auto"/>
        </w:rPr>
        <w:t>Equity Option</w:t>
      </w:r>
      <w:r>
        <w:rPr>
          <w:rFonts w:ascii="Arial" w:cs="Arial" w:eastAsia="Arial" w:hAnsi="Arial"/>
          <w:sz w:val="16"/>
          <w:szCs w:val="16"/>
          <w:color w:val="auto"/>
        </w:rPr>
        <w:t>”). No Equity Option shall be granted to any third party other than Party A and/or the Designated Persons. Party C hereby agrees to the granting of the Equity Option by Party B to Party A and/or the Designated Persons. The term “</w:t>
      </w:r>
      <w:r>
        <w:rPr>
          <w:rFonts w:ascii="Arial" w:cs="Arial" w:eastAsia="Arial" w:hAnsi="Arial"/>
          <w:sz w:val="16"/>
          <w:szCs w:val="16"/>
          <w:b w:val="1"/>
          <w:bCs w:val="1"/>
          <w:color w:val="auto"/>
        </w:rPr>
        <w:t>person</w:t>
      </w:r>
      <w:r>
        <w:rPr>
          <w:rFonts w:ascii="Arial" w:cs="Arial" w:eastAsia="Arial" w:hAnsi="Arial"/>
          <w:sz w:val="16"/>
          <w:szCs w:val="16"/>
          <w:color w:val="auto"/>
        </w:rPr>
        <w:t>” in this Agreement means an individual person, corporation, joint venture, partnership, enterprise, trust or a non-corporation organization.</w:t>
      </w:r>
    </w:p>
    <w:p>
      <w:pPr>
        <w:spacing w:after="0" w:line="1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Asset Option</w:t>
      </w:r>
    </w:p>
    <w:p>
      <w:pPr>
        <w:spacing w:after="0" w:line="225" w:lineRule="exact"/>
        <w:rPr>
          <w:sz w:val="20"/>
          <w:szCs w:val="20"/>
          <w:color w:val="auto"/>
        </w:rPr>
      </w:pPr>
    </w:p>
    <w:p>
      <w:pPr>
        <w:ind w:left="1300" w:right="20"/>
        <w:spacing w:after="0" w:line="253" w:lineRule="auto"/>
        <w:rPr>
          <w:sz w:val="20"/>
          <w:szCs w:val="20"/>
          <w:color w:val="auto"/>
        </w:rPr>
      </w:pPr>
      <w:r>
        <w:rPr>
          <w:rFonts w:ascii="Arial" w:cs="Arial" w:eastAsia="Arial" w:hAnsi="Arial"/>
          <w:sz w:val="18"/>
          <w:szCs w:val="18"/>
          <w:color w:val="auto"/>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Arial" w:cs="Arial" w:eastAsia="Arial" w:hAnsi="Arial"/>
          <w:sz w:val="18"/>
          <w:szCs w:val="18"/>
          <w:b w:val="1"/>
          <w:bCs w:val="1"/>
          <w:color w:val="auto"/>
        </w:rPr>
        <w:t>Asset Option</w:t>
      </w:r>
      <w:r>
        <w:rPr>
          <w:rFonts w:ascii="Arial" w:cs="Arial" w:eastAsia="Arial" w:hAnsi="Arial"/>
          <w:sz w:val="18"/>
          <w:szCs w:val="18"/>
          <w:color w:val="auto"/>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Arial" w:cs="Arial" w:eastAsia="Arial" w:hAnsi="Arial"/>
          <w:sz w:val="18"/>
          <w:szCs w:val="18"/>
          <w:b w:val="1"/>
          <w:bCs w:val="1"/>
          <w:color w:val="auto"/>
        </w:rPr>
        <w:t>Option</w:t>
      </w:r>
      <w:r>
        <w:rPr>
          <w:rFonts w:ascii="Arial" w:cs="Arial" w:eastAsia="Arial" w:hAnsi="Arial"/>
          <w:sz w:val="18"/>
          <w:szCs w:val="18"/>
          <w:color w:val="auto"/>
        </w:rPr>
        <w:t>” in this Agreement means either the Equity Option or the Asset Option. The term “</w:t>
      </w:r>
      <w:r>
        <w:rPr>
          <w:rFonts w:ascii="Arial" w:cs="Arial" w:eastAsia="Arial" w:hAnsi="Arial"/>
          <w:sz w:val="18"/>
          <w:szCs w:val="18"/>
          <w:b w:val="1"/>
          <w:bCs w:val="1"/>
          <w:color w:val="auto"/>
        </w:rPr>
        <w:t>Transferor</w:t>
      </w:r>
      <w:r>
        <w:rPr>
          <w:rFonts w:ascii="Arial" w:cs="Arial" w:eastAsia="Arial" w:hAnsi="Arial"/>
          <w:sz w:val="18"/>
          <w:szCs w:val="18"/>
          <w:color w:val="auto"/>
        </w:rPr>
        <w:t>” in this Agreement means (i) Party B, in reference to the Equity Option and (ii) Party C, in reference to the Asset Option.</w:t>
      </w:r>
    </w:p>
    <w:p>
      <w:pPr>
        <w:spacing w:after="0" w:line="197"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Exercise Steps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Option Exercise</w:t>
      </w:r>
    </w:p>
    <w:p>
      <w:pPr>
        <w:spacing w:after="0" w:line="225" w:lineRule="exact"/>
        <w:rPr>
          <w:sz w:val="20"/>
          <w:szCs w:val="20"/>
          <w:color w:val="auto"/>
        </w:rPr>
      </w:pPr>
    </w:p>
    <w:p>
      <w:pPr>
        <w:ind w:left="1300" w:right="100"/>
        <w:spacing w:after="0" w:line="312" w:lineRule="auto"/>
        <w:rPr>
          <w:sz w:val="20"/>
          <w:szCs w:val="20"/>
          <w:color w:val="auto"/>
        </w:rPr>
      </w:pPr>
      <w:r>
        <w:rPr>
          <w:rFonts w:ascii="Arial" w:cs="Arial" w:eastAsia="Arial" w:hAnsi="Arial"/>
          <w:sz w:val="16"/>
          <w:szCs w:val="16"/>
          <w:color w:val="auto"/>
        </w:rPr>
        <w:t>Subject to PRC law and regulations, Party A and/or the Designated Persons may exercise either Option, one or more times to the extent the relevant Transferor still owns any Equity Interest or assets subject to an Option, by issuing a written notice in the form attached hereto as Exhibit A (the “</w:t>
      </w:r>
      <w:r>
        <w:rPr>
          <w:rFonts w:ascii="Arial" w:cs="Arial" w:eastAsia="Arial" w:hAnsi="Arial"/>
          <w:sz w:val="16"/>
          <w:szCs w:val="16"/>
          <w:b w:val="1"/>
          <w:bCs w:val="1"/>
          <w:color w:val="auto"/>
        </w:rPr>
        <w:t>Notice</w:t>
      </w:r>
      <w:r>
        <w:rPr>
          <w:rFonts w:ascii="Arial" w:cs="Arial" w:eastAsia="Arial" w:hAnsi="Arial"/>
          <w:sz w:val="16"/>
          <w:szCs w:val="16"/>
          <w:color w:val="auto"/>
        </w:rPr>
        <w:t>”) (i) in the case of the Equity Option, to Party B as the Transferor, specifying the Equity Interest and (ii) in the case</w:t>
      </w:r>
    </w:p>
    <w:p>
      <w:pPr>
        <w:sectPr>
          <w:pgSz w:w="11900" w:h="16885" w:orient="portrait"/>
          <w:cols w:equalWidth="0" w:num="1">
            <w:col w:w="11420"/>
          </w:cols>
          <w:pgMar w:left="240" w:top="121" w:right="239" w:bottom="0" w:gutter="0" w:footer="0" w:header="0"/>
          <w:type w:val="continuous"/>
        </w:sectPr>
      </w:pPr>
    </w:p>
    <w:bookmarkStart w:id="202" w:name="page203"/>
    <w:bookmarkEnd w:id="202"/>
    <w:p>
      <w:pPr>
        <w:ind w:left="1292" w:right="220"/>
        <w:spacing w:after="0" w:line="277" w:lineRule="auto"/>
        <w:rPr>
          <w:sz w:val="20"/>
          <w:szCs w:val="20"/>
          <w:color w:val="auto"/>
        </w:rPr>
      </w:pPr>
      <w:r>
        <w:rPr>
          <w:rFonts w:ascii="Arial" w:cs="Arial" w:eastAsia="Arial" w:hAnsi="Arial"/>
          <w:sz w:val="18"/>
          <w:szCs w:val="18"/>
          <w:color w:val="auto"/>
        </w:rPr>
        <w:t>of the Asset Option, to Party C as the Transferor, specifying the assets to be purchased (such Equity Interest or assets, as the case may be, the “</w:t>
      </w:r>
      <w:r>
        <w:rPr>
          <w:rFonts w:ascii="Arial" w:cs="Arial" w:eastAsia="Arial" w:hAnsi="Arial"/>
          <w:sz w:val="18"/>
          <w:szCs w:val="18"/>
          <w:b w:val="1"/>
          <w:bCs w:val="1"/>
          <w:color w:val="auto"/>
        </w:rPr>
        <w:t>Purchased Interest</w:t>
      </w:r>
      <w:r>
        <w:rPr>
          <w:rFonts w:ascii="Arial" w:cs="Arial" w:eastAsia="Arial" w:hAnsi="Arial"/>
          <w:sz w:val="18"/>
          <w:szCs w:val="18"/>
          <w:color w:val="auto"/>
        </w:rPr>
        <w:t>”) and the manner of such purchase.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Transferor Obligations</w:t>
      </w:r>
    </w:p>
    <w:p>
      <w:pPr>
        <w:spacing w:after="0" w:line="225" w:lineRule="exact"/>
        <w:rPr>
          <w:sz w:val="20"/>
          <w:szCs w:val="20"/>
          <w:color w:val="auto"/>
        </w:rPr>
      </w:pPr>
    </w:p>
    <w:p>
      <w:pPr>
        <w:ind w:left="1292" w:right="80"/>
        <w:spacing w:after="0" w:line="276" w:lineRule="auto"/>
        <w:rPr>
          <w:sz w:val="20"/>
          <w:szCs w:val="20"/>
          <w:color w:val="auto"/>
        </w:rPr>
      </w:pPr>
      <w:r>
        <w:rPr>
          <w:rFonts w:ascii="Arial" w:cs="Arial" w:eastAsia="Arial" w:hAnsi="Arial"/>
          <w:sz w:val="17"/>
          <w:szCs w:val="17"/>
          <w:color w:val="auto"/>
        </w:rPr>
        <w:t>Before or upon execution of this Agreement, each of Party B and Party C shall execute a power of attorney in the form attached hereto as Exhibit B,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Exhibit B) to effect the transfer of the Purchased Interest to Party A and/or the Designated Persons.</w:t>
      </w:r>
    </w:p>
    <w:p>
      <w:pPr>
        <w:spacing w:after="0" w:line="173"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Purchase Price</w:t>
      </w:r>
    </w:p>
    <w:p>
      <w:pPr>
        <w:spacing w:after="0" w:line="221" w:lineRule="exact"/>
        <w:rPr>
          <w:sz w:val="20"/>
          <w:szCs w:val="20"/>
          <w:color w:val="auto"/>
        </w:rPr>
      </w:pPr>
    </w:p>
    <w:p>
      <w:pPr>
        <w:ind w:left="1932" w:hanging="647"/>
        <w:spacing w:after="0" w:line="289" w:lineRule="auto"/>
        <w:tabs>
          <w:tab w:leader="none" w:pos="191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If Party A exercises either Option, the purchase price of the Purchased Interest (“</w:t>
      </w:r>
      <w:r>
        <w:rPr>
          <w:rFonts w:ascii="Arial" w:cs="Arial" w:eastAsia="Arial" w:hAnsi="Arial"/>
          <w:sz w:val="17"/>
          <w:szCs w:val="17"/>
          <w:b w:val="1"/>
          <w:bCs w:val="1"/>
          <w:color w:val="auto"/>
        </w:rPr>
        <w:t>Purchase Price</w:t>
      </w:r>
      <w:r>
        <w:rPr>
          <w:rFonts w:ascii="Arial" w:cs="Arial" w:eastAsia="Arial" w:hAnsi="Arial"/>
          <w:sz w:val="17"/>
          <w:szCs w:val="17"/>
          <w:color w:val="auto"/>
        </w:rPr>
        <w:t>”) shall be: (i) in the case of the Equity Option, equal to the original and any additional paid-in capital paid by the Transferor for such Equity Interest, and (ii) in the case of the Asset Option, equal to the net book value of the assets as shown in Party C’s financial statements.</w:t>
      </w:r>
    </w:p>
    <w:p>
      <w:pPr>
        <w:spacing w:after="0" w:line="162"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Transfer of the Purchased Interest</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 each exercise of either Option:</w:t>
      </w:r>
    </w:p>
    <w:p>
      <w:pPr>
        <w:spacing w:after="0" w:line="225" w:lineRule="exact"/>
        <w:rPr>
          <w:sz w:val="20"/>
          <w:szCs w:val="20"/>
          <w:color w:val="auto"/>
        </w:rPr>
      </w:pPr>
    </w:p>
    <w:p>
      <w:pPr>
        <w:ind w:left="1932" w:right="100" w:hanging="647"/>
        <w:spacing w:after="0" w:line="342" w:lineRule="auto"/>
        <w:tabs>
          <w:tab w:leader="none" w:pos="191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Party C shall (and Party B shall cause Party C to) convene a shareholders’ meeting. During the meeting, resolutions approving the transfer of the Purchased Interest from the Transferor to Party A and/or the Designated Persons shall be adopted;</w:t>
      </w:r>
    </w:p>
    <w:p>
      <w:pPr>
        <w:spacing w:after="0" w:line="124" w:lineRule="exact"/>
        <w:rPr>
          <w:sz w:val="20"/>
          <w:szCs w:val="20"/>
          <w:color w:val="auto"/>
        </w:rPr>
      </w:pPr>
    </w:p>
    <w:p>
      <w:pPr>
        <w:ind w:left="1932" w:right="160" w:hanging="647"/>
        <w:spacing w:after="0" w:line="264" w:lineRule="auto"/>
        <w:tabs>
          <w:tab w:leader="none" w:pos="1912" w:val="left"/>
        </w:tabs>
        <w:rPr>
          <w:sz w:val="20"/>
          <w:szCs w:val="20"/>
          <w:color w:val="auto"/>
        </w:rPr>
      </w:pPr>
      <w:r>
        <w:rPr>
          <w:rFonts w:ascii="Arial" w:cs="Arial" w:eastAsia="Arial" w:hAnsi="Arial"/>
          <w:sz w:val="18"/>
          <w:szCs w:val="18"/>
          <w:color w:val="auto"/>
        </w:rPr>
        <w:t>1.4.2</w:t>
        <w:tab/>
        <w:t>The Transferor shall, in accordance with the terms and conditions of this Agreement and the Notice in connection with the Purchased Interest, enter into a transfer agreement with Party A and/or the Designated Persons (as applicable) for each transfer in the form attached hereto as Exhibit C (“</w:t>
      </w:r>
      <w:r>
        <w:rPr>
          <w:rFonts w:ascii="Arial" w:cs="Arial" w:eastAsia="Arial" w:hAnsi="Arial"/>
          <w:sz w:val="18"/>
          <w:szCs w:val="18"/>
          <w:b w:val="1"/>
          <w:bCs w:val="1"/>
          <w:color w:val="auto"/>
        </w:rPr>
        <w:t>Transfer Agreement</w:t>
      </w:r>
      <w:r>
        <w:rPr>
          <w:rFonts w:ascii="Arial" w:cs="Arial" w:eastAsia="Arial" w:hAnsi="Arial"/>
          <w:sz w:val="18"/>
          <w:szCs w:val="18"/>
          <w:color w:val="auto"/>
        </w:rPr>
        <w:t>”);</w:t>
      </w:r>
    </w:p>
    <w:p>
      <w:pPr>
        <w:spacing w:after="0" w:line="181" w:lineRule="exact"/>
        <w:rPr>
          <w:sz w:val="20"/>
          <w:szCs w:val="20"/>
          <w:color w:val="auto"/>
        </w:rPr>
      </w:pPr>
    </w:p>
    <w:p>
      <w:pPr>
        <w:jc w:val="center"/>
        <w:ind w:left="1240"/>
        <w:spacing w:after="0"/>
        <w:tabs>
          <w:tab w:leader="none" w:pos="2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relevant parties shall execute all other requisite contracts, agreements or documents, obtain all requisite government approvals</w:t>
      </w:r>
    </w:p>
    <w:p>
      <w:pPr>
        <w:spacing w:after="0" w:line="23" w:lineRule="exact"/>
        <w:rPr>
          <w:sz w:val="20"/>
          <w:szCs w:val="20"/>
          <w:color w:val="auto"/>
        </w:rPr>
      </w:pPr>
    </w:p>
    <w:p>
      <w:pPr>
        <w:ind w:left="1952" w:right="80"/>
        <w:spacing w:after="0" w:line="292" w:lineRule="auto"/>
        <w:rPr>
          <w:sz w:val="20"/>
          <w:szCs w:val="20"/>
          <w:color w:val="auto"/>
        </w:rPr>
      </w:pPr>
      <w:r>
        <w:rPr>
          <w:rFonts w:ascii="Arial" w:cs="Arial" w:eastAsia="Arial" w:hAnsi="Arial"/>
          <w:sz w:val="16"/>
          <w:szCs w:val="16"/>
          <w:color w:val="auto"/>
        </w:rPr>
        <w:t>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Arial" w:cs="Arial" w:eastAsia="Arial" w:hAnsi="Arial"/>
          <w:sz w:val="16"/>
          <w:szCs w:val="16"/>
          <w:b w:val="1"/>
          <w:bCs w:val="1"/>
          <w:color w:val="auto"/>
        </w:rPr>
        <w:t>Security Interest</w:t>
      </w:r>
      <w:r>
        <w:rPr>
          <w:rFonts w:ascii="Arial" w:cs="Arial" w:eastAsia="Arial" w:hAnsi="Arial"/>
          <w:sz w:val="16"/>
          <w:szCs w:val="16"/>
          <w:color w:val="auto"/>
        </w:rPr>
        <w:t>” 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Payment</w:t>
      </w:r>
    </w:p>
    <w:p>
      <w:pPr>
        <w:spacing w:after="0" w:line="225" w:lineRule="exact"/>
        <w:rPr>
          <w:sz w:val="20"/>
          <w:szCs w:val="20"/>
          <w:color w:val="auto"/>
        </w:rPr>
      </w:pPr>
    </w:p>
    <w:p>
      <w:pPr>
        <w:ind w:left="1292" w:right="140"/>
        <w:spacing w:after="0" w:line="264" w:lineRule="auto"/>
        <w:rPr>
          <w:sz w:val="20"/>
          <w:szCs w:val="20"/>
          <w:color w:val="auto"/>
        </w:rPr>
      </w:pPr>
      <w:r>
        <w:rPr>
          <w:rFonts w:ascii="Arial" w:cs="Arial" w:eastAsia="Arial" w:hAnsi="Arial"/>
          <w:sz w:val="18"/>
          <w:szCs w:val="18"/>
          <w:color w:val="auto"/>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p>
      <w:pPr>
        <w:spacing w:after="0" w:line="181"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Offset Payment for Equity Option</w:t>
      </w:r>
    </w:p>
    <w:p>
      <w:pPr>
        <w:spacing w:after="0" w:line="225" w:lineRule="exact"/>
        <w:rPr>
          <w:sz w:val="20"/>
          <w:szCs w:val="20"/>
          <w:color w:val="auto"/>
        </w:rPr>
      </w:pPr>
    </w:p>
    <w:p>
      <w:pPr>
        <w:ind w:left="1952" w:right="20"/>
        <w:spacing w:after="0" w:line="273" w:lineRule="auto"/>
        <w:rPr>
          <w:sz w:val="20"/>
          <w:szCs w:val="20"/>
          <w:color w:val="auto"/>
        </w:rPr>
      </w:pPr>
      <w:r>
        <w:rPr>
          <w:rFonts w:ascii="Arial" w:cs="Arial" w:eastAsia="Arial" w:hAnsi="Arial"/>
          <w:sz w:val="17"/>
          <w:szCs w:val="17"/>
          <w:color w:val="auto"/>
        </w:rPr>
        <w:t>Each time Party A exercises the Equity Option, the Purchase Price that is payable by Party A and/or the Designated Persons to the Transferor in connection with the Purchased Interest shall be used to offset the amount outstanding on the Loan (with such offset applied to the principal, interest and capital utilization costs for the Loan), provided that if there is any tax and/or other expenses paid or payable by Party B in connection with the transfer of the Purchased Interest in accordance with this Agreement, then a portion of the Purchase Price equal to the amount of such tax and/or other expenses shall be paid to Party B in cash and not applied as an offset to the amount outstanding on the Loan.</w:t>
      </w:r>
    </w:p>
    <w:p>
      <w:pPr>
        <w:spacing w:after="0" w:line="178"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Cash Payment for Asset Option</w:t>
      </w:r>
    </w:p>
    <w:p>
      <w:pPr>
        <w:spacing w:after="0" w:line="225" w:lineRule="exact"/>
        <w:rPr>
          <w:sz w:val="20"/>
          <w:szCs w:val="20"/>
          <w:color w:val="auto"/>
        </w:rPr>
      </w:pPr>
    </w:p>
    <w:p>
      <w:pPr>
        <w:ind w:left="1952" w:right="180"/>
        <w:spacing w:after="0" w:line="264" w:lineRule="auto"/>
        <w:rPr>
          <w:sz w:val="20"/>
          <w:szCs w:val="20"/>
          <w:color w:val="auto"/>
        </w:rPr>
      </w:pPr>
      <w:r>
        <w:rPr>
          <w:rFonts w:ascii="Arial" w:cs="Arial" w:eastAsia="Arial" w:hAnsi="Arial"/>
          <w:sz w:val="18"/>
          <w:szCs w:val="18"/>
          <w:color w:val="auto"/>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p>
      <w:pPr>
        <w:spacing w:after="0" w:line="181"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Restrictions on Purchase Price</w:t>
      </w:r>
    </w:p>
    <w:p>
      <w:pPr>
        <w:spacing w:after="0" w:line="225" w:lineRule="exact"/>
        <w:rPr>
          <w:sz w:val="20"/>
          <w:szCs w:val="20"/>
          <w:color w:val="auto"/>
        </w:rPr>
      </w:pPr>
    </w:p>
    <w:p>
      <w:pPr>
        <w:ind w:left="1292" w:right="260"/>
        <w:spacing w:after="0" w:line="264" w:lineRule="auto"/>
        <w:rPr>
          <w:sz w:val="20"/>
          <w:szCs w:val="20"/>
          <w:color w:val="auto"/>
        </w:rPr>
      </w:pPr>
      <w:r>
        <w:rPr>
          <w:rFonts w:ascii="Arial" w:cs="Arial" w:eastAsia="Arial" w:hAnsi="Arial"/>
          <w:sz w:val="18"/>
          <w:szCs w:val="18"/>
          <w:color w:val="auto"/>
        </w:rPr>
        <w:t>Notwithstanding anything to the contrary in this Agreement, if the then applicable PRC laws or regulations require appraisal of the Purchased Interest or stipulate other restrictions on the Purchase Price at the time that Party A exercises the Option, the Parties agree that the Purchase Price shall be set at the lowest price permissible under applicable law.</w:t>
      </w:r>
    </w:p>
    <w:p>
      <w:pPr>
        <w:spacing w:after="0" w:line="181" w:lineRule="exact"/>
        <w:rPr>
          <w:sz w:val="20"/>
          <w:szCs w:val="20"/>
          <w:color w:val="auto"/>
        </w:rPr>
      </w:pPr>
    </w:p>
    <w:p>
      <w:pPr>
        <w:ind w:left="652" w:hanging="652"/>
        <w:spacing w:after="0"/>
        <w:tabs>
          <w:tab w:leader="none" w:pos="652"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Covenants Relating to the Purchased Interest</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Covenants Relating to Party B and Party C</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Each of Party B and Party C hereby covenants:</w:t>
      </w:r>
    </w:p>
    <w:p>
      <w:pPr>
        <w:sectPr>
          <w:pgSz w:w="11900" w:h="16838" w:orient="portrait"/>
          <w:cols w:equalWidth="0" w:num="1">
            <w:col w:w="11412"/>
          </w:cols>
          <w:pgMar w:left="248" w:top="126" w:right="239" w:bottom="0" w:gutter="0" w:footer="0" w:header="0"/>
        </w:sectPr>
      </w:pPr>
    </w:p>
    <w:bookmarkStart w:id="203" w:name="page204"/>
    <w:bookmarkEnd w:id="203"/>
    <w:p>
      <w:pPr>
        <w:spacing w:after="0" w:line="36" w:lineRule="exact"/>
        <w:rPr>
          <w:sz w:val="20"/>
          <w:szCs w:val="20"/>
          <w:color w:val="auto"/>
        </w:rPr>
      </w:pPr>
    </w:p>
    <w:p>
      <w:pPr>
        <w:ind w:left="880" w:right="20" w:hanging="647"/>
        <w:spacing w:after="0" w:line="277" w:lineRule="auto"/>
        <w:tabs>
          <w:tab w:leader="none" w:pos="860" w:val="left"/>
        </w:tabs>
        <w:rPr>
          <w:sz w:val="20"/>
          <w:szCs w:val="20"/>
          <w:color w:val="auto"/>
        </w:rPr>
      </w:pPr>
      <w:r>
        <w:rPr>
          <w:rFonts w:ascii="Arial" w:cs="Arial" w:eastAsia="Arial" w:hAnsi="Arial"/>
          <w:sz w:val="18"/>
          <w:szCs w:val="18"/>
          <w:color w:val="auto"/>
        </w:rPr>
        <w:t>2.1.1</w:t>
        <w:tab/>
        <w:t>Not to supplement, amend or modify Party C’s articles of association in any way, or to increase or decrease its registered capital, or to change its registered capital structure in any way without Party A’s prior written consent;</w:t>
      </w:r>
    </w:p>
    <w:p>
      <w:pPr>
        <w:spacing w:after="0" w:line="170" w:lineRule="exact"/>
        <w:rPr>
          <w:sz w:val="20"/>
          <w:szCs w:val="20"/>
          <w:color w:val="auto"/>
        </w:rPr>
      </w:pPr>
    </w:p>
    <w:p>
      <w:pPr>
        <w:ind w:left="880" w:right="180" w:hanging="647"/>
        <w:spacing w:after="0" w:line="277" w:lineRule="auto"/>
        <w:tabs>
          <w:tab w:leader="none" w:pos="860" w:val="left"/>
        </w:tabs>
        <w:rPr>
          <w:sz w:val="20"/>
          <w:szCs w:val="20"/>
          <w:color w:val="auto"/>
        </w:rPr>
      </w:pPr>
      <w:r>
        <w:rPr>
          <w:rFonts w:ascii="Arial" w:cs="Arial" w:eastAsia="Arial" w:hAnsi="Arial"/>
          <w:sz w:val="18"/>
          <w:szCs w:val="18"/>
          <w:color w:val="auto"/>
        </w:rPr>
        <w:t>2.1.2</w:t>
        <w:tab/>
        <w:t>To maintain the corporate existence of Party C and operate its business and deal with matters prudently and effectively according to good financial and business rules and practices;</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2.1.3</w:t>
        <w:tab/>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p>
      <w:pPr>
        <w:spacing w:after="0" w:line="181" w:lineRule="exact"/>
        <w:rPr>
          <w:sz w:val="20"/>
          <w:szCs w:val="20"/>
          <w:color w:val="auto"/>
        </w:rPr>
      </w:pPr>
    </w:p>
    <w:p>
      <w:pPr>
        <w:ind w:left="880" w:right="120" w:hanging="647"/>
        <w:spacing w:after="0" w:line="264" w:lineRule="auto"/>
        <w:tabs>
          <w:tab w:leader="none" w:pos="860" w:val="left"/>
        </w:tabs>
        <w:rPr>
          <w:sz w:val="20"/>
          <w:szCs w:val="20"/>
          <w:color w:val="auto"/>
        </w:rPr>
      </w:pPr>
      <w:r>
        <w:rPr>
          <w:rFonts w:ascii="Arial" w:cs="Arial" w:eastAsia="Arial" w:hAnsi="Arial"/>
          <w:sz w:val="18"/>
          <w:szCs w:val="18"/>
          <w:color w:val="auto"/>
        </w:rPr>
        <w:t>2.1.4</w:t>
        <w:tab/>
        <w:t>Not to create, succeed to, guarantee or permit any liability, without Party A’s prior written consent, except (i) liabilities arising from the normal course of business, but not arising from loans; and (ii) liabilities disclosed to Party A and approved by Party A in writing;</w:t>
      </w:r>
    </w:p>
    <w:p>
      <w:pPr>
        <w:spacing w:after="0" w:line="181" w:lineRule="exact"/>
        <w:rPr>
          <w:sz w:val="20"/>
          <w:szCs w:val="20"/>
          <w:color w:val="auto"/>
        </w:rPr>
      </w:pPr>
    </w:p>
    <w:p>
      <w:pPr>
        <w:ind w:left="880" w:right="100" w:hanging="647"/>
        <w:spacing w:after="0" w:line="277" w:lineRule="auto"/>
        <w:tabs>
          <w:tab w:leader="none" w:pos="860" w:val="left"/>
        </w:tabs>
        <w:rPr>
          <w:sz w:val="20"/>
          <w:szCs w:val="20"/>
          <w:color w:val="auto"/>
        </w:rPr>
      </w:pPr>
      <w:r>
        <w:rPr>
          <w:rFonts w:ascii="Arial" w:cs="Arial" w:eastAsia="Arial" w:hAnsi="Arial"/>
          <w:sz w:val="18"/>
          <w:szCs w:val="18"/>
          <w:color w:val="auto"/>
        </w:rPr>
        <w:t>2.1.5</w:t>
        <w:tab/>
        <w:t>To operate all the business in the normal course of business to maintain the value of Party C’s assets, and not to commit any act or omission that would adversely affect Party C’s operations and asset value;</w:t>
      </w:r>
    </w:p>
    <w:p>
      <w:pPr>
        <w:spacing w:after="0" w:line="170" w:lineRule="exact"/>
        <w:rPr>
          <w:sz w:val="20"/>
          <w:szCs w:val="20"/>
          <w:color w:val="auto"/>
        </w:rPr>
      </w:pPr>
    </w:p>
    <w:p>
      <w:pPr>
        <w:ind w:left="880" w:hanging="647"/>
        <w:spacing w:after="0" w:line="342" w:lineRule="auto"/>
        <w:tabs>
          <w:tab w:leader="none" w:pos="8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Without prior written consent by Party A, not to enter into any material agreement, other than agreements entered into in Party C’s normal course of business (for purpose of this paragraph, an agreement will be deemed material if its value exceeds RMB100,000);</w:t>
      </w:r>
    </w:p>
    <w:p>
      <w:pPr>
        <w:spacing w:after="0" w:line="124"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Not to provide loans or credit to any person (other than in the normal course of business) without Party A’s prior written consent;</w:t>
      </w:r>
    </w:p>
    <w:p>
      <w:pPr>
        <w:spacing w:after="0" w:line="225"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To provide all information relating to Party C’s operations and financial conditions upon the request of Party A;</w:t>
      </w:r>
    </w:p>
    <w:p>
      <w:pPr>
        <w:spacing w:after="0" w:line="225" w:lineRule="exact"/>
        <w:rPr>
          <w:sz w:val="20"/>
          <w:szCs w:val="20"/>
          <w:color w:val="auto"/>
        </w:rPr>
      </w:pPr>
    </w:p>
    <w:p>
      <w:pPr>
        <w:ind w:left="880" w:right="160" w:hanging="647"/>
        <w:spacing w:after="0" w:line="264" w:lineRule="auto"/>
        <w:tabs>
          <w:tab w:leader="none" w:pos="860" w:val="left"/>
        </w:tabs>
        <w:rPr>
          <w:sz w:val="20"/>
          <w:szCs w:val="20"/>
          <w:color w:val="auto"/>
        </w:rPr>
      </w:pPr>
      <w:r>
        <w:rPr>
          <w:rFonts w:ascii="Arial" w:cs="Arial" w:eastAsia="Arial" w:hAnsi="Arial"/>
          <w:sz w:val="18"/>
          <w:szCs w:val="18"/>
          <w:color w:val="auto"/>
        </w:rPr>
        <w:t>2.1.9</w:t>
        <w:tab/>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p>
      <w:pPr>
        <w:spacing w:after="0" w:line="18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Not to merge or consolidate with, or acquire or invest in, any person without Party A’s prior written consent;</w:t>
      </w:r>
    </w:p>
    <w:p>
      <w:pPr>
        <w:spacing w:after="0" w:line="225" w:lineRule="exact"/>
        <w:rPr>
          <w:sz w:val="20"/>
          <w:szCs w:val="20"/>
          <w:color w:val="auto"/>
        </w:rPr>
      </w:pPr>
    </w:p>
    <w:p>
      <w:pPr>
        <w:ind w:left="880" w:hanging="647"/>
        <w:spacing w:after="0" w:line="277" w:lineRule="auto"/>
        <w:tabs>
          <w:tab w:leader="none" w:pos="860" w:val="left"/>
        </w:tabs>
        <w:rPr>
          <w:sz w:val="20"/>
          <w:szCs w:val="20"/>
          <w:color w:val="auto"/>
        </w:rPr>
      </w:pPr>
      <w:r>
        <w:rPr>
          <w:rFonts w:ascii="Arial" w:cs="Arial" w:eastAsia="Arial" w:hAnsi="Arial"/>
          <w:sz w:val="18"/>
          <w:szCs w:val="18"/>
          <w:color w:val="auto"/>
        </w:rPr>
        <w:t>2.1.11</w:t>
        <w:tab/>
        <w:t>To promptly notify Party A of any pending or threatened suit, arbitration or administrative proceedings concerning Party C’s assets, business or revenue;</w:t>
      </w:r>
    </w:p>
    <w:p>
      <w:pPr>
        <w:spacing w:after="0" w:line="170" w:lineRule="exact"/>
        <w:rPr>
          <w:sz w:val="20"/>
          <w:szCs w:val="20"/>
          <w:color w:val="auto"/>
        </w:rPr>
      </w:pPr>
    </w:p>
    <w:p>
      <w:pPr>
        <w:jc w:val="both"/>
        <w:ind w:left="880" w:right="600" w:hanging="647"/>
        <w:spacing w:after="0" w:line="264" w:lineRule="auto"/>
        <w:tabs>
          <w:tab w:leader="none" w:pos="860" w:val="left"/>
        </w:tabs>
        <w:rPr>
          <w:sz w:val="20"/>
          <w:szCs w:val="20"/>
          <w:color w:val="auto"/>
        </w:rPr>
      </w:pPr>
      <w:r>
        <w:rPr>
          <w:rFonts w:ascii="Arial" w:cs="Arial" w:eastAsia="Arial" w:hAnsi="Arial"/>
          <w:sz w:val="18"/>
          <w:szCs w:val="18"/>
          <w:color w:val="auto"/>
        </w:rPr>
        <w:t>2.1.12</w:t>
        <w:tab/>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p>
      <w:pPr>
        <w:spacing w:after="0" w:line="181" w:lineRule="exact"/>
        <w:rPr>
          <w:sz w:val="20"/>
          <w:szCs w:val="20"/>
          <w:color w:val="auto"/>
        </w:rPr>
      </w:pPr>
    </w:p>
    <w:p>
      <w:pPr>
        <w:ind w:left="880" w:right="260" w:hanging="647"/>
        <w:spacing w:after="0" w:line="277" w:lineRule="auto"/>
        <w:tabs>
          <w:tab w:leader="none" w:pos="860" w:val="left"/>
        </w:tabs>
        <w:rPr>
          <w:sz w:val="20"/>
          <w:szCs w:val="20"/>
          <w:color w:val="auto"/>
        </w:rPr>
      </w:pPr>
      <w:r>
        <w:rPr>
          <w:rFonts w:ascii="Arial" w:cs="Arial" w:eastAsia="Arial" w:hAnsi="Arial"/>
          <w:sz w:val="18"/>
          <w:szCs w:val="18"/>
          <w:color w:val="auto"/>
        </w:rPr>
        <w:t>2.1.13</w:t>
        <w:tab/>
        <w:t>Not to distribute dividends to Party C’s shareholders in any way without Party A’s prior written consent. However, Party C shall promptly distribute all or part of its distributable profits to its shareholders upon Party A’s request; and</w:t>
      </w:r>
    </w:p>
    <w:p>
      <w:pPr>
        <w:spacing w:after="0" w:line="1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Covenants Relating to Party B</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Party B hereby covenants:</w:t>
      </w:r>
    </w:p>
    <w:p>
      <w:pPr>
        <w:spacing w:after="0" w:line="225" w:lineRule="exact"/>
        <w:rPr>
          <w:sz w:val="20"/>
          <w:szCs w:val="20"/>
          <w:color w:val="auto"/>
        </w:rPr>
      </w:pPr>
    </w:p>
    <w:p>
      <w:pPr>
        <w:jc w:val="both"/>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2.2.1</w:t>
        <w:tab/>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p>
      <w:pPr>
        <w:spacing w:after="0" w:line="181" w:lineRule="exact"/>
        <w:rPr>
          <w:sz w:val="20"/>
          <w:szCs w:val="20"/>
          <w:color w:val="auto"/>
        </w:rPr>
      </w:pPr>
    </w:p>
    <w:p>
      <w:pPr>
        <w:ind w:left="880" w:right="120" w:hanging="647"/>
        <w:spacing w:after="0" w:line="259" w:lineRule="auto"/>
        <w:tabs>
          <w:tab w:leader="none" w:pos="860" w:val="left"/>
        </w:tabs>
        <w:rPr>
          <w:sz w:val="20"/>
          <w:szCs w:val="20"/>
          <w:color w:val="auto"/>
        </w:rPr>
      </w:pPr>
      <w:r>
        <w:rPr>
          <w:rFonts w:ascii="Arial" w:cs="Arial" w:eastAsia="Arial" w:hAnsi="Arial"/>
          <w:sz w:val="18"/>
          <w:szCs w:val="18"/>
          <w:color w:val="auto"/>
        </w:rPr>
        <w:t>2.2.2</w:t>
        <w:tab/>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p>
      <w:pPr>
        <w:spacing w:after="0" w:line="187" w:lineRule="exact"/>
        <w:rPr>
          <w:sz w:val="20"/>
          <w:szCs w:val="20"/>
          <w:color w:val="auto"/>
        </w:rPr>
      </w:pPr>
    </w:p>
    <w:p>
      <w:pPr>
        <w:ind w:left="880" w:right="120" w:hanging="647"/>
        <w:spacing w:after="0" w:line="277" w:lineRule="auto"/>
        <w:tabs>
          <w:tab w:leader="none" w:pos="860" w:val="left"/>
        </w:tabs>
        <w:rPr>
          <w:sz w:val="20"/>
          <w:szCs w:val="20"/>
          <w:color w:val="auto"/>
        </w:rPr>
      </w:pPr>
      <w:r>
        <w:rPr>
          <w:rFonts w:ascii="Arial" w:cs="Arial" w:eastAsia="Arial" w:hAnsi="Arial"/>
          <w:sz w:val="18"/>
          <w:szCs w:val="18"/>
          <w:color w:val="auto"/>
        </w:rPr>
        <w:t>2.2.3</w:t>
        <w:tab/>
        <w:t>Without Party A’s prior written consent, not to vote for or sign any shareholders’ resolution at Party C’s shareholders’ meetings to approve Party C’s merger or consolidation with, acquisition of or investment in, any person;</w:t>
      </w:r>
    </w:p>
    <w:p>
      <w:pPr>
        <w:spacing w:after="0" w:line="170" w:lineRule="exact"/>
        <w:rPr>
          <w:sz w:val="20"/>
          <w:szCs w:val="20"/>
          <w:color w:val="auto"/>
        </w:rPr>
      </w:pPr>
    </w:p>
    <w:p>
      <w:pPr>
        <w:ind w:left="880" w:right="420" w:hanging="647"/>
        <w:spacing w:after="0" w:line="277" w:lineRule="auto"/>
        <w:tabs>
          <w:tab w:leader="none" w:pos="860" w:val="left"/>
        </w:tabs>
        <w:rPr>
          <w:sz w:val="20"/>
          <w:szCs w:val="20"/>
          <w:color w:val="auto"/>
        </w:rPr>
      </w:pPr>
      <w:r>
        <w:rPr>
          <w:rFonts w:ascii="Arial" w:cs="Arial" w:eastAsia="Arial" w:hAnsi="Arial"/>
          <w:sz w:val="18"/>
          <w:szCs w:val="18"/>
          <w:color w:val="auto"/>
        </w:rPr>
        <w:t>2.2.4</w:t>
        <w:tab/>
        <w:t>To promptly notify Party A of any pending or threatened suit, arbitration or administrative proceedings concerning the Equity Interest owned by it;</w:t>
      </w:r>
    </w:p>
    <w:p>
      <w:pPr>
        <w:spacing w:after="0" w:line="1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To cause any relevant shareholders’ meeting to approve the transfer of any Purchased Interest under this Agreement;</w:t>
      </w:r>
    </w:p>
    <w:p>
      <w:pPr>
        <w:spacing w:after="0" w:line="225" w:lineRule="exact"/>
        <w:rPr>
          <w:sz w:val="20"/>
          <w:szCs w:val="20"/>
          <w:color w:val="auto"/>
        </w:rPr>
      </w:pPr>
    </w:p>
    <w:p>
      <w:pPr>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2.2.6</w:t>
        <w:tab/>
        <w:t>To execute all necessary or appropriate documents, to take all necessary or appropriate actions and to bring all necessary or appropriate claims or to make all necessary and appropriate defenses against all claims in order to maintain his/her ownership over the Equity Interest;</w:t>
      </w:r>
    </w:p>
    <w:p>
      <w:pPr>
        <w:spacing w:after="0" w:line="18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ectPr>
          <w:pgSz w:w="11900" w:h="16874" w:orient="portrait"/>
          <w:cols w:equalWidth="0" w:num="1">
            <w:col w:w="10360"/>
          </w:cols>
          <w:pgMar w:left="1300" w:top="125" w:right="239" w:bottom="0" w:gutter="0" w:footer="0" w:header="0"/>
        </w:sectPr>
      </w:pPr>
    </w:p>
    <w:bookmarkStart w:id="204" w:name="page205"/>
    <w:bookmarkEnd w:id="204"/>
    <w:p>
      <w:pPr>
        <w:spacing w:after="0" w:line="137" w:lineRule="exact"/>
        <w:rPr>
          <w:sz w:val="20"/>
          <w:szCs w:val="20"/>
          <w:color w:val="auto"/>
        </w:rPr>
      </w:pPr>
    </w:p>
    <w:p>
      <w:pPr>
        <w:jc w:val="both"/>
        <w:ind w:left="1932" w:right="80" w:hanging="647"/>
        <w:spacing w:after="0" w:line="264" w:lineRule="auto"/>
        <w:tabs>
          <w:tab w:leader="none" w:pos="1912" w:val="left"/>
        </w:tabs>
        <w:rPr>
          <w:sz w:val="20"/>
          <w:szCs w:val="20"/>
          <w:color w:val="auto"/>
        </w:rPr>
      </w:pPr>
      <w:r>
        <w:rPr>
          <w:rFonts w:ascii="Arial" w:cs="Arial" w:eastAsia="Arial" w:hAnsi="Arial"/>
          <w:sz w:val="18"/>
          <w:szCs w:val="18"/>
          <w:color w:val="auto"/>
        </w:rPr>
        <w:t>2.2.8</w:t>
        <w:tab/>
        <w:t>At any time, upon the request of Party A, to transfer its Purchased Interest immediately and unconditionally to the representative designated by Party A, and, in the case of a purchase of any Equity Interest, waive its preemptive right with respect to the transfer of such Equity Interest by any other shareholder of Party C; and</w:t>
      </w:r>
    </w:p>
    <w:p>
      <w:pPr>
        <w:spacing w:after="0" w:line="181" w:lineRule="exact"/>
        <w:rPr>
          <w:sz w:val="20"/>
          <w:szCs w:val="20"/>
          <w:color w:val="auto"/>
        </w:rPr>
      </w:pPr>
    </w:p>
    <w:p>
      <w:pPr>
        <w:jc w:val="both"/>
        <w:ind w:left="1932" w:right="20" w:hanging="647"/>
        <w:spacing w:after="0" w:line="264" w:lineRule="auto"/>
        <w:tabs>
          <w:tab w:leader="none" w:pos="1912" w:val="left"/>
        </w:tabs>
        <w:rPr>
          <w:sz w:val="20"/>
          <w:szCs w:val="20"/>
          <w:color w:val="auto"/>
        </w:rPr>
      </w:pPr>
      <w:r>
        <w:rPr>
          <w:rFonts w:ascii="Arial" w:cs="Arial" w:eastAsia="Arial" w:hAnsi="Arial"/>
          <w:sz w:val="18"/>
          <w:szCs w:val="18"/>
          <w:color w:val="auto"/>
        </w:rPr>
        <w:t>2.2.9</w:t>
        <w:tab/>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652" w:right="580"/>
        <w:spacing w:after="0" w:line="277" w:lineRule="auto"/>
        <w:rPr>
          <w:sz w:val="20"/>
          <w:szCs w:val="20"/>
          <w:color w:val="auto"/>
        </w:rPr>
      </w:pPr>
      <w:r>
        <w:rPr>
          <w:rFonts w:ascii="Arial" w:cs="Arial" w:eastAsia="Arial" w:hAnsi="Arial"/>
          <w:sz w:val="18"/>
          <w:szCs w:val="18"/>
          <w:color w:val="auto"/>
        </w:rPr>
        <w:t>As of the execution date of this Agreement and every transfer date, each of Party B and Party C hereby represents and warrants to Party A as follows:</w:t>
      </w:r>
    </w:p>
    <w:p>
      <w:pPr>
        <w:spacing w:after="0" w:line="170" w:lineRule="exact"/>
        <w:rPr>
          <w:sz w:val="20"/>
          <w:szCs w:val="20"/>
          <w:color w:val="auto"/>
        </w:rPr>
      </w:pPr>
    </w:p>
    <w:p>
      <w:pPr>
        <w:ind w:left="1692" w:right="80" w:hanging="647"/>
        <w:spacing w:after="0" w:line="259" w:lineRule="auto"/>
        <w:tabs>
          <w:tab w:leader="none" w:pos="167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 constitute a legal, valid and binding obligation of it enforceable against it in accordance with its terms;</w:t>
      </w:r>
    </w:p>
    <w:p>
      <w:pPr>
        <w:spacing w:after="0" w:line="187" w:lineRule="exact"/>
        <w:rPr>
          <w:sz w:val="20"/>
          <w:szCs w:val="20"/>
          <w:color w:val="auto"/>
        </w:rPr>
      </w:pPr>
    </w:p>
    <w:p>
      <w:pPr>
        <w:ind w:left="1692" w:right="80" w:hanging="647"/>
        <w:spacing w:after="0" w:line="257" w:lineRule="auto"/>
        <w:tabs>
          <w:tab w:leader="none" w:pos="16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p>
      <w:pPr>
        <w:spacing w:after="0" w:line="188"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Party C has good and marketable ownership interest in all of its assets and has not created any Security Interest on the said assets;</w:t>
      </w:r>
    </w:p>
    <w:p>
      <w:pPr>
        <w:spacing w:after="0" w:line="225" w:lineRule="exact"/>
        <w:rPr>
          <w:sz w:val="20"/>
          <w:szCs w:val="20"/>
          <w:color w:val="auto"/>
        </w:rPr>
      </w:pPr>
    </w:p>
    <w:p>
      <w:pPr>
        <w:ind w:left="1692" w:right="20" w:hanging="647"/>
        <w:spacing w:after="0" w:line="277" w:lineRule="auto"/>
        <w:tabs>
          <w:tab w:leader="none" w:pos="16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Party C has no outstanding liabilities, except (i) liabilities arising in its normal course of business; and (ii) liabilities disclosed to Party A and approved by Party A in writing;</w:t>
      </w:r>
    </w:p>
    <w:p>
      <w:pPr>
        <w:spacing w:after="0" w:line="170"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Party C complies with all PRC laws and regulations applicable to the acquisition of assets;</w:t>
      </w:r>
    </w:p>
    <w:p>
      <w:pPr>
        <w:spacing w:after="0" w:line="225" w:lineRule="exact"/>
        <w:rPr>
          <w:sz w:val="20"/>
          <w:szCs w:val="20"/>
          <w:color w:val="auto"/>
        </w:rPr>
      </w:pPr>
    </w:p>
    <w:p>
      <w:pPr>
        <w:ind w:left="1692" w:right="560" w:hanging="647"/>
        <w:spacing w:after="0" w:line="277" w:lineRule="auto"/>
        <w:tabs>
          <w:tab w:leader="none" w:pos="167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There are currently no existing, pending or threatened litigation, arbitration or administrative proceedings related to the Equity Interest, Party C’s assets or Party C; and</w:t>
      </w:r>
    </w:p>
    <w:p>
      <w:pPr>
        <w:spacing w:after="0" w:line="170" w:lineRule="exact"/>
        <w:rPr>
          <w:sz w:val="20"/>
          <w:szCs w:val="20"/>
          <w:color w:val="auto"/>
        </w:rPr>
      </w:pPr>
    </w:p>
    <w:p>
      <w:pPr>
        <w:ind w:left="1692" w:right="280" w:hanging="647"/>
        <w:spacing w:after="0" w:line="277" w:lineRule="auto"/>
        <w:tabs>
          <w:tab w:leader="none" w:pos="167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has good and marketable ownership interest in the Equity Interest and has not created any Security Interest on such Equity Interest, other than the Security Interest pursuant to the Equity Pledge Agreement.</w:t>
      </w:r>
    </w:p>
    <w:p>
      <w:pPr>
        <w:spacing w:after="0" w:line="170" w:lineRule="exact"/>
        <w:rPr>
          <w:sz w:val="20"/>
          <w:szCs w:val="20"/>
          <w:color w:val="auto"/>
        </w:rPr>
      </w:pPr>
    </w:p>
    <w:p>
      <w:pPr>
        <w:ind w:left="652" w:hanging="652"/>
        <w:spacing w:after="0"/>
        <w:tabs>
          <w:tab w:leader="none" w:pos="652"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Assignment of Agreement</w:t>
      </w:r>
    </w:p>
    <w:p>
      <w:pPr>
        <w:spacing w:after="0" w:line="225" w:lineRule="exact"/>
        <w:rPr>
          <w:sz w:val="20"/>
          <w:szCs w:val="20"/>
          <w:color w:val="auto"/>
        </w:rPr>
      </w:pPr>
    </w:p>
    <w:p>
      <w:pPr>
        <w:ind w:left="1692" w:right="400" w:hanging="647"/>
        <w:spacing w:after="0" w:line="277" w:lineRule="auto"/>
        <w:tabs>
          <w:tab w:leader="none" w:pos="167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Party B and Party C shall not assign their rights and obligations under this Agreement to any third party without the prior written consent of Party A.</w:t>
      </w:r>
    </w:p>
    <w:p>
      <w:pPr>
        <w:spacing w:after="0" w:line="170" w:lineRule="exact"/>
        <w:rPr>
          <w:sz w:val="20"/>
          <w:szCs w:val="20"/>
          <w:color w:val="auto"/>
        </w:rPr>
      </w:pPr>
    </w:p>
    <w:p>
      <w:pPr>
        <w:ind w:left="1692" w:right="140" w:hanging="647"/>
        <w:spacing w:after="0" w:line="308" w:lineRule="auto"/>
        <w:tabs>
          <w:tab w:leader="none" w:pos="167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Party B and Party C hereby agree that Party A may assign all its rights and obligations under this Agreement to a third party without the consent of Party B and Party C, but such assignment shall be notified in writing to Party B and Party C.</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Effective Date and Term</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Agreement shall be effective as of the date first set forth above.</w:t>
      </w:r>
    </w:p>
    <w:p>
      <w:pPr>
        <w:spacing w:after="0" w:line="225" w:lineRule="exact"/>
        <w:rPr>
          <w:sz w:val="20"/>
          <w:szCs w:val="20"/>
          <w:color w:val="auto"/>
        </w:rPr>
      </w:pPr>
    </w:p>
    <w:p>
      <w:pPr>
        <w:ind w:left="1692" w:hanging="647"/>
        <w:spacing w:after="0" w:line="273" w:lineRule="auto"/>
        <w:tabs>
          <w:tab w:leader="none" w:pos="16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This Agreement shall remain in full force and effect until the earlier of (i) the date on which all of the Equity Interest held by Party B or all of the assets of Party C held by Party C or its subsidiaries have been acquired by Party A directly and/or through its Designated Persons in accordance with this Agreement, (ii) the unilateral termination of this Agreement by Party A at its sole and absolute discretion by giving thirty (30) days prior written notice to the other Parties of its intention to terminate this Agreement, and (iii) if the duration of operation (including any extension thereof) of Party A or Party C is expired or terminated, except in the situation where Party A has assigned its rights and obligations in accordance with Article 4.2 hereof.</w:t>
      </w:r>
    </w:p>
    <w:p>
      <w:pPr>
        <w:spacing w:after="0" w:line="178" w:lineRule="exact"/>
        <w:rPr>
          <w:sz w:val="20"/>
          <w:szCs w:val="20"/>
          <w:color w:val="auto"/>
        </w:rPr>
      </w:pPr>
    </w:p>
    <w:p>
      <w:pPr>
        <w:ind w:left="652" w:hanging="652"/>
        <w:spacing w:after="0"/>
        <w:tabs>
          <w:tab w:leader="none" w:pos="652"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Applicable Laws and Dispute Resolution</w:t>
      </w:r>
    </w:p>
    <w:p>
      <w:pPr>
        <w:spacing w:after="0" w:line="225"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7"/>
          <w:szCs w:val="17"/>
          <w:color w:val="auto"/>
        </w:rPr>
        <w:t>Applicable Law</w:t>
      </w:r>
    </w:p>
    <w:p>
      <w:pPr>
        <w:spacing w:after="0" w:line="225"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w:t>
      </w:r>
    </w:p>
    <w:p>
      <w:pPr>
        <w:spacing w:after="0" w:line="170"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1292" w:right="40"/>
        <w:spacing w:after="0" w:line="342" w:lineRule="auto"/>
        <w:rPr>
          <w:sz w:val="20"/>
          <w:szCs w:val="20"/>
          <w:color w:val="auto"/>
        </w:rPr>
      </w:pPr>
      <w:r>
        <w:rPr>
          <w:rFonts w:ascii="Arial" w:cs="Arial" w:eastAsia="Arial" w:hAnsi="Arial"/>
          <w:sz w:val="16"/>
          <w:szCs w:val="16"/>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w:t>
      </w:r>
    </w:p>
    <w:p>
      <w:pPr>
        <w:sectPr>
          <w:pgSz w:w="11900" w:h="16975" w:orient="portrait"/>
          <w:cols w:equalWidth="0" w:num="1">
            <w:col w:w="11372"/>
          </w:cols>
          <w:pgMar w:left="248" w:top="341" w:right="279" w:bottom="0" w:gutter="0" w:footer="0" w:header="0"/>
        </w:sectPr>
      </w:pPr>
    </w:p>
    <w:bookmarkStart w:id="205" w:name="page206"/>
    <w:bookmarkEnd w:id="205"/>
    <w:p>
      <w:pPr>
        <w:spacing w:after="0" w:line="36" w:lineRule="exact"/>
        <w:rPr>
          <w:sz w:val="20"/>
          <w:szCs w:val="20"/>
          <w:color w:val="auto"/>
        </w:rPr>
      </w:pPr>
    </w:p>
    <w:p>
      <w:pPr>
        <w:ind w:left="1300" w:right="100"/>
        <w:spacing w:after="0" w:line="269" w:lineRule="auto"/>
        <w:rPr>
          <w:sz w:val="20"/>
          <w:szCs w:val="20"/>
          <w:color w:val="auto"/>
        </w:rPr>
      </w:pPr>
      <w:r>
        <w:rPr>
          <w:rFonts w:ascii="Arial" w:cs="Arial" w:eastAsia="Arial" w:hAnsi="Arial"/>
          <w:sz w:val="17"/>
          <w:szCs w:val="17"/>
          <w:color w:val="auto"/>
        </w:rPr>
        <w:t>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Taxes and Expenses</w:t>
      </w:r>
    </w:p>
    <w:p>
      <w:pPr>
        <w:spacing w:after="0" w:line="225" w:lineRule="exact"/>
        <w:rPr>
          <w:rFonts w:ascii="Arial" w:cs="Arial" w:eastAsia="Arial" w:hAnsi="Arial"/>
          <w:sz w:val="18"/>
          <w:szCs w:val="18"/>
          <w:color w:val="auto"/>
        </w:rPr>
      </w:pPr>
    </w:p>
    <w:p>
      <w:pPr>
        <w:ind w:left="660" w:right="160"/>
        <w:spacing w:after="0" w:line="264" w:lineRule="auto"/>
        <w:rPr>
          <w:rFonts w:ascii="Arial" w:cs="Arial" w:eastAsia="Arial" w:hAnsi="Arial"/>
          <w:sz w:val="18"/>
          <w:szCs w:val="18"/>
          <w:color w:val="auto"/>
        </w:rPr>
      </w:pPr>
      <w:r>
        <w:rPr>
          <w:rFonts w:ascii="Arial" w:cs="Arial" w:eastAsia="Arial" w:hAnsi="Arial"/>
          <w:sz w:val="18"/>
          <w:szCs w:val="18"/>
          <w:color w:val="auto"/>
        </w:rPr>
        <w:t>Party A shall bear any and all transfer and registration taxes, expenses and charges incurred by or levied on it, Party B or Party C with respect to the preparation and execution of this Agreement and each Transfer Agreement and the consummation of the transactions contemplated under this Agreement and each Transfer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ind w:left="1700" w:right="120" w:hanging="647"/>
        <w:spacing w:after="0" w:line="290" w:lineRule="auto"/>
        <w:tabs>
          <w:tab w:leader="none" w:pos="1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p>
      <w:pPr>
        <w:spacing w:after="0" w:line="166"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All parties agree that this Article 8 shall survive the invalidity, cancellation, termination or unenforceability of this Agreement.</w:t>
      </w:r>
    </w:p>
    <w:p>
      <w:pPr>
        <w:spacing w:after="0" w:line="225" w:lineRule="exact"/>
        <w:rPr>
          <w:sz w:val="20"/>
          <w:szCs w:val="20"/>
          <w:color w:val="auto"/>
        </w:rPr>
      </w:pPr>
    </w:p>
    <w:p>
      <w:pPr>
        <w:ind w:left="660" w:hanging="652"/>
        <w:spacing w:after="0"/>
        <w:tabs>
          <w:tab w:leader="none" w:pos="66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rFonts w:ascii="Arial" w:cs="Arial" w:eastAsia="Arial" w:hAnsi="Arial"/>
          <w:sz w:val="18"/>
          <w:szCs w:val="18"/>
          <w:color w:val="auto"/>
        </w:rPr>
      </w:pPr>
    </w:p>
    <w:p>
      <w:pPr>
        <w:ind w:left="660" w:right="160"/>
        <w:spacing w:after="0" w:line="293" w:lineRule="auto"/>
        <w:rPr>
          <w:rFonts w:ascii="Arial" w:cs="Arial" w:eastAsia="Arial" w:hAnsi="Arial"/>
          <w:sz w:val="18"/>
          <w:szCs w:val="18"/>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any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If to Party A: NetEase (Hangzhou) Network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ind w:left="1820"/>
              <w:spacing w:after="0"/>
              <w:rPr>
                <w:sz w:val="20"/>
                <w:szCs w:val="20"/>
                <w:color w:val="auto"/>
              </w:rPr>
            </w:pPr>
            <w:r>
              <w:rPr>
                <w:rFonts w:ascii="Arial" w:cs="Arial" w:eastAsia="Arial" w:hAnsi="Arial"/>
                <w:sz w:val="18"/>
                <w:szCs w:val="18"/>
                <w:color w:val="auto"/>
              </w:rPr>
              <w:t>Address:</w:t>
            </w:r>
          </w:p>
        </w:tc>
        <w:tc>
          <w:tcPr>
            <w:tcW w:w="8280" w:type="dxa"/>
            <w:vAlign w:val="bottom"/>
          </w:tcPr>
          <w:p>
            <w:pPr>
              <w:ind w:left="580"/>
              <w:spacing w:after="0"/>
              <w:rPr>
                <w:sz w:val="20"/>
                <w:szCs w:val="20"/>
                <w:color w:val="auto"/>
              </w:rPr>
            </w:pPr>
            <w:r>
              <w:rPr>
                <w:rFonts w:ascii="Arial" w:cs="Arial" w:eastAsia="Arial" w:hAnsi="Arial"/>
                <w:sz w:val="18"/>
                <w:szCs w:val="18"/>
                <w:color w:val="auto"/>
              </w:rPr>
              <w:t>7/F, Building 4, No. 599 Wangshang Road, Binjiang District, Hangzhou,</w:t>
            </w:r>
          </w:p>
        </w:tc>
      </w:tr>
      <w:tr>
        <w:trPr>
          <w:trHeight w:val="216"/>
        </w:trPr>
        <w:tc>
          <w:tcPr>
            <w:tcW w:w="3180" w:type="dxa"/>
            <w:vAlign w:val="bottom"/>
          </w:tcPr>
          <w:p>
            <w:pPr>
              <w:spacing w:after="0"/>
              <w:rPr>
                <w:sz w:val="18"/>
                <w:szCs w:val="18"/>
                <w:color w:val="auto"/>
              </w:rPr>
            </w:pPr>
          </w:p>
        </w:tc>
        <w:tc>
          <w:tcPr>
            <w:tcW w:w="8280" w:type="dxa"/>
            <w:vAlign w:val="bottom"/>
          </w:tcPr>
          <w:p>
            <w:pPr>
              <w:ind w:left="580"/>
              <w:spacing w:after="0"/>
              <w:rPr>
                <w:sz w:val="20"/>
                <w:szCs w:val="20"/>
                <w:color w:val="auto"/>
              </w:rPr>
            </w:pPr>
            <w:r>
              <w:rPr>
                <w:rFonts w:ascii="Arial" w:cs="Arial" w:eastAsia="Arial" w:hAnsi="Arial"/>
                <w:sz w:val="18"/>
                <w:szCs w:val="18"/>
                <w:color w:val="auto"/>
              </w:rPr>
              <w:t>Zhejiang, PRC</w:t>
            </w:r>
          </w:p>
        </w:tc>
      </w:tr>
      <w:tr>
        <w:trPr>
          <w:trHeight w:val="216"/>
        </w:trPr>
        <w:tc>
          <w:tcPr>
            <w:tcW w:w="3180" w:type="dxa"/>
            <w:vAlign w:val="bottom"/>
          </w:tcPr>
          <w:p>
            <w:pPr>
              <w:ind w:left="1820"/>
              <w:spacing w:after="0"/>
              <w:rPr>
                <w:sz w:val="20"/>
                <w:szCs w:val="20"/>
                <w:color w:val="auto"/>
              </w:rPr>
            </w:pPr>
            <w:r>
              <w:rPr>
                <w:rFonts w:ascii="Arial" w:cs="Arial" w:eastAsia="Arial" w:hAnsi="Arial"/>
                <w:sz w:val="18"/>
                <w:szCs w:val="18"/>
                <w:color w:val="auto"/>
              </w:rPr>
              <w:t>Fax:</w:t>
            </w:r>
          </w:p>
        </w:tc>
        <w:tc>
          <w:tcPr>
            <w:tcW w:w="8280" w:type="dxa"/>
            <w:vAlign w:val="bottom"/>
          </w:tcPr>
          <w:p>
            <w:pPr>
              <w:ind w:left="580"/>
              <w:spacing w:after="0"/>
              <w:rPr>
                <w:sz w:val="20"/>
                <w:szCs w:val="20"/>
                <w:color w:val="auto"/>
              </w:rPr>
            </w:pPr>
            <w:r>
              <w:rPr>
                <w:rFonts w:ascii="Arial" w:cs="Arial" w:eastAsia="Arial" w:hAnsi="Arial"/>
                <w:sz w:val="18"/>
                <w:szCs w:val="18"/>
                <w:color w:val="auto"/>
              </w:rPr>
              <w:t>0571-89852163</w:t>
            </w:r>
          </w:p>
        </w:tc>
      </w:tr>
      <w:tr>
        <w:trPr>
          <w:trHeight w:val="216"/>
        </w:trPr>
        <w:tc>
          <w:tcPr>
            <w:tcW w:w="3180" w:type="dxa"/>
            <w:vAlign w:val="bottom"/>
          </w:tcPr>
          <w:p>
            <w:pPr>
              <w:ind w:left="1820"/>
              <w:spacing w:after="0"/>
              <w:rPr>
                <w:sz w:val="20"/>
                <w:szCs w:val="20"/>
                <w:color w:val="auto"/>
              </w:rPr>
            </w:pPr>
            <w:r>
              <w:rPr>
                <w:rFonts w:ascii="Arial" w:cs="Arial" w:eastAsia="Arial" w:hAnsi="Arial"/>
                <w:sz w:val="18"/>
                <w:szCs w:val="18"/>
                <w:color w:val="auto"/>
              </w:rPr>
              <w:t>Email:</w:t>
            </w:r>
          </w:p>
        </w:tc>
        <w:tc>
          <w:tcPr>
            <w:tcW w:w="8280" w:type="dxa"/>
            <w:vAlign w:val="bottom"/>
          </w:tcPr>
          <w:p>
            <w:pPr>
              <w:ind w:left="580"/>
              <w:spacing w:after="0"/>
              <w:rPr>
                <w:sz w:val="20"/>
                <w:szCs w:val="20"/>
                <w:color w:val="auto"/>
              </w:rPr>
            </w:pPr>
            <w:r>
              <w:rPr>
                <w:rFonts w:ascii="Arial" w:cs="Arial" w:eastAsia="Arial" w:hAnsi="Arial"/>
                <w:sz w:val="18"/>
                <w:szCs w:val="18"/>
                <w:color w:val="auto"/>
              </w:rPr>
              <w:t>liujianing@corp.netease.com</w:t>
            </w:r>
          </w:p>
        </w:tc>
      </w:tr>
      <w:tr>
        <w:trPr>
          <w:trHeight w:val="230"/>
        </w:trPr>
        <w:tc>
          <w:tcPr>
            <w:tcW w:w="3180" w:type="dxa"/>
            <w:vAlign w:val="bottom"/>
          </w:tcPr>
          <w:p>
            <w:pPr>
              <w:ind w:left="1820"/>
              <w:spacing w:after="0"/>
              <w:rPr>
                <w:sz w:val="20"/>
                <w:szCs w:val="20"/>
                <w:color w:val="auto"/>
              </w:rPr>
            </w:pPr>
            <w:r>
              <w:rPr>
                <w:rFonts w:ascii="Arial" w:cs="Arial" w:eastAsia="Arial" w:hAnsi="Arial"/>
                <w:sz w:val="18"/>
                <w:szCs w:val="18"/>
                <w:color w:val="auto"/>
              </w:rPr>
              <w:t>Attention:</w:t>
            </w:r>
          </w:p>
        </w:tc>
        <w:tc>
          <w:tcPr>
            <w:tcW w:w="8280" w:type="dxa"/>
            <w:vAlign w:val="bottom"/>
          </w:tcPr>
          <w:p>
            <w:pPr>
              <w:ind w:left="580"/>
              <w:spacing w:after="0"/>
              <w:rPr>
                <w:sz w:val="20"/>
                <w:szCs w:val="20"/>
                <w:color w:val="auto"/>
              </w:rPr>
            </w:pPr>
            <w:r>
              <w:rPr>
                <w:rFonts w:ascii="Arial" w:cs="Arial" w:eastAsia="Arial" w:hAnsi="Arial"/>
                <w:sz w:val="18"/>
                <w:szCs w:val="18"/>
                <w:color w:val="auto"/>
              </w:rPr>
              <w:t>Liu Jianing</w:t>
            </w:r>
          </w:p>
        </w:tc>
      </w:tr>
      <w:tr>
        <w:trPr>
          <w:trHeight w:val="432"/>
        </w:trPr>
        <w:tc>
          <w:tcPr>
            <w:tcW w:w="3180" w:type="dxa"/>
            <w:vAlign w:val="bottom"/>
          </w:tcPr>
          <w:p>
            <w:pPr>
              <w:spacing w:after="0"/>
              <w:rPr>
                <w:sz w:val="24"/>
                <w:szCs w:val="24"/>
                <w:color w:val="auto"/>
              </w:rPr>
            </w:pPr>
          </w:p>
        </w:tc>
        <w:tc>
          <w:tcPr>
            <w:tcW w:w="8280" w:type="dxa"/>
            <w:vAlign w:val="bottom"/>
          </w:tcPr>
          <w:p>
            <w:pPr>
              <w:ind w:left="2480"/>
              <w:spacing w:after="0"/>
              <w:rPr>
                <w:sz w:val="20"/>
                <w:szCs w:val="20"/>
                <w:color w:val="auto"/>
              </w:rPr>
            </w:pPr>
            <w:r>
              <w:rPr>
                <w:rFonts w:ascii="Arial" w:cs="Arial" w:eastAsia="Arial" w:hAnsi="Arial"/>
                <w:sz w:val="18"/>
                <w:szCs w:val="18"/>
                <w:color w:val="auto"/>
              </w:rPr>
              <w:t>9</w:t>
            </w:r>
          </w:p>
        </w:tc>
      </w:tr>
      <w:tr>
        <w:trPr>
          <w:trHeight w:val="132"/>
        </w:trPr>
        <w:tc>
          <w:tcPr>
            <w:tcW w:w="3180" w:type="dxa"/>
            <w:vAlign w:val="bottom"/>
            <w:tcBorders>
              <w:bottom w:val="single" w:sz="8" w:color="808080"/>
            </w:tcBorders>
          </w:tcPr>
          <w:p>
            <w:pPr>
              <w:spacing w:after="0"/>
              <w:rPr>
                <w:sz w:val="11"/>
                <w:szCs w:val="11"/>
                <w:color w:val="auto"/>
              </w:rPr>
            </w:pPr>
          </w:p>
        </w:tc>
        <w:tc>
          <w:tcPr>
            <w:tcW w:w="8280" w:type="dxa"/>
            <w:vAlign w:val="bottom"/>
            <w:tcBorders>
              <w:bottom w:val="single" w:sz="8" w:color="808080"/>
            </w:tcBorders>
          </w:tcPr>
          <w:p>
            <w:pPr>
              <w:spacing w:after="0"/>
              <w:rPr>
                <w:sz w:val="11"/>
                <w:szCs w:val="11"/>
                <w:color w:val="auto"/>
              </w:rPr>
            </w:pPr>
          </w:p>
        </w:tc>
      </w:tr>
      <w:tr>
        <w:trPr>
          <w:trHeight w:val="780"/>
        </w:trPr>
        <w:tc>
          <w:tcPr>
            <w:tcW w:w="3180" w:type="dxa"/>
            <w:vAlign w:val="bottom"/>
          </w:tcPr>
          <w:p>
            <w:pPr>
              <w:ind w:left="660"/>
              <w:spacing w:after="0"/>
              <w:rPr>
                <w:sz w:val="20"/>
                <w:szCs w:val="20"/>
                <w:color w:val="auto"/>
              </w:rPr>
            </w:pPr>
            <w:r>
              <w:rPr>
                <w:rFonts w:ascii="Arial" w:cs="Arial" w:eastAsia="Arial" w:hAnsi="Arial"/>
                <w:sz w:val="18"/>
                <w:szCs w:val="18"/>
                <w:b w:val="1"/>
                <w:bCs w:val="1"/>
                <w:color w:val="auto"/>
              </w:rPr>
              <w:t>If to Party B: Hu Tianlei</w:t>
            </w:r>
          </w:p>
        </w:tc>
        <w:tc>
          <w:tcPr>
            <w:tcW w:w="8280" w:type="dxa"/>
            <w:vAlign w:val="bottom"/>
          </w:tcPr>
          <w:p>
            <w:pPr>
              <w:spacing w:after="0"/>
              <w:rPr>
                <w:sz w:val="24"/>
                <w:szCs w:val="24"/>
                <w:color w:val="auto"/>
              </w:rPr>
            </w:pPr>
          </w:p>
        </w:tc>
      </w:tr>
      <w:tr>
        <w:trPr>
          <w:trHeight w:val="418"/>
        </w:trPr>
        <w:tc>
          <w:tcPr>
            <w:tcW w:w="3180" w:type="dxa"/>
            <w:vAlign w:val="bottom"/>
          </w:tcPr>
          <w:p>
            <w:pPr>
              <w:ind w:left="1820"/>
              <w:spacing w:after="0"/>
              <w:rPr>
                <w:sz w:val="20"/>
                <w:szCs w:val="20"/>
                <w:color w:val="auto"/>
              </w:rPr>
            </w:pPr>
            <w:r>
              <w:rPr>
                <w:rFonts w:ascii="Arial" w:cs="Arial" w:eastAsia="Arial" w:hAnsi="Arial"/>
                <w:sz w:val="18"/>
                <w:szCs w:val="18"/>
                <w:color w:val="auto"/>
              </w:rPr>
              <w:t>Address:</w:t>
            </w:r>
          </w:p>
        </w:tc>
        <w:tc>
          <w:tcPr>
            <w:tcW w:w="8280" w:type="dxa"/>
            <w:vAlign w:val="bottom"/>
          </w:tcPr>
          <w:p>
            <w:pPr>
              <w:ind w:left="800"/>
              <w:spacing w:after="0"/>
              <w:rPr>
                <w:sz w:val="20"/>
                <w:szCs w:val="20"/>
                <w:color w:val="auto"/>
              </w:rPr>
            </w:pPr>
            <w:r>
              <w:rPr>
                <w:rFonts w:ascii="Arial" w:cs="Arial" w:eastAsia="Arial" w:hAnsi="Arial"/>
                <w:sz w:val="18"/>
                <w:szCs w:val="18"/>
                <w:color w:val="auto"/>
              </w:rPr>
              <w:t>No. 38 Zheda Road, West Lake District, Hangzhou, Zhejiang, PRC</w:t>
            </w:r>
          </w:p>
        </w:tc>
      </w:tr>
      <w:tr>
        <w:trPr>
          <w:trHeight w:val="216"/>
        </w:trPr>
        <w:tc>
          <w:tcPr>
            <w:tcW w:w="3180" w:type="dxa"/>
            <w:vAlign w:val="bottom"/>
          </w:tcPr>
          <w:p>
            <w:pPr>
              <w:ind w:left="1820"/>
              <w:spacing w:after="0"/>
              <w:rPr>
                <w:sz w:val="20"/>
                <w:szCs w:val="20"/>
                <w:color w:val="auto"/>
              </w:rPr>
            </w:pPr>
            <w:r>
              <w:rPr>
                <w:rFonts w:ascii="Arial" w:cs="Arial" w:eastAsia="Arial" w:hAnsi="Arial"/>
                <w:sz w:val="18"/>
                <w:szCs w:val="18"/>
                <w:color w:val="auto"/>
              </w:rPr>
              <w:t>Fax:</w:t>
            </w:r>
          </w:p>
        </w:tc>
        <w:tc>
          <w:tcPr>
            <w:tcW w:w="8280" w:type="dxa"/>
            <w:vAlign w:val="bottom"/>
          </w:tcPr>
          <w:p>
            <w:pPr>
              <w:ind w:left="800"/>
              <w:spacing w:after="0"/>
              <w:rPr>
                <w:sz w:val="20"/>
                <w:szCs w:val="20"/>
                <w:color w:val="auto"/>
              </w:rPr>
            </w:pPr>
            <w:r>
              <w:rPr>
                <w:rFonts w:ascii="Arial" w:cs="Arial" w:eastAsia="Arial" w:hAnsi="Arial"/>
                <w:sz w:val="18"/>
                <w:szCs w:val="18"/>
                <w:color w:val="auto"/>
              </w:rPr>
              <w:t>0571-89852510</w:t>
            </w:r>
          </w:p>
        </w:tc>
      </w:tr>
      <w:tr>
        <w:trPr>
          <w:trHeight w:val="230"/>
        </w:trPr>
        <w:tc>
          <w:tcPr>
            <w:tcW w:w="3180" w:type="dxa"/>
            <w:vAlign w:val="bottom"/>
          </w:tcPr>
          <w:p>
            <w:pPr>
              <w:ind w:left="1820"/>
              <w:spacing w:after="0"/>
              <w:rPr>
                <w:sz w:val="20"/>
                <w:szCs w:val="20"/>
                <w:color w:val="auto"/>
              </w:rPr>
            </w:pPr>
            <w:r>
              <w:rPr>
                <w:rFonts w:ascii="Arial" w:cs="Arial" w:eastAsia="Arial" w:hAnsi="Arial"/>
                <w:sz w:val="18"/>
                <w:szCs w:val="18"/>
                <w:color w:val="auto"/>
              </w:rPr>
              <w:t>Email:</w:t>
            </w:r>
          </w:p>
        </w:tc>
        <w:tc>
          <w:tcPr>
            <w:tcW w:w="8280" w:type="dxa"/>
            <w:vAlign w:val="bottom"/>
          </w:tcPr>
          <w:p>
            <w:pPr>
              <w:ind w:left="800"/>
              <w:spacing w:after="0"/>
              <w:rPr>
                <w:sz w:val="20"/>
                <w:szCs w:val="20"/>
                <w:color w:val="auto"/>
              </w:rPr>
            </w:pPr>
            <w:r>
              <w:rPr>
                <w:rFonts w:ascii="Arial" w:cs="Arial" w:eastAsia="Arial" w:hAnsi="Arial"/>
                <w:sz w:val="18"/>
                <w:szCs w:val="18"/>
                <w:color w:val="auto"/>
              </w:rPr>
              <w:t>hutianlei@corp.netease.com</w:t>
            </w:r>
          </w:p>
        </w:tc>
      </w:tr>
      <w:tr>
        <w:trPr>
          <w:trHeight w:val="432"/>
        </w:trPr>
        <w:tc>
          <w:tcPr>
            <w:tcW w:w="11460" w:type="dxa"/>
            <w:vAlign w:val="bottom"/>
            <w:gridSpan w:val="2"/>
          </w:tcPr>
          <w:p>
            <w:pPr>
              <w:ind w:left="660"/>
              <w:spacing w:after="0"/>
              <w:rPr>
                <w:sz w:val="20"/>
                <w:szCs w:val="20"/>
                <w:color w:val="auto"/>
              </w:rPr>
            </w:pPr>
            <w:r>
              <w:rPr>
                <w:rFonts w:ascii="Arial" w:cs="Arial" w:eastAsia="Arial" w:hAnsi="Arial"/>
                <w:sz w:val="18"/>
                <w:szCs w:val="18"/>
                <w:b w:val="1"/>
                <w:bCs w:val="1"/>
                <w:color w:val="auto"/>
              </w:rPr>
              <w:t>If to Party C: Hangzhou NetEase Leihuo Network Co., Ltd.</w:t>
            </w:r>
          </w:p>
        </w:tc>
      </w:tr>
      <w:tr>
        <w:trPr>
          <w:trHeight w:val="418"/>
        </w:trPr>
        <w:tc>
          <w:tcPr>
            <w:tcW w:w="3180" w:type="dxa"/>
            <w:vAlign w:val="bottom"/>
          </w:tcPr>
          <w:p>
            <w:pPr>
              <w:ind w:left="1820"/>
              <w:spacing w:after="0"/>
              <w:rPr>
                <w:sz w:val="20"/>
                <w:szCs w:val="20"/>
                <w:color w:val="auto"/>
              </w:rPr>
            </w:pPr>
            <w:r>
              <w:rPr>
                <w:rFonts w:ascii="Arial" w:cs="Arial" w:eastAsia="Arial" w:hAnsi="Arial"/>
                <w:sz w:val="18"/>
                <w:szCs w:val="18"/>
                <w:color w:val="auto"/>
              </w:rPr>
              <w:t>Address:</w:t>
            </w:r>
          </w:p>
        </w:tc>
        <w:tc>
          <w:tcPr>
            <w:tcW w:w="8280" w:type="dxa"/>
            <w:vAlign w:val="bottom"/>
          </w:tcPr>
          <w:p>
            <w:pPr>
              <w:ind w:left="800"/>
              <w:spacing w:after="0"/>
              <w:rPr>
                <w:sz w:val="20"/>
                <w:szCs w:val="20"/>
                <w:color w:val="auto"/>
              </w:rPr>
            </w:pPr>
            <w:r>
              <w:rPr>
                <w:rFonts w:ascii="Arial" w:cs="Arial" w:eastAsia="Arial" w:hAnsi="Arial"/>
                <w:sz w:val="18"/>
                <w:szCs w:val="18"/>
                <w:color w:val="auto"/>
                <w:w w:val="99"/>
              </w:rPr>
              <w:t>Room 702, Building 4, No. 599 Wangshang Road, Binjiang District, Hangzhou, Zhejiang, PRC</w:t>
            </w:r>
          </w:p>
        </w:tc>
      </w:tr>
      <w:tr>
        <w:trPr>
          <w:trHeight w:val="216"/>
        </w:trPr>
        <w:tc>
          <w:tcPr>
            <w:tcW w:w="3180" w:type="dxa"/>
            <w:vAlign w:val="bottom"/>
          </w:tcPr>
          <w:p>
            <w:pPr>
              <w:ind w:left="1820"/>
              <w:spacing w:after="0"/>
              <w:rPr>
                <w:sz w:val="20"/>
                <w:szCs w:val="20"/>
                <w:color w:val="auto"/>
              </w:rPr>
            </w:pPr>
            <w:r>
              <w:rPr>
                <w:rFonts w:ascii="Arial" w:cs="Arial" w:eastAsia="Arial" w:hAnsi="Arial"/>
                <w:sz w:val="18"/>
                <w:szCs w:val="18"/>
                <w:color w:val="auto"/>
              </w:rPr>
              <w:t>Fax:</w:t>
            </w:r>
          </w:p>
        </w:tc>
        <w:tc>
          <w:tcPr>
            <w:tcW w:w="8280" w:type="dxa"/>
            <w:vAlign w:val="bottom"/>
          </w:tcPr>
          <w:p>
            <w:pPr>
              <w:ind w:left="800"/>
              <w:spacing w:after="0"/>
              <w:rPr>
                <w:sz w:val="20"/>
                <w:szCs w:val="20"/>
                <w:color w:val="auto"/>
              </w:rPr>
            </w:pPr>
            <w:r>
              <w:rPr>
                <w:rFonts w:ascii="Arial" w:cs="Arial" w:eastAsia="Arial" w:hAnsi="Arial"/>
                <w:sz w:val="18"/>
                <w:szCs w:val="18"/>
                <w:color w:val="auto"/>
              </w:rPr>
              <w:t>0571-89852760</w:t>
            </w:r>
          </w:p>
        </w:tc>
      </w:tr>
      <w:tr>
        <w:trPr>
          <w:trHeight w:val="212"/>
        </w:trPr>
        <w:tc>
          <w:tcPr>
            <w:tcW w:w="3180" w:type="dxa"/>
            <w:vAlign w:val="bottom"/>
          </w:tcPr>
          <w:p>
            <w:pPr>
              <w:ind w:left="1820"/>
              <w:spacing w:after="0"/>
              <w:rPr>
                <w:sz w:val="20"/>
                <w:szCs w:val="20"/>
                <w:color w:val="auto"/>
              </w:rPr>
            </w:pPr>
            <w:r>
              <w:rPr>
                <w:rFonts w:ascii="Arial" w:cs="Arial" w:eastAsia="Arial" w:hAnsi="Arial"/>
                <w:sz w:val="18"/>
                <w:szCs w:val="18"/>
                <w:color w:val="auto"/>
              </w:rPr>
              <w:t>Email:</w:t>
            </w:r>
          </w:p>
        </w:tc>
        <w:tc>
          <w:tcPr>
            <w:tcW w:w="8280" w:type="dxa"/>
            <w:vAlign w:val="bottom"/>
          </w:tcPr>
          <w:p>
            <w:pPr>
              <w:ind w:left="800"/>
              <w:spacing w:after="0"/>
              <w:rPr>
                <w:sz w:val="20"/>
                <w:szCs w:val="20"/>
                <w:color w:val="auto"/>
              </w:rPr>
            </w:pPr>
            <w:r>
              <w:rPr>
                <w:rFonts w:ascii="Arial" w:cs="Arial" w:eastAsia="Arial" w:hAnsi="Arial"/>
                <w:sz w:val="18"/>
                <w:szCs w:val="18"/>
                <w:color w:val="auto"/>
              </w:rPr>
              <w:t>zphu@corp.netease.com</w:t>
            </w:r>
          </w:p>
        </w:tc>
      </w:tr>
      <w:tr>
        <w:trPr>
          <w:trHeight w:val="234"/>
        </w:trPr>
        <w:tc>
          <w:tcPr>
            <w:tcW w:w="3180" w:type="dxa"/>
            <w:vAlign w:val="bottom"/>
          </w:tcPr>
          <w:p>
            <w:pPr>
              <w:ind w:left="1820"/>
              <w:spacing w:after="0"/>
              <w:rPr>
                <w:sz w:val="20"/>
                <w:szCs w:val="20"/>
                <w:color w:val="auto"/>
              </w:rPr>
            </w:pPr>
            <w:r>
              <w:rPr>
                <w:rFonts w:ascii="Arial" w:cs="Arial" w:eastAsia="Arial" w:hAnsi="Arial"/>
                <w:sz w:val="18"/>
                <w:szCs w:val="18"/>
                <w:color w:val="auto"/>
              </w:rPr>
              <w:t>Attention:</w:t>
            </w:r>
          </w:p>
        </w:tc>
        <w:tc>
          <w:tcPr>
            <w:tcW w:w="8280" w:type="dxa"/>
            <w:vAlign w:val="bottom"/>
          </w:tcPr>
          <w:p>
            <w:pPr>
              <w:ind w:left="800"/>
              <w:spacing w:after="0"/>
              <w:rPr>
                <w:sz w:val="20"/>
                <w:szCs w:val="20"/>
                <w:color w:val="auto"/>
              </w:rPr>
            </w:pPr>
            <w:r>
              <w:rPr>
                <w:rFonts w:ascii="Arial" w:cs="Arial" w:eastAsia="Arial" w:hAnsi="Arial"/>
                <w:sz w:val="18"/>
                <w:szCs w:val="18"/>
                <w:b w:val="1"/>
                <w:bCs w:val="1"/>
                <w:color w:val="auto"/>
              </w:rPr>
              <w:t>Hu Zhipeng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hanging="652"/>
        <w:spacing w:after="0"/>
        <w:tabs>
          <w:tab w:leader="none" w:pos="66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225" w:lineRule="exact"/>
        <w:rPr>
          <w:rFonts w:ascii="Arial" w:cs="Arial" w:eastAsia="Arial" w:hAnsi="Arial"/>
          <w:sz w:val="18"/>
          <w:szCs w:val="18"/>
          <w:color w:val="auto"/>
        </w:rPr>
      </w:pPr>
    </w:p>
    <w:p>
      <w:pPr>
        <w:ind w:left="660" w:right="60"/>
        <w:spacing w:after="0" w:line="277" w:lineRule="auto"/>
        <w:rPr>
          <w:rFonts w:ascii="Arial" w:cs="Arial" w:eastAsia="Arial" w:hAnsi="Arial"/>
          <w:sz w:val="18"/>
          <w:szCs w:val="18"/>
          <w:color w:val="auto"/>
        </w:rPr>
      </w:pPr>
      <w:r>
        <w:rPr>
          <w:rFonts w:ascii="Arial" w:cs="Arial" w:eastAsia="Arial" w:hAnsi="Arial"/>
          <w:sz w:val="18"/>
          <w:szCs w:val="18"/>
          <w:color w:val="auto"/>
        </w:rPr>
        <w:t>The Parties agree to promptly execute documents and take further actions that are reasonably required for, or beneficial to, the purpose of performing the provisions and carrying out the intent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ectPr>
          <w:pgSz w:w="11900" w:h="16874" w:orient="portrait"/>
          <w:cols w:equalWidth="0" w:num="1">
            <w:col w:w="11460"/>
          </w:cols>
          <w:pgMar w:left="240" w:top="125" w:right="199" w:bottom="0" w:gutter="0" w:footer="0" w:header="0"/>
        </w:sectPr>
      </w:pPr>
    </w:p>
    <w:bookmarkStart w:id="206" w:name="page207"/>
    <w:bookmarkEnd w:id="206"/>
    <w:p>
      <w:pPr>
        <w:ind w:left="1060"/>
        <w:spacing w:after="0"/>
        <w:tabs>
          <w:tab w:leader="none" w:pos="16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Amendment, Modification or Supplement</w:t>
      </w:r>
    </w:p>
    <w:p>
      <w:pPr>
        <w:spacing w:after="0" w:line="225" w:lineRule="exact"/>
        <w:rPr>
          <w:sz w:val="20"/>
          <w:szCs w:val="20"/>
          <w:color w:val="auto"/>
        </w:rPr>
      </w:pPr>
    </w:p>
    <w:p>
      <w:pPr>
        <w:ind w:left="1300" w:right="80"/>
        <w:spacing w:after="0" w:line="308" w:lineRule="auto"/>
        <w:rPr>
          <w:sz w:val="20"/>
          <w:szCs w:val="20"/>
          <w:color w:val="auto"/>
        </w:rPr>
      </w:pPr>
      <w:r>
        <w:rPr>
          <w:rFonts w:ascii="Arial" w:cs="Arial" w:eastAsia="Arial" w:hAnsi="Arial"/>
          <w:sz w:val="17"/>
          <w:szCs w:val="17"/>
          <w:color w:val="auto"/>
        </w:rPr>
        <w:t>Any amendment or supplement to this Agreement shall be made by the Parties in writing. The amendments or supplements duly executed by each Party shall be deemed as a part of this Agreement and shall have the same legal effect as this Agreement.</w:t>
      </w:r>
    </w:p>
    <w:p>
      <w:pPr>
        <w:spacing w:after="0" w:line="147"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Entire Agreement</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spacing w:after="0" w:line="181"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Severability</w:t>
      </w:r>
    </w:p>
    <w:p>
      <w:pPr>
        <w:spacing w:after="0" w:line="225" w:lineRule="exact"/>
        <w:rPr>
          <w:sz w:val="20"/>
          <w:szCs w:val="20"/>
          <w:color w:val="auto"/>
        </w:rPr>
      </w:pPr>
    </w:p>
    <w:p>
      <w:pPr>
        <w:ind w:left="1300"/>
        <w:spacing w:after="0" w:line="279" w:lineRule="auto"/>
        <w:rPr>
          <w:sz w:val="20"/>
          <w:szCs w:val="20"/>
          <w:color w:val="auto"/>
        </w:rPr>
      </w:pPr>
      <w:r>
        <w:rPr>
          <w:rFonts w:ascii="Arial" w:cs="Arial" w:eastAsia="Arial" w:hAnsi="Arial"/>
          <w:sz w:val="17"/>
          <w:szCs w:val="17"/>
          <w:color w:val="auto"/>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Headings</w:t>
      </w:r>
    </w:p>
    <w:p>
      <w:pPr>
        <w:spacing w:after="0" w:line="225" w:lineRule="exact"/>
        <w:rPr>
          <w:sz w:val="20"/>
          <w:szCs w:val="20"/>
          <w:color w:val="auto"/>
        </w:rPr>
      </w:pPr>
    </w:p>
    <w:p>
      <w:pPr>
        <w:ind w:left="1300" w:right="660"/>
        <w:spacing w:after="0" w:line="277" w:lineRule="auto"/>
        <w:rPr>
          <w:sz w:val="20"/>
          <w:szCs w:val="20"/>
          <w:color w:val="auto"/>
        </w:rPr>
      </w:pPr>
      <w:r>
        <w:rPr>
          <w:rFonts w:ascii="Arial" w:cs="Arial" w:eastAsia="Arial" w:hAnsi="Arial"/>
          <w:sz w:val="18"/>
          <w:szCs w:val="18"/>
          <w:color w:val="auto"/>
        </w:rPr>
        <w:t>The headings contained in this Agreement are for the convenience of reference only and shall not be used for the interpretation or explanation or otherwise affect the meaning of the provisions of this Agreement.</w:t>
      </w:r>
    </w:p>
    <w:p>
      <w:pPr>
        <w:spacing w:after="0" w:line="170"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color w:val="auto"/>
        </w:rPr>
        <w:t>Successor</w:t>
      </w:r>
    </w:p>
    <w:p>
      <w:pPr>
        <w:spacing w:after="0" w:line="225" w:lineRule="exact"/>
        <w:rPr>
          <w:sz w:val="20"/>
          <w:szCs w:val="20"/>
          <w:color w:val="auto"/>
        </w:rPr>
      </w:pPr>
    </w:p>
    <w:p>
      <w:pPr>
        <w:ind w:left="1300" w:right="40"/>
        <w:spacing w:after="0" w:line="257" w:lineRule="auto"/>
        <w:rPr>
          <w:sz w:val="20"/>
          <w:szCs w:val="20"/>
          <w:color w:val="auto"/>
        </w:rPr>
      </w:pPr>
      <w:r>
        <w:rPr>
          <w:rFonts w:ascii="Arial" w:cs="Arial" w:eastAsia="Arial" w:hAnsi="Arial"/>
          <w:sz w:val="18"/>
          <w:szCs w:val="18"/>
          <w:color w:val="auto"/>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p>
      <w:pPr>
        <w:spacing w:after="0" w:line="188"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Survival</w:t>
      </w:r>
    </w:p>
    <w:p>
      <w:pPr>
        <w:spacing w:after="0" w:line="225" w:lineRule="exact"/>
        <w:rPr>
          <w:sz w:val="20"/>
          <w:szCs w:val="20"/>
          <w:color w:val="auto"/>
        </w:rPr>
      </w:pPr>
    </w:p>
    <w:p>
      <w:pPr>
        <w:ind w:left="1300" w:right="440"/>
        <w:spacing w:after="0" w:line="342" w:lineRule="auto"/>
        <w:rPr>
          <w:sz w:val="20"/>
          <w:szCs w:val="20"/>
          <w:color w:val="auto"/>
        </w:rPr>
      </w:pPr>
      <w:r>
        <w:rPr>
          <w:rFonts w:ascii="Arial" w:cs="Arial" w:eastAsia="Arial" w:hAnsi="Arial"/>
          <w:sz w:val="16"/>
          <w:szCs w:val="16"/>
          <w:color w:val="auto"/>
        </w:rPr>
        <w:t>Any obligation arising from or becoming due under this Agreement before its expiration or premature termination shall survive such expiration or premature termination. Articles 6, 8, 9 and 10 and this Article 11.6 shall survive the termination of this Agreement.</w:t>
      </w:r>
    </w:p>
    <w:p>
      <w:pPr>
        <w:spacing w:after="0" w:line="124"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Waiver</w:t>
      </w:r>
    </w:p>
    <w:p>
      <w:pPr>
        <w:spacing w:after="0" w:line="225" w:lineRule="exact"/>
        <w:rPr>
          <w:sz w:val="20"/>
          <w:szCs w:val="20"/>
          <w:color w:val="auto"/>
        </w:rPr>
      </w:pPr>
    </w:p>
    <w:p>
      <w:pPr>
        <w:ind w:left="1300"/>
        <w:spacing w:after="0" w:line="264" w:lineRule="auto"/>
        <w:rPr>
          <w:sz w:val="20"/>
          <w:szCs w:val="20"/>
          <w:color w:val="auto"/>
        </w:rPr>
      </w:pPr>
      <w:r>
        <w:rPr>
          <w:rFonts w:ascii="Arial" w:cs="Arial" w:eastAsia="Arial" w:hAnsi="Arial"/>
          <w:sz w:val="18"/>
          <w:szCs w:val="18"/>
          <w:color w:val="auto"/>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spacing w:after="0" w:line="177"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this Agreement to be executed by himself/herself, its legal representative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as of the date first written above.</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NetEase (Hangzhou)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Hu Tianlei</w:t>
      </w:r>
    </w:p>
    <w:p>
      <w:pPr>
        <w:spacing w:after="0" w:line="2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Signature:</w:t>
        <w:tab/>
        <w:t>/s/ Hu Tianlei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30187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 Hangzhou NetEase Leihuo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Notice</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ectPr>
          <w:pgSz w:w="11900" w:h="16838" w:orient="portrait"/>
          <w:cols w:equalWidth="0" w:num="1">
            <w:col w:w="11300"/>
          </w:cols>
          <w:pgMar w:left="240" w:top="341" w:right="359" w:bottom="0" w:gutter="0" w:footer="0" w:header="0"/>
        </w:sectPr>
      </w:pPr>
    </w:p>
    <w:bookmarkStart w:id="207" w:name="page208"/>
    <w:bookmarkEnd w:id="207"/>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Dear Hu Tianlei,</w:t>
      </w:r>
    </w:p>
    <w:p>
      <w:pPr>
        <w:sectPr>
          <w:pgSz w:w="11900" w:h="16932" w:orient="portrait"/>
          <w:cols w:equalWidth="0" w:num="1">
            <w:col w:w="11460"/>
          </w:cols>
          <w:pgMar w:left="240" w:top="342" w:right="199" w:bottom="0" w:gutter="0" w:footer="0" w:header="0"/>
        </w:sectPr>
      </w:pPr>
    </w:p>
    <w:p>
      <w:pPr>
        <w:spacing w:after="0" w:line="24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Pursuant to the Amended and Restated Exclusive Purchase Option Agreement between us executed on agreed to transfer to us or our Designated Person(s) certain equity interests or assets upon notice from us.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you</w:t>
      </w:r>
    </w:p>
    <w:p>
      <w:pPr>
        <w:spacing w:after="0" w:line="464" w:lineRule="exact"/>
        <w:rPr>
          <w:sz w:val="20"/>
          <w:szCs w:val="20"/>
          <w:color w:val="auto"/>
        </w:rPr>
      </w:pPr>
    </w:p>
    <w:p>
      <w:pPr>
        <w:sectPr>
          <w:pgSz w:w="11900" w:h="16932" w:orient="portrait"/>
          <w:cols w:equalWidth="0" w:num="2">
            <w:col w:w="8040" w:space="600"/>
            <w:col w:w="2820"/>
          </w:cols>
          <w:pgMar w:left="240" w:top="342" w:right="199" w:bottom="0" w:gutter="0" w:footer="0" w:header="0"/>
          <w:type w:val="continuous"/>
        </w:sectPr>
      </w:pPr>
    </w:p>
    <w:p>
      <w:pPr>
        <w:ind w:right="120" w:firstLine="648"/>
        <w:spacing w:after="0" w:line="277" w:lineRule="auto"/>
        <w:rPr>
          <w:sz w:val="20"/>
          <w:szCs w:val="20"/>
          <w:color w:val="auto"/>
        </w:rPr>
      </w:pPr>
      <w:r>
        <w:rPr>
          <w:rFonts w:ascii="Arial" w:cs="Arial" w:eastAsia="Arial" w:hAnsi="Arial"/>
          <w:sz w:val="18"/>
          <w:szCs w:val="18"/>
          <w:color w:val="auto"/>
        </w:rPr>
        <w:t>This letter serves as our notice to you under Article 1.2.1 of the Option Agreement, and we hereby notify you that we wish to purchase from you the following [</w:t>
      </w:r>
      <w:r>
        <w:rPr>
          <w:rFonts w:ascii="Arial" w:cs="Arial" w:eastAsia="Arial" w:hAnsi="Arial"/>
          <w:sz w:val="18"/>
          <w:szCs w:val="18"/>
          <w:i w:val="1"/>
          <w:iCs w:val="1"/>
          <w:color w:val="auto"/>
        </w:rPr>
        <w:t>equity interests / assets</w:t>
      </w:r>
      <w:r>
        <w:rPr>
          <w:rFonts w:ascii="Arial" w:cs="Arial" w:eastAsia="Arial" w:hAnsi="Arial"/>
          <w:sz w:val="18"/>
          <w:szCs w:val="18"/>
          <w:color w:val="auto"/>
        </w:rPr>
        <w:t>], which constitute the Purchased Interest under Article 1.2.1 of the Option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0220" w:type="dxa"/>
            <w:vAlign w:val="bottom"/>
          </w:tcPr>
          <w:p>
            <w:pPr>
              <w:ind w:left="100"/>
              <w:spacing w:after="0"/>
              <w:rPr>
                <w:sz w:val="20"/>
                <w:szCs w:val="20"/>
                <w:color w:val="auto"/>
              </w:rPr>
            </w:pPr>
            <w:r>
              <w:rPr>
                <w:rFonts w:ascii="Arial" w:cs="Arial" w:eastAsia="Arial" w:hAnsi="Arial"/>
                <w:sz w:val="18"/>
                <w:szCs w:val="18"/>
                <w:color w:val="auto"/>
              </w:rPr>
              <w:t>[All /  % of the shares in Hangzhou NetEase Leihuo Network Co., Ltd.]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0220" w:type="dxa"/>
            <w:vAlign w:val="bottom"/>
          </w:tcPr>
          <w:p>
            <w:pPr>
              <w:ind w:left="100"/>
              <w:spacing w:after="0"/>
              <w:rPr>
                <w:sz w:val="20"/>
                <w:szCs w:val="20"/>
                <w:color w:val="auto"/>
              </w:rPr>
            </w:pPr>
            <w:r>
              <w:rPr>
                <w:rFonts w:ascii="Arial" w:cs="Arial" w:eastAsia="Arial" w:hAnsi="Arial"/>
                <w:sz w:val="18"/>
                <w:szCs w:val="18"/>
                <w:color w:val="auto"/>
                <w:w w:val="94"/>
              </w:rPr>
              <w:t>[All the assets of Hangzhou NetEase Leihuo Network Co., Ltd. / The following assets of Hangzhou NetEase Leihuo Network Co., Ltd.:</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60" w:type="dxa"/>
            <w:vAlign w:val="bottom"/>
          </w:tcPr>
          <w:p>
            <w:pPr>
              <w:spacing w:after="0"/>
              <w:rPr>
                <w:sz w:val="24"/>
                <w:szCs w:val="24"/>
                <w:color w:val="auto"/>
              </w:rPr>
            </w:pPr>
          </w:p>
        </w:tc>
        <w:tc>
          <w:tcPr>
            <w:tcW w:w="10860" w:type="dxa"/>
            <w:vAlign w:val="bottom"/>
            <w:gridSpan w:val="2"/>
          </w:tcPr>
          <w:p>
            <w:pPr>
              <w:ind w:left="100"/>
              <w:spacing w:after="0"/>
              <w:rPr>
                <w:sz w:val="20"/>
                <w:szCs w:val="20"/>
                <w:color w:val="auto"/>
              </w:rPr>
            </w:pPr>
            <w:r>
              <w:rPr>
                <w:rFonts w:ascii="Arial" w:cs="Arial" w:eastAsia="Arial" w:hAnsi="Arial"/>
                <w:sz w:val="18"/>
                <w:szCs w:val="18"/>
                <w:color w:val="auto"/>
                <w:w w:val="91"/>
              </w:rPr>
              <w:t>In consideration for the Purchased Interest, the Purchase Price (as defined in Article 1.3 of the Option Agreement) of the Purchased Interest will be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[RMB</w:t>
            </w:r>
          </w:p>
        </w:tc>
        <w:tc>
          <w:tcPr>
            <w:tcW w:w="10220" w:type="dxa"/>
            <w:vAlign w:val="bottom"/>
          </w:tcPr>
          <w:p>
            <w:pPr>
              <w:ind w:left="720"/>
              <w:spacing w:after="0"/>
              <w:rPr>
                <w:sz w:val="20"/>
                <w:szCs w:val="20"/>
                <w:color w:val="auto"/>
              </w:rPr>
            </w:pPr>
            <w:r>
              <w:rPr>
                <w:rFonts w:ascii="Arial" w:cs="Arial" w:eastAsia="Arial" w:hAnsi="Arial"/>
                <w:sz w:val="18"/>
                <w:szCs w:val="18"/>
                <w:color w:val="auto"/>
              </w:rPr>
              <w:t>]. We shall handle payment of the Purchase Price pursuant to Article 1.5 of the Option Agreement.</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0220" w:type="dxa"/>
            <w:vAlign w:val="bottom"/>
          </w:tcPr>
          <w:p>
            <w:pPr>
              <w:ind w:left="100"/>
              <w:spacing w:after="0"/>
              <w:rPr>
                <w:sz w:val="20"/>
                <w:szCs w:val="20"/>
                <w:color w:val="auto"/>
              </w:rPr>
            </w:pPr>
            <w:r>
              <w:rPr>
                <w:rFonts w:ascii="Arial" w:cs="Arial" w:eastAsia="Arial" w:hAnsi="Arial"/>
                <w:sz w:val="18"/>
                <w:szCs w:val="18"/>
                <w:color w:val="auto"/>
              </w:rPr>
              <w:t>Please assist us in arranging for the transfer of the Purchased Interest to [</w:t>
            </w:r>
            <w:r>
              <w:rPr>
                <w:rFonts w:ascii="Arial" w:cs="Arial" w:eastAsia="Arial" w:hAnsi="Arial"/>
                <w:sz w:val="18"/>
                <w:szCs w:val="18"/>
                <w:i w:val="1"/>
                <w:iCs w:val="1"/>
                <w:color w:val="auto"/>
              </w:rPr>
              <w:t>us / our Designated Person(s), which is/are</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Such transfer should occur no later than forty-five (45) business days after the date hereof</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NetEase (Hangzhou) Network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Power of Attorney</w:t>
      </w:r>
    </w:p>
    <w:p>
      <w:pPr>
        <w:spacing w:after="0" w:line="21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 hereby irrevocably appoint , holder of [passport / PRC identification] number : , as my proxy, to sign and deliver any and all legal documents that are necessary or useful to effect any exercise of an option to purchase any equity interests or assets pursuant to the Exclusive Purchase Option Agreement between NetEase (Hangzhou) Network Co., Ltd., Hu Tianlei and Hangzhou NetEase Leihuo Network Co., Ltd. executed</w:t>
      </w: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on</w:t>
            </w:r>
          </w:p>
        </w:tc>
        <w:tc>
          <w:tcPr>
            <w:tcW w:w="5240" w:type="dxa"/>
            <w:vAlign w:val="bottom"/>
          </w:tcPr>
          <w:p>
            <w:pPr>
              <w:jc w:val="right"/>
              <w:ind w:right="4810"/>
              <w:spacing w:after="0"/>
              <w:rPr>
                <w:sz w:val="20"/>
                <w:szCs w:val="20"/>
                <w:color w:val="auto"/>
              </w:rPr>
            </w:pPr>
            <w:r>
              <w:rPr>
                <w:rFonts w:ascii="Arial" w:cs="Arial" w:eastAsia="Arial" w:hAnsi="Arial"/>
                <w:sz w:val="18"/>
                <w:szCs w:val="18"/>
                <w:color w:val="auto"/>
              </w:rPr>
              <w:t>.</w:t>
            </w:r>
          </w:p>
        </w:tc>
        <w:tc>
          <w:tcPr>
            <w:tcW w:w="5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5700" w:type="dxa"/>
            <w:vAlign w:val="bottom"/>
          </w:tcPr>
          <w:p>
            <w:pPr>
              <w:ind w:left="4940"/>
              <w:spacing w:after="0"/>
              <w:rPr>
                <w:sz w:val="20"/>
                <w:szCs w:val="20"/>
                <w:color w:val="auto"/>
              </w:rPr>
            </w:pPr>
            <w:r>
              <w:rPr>
                <w:rFonts w:ascii="Arial" w:cs="Arial" w:eastAsia="Arial" w:hAnsi="Arial"/>
                <w:sz w:val="18"/>
                <w:szCs w:val="18"/>
                <w:color w:val="auto"/>
                <w:w w:val="91"/>
              </w:rPr>
              <w:t>Hu Tianlei</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i w:val="1"/>
                <w:iCs w:val="1"/>
                <w:color w:val="auto"/>
              </w:rPr>
              <w:t>Date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8"/>
        </w:trPr>
        <w:tc>
          <w:tcPr>
            <w:tcW w:w="48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Transfer Agreement</w:t>
      </w:r>
    </w:p>
    <w:p>
      <w:pPr>
        <w:sectPr>
          <w:pgSz w:w="11900" w:h="16932" w:orient="portrait"/>
          <w:cols w:equalWidth="0" w:num="1">
            <w:col w:w="11460"/>
          </w:cols>
          <w:pgMar w:left="240" w:top="342" w:right="199" w:bottom="0" w:gutter="0" w:footer="0" w:header="0"/>
          <w:type w:val="continuous"/>
        </w:sectPr>
      </w:pP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Transfer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jointly signed by the Parties on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at the offices of Hangzhou NetEase Leihuo Network Co., Ltd. (the</w:t>
      </w:r>
    </w:p>
    <w:p>
      <w:pPr>
        <w:spacing w:after="0" w:line="463" w:lineRule="exact"/>
        <w:rPr>
          <w:sz w:val="20"/>
          <w:szCs w:val="20"/>
          <w:color w:val="auto"/>
        </w:rPr>
      </w:pPr>
    </w:p>
    <w:p>
      <w:pPr>
        <w:sectPr>
          <w:pgSz w:w="11900" w:h="16932" w:orient="portrait"/>
          <w:cols w:equalWidth="0" w:num="2">
            <w:col w:w="5700" w:space="720"/>
            <w:col w:w="5040"/>
          </w:cols>
          <w:pgMar w:left="240" w:top="342" w:right="199" w:bottom="0" w:gutter="0" w:footer="0" w:header="0"/>
          <w:type w:val="continuous"/>
        </w:sectPr>
      </w:pPr>
    </w:p>
    <w:p>
      <w:pPr>
        <w:spacing w:after="0"/>
        <w:rPr>
          <w:sz w:val="20"/>
          <w:szCs w:val="20"/>
          <w:color w:val="auto"/>
        </w:rPr>
      </w:pPr>
      <w:r>
        <w:rPr>
          <w:rFonts w:ascii="Arial" w:cs="Arial" w:eastAsia="Arial" w:hAnsi="Arial"/>
          <w:sz w:val="16"/>
          <w:szCs w:val="16"/>
          <w:color w:val="auto"/>
        </w:rPr>
        <w:t>Transferor: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Transferee:</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Hu Tianlei/ Hangzhou NetEase Leihuo Network Co., Ltd.</w:t>
      </w:r>
      <w:r>
        <w:rPr>
          <w:rFonts w:ascii="Arial" w:cs="Arial" w:eastAsia="Arial" w:hAnsi="Arial"/>
          <w:sz w:val="18"/>
          <w:szCs w:val="18"/>
          <w:color w:val="auto"/>
        </w:rPr>
        <w:t>] (“</w:t>
      </w:r>
      <w:r>
        <w:rPr>
          <w:rFonts w:ascii="Arial" w:cs="Arial" w:eastAsia="Arial" w:hAnsi="Arial"/>
          <w:sz w:val="18"/>
          <w:szCs w:val="18"/>
          <w:b w:val="1"/>
          <w:bCs w:val="1"/>
          <w:i w:val="1"/>
          <w:iCs w:val="1"/>
          <w:color w:val="auto"/>
        </w:rPr>
        <w:t>Party 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NetEase (Hangzhou) Network Co., Ltd. or designated person(s)</w:t>
      </w:r>
      <w:r>
        <w:rPr>
          <w:rFonts w:ascii="Arial" w:cs="Arial" w:eastAsia="Arial" w:hAnsi="Arial"/>
          <w:sz w:val="16"/>
          <w:szCs w:val="16"/>
          <w:color w:val="auto"/>
        </w:rPr>
        <w:t>] (“</w:t>
      </w:r>
      <w:r>
        <w:rPr>
          <w:rFonts w:ascii="Arial" w:cs="Arial" w:eastAsia="Arial" w:hAnsi="Arial"/>
          <w:sz w:val="16"/>
          <w:szCs w:val="16"/>
          <w:b w:val="1"/>
          <w:bCs w:val="1"/>
          <w:i w:val="1"/>
          <w:iCs w:val="1"/>
          <w:color w:val="auto"/>
        </w:rPr>
        <w:t>Party B</w:t>
      </w:r>
      <w:r>
        <w:rPr>
          <w:rFonts w:ascii="Arial" w:cs="Arial" w:eastAsia="Arial" w:hAnsi="Arial"/>
          <w:sz w:val="16"/>
          <w:szCs w:val="16"/>
          <w:color w:val="auto"/>
        </w:rPr>
        <w:t>”)</w:t>
      </w:r>
    </w:p>
    <w:p>
      <w:pPr>
        <w:spacing w:after="0" w:line="200" w:lineRule="exact"/>
        <w:rPr>
          <w:sz w:val="20"/>
          <w:szCs w:val="20"/>
          <w:color w:val="auto"/>
        </w:rPr>
      </w:pPr>
    </w:p>
    <w:p>
      <w:pPr>
        <w:sectPr>
          <w:pgSz w:w="11900" w:h="16932" w:orient="portrait"/>
          <w:cols w:equalWidth="0" w:num="2">
            <w:col w:w="820" w:space="500"/>
            <w:col w:w="10140"/>
          </w:cols>
          <w:pgMar w:left="240" w:top="342" w:right="19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[Party A owns [  ]% of the equity interest of the Company.] According to the relevant laws, rules and regulations, upon friendly negotiations</w:t>
      </w:r>
    </w:p>
    <w:p>
      <w:pPr>
        <w:spacing w:after="0" w:line="35"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between the Parties, and pursuant to the Amended and Restated Exclusive Purchase Option Agreement entered into by the Parties on (the “</w:t>
      </w:r>
      <w:r>
        <w:rPr>
          <w:rFonts w:ascii="Arial" w:cs="Arial" w:eastAsia="Arial" w:hAnsi="Arial"/>
          <w:sz w:val="18"/>
          <w:szCs w:val="18"/>
          <w:b w:val="1"/>
          <w:bCs w:val="1"/>
          <w:i w:val="1"/>
          <w:iCs w:val="1"/>
          <w:color w:val="auto"/>
        </w:rPr>
        <w:t>Exclusive Purchase Option Agreement</w:t>
      </w:r>
      <w:r>
        <w:rPr>
          <w:rFonts w:ascii="Arial" w:cs="Arial" w:eastAsia="Arial" w:hAnsi="Arial"/>
          <w:sz w:val="18"/>
          <w:szCs w:val="18"/>
          <w:color w:val="auto"/>
        </w:rPr>
        <w:t>”), the Parties agree to the following: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Article 1. Subject of Transfer and Purchase Price</w:t>
      </w:r>
    </w:p>
    <w:p>
      <w:pPr>
        <w:spacing w:after="0" w:line="225" w:lineRule="exact"/>
        <w:rPr>
          <w:sz w:val="20"/>
          <w:szCs w:val="20"/>
          <w:color w:val="auto"/>
        </w:rPr>
      </w:pPr>
    </w:p>
    <w:p>
      <w:pPr>
        <w:ind w:left="660"/>
        <w:spacing w:after="0"/>
        <w:tabs>
          <w:tab w:leader="none" w:pos="6480" w:val="left"/>
          <w:tab w:leader="none" w:pos="6820" w:val="left"/>
        </w:tabs>
        <w:rPr>
          <w:sz w:val="20"/>
          <w:szCs w:val="20"/>
          <w:color w:val="auto"/>
        </w:rPr>
      </w:pPr>
      <w:r>
        <w:rPr>
          <w:rFonts w:ascii="Arial" w:cs="Arial" w:eastAsia="Arial" w:hAnsi="Arial"/>
          <w:sz w:val="18"/>
          <w:szCs w:val="18"/>
          <w:color w:val="auto"/>
        </w:rPr>
        <w:t>Party A shall transfer to [Party B / Party B’s designated person(s):</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equity interest of the Company / the following assets:</w:t>
      </w:r>
    </w:p>
    <w:p>
      <w:pPr>
        <w:spacing w:after="0" w:line="23" w:lineRule="exact"/>
        <w:rPr>
          <w:sz w:val="20"/>
          <w:szCs w:val="20"/>
          <w:color w:val="auto"/>
        </w:rPr>
      </w:pPr>
    </w:p>
    <w:p>
      <w:pPr>
        <w:ind w:left="2660"/>
        <w:spacing w:after="0"/>
        <w:tabs>
          <w:tab w:leader="none" w:pos="8460" w:val="left"/>
        </w:tabs>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i w:val="1"/>
          <w:iCs w:val="1"/>
          <w:color w:val="auto"/>
        </w:rPr>
        <w:t>Transferred Interest</w:t>
      </w:r>
      <w:r>
        <w:rPr>
          <w:rFonts w:ascii="Arial" w:cs="Arial" w:eastAsia="Arial" w:hAnsi="Arial"/>
          <w:sz w:val="18"/>
          <w:szCs w:val="18"/>
          <w:color w:val="auto"/>
        </w:rPr>
        <w:t>”) for the total purchase price of [RMB</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2. Undertakings and Guarantee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Article 3. Liabilities for Breach of Contract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sectPr>
          <w:pgSz w:w="11900" w:h="16932" w:orient="portrait"/>
          <w:cols w:equalWidth="0" w:num="1">
            <w:col w:w="11460"/>
          </w:cols>
          <w:pgMar w:left="240" w:top="342" w:right="199" w:bottom="0" w:gutter="0" w:footer="0" w:header="0"/>
          <w:type w:val="continuous"/>
        </w:sectPr>
      </w:pPr>
    </w:p>
    <w:bookmarkStart w:id="208" w:name="page209"/>
    <w:bookmarkEnd w:id="208"/>
    <w:p>
      <w:pPr>
        <w:spacing w:after="0"/>
        <w:rPr>
          <w:sz w:val="20"/>
          <w:szCs w:val="20"/>
          <w:color w:val="auto"/>
        </w:rPr>
      </w:pPr>
      <w:r>
        <w:rPr>
          <w:rFonts w:ascii="Arial" w:cs="Arial" w:eastAsia="Arial" w:hAnsi="Arial"/>
          <w:sz w:val="18"/>
          <w:szCs w:val="18"/>
          <w:color w:val="auto"/>
        </w:rPr>
        <w:t>Article 4. Method of Dispute Resolutions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Article 5. Others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Agreement shall be executed in </w:t>
      </w:r>
      <w:r>
        <w:rPr>
          <w:rFonts w:ascii="Arial" w:cs="Arial" w:eastAsia="Arial" w:hAnsi="Arial"/>
          <w:sz w:val="16"/>
          <w:szCs w:val="16"/>
          <w:u w:val="single" w:color="auto"/>
          <w:color w:val="auto"/>
        </w:rPr>
        <w:t>triplicate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each of the Parties and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the Company for use in completing the relevant formalities.</w:t>
      </w:r>
    </w:p>
    <w:p>
      <w:pPr>
        <w:sectPr>
          <w:pgSz w:w="11900" w:h="16838" w:orient="portrait"/>
          <w:cols w:equalWidth="0" w:num="1">
            <w:col w:w="11280"/>
          </w:cols>
          <w:pgMar w:left="240" w:top="341" w:right="3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Party A (signature):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[signed]</w:t>
      </w:r>
    </w:p>
    <w:p>
      <w:pPr>
        <w:spacing w:after="0" w:line="200" w:lineRule="exact"/>
        <w:rPr>
          <w:sz w:val="20"/>
          <w:szCs w:val="20"/>
          <w:color w:val="auto"/>
        </w:rPr>
      </w:pPr>
    </w:p>
    <w:p>
      <w:pPr>
        <w:sectPr>
          <w:pgSz w:w="11900" w:h="16838" w:orient="portrait"/>
          <w:cols w:equalWidth="0" w:num="2">
            <w:col w:w="1440" w:space="560"/>
            <w:col w:w="9280"/>
          </w:cols>
          <w:pgMar w:left="240" w:top="341" w:right="3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Party B (signature):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[signed]</w:t>
      </w:r>
    </w:p>
    <w:p>
      <w:pPr>
        <w:spacing w:after="0" w:line="200" w:lineRule="exact"/>
        <w:rPr>
          <w:sz w:val="20"/>
          <w:szCs w:val="20"/>
          <w:color w:val="auto"/>
        </w:rPr>
      </w:pPr>
    </w:p>
    <w:p>
      <w:pPr>
        <w:sectPr>
          <w:pgSz w:w="11900" w:h="16838" w:orient="portrait"/>
          <w:cols w:equalWidth="0" w:num="2">
            <w:col w:w="1420" w:space="580"/>
            <w:col w:w="9280"/>
          </w:cols>
          <w:pgMar w:left="240" w:top="341" w:right="379" w:bottom="1440" w:gutter="0" w:footer="0" w:header="0"/>
          <w:type w:val="continuous"/>
        </w:sectPr>
      </w:pPr>
    </w:p>
    <w:p>
      <w:pPr>
        <w:spacing w:after="0" w:line="37" w:lineRule="exact"/>
        <w:rPr>
          <w:sz w:val="20"/>
          <w:szCs w:val="20"/>
          <w:color w:val="auto"/>
        </w:rPr>
      </w:pPr>
    </w:p>
    <w:p>
      <w:pPr>
        <w:ind w:left="5720"/>
        <w:spacing w:after="0"/>
        <w:tabs>
          <w:tab w:leader="none" w:pos="664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type w:val="continuous"/>
        </w:sectPr>
      </w:pPr>
    </w:p>
    <w:bookmarkStart w:id="209" w:name="page210"/>
    <w:bookmarkEnd w:id="209"/>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4.50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PURCHASE OPTION AGREEMENT</w:t>
      </w:r>
    </w:p>
    <w:p>
      <w:pPr>
        <w:spacing w:after="0" w:line="207"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color w:val="auto"/>
        </w:rPr>
        <w:t>This Amended and Restated Exclusive Purchase Option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December 1, 2015 to amend and restate in its entirety the Exclusive Purchase Option Agreement entered into by and among the following parties (or their predecessors in interest) on April 15, 2009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pacing w:after="0" w:line="176"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Party A:</w:t>
      </w:r>
      <w:r>
        <w:rPr>
          <w:sz w:val="20"/>
          <w:szCs w:val="20"/>
          <w:color w:val="auto"/>
        </w:rPr>
        <w:tab/>
      </w:r>
      <w:r>
        <w:rPr>
          <w:rFonts w:ascii="Arial" w:cs="Arial" w:eastAsia="Arial" w:hAnsi="Arial"/>
          <w:sz w:val="16"/>
          <w:szCs w:val="16"/>
          <w:b w:val="1"/>
          <w:bCs w:val="1"/>
          <w:color w:val="auto"/>
        </w:rPr>
        <w:t>NetEase (Hangzhou) Network Co., Ltd</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Address</w:t>
      </w:r>
      <w:r>
        <w:rPr>
          <w:rFonts w:ascii="Arial" w:cs="Arial" w:eastAsia="Arial" w:hAnsi="Arial"/>
          <w:sz w:val="18"/>
          <w:szCs w:val="18"/>
          <w:color w:val="auto"/>
        </w:rPr>
        <w:t>: 7/F, Building 4, No. 599 Wangshang Road, Binjiang District, Hangzhou, Zhejiang, PRC</w:t>
      </w:r>
    </w:p>
    <w:p>
      <w:pPr>
        <w:sectPr>
          <w:pgSz w:w="11900" w:h="16885" w:orient="portrait"/>
          <w:cols w:equalWidth="0" w:num="1">
            <w:col w:w="11420"/>
          </w:cols>
          <w:pgMar w:left="240" w:top="12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Number: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 Zhipeng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330106197812210436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 14 South Street, Chaoyangmen, FESCO, Beijing, PRC</w:t>
      </w:r>
    </w:p>
    <w:p>
      <w:pPr>
        <w:spacing w:after="0" w:line="200" w:lineRule="exact"/>
        <w:rPr>
          <w:sz w:val="20"/>
          <w:szCs w:val="20"/>
          <w:color w:val="auto"/>
        </w:rPr>
      </w:pPr>
    </w:p>
    <w:p>
      <w:pPr>
        <w:sectPr>
          <w:pgSz w:w="11900" w:h="16885" w:orient="portrait"/>
          <w:cols w:equalWidth="0" w:num="2">
            <w:col w:w="1320" w:space="720"/>
            <w:col w:w="938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Hangzhou NetEase Leihuo Network Co., Ltd.</w:t>
      </w:r>
    </w:p>
    <w:p>
      <w:pPr>
        <w:spacing w:after="0" w:line="207" w:lineRule="exact"/>
        <w:rPr>
          <w:sz w:val="20"/>
          <w:szCs w:val="20"/>
          <w:color w:val="auto"/>
        </w:rPr>
      </w:pPr>
    </w:p>
    <w:p>
      <w:pPr>
        <w:sectPr>
          <w:pgSz w:w="11900" w:h="16885" w:orient="portrait"/>
          <w:cols w:equalWidth="0" w:num="2">
            <w:col w:w="1320" w:space="720"/>
            <w:col w:w="9380"/>
          </w:cols>
          <w:pgMar w:left="240" w:top="121"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Registration Address: </w:t>
      </w:r>
      <w:r>
        <w:rPr>
          <w:rFonts w:ascii="Arial" w:cs="Arial" w:eastAsia="Arial" w:hAnsi="Arial"/>
          <w:sz w:val="18"/>
          <w:szCs w:val="18"/>
          <w:color w:val="auto"/>
        </w:rPr>
        <w:t>Room 702, Building 4, No. 599 Wangshang Road, Binjiang District, Hangzhou, Zhejiang, PRC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and Party C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hanging="652"/>
        <w:spacing w:after="0"/>
        <w:tabs>
          <w:tab w:leader="none" w:pos="6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Party A is a wholly foreign-owned enterprise incorporated under the laws of the People’s Republic of China (the “</w:t>
      </w:r>
      <w:r>
        <w:rPr>
          <w:rFonts w:ascii="Arial" w:cs="Arial" w:eastAsia="Arial" w:hAnsi="Arial"/>
          <w:sz w:val="18"/>
          <w:szCs w:val="18"/>
          <w:b w:val="1"/>
          <w:bCs w:val="1"/>
          <w:color w:val="auto"/>
        </w:rPr>
        <w:t>PRC</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hanging="652"/>
        <w:spacing w:after="0"/>
        <w:tabs>
          <w:tab w:leader="none" w:pos="6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Party C is a limited liability company incorporated in the PRC;</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Party B is a shareholder of Party C. Party B has ownership of 50% of the equity interest in Party C (the “</w:t>
      </w:r>
      <w:r>
        <w:rPr>
          <w:rFonts w:ascii="Arial" w:cs="Arial" w:eastAsia="Arial" w:hAnsi="Arial"/>
          <w:sz w:val="18"/>
          <w:szCs w:val="18"/>
          <w:b w:val="1"/>
          <w:bCs w:val="1"/>
          <w:color w:val="auto"/>
        </w:rPr>
        <w:t>Equity Interest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right="280" w:hanging="652"/>
        <w:spacing w:after="0" w:line="259" w:lineRule="auto"/>
        <w:tabs>
          <w:tab w:leader="none" w:pos="6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Party A and Party B entered into an amended and restated loan agreement (as the same may be amended and supplemented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on December 1, 2015 pursuant to which Party A made a loan, and may make additional loans from time to time, to Party B (such loans are hereinafter collectively referred to as the “</w:t>
      </w:r>
      <w:r>
        <w:rPr>
          <w:rFonts w:ascii="Arial" w:cs="Arial" w:eastAsia="Arial" w:hAnsi="Arial"/>
          <w:sz w:val="18"/>
          <w:szCs w:val="18"/>
          <w:b w:val="1"/>
          <w:bCs w:val="1"/>
          <w:color w:val="auto"/>
        </w:rPr>
        <w:t>Loan</w:t>
      </w:r>
      <w:r>
        <w:rPr>
          <w:rFonts w:ascii="Arial" w:cs="Arial" w:eastAsia="Arial" w:hAnsi="Arial"/>
          <w:sz w:val="18"/>
          <w:szCs w:val="18"/>
          <w:color w:val="auto"/>
        </w:rPr>
        <w:t>”), so that Party B could invest the proceeds from the Loan in Party C as a capital contribution; and</w:t>
      </w:r>
    </w:p>
    <w:p>
      <w:pPr>
        <w:spacing w:after="0" w:line="182" w:lineRule="exact"/>
        <w:rPr>
          <w:rFonts w:ascii="Arial" w:cs="Arial" w:eastAsia="Arial" w:hAnsi="Arial"/>
          <w:sz w:val="18"/>
          <w:szCs w:val="18"/>
          <w:color w:val="auto"/>
        </w:rPr>
      </w:pPr>
    </w:p>
    <w:p>
      <w:pPr>
        <w:ind w:left="660" w:right="580" w:hanging="652"/>
        <w:spacing w:after="0" w:line="503" w:lineRule="auto"/>
        <w:tabs>
          <w:tab w:leader="none" w:pos="6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Party A and Party B entered into an amended and restated equity pledge agreement (the “</w:t>
      </w:r>
      <w:r>
        <w:rPr>
          <w:rFonts w:ascii="Arial" w:cs="Arial" w:eastAsia="Arial" w:hAnsi="Arial"/>
          <w:sz w:val="18"/>
          <w:szCs w:val="18"/>
          <w:b w:val="1"/>
          <w:bCs w:val="1"/>
          <w:color w:val="auto"/>
        </w:rPr>
        <w:t>Equity Pledge Agreement</w:t>
      </w:r>
      <w:r>
        <w:rPr>
          <w:rFonts w:ascii="Arial" w:cs="Arial" w:eastAsia="Arial" w:hAnsi="Arial"/>
          <w:sz w:val="18"/>
          <w:szCs w:val="18"/>
          <w:color w:val="auto"/>
        </w:rPr>
        <w:t xml:space="preserve">”) on December 1, 2015. </w:t>
      </w: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Purchase and Sale of Interest</w:t>
      </w:r>
    </w:p>
    <w:p>
      <w:pPr>
        <w:spacing w:after="0" w:line="22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Granting of Rights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Equity Option</w:t>
      </w:r>
    </w:p>
    <w:p>
      <w:pPr>
        <w:spacing w:after="0" w:line="225" w:lineRule="exact"/>
        <w:rPr>
          <w:sz w:val="20"/>
          <w:szCs w:val="20"/>
          <w:color w:val="auto"/>
        </w:rPr>
      </w:pPr>
    </w:p>
    <w:p>
      <w:pPr>
        <w:ind w:left="1300" w:right="120"/>
        <w:spacing w:after="0" w:line="293" w:lineRule="auto"/>
        <w:rPr>
          <w:sz w:val="20"/>
          <w:szCs w:val="20"/>
          <w:color w:val="auto"/>
        </w:rPr>
      </w:pPr>
      <w:r>
        <w:rPr>
          <w:rFonts w:ascii="Arial" w:cs="Arial" w:eastAsia="Arial" w:hAnsi="Arial"/>
          <w:sz w:val="16"/>
          <w:szCs w:val="16"/>
          <w:color w:val="auto"/>
        </w:rPr>
        <w:t>Party B hereby irrevocably grants to Party A an option (exercisable one or more times) to purchase or cause any one or more persons designated by Party A (“</w:t>
      </w:r>
      <w:r>
        <w:rPr>
          <w:rFonts w:ascii="Arial" w:cs="Arial" w:eastAsia="Arial" w:hAnsi="Arial"/>
          <w:sz w:val="16"/>
          <w:szCs w:val="16"/>
          <w:b w:val="1"/>
          <w:bCs w:val="1"/>
          <w:color w:val="auto"/>
        </w:rPr>
        <w:t>Designated Persons</w:t>
      </w:r>
      <w:r>
        <w:rPr>
          <w:rFonts w:ascii="Arial" w:cs="Arial" w:eastAsia="Arial" w:hAnsi="Arial"/>
          <w:sz w:val="16"/>
          <w:szCs w:val="16"/>
          <w:color w:val="auto"/>
        </w:rPr>
        <w:t>”) to purchase, to the extent permitted under PRC law, according to the steps determined by Party A, at the price specified in Article 1.3 of this Agreement, and at any time from Party B, a portion of, or all of, the Equity Interest (the “</w:t>
      </w:r>
      <w:r>
        <w:rPr>
          <w:rFonts w:ascii="Arial" w:cs="Arial" w:eastAsia="Arial" w:hAnsi="Arial"/>
          <w:sz w:val="16"/>
          <w:szCs w:val="16"/>
          <w:b w:val="1"/>
          <w:bCs w:val="1"/>
          <w:color w:val="auto"/>
        </w:rPr>
        <w:t>Equity Option</w:t>
      </w:r>
      <w:r>
        <w:rPr>
          <w:rFonts w:ascii="Arial" w:cs="Arial" w:eastAsia="Arial" w:hAnsi="Arial"/>
          <w:sz w:val="16"/>
          <w:szCs w:val="16"/>
          <w:color w:val="auto"/>
        </w:rPr>
        <w:t>”). No Equity Option shall be granted to any third party other than Party A and/or the Designated Persons. Party C hereby agrees to the granting of the Equity Option by Party B to Party A and/or the Designated Persons. The term “</w:t>
      </w:r>
      <w:r>
        <w:rPr>
          <w:rFonts w:ascii="Arial" w:cs="Arial" w:eastAsia="Arial" w:hAnsi="Arial"/>
          <w:sz w:val="16"/>
          <w:szCs w:val="16"/>
          <w:b w:val="1"/>
          <w:bCs w:val="1"/>
          <w:color w:val="auto"/>
        </w:rPr>
        <w:t>person</w:t>
      </w:r>
      <w:r>
        <w:rPr>
          <w:rFonts w:ascii="Arial" w:cs="Arial" w:eastAsia="Arial" w:hAnsi="Arial"/>
          <w:sz w:val="16"/>
          <w:szCs w:val="16"/>
          <w:color w:val="auto"/>
        </w:rPr>
        <w:t>” in this Agreement means an individual person, corporation, joint venture, partnership, enterprise, trust or a non-corporation organization.</w:t>
      </w:r>
    </w:p>
    <w:p>
      <w:pPr>
        <w:spacing w:after="0" w:line="16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Asset Option</w:t>
      </w:r>
    </w:p>
    <w:p>
      <w:pPr>
        <w:spacing w:after="0" w:line="225" w:lineRule="exact"/>
        <w:rPr>
          <w:sz w:val="20"/>
          <w:szCs w:val="20"/>
          <w:color w:val="auto"/>
        </w:rPr>
      </w:pPr>
    </w:p>
    <w:p>
      <w:pPr>
        <w:ind w:left="1300" w:right="20"/>
        <w:spacing w:after="0" w:line="253" w:lineRule="auto"/>
        <w:rPr>
          <w:sz w:val="20"/>
          <w:szCs w:val="20"/>
          <w:color w:val="auto"/>
        </w:rPr>
      </w:pPr>
      <w:r>
        <w:rPr>
          <w:rFonts w:ascii="Arial" w:cs="Arial" w:eastAsia="Arial" w:hAnsi="Arial"/>
          <w:sz w:val="18"/>
          <w:szCs w:val="18"/>
          <w:color w:val="auto"/>
        </w:rPr>
        <w:t>Party C hereby irrevocably grants to Party A an option (exercisable one or more times) to purchase or cause any Designated Persons to purchase, to the extent permitted under PRC law, according to the steps determined by Party A, at the price specified in Article 1.3 of this Agreement, and at any time from the Party C or its subsidiaries, a portion of, or all of, the assets of Party C held by Party C or its subsidiaries (the “</w:t>
      </w:r>
      <w:r>
        <w:rPr>
          <w:rFonts w:ascii="Arial" w:cs="Arial" w:eastAsia="Arial" w:hAnsi="Arial"/>
          <w:sz w:val="18"/>
          <w:szCs w:val="18"/>
          <w:b w:val="1"/>
          <w:bCs w:val="1"/>
          <w:color w:val="auto"/>
        </w:rPr>
        <w:t>Asset Option</w:t>
      </w:r>
      <w:r>
        <w:rPr>
          <w:rFonts w:ascii="Arial" w:cs="Arial" w:eastAsia="Arial" w:hAnsi="Arial"/>
          <w:sz w:val="18"/>
          <w:szCs w:val="18"/>
          <w:color w:val="auto"/>
        </w:rPr>
        <w:t>”). No Asset Option shall be granted to any third party other than Party A and/or the Designated Persons. Upon exercise of the Asset Option, Party B and Party C hereby agree to take all actions (including execution and delivery of documents), and to cause Party C to take all actions (including execution and delivery of documents), that are necessary or advisable for Party C to transfer any assets to be transferred by the Asset Option. The term “</w:t>
      </w:r>
      <w:r>
        <w:rPr>
          <w:rFonts w:ascii="Arial" w:cs="Arial" w:eastAsia="Arial" w:hAnsi="Arial"/>
          <w:sz w:val="18"/>
          <w:szCs w:val="18"/>
          <w:b w:val="1"/>
          <w:bCs w:val="1"/>
          <w:color w:val="auto"/>
        </w:rPr>
        <w:t>Option</w:t>
      </w:r>
      <w:r>
        <w:rPr>
          <w:rFonts w:ascii="Arial" w:cs="Arial" w:eastAsia="Arial" w:hAnsi="Arial"/>
          <w:sz w:val="18"/>
          <w:szCs w:val="18"/>
          <w:color w:val="auto"/>
        </w:rPr>
        <w:t>” in this Agreement means either the Equity Option or the Asset Option. The term “</w:t>
      </w:r>
      <w:r>
        <w:rPr>
          <w:rFonts w:ascii="Arial" w:cs="Arial" w:eastAsia="Arial" w:hAnsi="Arial"/>
          <w:sz w:val="18"/>
          <w:szCs w:val="18"/>
          <w:b w:val="1"/>
          <w:bCs w:val="1"/>
          <w:color w:val="auto"/>
        </w:rPr>
        <w:t>Transferor</w:t>
      </w:r>
      <w:r>
        <w:rPr>
          <w:rFonts w:ascii="Arial" w:cs="Arial" w:eastAsia="Arial" w:hAnsi="Arial"/>
          <w:sz w:val="18"/>
          <w:szCs w:val="18"/>
          <w:color w:val="auto"/>
        </w:rPr>
        <w:t>” in this Agreement means (i) Party B, in reference to the Equity Option and (ii) Party C, in reference to the Asset Option.</w:t>
      </w:r>
    </w:p>
    <w:p>
      <w:pPr>
        <w:spacing w:after="0" w:line="197"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Exercise Steps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Option Exercise</w:t>
      </w:r>
    </w:p>
    <w:p>
      <w:pPr>
        <w:spacing w:after="0" w:line="225" w:lineRule="exact"/>
        <w:rPr>
          <w:sz w:val="20"/>
          <w:szCs w:val="20"/>
          <w:color w:val="auto"/>
        </w:rPr>
      </w:pPr>
    </w:p>
    <w:p>
      <w:pPr>
        <w:ind w:left="1300" w:right="100"/>
        <w:spacing w:after="0" w:line="312" w:lineRule="auto"/>
        <w:rPr>
          <w:sz w:val="20"/>
          <w:szCs w:val="20"/>
          <w:color w:val="auto"/>
        </w:rPr>
      </w:pPr>
      <w:r>
        <w:rPr>
          <w:rFonts w:ascii="Arial" w:cs="Arial" w:eastAsia="Arial" w:hAnsi="Arial"/>
          <w:sz w:val="16"/>
          <w:szCs w:val="16"/>
          <w:color w:val="auto"/>
        </w:rPr>
        <w:t>Subject to PRC law and regulations, Party A and/or the Designated Persons may exercise either Option, one or more times to the extent the relevant Transferor still owns any Equity Interest or assets subject to an Option, by issuing a written notice in the form attached hereto as Exhibit A (the “</w:t>
      </w:r>
      <w:r>
        <w:rPr>
          <w:rFonts w:ascii="Arial" w:cs="Arial" w:eastAsia="Arial" w:hAnsi="Arial"/>
          <w:sz w:val="16"/>
          <w:szCs w:val="16"/>
          <w:b w:val="1"/>
          <w:bCs w:val="1"/>
          <w:color w:val="auto"/>
        </w:rPr>
        <w:t>Notice</w:t>
      </w:r>
      <w:r>
        <w:rPr>
          <w:rFonts w:ascii="Arial" w:cs="Arial" w:eastAsia="Arial" w:hAnsi="Arial"/>
          <w:sz w:val="16"/>
          <w:szCs w:val="16"/>
          <w:color w:val="auto"/>
        </w:rPr>
        <w:t>”) (i) in the case of the Equity Option, to Party B as the Transferor, specifying the Equity Interest and (ii) in the case</w:t>
      </w:r>
    </w:p>
    <w:p>
      <w:pPr>
        <w:sectPr>
          <w:pgSz w:w="11900" w:h="16885" w:orient="portrait"/>
          <w:cols w:equalWidth="0" w:num="1">
            <w:col w:w="11420"/>
          </w:cols>
          <w:pgMar w:left="240" w:top="121" w:right="239" w:bottom="0" w:gutter="0" w:footer="0" w:header="0"/>
          <w:type w:val="continuous"/>
        </w:sectPr>
      </w:pPr>
    </w:p>
    <w:bookmarkStart w:id="210" w:name="page211"/>
    <w:bookmarkEnd w:id="210"/>
    <w:p>
      <w:pPr>
        <w:ind w:left="1292" w:right="220"/>
        <w:spacing w:after="0" w:line="277" w:lineRule="auto"/>
        <w:rPr>
          <w:sz w:val="20"/>
          <w:szCs w:val="20"/>
          <w:color w:val="auto"/>
        </w:rPr>
      </w:pPr>
      <w:r>
        <w:rPr>
          <w:rFonts w:ascii="Arial" w:cs="Arial" w:eastAsia="Arial" w:hAnsi="Arial"/>
          <w:sz w:val="18"/>
          <w:szCs w:val="18"/>
          <w:color w:val="auto"/>
        </w:rPr>
        <w:t>of the Asset Option, to Party C as the Transferor, specifying the assets to be purchased (such Equity Interest or assets, as the case may be, the “</w:t>
      </w:r>
      <w:r>
        <w:rPr>
          <w:rFonts w:ascii="Arial" w:cs="Arial" w:eastAsia="Arial" w:hAnsi="Arial"/>
          <w:sz w:val="18"/>
          <w:szCs w:val="18"/>
          <w:b w:val="1"/>
          <w:bCs w:val="1"/>
          <w:color w:val="auto"/>
        </w:rPr>
        <w:t>Purchased Interest</w:t>
      </w:r>
      <w:r>
        <w:rPr>
          <w:rFonts w:ascii="Arial" w:cs="Arial" w:eastAsia="Arial" w:hAnsi="Arial"/>
          <w:sz w:val="18"/>
          <w:szCs w:val="18"/>
          <w:color w:val="auto"/>
        </w:rPr>
        <w:t>”) and the manner of such purchase.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Transferor Obligations</w:t>
      </w:r>
    </w:p>
    <w:p>
      <w:pPr>
        <w:spacing w:after="0" w:line="225" w:lineRule="exact"/>
        <w:rPr>
          <w:sz w:val="20"/>
          <w:szCs w:val="20"/>
          <w:color w:val="auto"/>
        </w:rPr>
      </w:pPr>
    </w:p>
    <w:p>
      <w:pPr>
        <w:ind w:left="1292" w:right="80"/>
        <w:spacing w:after="0" w:line="276" w:lineRule="auto"/>
        <w:rPr>
          <w:sz w:val="20"/>
          <w:szCs w:val="20"/>
          <w:color w:val="auto"/>
        </w:rPr>
      </w:pPr>
      <w:r>
        <w:rPr>
          <w:rFonts w:ascii="Arial" w:cs="Arial" w:eastAsia="Arial" w:hAnsi="Arial"/>
          <w:sz w:val="17"/>
          <w:szCs w:val="17"/>
          <w:color w:val="auto"/>
        </w:rPr>
        <w:t>Before or upon execution of this Agreement, each of Party B and Party C shall execute a power of attorney in the form attached hereto as Exhibit B, which may be relied upon by Party A upon exercise of either Option, to execute any documents necessary or advisable to effect the transfer of the Purchased Interest. Upon receipt of the Notice by a Transferor, Party B and Party C agree to promptly take any other required actions (including assisting in obtaining governmental approvals or execution of an updated document in the form of Exhibit B) to effect the transfer of the Purchased Interest to Party A and/or the Designated Persons.</w:t>
      </w:r>
    </w:p>
    <w:p>
      <w:pPr>
        <w:spacing w:after="0" w:line="173"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5"/>
          <w:szCs w:val="15"/>
          <w:color w:val="auto"/>
        </w:rPr>
        <w:t>Purchase Price</w:t>
      </w:r>
    </w:p>
    <w:p>
      <w:pPr>
        <w:spacing w:after="0" w:line="221" w:lineRule="exact"/>
        <w:rPr>
          <w:sz w:val="20"/>
          <w:szCs w:val="20"/>
          <w:color w:val="auto"/>
        </w:rPr>
      </w:pPr>
    </w:p>
    <w:p>
      <w:pPr>
        <w:ind w:left="1932" w:hanging="647"/>
        <w:spacing w:after="0" w:line="289" w:lineRule="auto"/>
        <w:tabs>
          <w:tab w:leader="none" w:pos="191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If Party A exercises either Option, the purchase price of the Purchased Interest (“</w:t>
      </w:r>
      <w:r>
        <w:rPr>
          <w:rFonts w:ascii="Arial" w:cs="Arial" w:eastAsia="Arial" w:hAnsi="Arial"/>
          <w:sz w:val="17"/>
          <w:szCs w:val="17"/>
          <w:b w:val="1"/>
          <w:bCs w:val="1"/>
          <w:color w:val="auto"/>
        </w:rPr>
        <w:t>Purchase Price</w:t>
      </w:r>
      <w:r>
        <w:rPr>
          <w:rFonts w:ascii="Arial" w:cs="Arial" w:eastAsia="Arial" w:hAnsi="Arial"/>
          <w:sz w:val="17"/>
          <w:szCs w:val="17"/>
          <w:color w:val="auto"/>
        </w:rPr>
        <w:t>”) shall be: (i) in the case of the Equity Option, equal to the original and any additional paid-in capital paid by the Transferor for such Equity Interest, and (ii) in the case of the Asset Option, equal to the net book value of the assets as shown in Party C’s financial statements.</w:t>
      </w:r>
    </w:p>
    <w:p>
      <w:pPr>
        <w:spacing w:after="0" w:line="162"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Transfer of the Purchased Interest</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 each exercise of either Option:</w:t>
      </w:r>
    </w:p>
    <w:p>
      <w:pPr>
        <w:spacing w:after="0" w:line="225" w:lineRule="exact"/>
        <w:rPr>
          <w:sz w:val="20"/>
          <w:szCs w:val="20"/>
          <w:color w:val="auto"/>
        </w:rPr>
      </w:pPr>
    </w:p>
    <w:p>
      <w:pPr>
        <w:ind w:left="1932" w:right="100" w:hanging="647"/>
        <w:spacing w:after="0" w:line="342" w:lineRule="auto"/>
        <w:tabs>
          <w:tab w:leader="none" w:pos="1912"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Party C shall (and Party B shall cause Party C to) convene a shareholders’ meeting. During the meeting, resolutions approving the transfer of the Purchased Interest from the Transferor to Party A and/or the Designated Persons shall be adopted;</w:t>
      </w:r>
    </w:p>
    <w:p>
      <w:pPr>
        <w:spacing w:after="0" w:line="124" w:lineRule="exact"/>
        <w:rPr>
          <w:sz w:val="20"/>
          <w:szCs w:val="20"/>
          <w:color w:val="auto"/>
        </w:rPr>
      </w:pPr>
    </w:p>
    <w:p>
      <w:pPr>
        <w:ind w:left="1932" w:right="160" w:hanging="647"/>
        <w:spacing w:after="0" w:line="264" w:lineRule="auto"/>
        <w:tabs>
          <w:tab w:leader="none" w:pos="1912" w:val="left"/>
        </w:tabs>
        <w:rPr>
          <w:sz w:val="20"/>
          <w:szCs w:val="20"/>
          <w:color w:val="auto"/>
        </w:rPr>
      </w:pPr>
      <w:r>
        <w:rPr>
          <w:rFonts w:ascii="Arial" w:cs="Arial" w:eastAsia="Arial" w:hAnsi="Arial"/>
          <w:sz w:val="18"/>
          <w:szCs w:val="18"/>
          <w:color w:val="auto"/>
        </w:rPr>
        <w:t>1.4.2</w:t>
        <w:tab/>
        <w:t>The Transferor shall, in accordance with the terms and conditions of this Agreement and the Notice in connection with the Purchased Interest, enter into a transfer agreement with Party A and/or the Designated Persons (as applicable) for each transfer in the form attached hereto as Exhibit C (“</w:t>
      </w:r>
      <w:r>
        <w:rPr>
          <w:rFonts w:ascii="Arial" w:cs="Arial" w:eastAsia="Arial" w:hAnsi="Arial"/>
          <w:sz w:val="18"/>
          <w:szCs w:val="18"/>
          <w:b w:val="1"/>
          <w:bCs w:val="1"/>
          <w:color w:val="auto"/>
        </w:rPr>
        <w:t>Transfer Agreement</w:t>
      </w:r>
      <w:r>
        <w:rPr>
          <w:rFonts w:ascii="Arial" w:cs="Arial" w:eastAsia="Arial" w:hAnsi="Arial"/>
          <w:sz w:val="18"/>
          <w:szCs w:val="18"/>
          <w:color w:val="auto"/>
        </w:rPr>
        <w:t>”);</w:t>
      </w:r>
    </w:p>
    <w:p>
      <w:pPr>
        <w:spacing w:after="0" w:line="181" w:lineRule="exact"/>
        <w:rPr>
          <w:sz w:val="20"/>
          <w:szCs w:val="20"/>
          <w:color w:val="auto"/>
        </w:rPr>
      </w:pPr>
    </w:p>
    <w:p>
      <w:pPr>
        <w:jc w:val="center"/>
        <w:ind w:left="1240"/>
        <w:spacing w:after="0"/>
        <w:tabs>
          <w:tab w:leader="none" w:pos="2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relevant parties shall execute all other requisite contracts, agreements or documents, obtain all requisite government approvals</w:t>
      </w:r>
    </w:p>
    <w:p>
      <w:pPr>
        <w:spacing w:after="0" w:line="23" w:lineRule="exact"/>
        <w:rPr>
          <w:sz w:val="20"/>
          <w:szCs w:val="20"/>
          <w:color w:val="auto"/>
        </w:rPr>
      </w:pPr>
    </w:p>
    <w:p>
      <w:pPr>
        <w:ind w:left="1952" w:right="80"/>
        <w:spacing w:after="0" w:line="292" w:lineRule="auto"/>
        <w:rPr>
          <w:sz w:val="20"/>
          <w:szCs w:val="20"/>
          <w:color w:val="auto"/>
        </w:rPr>
      </w:pPr>
      <w:r>
        <w:rPr>
          <w:rFonts w:ascii="Arial" w:cs="Arial" w:eastAsia="Arial" w:hAnsi="Arial"/>
          <w:sz w:val="16"/>
          <w:szCs w:val="16"/>
          <w:color w:val="auto"/>
        </w:rPr>
        <w:t>and consents, and take all necessary actions to transfer the valid ownership of the Purchased Interest to Party A and/or the Designated Persons free of any Security Interest, and cause Party A and/or the Designated Persons to be the registered owner(s) of the Purchased Interest. In this clause and this Agreement, “</w:t>
      </w:r>
      <w:r>
        <w:rPr>
          <w:rFonts w:ascii="Arial" w:cs="Arial" w:eastAsia="Arial" w:hAnsi="Arial"/>
          <w:sz w:val="16"/>
          <w:szCs w:val="16"/>
          <w:b w:val="1"/>
          <w:bCs w:val="1"/>
          <w:color w:val="auto"/>
        </w:rPr>
        <w:t>Security Interest</w:t>
      </w:r>
      <w:r>
        <w:rPr>
          <w:rFonts w:ascii="Arial" w:cs="Arial" w:eastAsia="Arial" w:hAnsi="Arial"/>
          <w:sz w:val="16"/>
          <w:szCs w:val="16"/>
          <w:color w:val="auto"/>
        </w:rPr>
        <w:t>” means guaranty, mortgage, pledge, third-party right or interest, any share option, right of acquisition, right of first refusal, right of set-off, ownership, detainment or other security arrangements. However, it does not include any security interest arising under the Equity Pledge Agreement.</w:t>
      </w:r>
    </w:p>
    <w:p>
      <w:pPr>
        <w:spacing w:after="0" w:line="1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Payment</w:t>
      </w:r>
    </w:p>
    <w:p>
      <w:pPr>
        <w:spacing w:after="0" w:line="225" w:lineRule="exact"/>
        <w:rPr>
          <w:sz w:val="20"/>
          <w:szCs w:val="20"/>
          <w:color w:val="auto"/>
        </w:rPr>
      </w:pPr>
    </w:p>
    <w:p>
      <w:pPr>
        <w:ind w:left="1292" w:right="140"/>
        <w:spacing w:after="0" w:line="264" w:lineRule="auto"/>
        <w:rPr>
          <w:sz w:val="20"/>
          <w:szCs w:val="20"/>
          <w:color w:val="auto"/>
        </w:rPr>
      </w:pPr>
      <w:r>
        <w:rPr>
          <w:rFonts w:ascii="Arial" w:cs="Arial" w:eastAsia="Arial" w:hAnsi="Arial"/>
          <w:sz w:val="18"/>
          <w:szCs w:val="18"/>
          <w:color w:val="auto"/>
        </w:rPr>
        <w:t>The manner of payment of the Purchase Price shall be determined as set forth in this Article 1.5, unless otherwise determined through agreement among Party A and/or the Designated Persons and the Transferor or otherwise required by the applicable laws at the time of the exercise of the Option.</w:t>
      </w:r>
    </w:p>
    <w:p>
      <w:pPr>
        <w:spacing w:after="0" w:line="181"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Offset Payment for Equity Option</w:t>
      </w:r>
    </w:p>
    <w:p>
      <w:pPr>
        <w:spacing w:after="0" w:line="225" w:lineRule="exact"/>
        <w:rPr>
          <w:sz w:val="20"/>
          <w:szCs w:val="20"/>
          <w:color w:val="auto"/>
        </w:rPr>
      </w:pPr>
    </w:p>
    <w:p>
      <w:pPr>
        <w:ind w:left="1952" w:right="20"/>
        <w:spacing w:after="0" w:line="273" w:lineRule="auto"/>
        <w:rPr>
          <w:sz w:val="20"/>
          <w:szCs w:val="20"/>
          <w:color w:val="auto"/>
        </w:rPr>
      </w:pPr>
      <w:r>
        <w:rPr>
          <w:rFonts w:ascii="Arial" w:cs="Arial" w:eastAsia="Arial" w:hAnsi="Arial"/>
          <w:sz w:val="17"/>
          <w:szCs w:val="17"/>
          <w:color w:val="auto"/>
        </w:rPr>
        <w:t>Each time Party A exercises the Equity Option, the Purchase Price that is payable by Party A and/or the Designated Persons to the Transferor in connection with the Purchased Interest shall be used to offset the amount outstanding on the Loan (with such offset applied to the principal, interest and capital utilization costs for the Loan), provided that if there is any tax and/or other expenses paid or payable by Party B in connection with the transfer of the Purchased Interest in accordance with this Agreement, then a portion of the Purchase Price equal to the amount of such tax and/or other expenses shall be paid to Party B in cash and not applied as an offset to the amount outstanding on the Loan.</w:t>
      </w:r>
    </w:p>
    <w:p>
      <w:pPr>
        <w:spacing w:after="0" w:line="178" w:lineRule="exact"/>
        <w:rPr>
          <w:sz w:val="20"/>
          <w:szCs w:val="20"/>
          <w:color w:val="auto"/>
        </w:rPr>
      </w:pPr>
    </w:p>
    <w:p>
      <w:pPr>
        <w:ind w:left="1292"/>
        <w:spacing w:after="0"/>
        <w:tabs>
          <w:tab w:leader="none" w:pos="191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Cash Payment for Asset Option</w:t>
      </w:r>
    </w:p>
    <w:p>
      <w:pPr>
        <w:spacing w:after="0" w:line="225" w:lineRule="exact"/>
        <w:rPr>
          <w:sz w:val="20"/>
          <w:szCs w:val="20"/>
          <w:color w:val="auto"/>
        </w:rPr>
      </w:pPr>
    </w:p>
    <w:p>
      <w:pPr>
        <w:ind w:left="1952" w:right="180"/>
        <w:spacing w:after="0" w:line="264" w:lineRule="auto"/>
        <w:rPr>
          <w:sz w:val="20"/>
          <w:szCs w:val="20"/>
          <w:color w:val="auto"/>
        </w:rPr>
      </w:pPr>
      <w:r>
        <w:rPr>
          <w:rFonts w:ascii="Arial" w:cs="Arial" w:eastAsia="Arial" w:hAnsi="Arial"/>
          <w:sz w:val="18"/>
          <w:szCs w:val="18"/>
          <w:color w:val="auto"/>
        </w:rPr>
        <w:t>Each time Party A exercises the Asset Option, the Purchase Price that is payable by Party A and/or the Designated Persons to the Transferor in connection with the Purchased Interest shall be paid in cash to any bank account or person designated by mutual agreement between the Transferor and Party A.</w:t>
      </w:r>
    </w:p>
    <w:p>
      <w:pPr>
        <w:spacing w:after="0" w:line="181"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Restrictions on Purchase Price</w:t>
      </w:r>
    </w:p>
    <w:p>
      <w:pPr>
        <w:spacing w:after="0" w:line="225" w:lineRule="exact"/>
        <w:rPr>
          <w:sz w:val="20"/>
          <w:szCs w:val="20"/>
          <w:color w:val="auto"/>
        </w:rPr>
      </w:pPr>
    </w:p>
    <w:p>
      <w:pPr>
        <w:ind w:left="1292" w:right="260"/>
        <w:spacing w:after="0" w:line="264" w:lineRule="auto"/>
        <w:rPr>
          <w:sz w:val="20"/>
          <w:szCs w:val="20"/>
          <w:color w:val="auto"/>
        </w:rPr>
      </w:pPr>
      <w:r>
        <w:rPr>
          <w:rFonts w:ascii="Arial" w:cs="Arial" w:eastAsia="Arial" w:hAnsi="Arial"/>
          <w:sz w:val="18"/>
          <w:szCs w:val="18"/>
          <w:color w:val="auto"/>
        </w:rPr>
        <w:t>Notwithstanding anything to the contrary in this Agreement, if the then applicable PRC laws or regulations require appraisal of the Purchased Interest or stipulate other restrictions on the Purchase Price at the time that Party A exercises the Option, the Parties agree that the Purchase Price shall be set at the lowest price permissible under applicable law.</w:t>
      </w:r>
    </w:p>
    <w:p>
      <w:pPr>
        <w:spacing w:after="0" w:line="181" w:lineRule="exact"/>
        <w:rPr>
          <w:sz w:val="20"/>
          <w:szCs w:val="20"/>
          <w:color w:val="auto"/>
        </w:rPr>
      </w:pPr>
    </w:p>
    <w:p>
      <w:pPr>
        <w:ind w:left="652" w:hanging="652"/>
        <w:spacing w:after="0"/>
        <w:tabs>
          <w:tab w:leader="none" w:pos="652"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Covenants Relating to the Purchased Interest</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Covenants Relating to Party B and Party C</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Each of Party B and Party C hereby covenants:</w:t>
      </w:r>
    </w:p>
    <w:p>
      <w:pPr>
        <w:sectPr>
          <w:pgSz w:w="11900" w:h="16838" w:orient="portrait"/>
          <w:cols w:equalWidth="0" w:num="1">
            <w:col w:w="11412"/>
          </w:cols>
          <w:pgMar w:left="248" w:top="125" w:right="239" w:bottom="0" w:gutter="0" w:footer="0" w:header="0"/>
        </w:sectPr>
      </w:pPr>
    </w:p>
    <w:bookmarkStart w:id="211" w:name="page212"/>
    <w:bookmarkEnd w:id="211"/>
    <w:p>
      <w:pPr>
        <w:spacing w:after="0" w:line="35" w:lineRule="exact"/>
        <w:rPr>
          <w:sz w:val="20"/>
          <w:szCs w:val="20"/>
          <w:color w:val="auto"/>
        </w:rPr>
      </w:pPr>
    </w:p>
    <w:p>
      <w:pPr>
        <w:ind w:left="880" w:right="20" w:hanging="647"/>
        <w:spacing w:after="0" w:line="277" w:lineRule="auto"/>
        <w:tabs>
          <w:tab w:leader="none" w:pos="860" w:val="left"/>
        </w:tabs>
        <w:rPr>
          <w:sz w:val="20"/>
          <w:szCs w:val="20"/>
          <w:color w:val="auto"/>
        </w:rPr>
      </w:pPr>
      <w:r>
        <w:rPr>
          <w:rFonts w:ascii="Arial" w:cs="Arial" w:eastAsia="Arial" w:hAnsi="Arial"/>
          <w:sz w:val="18"/>
          <w:szCs w:val="18"/>
          <w:color w:val="auto"/>
        </w:rPr>
        <w:t>2.1.1</w:t>
        <w:tab/>
        <w:t>Not to supplement, amend or modify Party C’s articles of association in any way, or to increase or decrease its registered capital, or to change its registered capital structure in any way without Party A’s prior written consent;</w:t>
      </w:r>
    </w:p>
    <w:p>
      <w:pPr>
        <w:spacing w:after="0" w:line="170" w:lineRule="exact"/>
        <w:rPr>
          <w:sz w:val="20"/>
          <w:szCs w:val="20"/>
          <w:color w:val="auto"/>
        </w:rPr>
      </w:pPr>
    </w:p>
    <w:p>
      <w:pPr>
        <w:ind w:left="880" w:right="180" w:hanging="647"/>
        <w:spacing w:after="0" w:line="277" w:lineRule="auto"/>
        <w:tabs>
          <w:tab w:leader="none" w:pos="860" w:val="left"/>
        </w:tabs>
        <w:rPr>
          <w:sz w:val="20"/>
          <w:szCs w:val="20"/>
          <w:color w:val="auto"/>
        </w:rPr>
      </w:pPr>
      <w:r>
        <w:rPr>
          <w:rFonts w:ascii="Arial" w:cs="Arial" w:eastAsia="Arial" w:hAnsi="Arial"/>
          <w:sz w:val="18"/>
          <w:szCs w:val="18"/>
          <w:color w:val="auto"/>
        </w:rPr>
        <w:t>2.1.2</w:t>
        <w:tab/>
        <w:t>To maintain the corporate existence of Party C and operate its business and deal with matters prudently and effectively according to good financial and business rules and practices;</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2.1.3</w:t>
        <w:tab/>
        <w:t>Not to sell, transfer, mortgage or otherwise dispose of, or permit any other Security Interest to be created on, any of Party C’s assets, business or legal or beneficial interests in its revenue at any time after the signing of this Agreement without Party A’s prior written consent;</w:t>
      </w:r>
    </w:p>
    <w:p>
      <w:pPr>
        <w:spacing w:after="0" w:line="181" w:lineRule="exact"/>
        <w:rPr>
          <w:sz w:val="20"/>
          <w:szCs w:val="20"/>
          <w:color w:val="auto"/>
        </w:rPr>
      </w:pPr>
    </w:p>
    <w:p>
      <w:pPr>
        <w:ind w:left="880" w:right="120" w:hanging="647"/>
        <w:spacing w:after="0" w:line="264" w:lineRule="auto"/>
        <w:tabs>
          <w:tab w:leader="none" w:pos="860" w:val="left"/>
        </w:tabs>
        <w:rPr>
          <w:sz w:val="20"/>
          <w:szCs w:val="20"/>
          <w:color w:val="auto"/>
        </w:rPr>
      </w:pPr>
      <w:r>
        <w:rPr>
          <w:rFonts w:ascii="Arial" w:cs="Arial" w:eastAsia="Arial" w:hAnsi="Arial"/>
          <w:sz w:val="18"/>
          <w:szCs w:val="18"/>
          <w:color w:val="auto"/>
        </w:rPr>
        <w:t>2.1.4</w:t>
        <w:tab/>
        <w:t>Not to create, succeed to, guarantee or permit any liability, without Party A’s prior written consent, except (i) liabilities arising from the normal course of business, but not arising from loans; and (ii) liabilities disclosed to Party A and approved by Party A in writing;</w:t>
      </w:r>
    </w:p>
    <w:p>
      <w:pPr>
        <w:spacing w:after="0" w:line="181" w:lineRule="exact"/>
        <w:rPr>
          <w:sz w:val="20"/>
          <w:szCs w:val="20"/>
          <w:color w:val="auto"/>
        </w:rPr>
      </w:pPr>
    </w:p>
    <w:p>
      <w:pPr>
        <w:ind w:left="880" w:right="100" w:hanging="647"/>
        <w:spacing w:after="0" w:line="277" w:lineRule="auto"/>
        <w:tabs>
          <w:tab w:leader="none" w:pos="860" w:val="left"/>
        </w:tabs>
        <w:rPr>
          <w:sz w:val="20"/>
          <w:szCs w:val="20"/>
          <w:color w:val="auto"/>
        </w:rPr>
      </w:pPr>
      <w:r>
        <w:rPr>
          <w:rFonts w:ascii="Arial" w:cs="Arial" w:eastAsia="Arial" w:hAnsi="Arial"/>
          <w:sz w:val="18"/>
          <w:szCs w:val="18"/>
          <w:color w:val="auto"/>
        </w:rPr>
        <w:t>2.1.5</w:t>
        <w:tab/>
        <w:t>To operate all the business in the normal course of business to maintain the value of Party C’s assets, and not to commit any act or omission that would adversely affect Party C’s operations and asset value;</w:t>
      </w:r>
    </w:p>
    <w:p>
      <w:pPr>
        <w:spacing w:after="0" w:line="170" w:lineRule="exact"/>
        <w:rPr>
          <w:sz w:val="20"/>
          <w:szCs w:val="20"/>
          <w:color w:val="auto"/>
        </w:rPr>
      </w:pPr>
    </w:p>
    <w:p>
      <w:pPr>
        <w:ind w:left="880" w:hanging="647"/>
        <w:spacing w:after="0" w:line="342" w:lineRule="auto"/>
        <w:tabs>
          <w:tab w:leader="none" w:pos="8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Without prior written consent by Party A, not to enter into any material agreement, other than agreements entered into in Party C’s normal course of business (for purpose of this paragraph, an agreement will be deemed material if its value exceeds RMB100,000);</w:t>
      </w:r>
    </w:p>
    <w:p>
      <w:pPr>
        <w:spacing w:after="0" w:line="124"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Not to provide loans or credit to any person (other than in the normal course of business) without Party A’s prior written consent;</w:t>
      </w:r>
    </w:p>
    <w:p>
      <w:pPr>
        <w:spacing w:after="0" w:line="225"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To provide all information relating to Party C’s operations and financial conditions upon the request of Party A;</w:t>
      </w:r>
    </w:p>
    <w:p>
      <w:pPr>
        <w:spacing w:after="0" w:line="225" w:lineRule="exact"/>
        <w:rPr>
          <w:sz w:val="20"/>
          <w:szCs w:val="20"/>
          <w:color w:val="auto"/>
        </w:rPr>
      </w:pPr>
    </w:p>
    <w:p>
      <w:pPr>
        <w:ind w:left="880" w:right="160" w:hanging="647"/>
        <w:spacing w:after="0" w:line="264" w:lineRule="auto"/>
        <w:tabs>
          <w:tab w:leader="none" w:pos="860" w:val="left"/>
        </w:tabs>
        <w:rPr>
          <w:sz w:val="20"/>
          <w:szCs w:val="20"/>
          <w:color w:val="auto"/>
        </w:rPr>
      </w:pPr>
      <w:r>
        <w:rPr>
          <w:rFonts w:ascii="Arial" w:cs="Arial" w:eastAsia="Arial" w:hAnsi="Arial"/>
          <w:sz w:val="18"/>
          <w:szCs w:val="18"/>
          <w:color w:val="auto"/>
        </w:rPr>
        <w:t>2.1.9</w:t>
        <w:tab/>
        <w:t>To purchase and maintain insurance from insurance companies accepted by Party A. The amount and category of the insurance shall be the same as those of the insurance normally procured by companies engaged in similar businesses and possessing similar properties or assets in the area where Party C is located;</w:t>
      </w:r>
    </w:p>
    <w:p>
      <w:pPr>
        <w:spacing w:after="0" w:line="18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Not to merge or consolidate with, or acquire or invest in, any person without Party A’s prior written consent;</w:t>
      </w:r>
    </w:p>
    <w:p>
      <w:pPr>
        <w:spacing w:after="0" w:line="225" w:lineRule="exact"/>
        <w:rPr>
          <w:sz w:val="20"/>
          <w:szCs w:val="20"/>
          <w:color w:val="auto"/>
        </w:rPr>
      </w:pPr>
    </w:p>
    <w:p>
      <w:pPr>
        <w:ind w:left="880" w:hanging="647"/>
        <w:spacing w:after="0" w:line="277" w:lineRule="auto"/>
        <w:tabs>
          <w:tab w:leader="none" w:pos="860" w:val="left"/>
        </w:tabs>
        <w:rPr>
          <w:sz w:val="20"/>
          <w:szCs w:val="20"/>
          <w:color w:val="auto"/>
        </w:rPr>
      </w:pPr>
      <w:r>
        <w:rPr>
          <w:rFonts w:ascii="Arial" w:cs="Arial" w:eastAsia="Arial" w:hAnsi="Arial"/>
          <w:sz w:val="18"/>
          <w:szCs w:val="18"/>
          <w:color w:val="auto"/>
        </w:rPr>
        <w:t>2.1.11</w:t>
        <w:tab/>
        <w:t>To promptly notify Party A of any pending or threatened suit, arbitration or administrative proceedings concerning Party C’s assets, business or revenue;</w:t>
      </w:r>
    </w:p>
    <w:p>
      <w:pPr>
        <w:spacing w:after="0" w:line="170" w:lineRule="exact"/>
        <w:rPr>
          <w:sz w:val="20"/>
          <w:szCs w:val="20"/>
          <w:color w:val="auto"/>
        </w:rPr>
      </w:pPr>
    </w:p>
    <w:p>
      <w:pPr>
        <w:jc w:val="both"/>
        <w:ind w:left="880" w:right="600" w:hanging="647"/>
        <w:spacing w:after="0" w:line="264" w:lineRule="auto"/>
        <w:tabs>
          <w:tab w:leader="none" w:pos="860" w:val="left"/>
        </w:tabs>
        <w:rPr>
          <w:sz w:val="20"/>
          <w:szCs w:val="20"/>
          <w:color w:val="auto"/>
        </w:rPr>
      </w:pPr>
      <w:r>
        <w:rPr>
          <w:rFonts w:ascii="Arial" w:cs="Arial" w:eastAsia="Arial" w:hAnsi="Arial"/>
          <w:sz w:val="18"/>
          <w:szCs w:val="18"/>
          <w:color w:val="auto"/>
        </w:rPr>
        <w:t>2.1.12</w:t>
        <w:tab/>
        <w:t>To execute all necessary or appropriate documents, to take all necessary or appropriate actions and to bring all necessary or appropriate claims or to make all necessary and appropriate defenses against all claims in order for Party C to maintain the ownership over all its assets;</w:t>
      </w:r>
    </w:p>
    <w:p>
      <w:pPr>
        <w:spacing w:after="0" w:line="181" w:lineRule="exact"/>
        <w:rPr>
          <w:sz w:val="20"/>
          <w:szCs w:val="20"/>
          <w:color w:val="auto"/>
        </w:rPr>
      </w:pPr>
    </w:p>
    <w:p>
      <w:pPr>
        <w:ind w:left="880" w:right="260" w:hanging="647"/>
        <w:spacing w:after="0" w:line="277" w:lineRule="auto"/>
        <w:tabs>
          <w:tab w:leader="none" w:pos="860" w:val="left"/>
        </w:tabs>
        <w:rPr>
          <w:sz w:val="20"/>
          <w:szCs w:val="20"/>
          <w:color w:val="auto"/>
        </w:rPr>
      </w:pPr>
      <w:r>
        <w:rPr>
          <w:rFonts w:ascii="Arial" w:cs="Arial" w:eastAsia="Arial" w:hAnsi="Arial"/>
          <w:sz w:val="18"/>
          <w:szCs w:val="18"/>
          <w:color w:val="auto"/>
        </w:rPr>
        <w:t>2.1.13</w:t>
        <w:tab/>
        <w:t>Not to distribute dividends to Party C’s shareholders in any way without Party A’s prior written consent. However, Party C shall promptly distribute all or part of its distributable profits to its shareholders upon Party A’s request; and</w:t>
      </w:r>
    </w:p>
    <w:p>
      <w:pPr>
        <w:spacing w:after="0" w:line="1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81280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Covenants Relating to Party B</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Party B hereby covenants:</w:t>
      </w:r>
    </w:p>
    <w:p>
      <w:pPr>
        <w:spacing w:after="0" w:line="225" w:lineRule="exact"/>
        <w:rPr>
          <w:sz w:val="20"/>
          <w:szCs w:val="20"/>
          <w:color w:val="auto"/>
        </w:rPr>
      </w:pPr>
    </w:p>
    <w:p>
      <w:pPr>
        <w:jc w:val="both"/>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2.2.1</w:t>
        <w:tab/>
        <w:t>Not to sell, transfer, mortgage or otherwise dispose of, or allow any other Security Interest to be created on, the legal or beneficial interest in the Equity Interest at any time after the signing of this Agreement without Party A’s prior written consent, other than the pledge created on Party B’s Equity Interest in accordance with the Equity Pledge Agreement;</w:t>
      </w:r>
    </w:p>
    <w:p>
      <w:pPr>
        <w:spacing w:after="0" w:line="181" w:lineRule="exact"/>
        <w:rPr>
          <w:sz w:val="20"/>
          <w:szCs w:val="20"/>
          <w:color w:val="auto"/>
        </w:rPr>
      </w:pPr>
    </w:p>
    <w:p>
      <w:pPr>
        <w:ind w:left="880" w:right="120" w:hanging="647"/>
        <w:spacing w:after="0" w:line="259" w:lineRule="auto"/>
        <w:tabs>
          <w:tab w:leader="none" w:pos="860" w:val="left"/>
        </w:tabs>
        <w:rPr>
          <w:sz w:val="20"/>
          <w:szCs w:val="20"/>
          <w:color w:val="auto"/>
        </w:rPr>
      </w:pPr>
      <w:r>
        <w:rPr>
          <w:rFonts w:ascii="Arial" w:cs="Arial" w:eastAsia="Arial" w:hAnsi="Arial"/>
          <w:sz w:val="18"/>
          <w:szCs w:val="18"/>
          <w:color w:val="auto"/>
        </w:rPr>
        <w:t>2.2.2</w:t>
        <w:tab/>
        <w:t>Without Party A’s prior written consent, not to vote for or sign any shareholders’ resolution at Party C’s shareholders’ meetings to approve the sale, transfer, mortgage or disposition in any other manner of, or the creation of any other Security Interest on, any legal or beneficial interest in the Equity Interest or Party C’s assets, except to or for the benefit of Party A or its designated persons;</w:t>
      </w:r>
    </w:p>
    <w:p>
      <w:pPr>
        <w:spacing w:after="0" w:line="187" w:lineRule="exact"/>
        <w:rPr>
          <w:sz w:val="20"/>
          <w:szCs w:val="20"/>
          <w:color w:val="auto"/>
        </w:rPr>
      </w:pPr>
    </w:p>
    <w:p>
      <w:pPr>
        <w:ind w:left="880" w:right="120" w:hanging="647"/>
        <w:spacing w:after="0" w:line="277" w:lineRule="auto"/>
        <w:tabs>
          <w:tab w:leader="none" w:pos="860" w:val="left"/>
        </w:tabs>
        <w:rPr>
          <w:sz w:val="20"/>
          <w:szCs w:val="20"/>
          <w:color w:val="auto"/>
        </w:rPr>
      </w:pPr>
      <w:r>
        <w:rPr>
          <w:rFonts w:ascii="Arial" w:cs="Arial" w:eastAsia="Arial" w:hAnsi="Arial"/>
          <w:sz w:val="18"/>
          <w:szCs w:val="18"/>
          <w:color w:val="auto"/>
        </w:rPr>
        <w:t>2.2.3</w:t>
        <w:tab/>
        <w:t>Without Party A’s prior written consent, not to vote for or sign any shareholders’ resolution at Party C’s shareholders’ meetings to approve Party C’s merger or consolidation with, acquisition of or investment in, any person;</w:t>
      </w:r>
    </w:p>
    <w:p>
      <w:pPr>
        <w:spacing w:after="0" w:line="170" w:lineRule="exact"/>
        <w:rPr>
          <w:sz w:val="20"/>
          <w:szCs w:val="20"/>
          <w:color w:val="auto"/>
        </w:rPr>
      </w:pPr>
    </w:p>
    <w:p>
      <w:pPr>
        <w:ind w:left="880" w:right="420" w:hanging="647"/>
        <w:spacing w:after="0" w:line="277" w:lineRule="auto"/>
        <w:tabs>
          <w:tab w:leader="none" w:pos="860" w:val="left"/>
        </w:tabs>
        <w:rPr>
          <w:sz w:val="20"/>
          <w:szCs w:val="20"/>
          <w:color w:val="auto"/>
        </w:rPr>
      </w:pPr>
      <w:r>
        <w:rPr>
          <w:rFonts w:ascii="Arial" w:cs="Arial" w:eastAsia="Arial" w:hAnsi="Arial"/>
          <w:sz w:val="18"/>
          <w:szCs w:val="18"/>
          <w:color w:val="auto"/>
        </w:rPr>
        <w:t>2.2.4</w:t>
        <w:tab/>
        <w:t>To promptly notify Party A of any pending or threatened suit, arbitration or administrative proceedings concerning the Equity Interest owned by it;</w:t>
      </w:r>
    </w:p>
    <w:p>
      <w:pPr>
        <w:spacing w:after="0" w:line="170"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To cause any relevant shareholders’ meeting to approve the transfer of any Purchased Interest under this Agreement;</w:t>
      </w:r>
    </w:p>
    <w:p>
      <w:pPr>
        <w:spacing w:after="0" w:line="225" w:lineRule="exact"/>
        <w:rPr>
          <w:sz w:val="20"/>
          <w:szCs w:val="20"/>
          <w:color w:val="auto"/>
        </w:rPr>
      </w:pPr>
    </w:p>
    <w:p>
      <w:pPr>
        <w:ind w:left="880" w:right="60" w:hanging="647"/>
        <w:spacing w:after="0" w:line="264" w:lineRule="auto"/>
        <w:tabs>
          <w:tab w:leader="none" w:pos="860" w:val="left"/>
        </w:tabs>
        <w:rPr>
          <w:sz w:val="20"/>
          <w:szCs w:val="20"/>
          <w:color w:val="auto"/>
        </w:rPr>
      </w:pPr>
      <w:r>
        <w:rPr>
          <w:rFonts w:ascii="Arial" w:cs="Arial" w:eastAsia="Arial" w:hAnsi="Arial"/>
          <w:sz w:val="18"/>
          <w:szCs w:val="18"/>
          <w:color w:val="auto"/>
        </w:rPr>
        <w:t>2.2.6</w:t>
        <w:tab/>
        <w:t>To execute all necessary or appropriate documents, to take all necessary or appropriate actions and to bring all necessary or appropriate claims or to make all necessary and appropriate defenses against all claims in order to maintain his/her ownership over the Equity Interest;</w:t>
      </w:r>
    </w:p>
    <w:p>
      <w:pPr>
        <w:spacing w:after="0" w:line="181" w:lineRule="exact"/>
        <w:rPr>
          <w:sz w:val="20"/>
          <w:szCs w:val="20"/>
          <w:color w:val="auto"/>
        </w:rPr>
      </w:pPr>
    </w:p>
    <w:p>
      <w:pPr>
        <w:ind w:left="240"/>
        <w:spacing w:after="0"/>
        <w:tabs>
          <w:tab w:leader="none" w:pos="8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At the request of Party A, to appoint persons nominated by Party A to be the directors of Party C;</w:t>
      </w:r>
    </w:p>
    <w:p>
      <w:pPr>
        <w:sectPr>
          <w:pgSz w:w="11900" w:h="16874" w:orient="portrait"/>
          <w:cols w:equalWidth="0" w:num="1">
            <w:col w:w="10360"/>
          </w:cols>
          <w:pgMar w:left="1300" w:top="125" w:right="239" w:bottom="0" w:gutter="0" w:footer="0" w:header="0"/>
        </w:sectPr>
      </w:pPr>
    </w:p>
    <w:bookmarkStart w:id="212" w:name="page213"/>
    <w:bookmarkEnd w:id="212"/>
    <w:p>
      <w:pPr>
        <w:spacing w:after="0" w:line="137" w:lineRule="exact"/>
        <w:rPr>
          <w:sz w:val="20"/>
          <w:szCs w:val="20"/>
          <w:color w:val="auto"/>
        </w:rPr>
      </w:pPr>
    </w:p>
    <w:p>
      <w:pPr>
        <w:jc w:val="both"/>
        <w:ind w:left="1932" w:right="80" w:hanging="647"/>
        <w:spacing w:after="0" w:line="264" w:lineRule="auto"/>
        <w:tabs>
          <w:tab w:leader="none" w:pos="1912" w:val="left"/>
        </w:tabs>
        <w:rPr>
          <w:sz w:val="20"/>
          <w:szCs w:val="20"/>
          <w:color w:val="auto"/>
        </w:rPr>
      </w:pPr>
      <w:r>
        <w:rPr>
          <w:rFonts w:ascii="Arial" w:cs="Arial" w:eastAsia="Arial" w:hAnsi="Arial"/>
          <w:sz w:val="18"/>
          <w:szCs w:val="18"/>
          <w:color w:val="auto"/>
        </w:rPr>
        <w:t>2.2.8</w:t>
        <w:tab/>
        <w:t>At any time, upon the request of Party A, to transfer its Purchased Interest immediately and unconditionally to the representative designated by Party A, and, in the case of a purchase of any Equity Interest, waive its preemptive right with respect to the transfer of such Equity Interest by any other shareholder of Party C; and</w:t>
      </w:r>
    </w:p>
    <w:p>
      <w:pPr>
        <w:spacing w:after="0" w:line="181" w:lineRule="exact"/>
        <w:rPr>
          <w:sz w:val="20"/>
          <w:szCs w:val="20"/>
          <w:color w:val="auto"/>
        </w:rPr>
      </w:pPr>
    </w:p>
    <w:p>
      <w:pPr>
        <w:jc w:val="both"/>
        <w:ind w:left="1932" w:right="20" w:hanging="647"/>
        <w:spacing w:after="0" w:line="264" w:lineRule="auto"/>
        <w:tabs>
          <w:tab w:leader="none" w:pos="1912" w:val="left"/>
        </w:tabs>
        <w:rPr>
          <w:sz w:val="20"/>
          <w:szCs w:val="20"/>
          <w:color w:val="auto"/>
        </w:rPr>
      </w:pPr>
      <w:r>
        <w:rPr>
          <w:rFonts w:ascii="Arial" w:cs="Arial" w:eastAsia="Arial" w:hAnsi="Arial"/>
          <w:sz w:val="18"/>
          <w:szCs w:val="18"/>
          <w:color w:val="auto"/>
        </w:rPr>
        <w:t>2.2.9</w:t>
        <w:tab/>
        <w:t>To fully comply with the provisions of this Agreement and the other agreements entered into jointly or respectively by and among Party A, Party B and Party C, perform all obligations under such agreements and not commit any act or omission that would affect the validity and enforceability of these agreements.</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652" w:right="580"/>
        <w:spacing w:after="0" w:line="277" w:lineRule="auto"/>
        <w:rPr>
          <w:sz w:val="20"/>
          <w:szCs w:val="20"/>
          <w:color w:val="auto"/>
        </w:rPr>
      </w:pPr>
      <w:r>
        <w:rPr>
          <w:rFonts w:ascii="Arial" w:cs="Arial" w:eastAsia="Arial" w:hAnsi="Arial"/>
          <w:sz w:val="18"/>
          <w:szCs w:val="18"/>
          <w:color w:val="auto"/>
        </w:rPr>
        <w:t>As of the execution date of this Agreement and every transfer date, each of Party B and Party C hereby represents and warrants to Party A as follows:</w:t>
      </w:r>
    </w:p>
    <w:p>
      <w:pPr>
        <w:spacing w:after="0" w:line="170" w:lineRule="exact"/>
        <w:rPr>
          <w:sz w:val="20"/>
          <w:szCs w:val="20"/>
          <w:color w:val="auto"/>
        </w:rPr>
      </w:pPr>
    </w:p>
    <w:p>
      <w:pPr>
        <w:ind w:left="1692" w:right="80" w:hanging="647"/>
        <w:spacing w:after="0" w:line="259" w:lineRule="auto"/>
        <w:tabs>
          <w:tab w:leader="none" w:pos="167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It has the power and authority to execute and deliver this Agreement, and any Transfer Agreement, to which it is party for each transfer of the Purchased Interest under this Agreement and to perform its obligations under this Agreement and any Transfer Agreement. Once executed, this Agreement and any Transfer Agreement to which it is party will constitute a legal, valid and binding obligation of it enforceable against it in accordance with its terms;</w:t>
      </w:r>
    </w:p>
    <w:p>
      <w:pPr>
        <w:spacing w:after="0" w:line="187" w:lineRule="exact"/>
        <w:rPr>
          <w:sz w:val="20"/>
          <w:szCs w:val="20"/>
          <w:color w:val="auto"/>
        </w:rPr>
      </w:pPr>
    </w:p>
    <w:p>
      <w:pPr>
        <w:ind w:left="1692" w:right="80" w:hanging="647"/>
        <w:spacing w:after="0" w:line="257" w:lineRule="auto"/>
        <w:tabs>
          <w:tab w:leader="none" w:pos="167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execution, delivery and performance of this Agreement or any Transfer Agreement by it will not: (i) violate any relevant PRC laws and regulations; (ii) conflict with its articles of association or other organizational documents; (iii) violate or constitute a default under any contract or instrument to which it is party or that binds upon it; (iv) violate any condition for the grant and/or continued effectiveness of any permit or approval granted to it; or (v) cause any permit or approval granted to it to be suspended, cancelled or attached with additional conditions;</w:t>
      </w:r>
    </w:p>
    <w:p>
      <w:pPr>
        <w:spacing w:after="0" w:line="188"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Party C has good and marketable ownership interest in all of its assets and has not created any Security Interest on the said assets;</w:t>
      </w:r>
    </w:p>
    <w:p>
      <w:pPr>
        <w:spacing w:after="0" w:line="225" w:lineRule="exact"/>
        <w:rPr>
          <w:sz w:val="20"/>
          <w:szCs w:val="20"/>
          <w:color w:val="auto"/>
        </w:rPr>
      </w:pPr>
    </w:p>
    <w:p>
      <w:pPr>
        <w:ind w:left="1692" w:right="20" w:hanging="647"/>
        <w:spacing w:after="0" w:line="277" w:lineRule="auto"/>
        <w:tabs>
          <w:tab w:leader="none" w:pos="167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Party C has no outstanding liabilities, except (i) liabilities arising in its normal course of business; and (ii) liabilities disclosed to Party A and approved by Party A in writing;</w:t>
      </w:r>
    </w:p>
    <w:p>
      <w:pPr>
        <w:spacing w:after="0" w:line="170"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Party C complies with all PRC laws and regulations applicable to the acquisition of assets;</w:t>
      </w:r>
    </w:p>
    <w:p>
      <w:pPr>
        <w:spacing w:after="0" w:line="225" w:lineRule="exact"/>
        <w:rPr>
          <w:sz w:val="20"/>
          <w:szCs w:val="20"/>
          <w:color w:val="auto"/>
        </w:rPr>
      </w:pPr>
    </w:p>
    <w:p>
      <w:pPr>
        <w:ind w:left="1692" w:right="560" w:hanging="647"/>
        <w:spacing w:after="0" w:line="277" w:lineRule="auto"/>
        <w:tabs>
          <w:tab w:leader="none" w:pos="167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There are currently no existing, pending or threatened litigation, arbitration or administrative proceedings related to the Equity Interest, Party C’s assets or Party C; and</w:t>
      </w:r>
    </w:p>
    <w:p>
      <w:pPr>
        <w:spacing w:after="0" w:line="170" w:lineRule="exact"/>
        <w:rPr>
          <w:sz w:val="20"/>
          <w:szCs w:val="20"/>
          <w:color w:val="auto"/>
        </w:rPr>
      </w:pPr>
    </w:p>
    <w:p>
      <w:pPr>
        <w:ind w:left="1692" w:right="280" w:hanging="647"/>
        <w:spacing w:after="0" w:line="277" w:lineRule="auto"/>
        <w:tabs>
          <w:tab w:leader="none" w:pos="167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has good and marketable ownership interest in the Equity Interest and has not created any Security Interest on such Equity Interest, other than the Security Interest pursuant to the Equity Pledge Agreement.</w:t>
      </w:r>
    </w:p>
    <w:p>
      <w:pPr>
        <w:spacing w:after="0" w:line="170" w:lineRule="exact"/>
        <w:rPr>
          <w:sz w:val="20"/>
          <w:szCs w:val="20"/>
          <w:color w:val="auto"/>
        </w:rPr>
      </w:pPr>
    </w:p>
    <w:p>
      <w:pPr>
        <w:ind w:left="652" w:hanging="652"/>
        <w:spacing w:after="0"/>
        <w:tabs>
          <w:tab w:leader="none" w:pos="652"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Assignment of Agreement</w:t>
      </w:r>
    </w:p>
    <w:p>
      <w:pPr>
        <w:spacing w:after="0" w:line="225" w:lineRule="exact"/>
        <w:rPr>
          <w:sz w:val="20"/>
          <w:szCs w:val="20"/>
          <w:color w:val="auto"/>
        </w:rPr>
      </w:pPr>
    </w:p>
    <w:p>
      <w:pPr>
        <w:ind w:left="1692" w:right="400" w:hanging="647"/>
        <w:spacing w:after="0" w:line="277" w:lineRule="auto"/>
        <w:tabs>
          <w:tab w:leader="none" w:pos="167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Party B and Party C shall not assign their rights and obligations under this Agreement to any third party without the prior written consent of Party A.</w:t>
      </w:r>
    </w:p>
    <w:p>
      <w:pPr>
        <w:spacing w:after="0" w:line="170" w:lineRule="exact"/>
        <w:rPr>
          <w:sz w:val="20"/>
          <w:szCs w:val="20"/>
          <w:color w:val="auto"/>
        </w:rPr>
      </w:pPr>
    </w:p>
    <w:p>
      <w:pPr>
        <w:ind w:left="1692" w:right="140" w:hanging="647"/>
        <w:spacing w:after="0" w:line="308" w:lineRule="auto"/>
        <w:tabs>
          <w:tab w:leader="none" w:pos="167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Party B and Party C hereby agree that Party A may assign all its rights and obligations under this Agreement to a third party without the consent of Party B and Party C, but such assignment shall be notified in writing to Party B and Party C.</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hanging="652"/>
        <w:spacing w:after="0"/>
        <w:tabs>
          <w:tab w:leader="none" w:pos="652"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Effective Date and Term</w:t>
      </w:r>
    </w:p>
    <w:p>
      <w:pPr>
        <w:spacing w:after="0" w:line="225"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This Agreement shall be effective as of the date first set forth above.</w:t>
      </w:r>
    </w:p>
    <w:p>
      <w:pPr>
        <w:spacing w:after="0" w:line="225" w:lineRule="exact"/>
        <w:rPr>
          <w:sz w:val="20"/>
          <w:szCs w:val="20"/>
          <w:color w:val="auto"/>
        </w:rPr>
      </w:pPr>
    </w:p>
    <w:p>
      <w:pPr>
        <w:ind w:left="1692" w:hanging="647"/>
        <w:spacing w:after="0" w:line="273" w:lineRule="auto"/>
        <w:tabs>
          <w:tab w:leader="none" w:pos="167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This Agreement shall remain in full force and effect until the earlier of (i) the date on which all of the Equity Interest held by Party B or all of the assets of Party C held by Party C or its subsidiaries have been acquired by Party A directly and/or through its Designated Persons in accordance with this Agreement, (ii) the unilateral termination of this Agreement by Party A at its sole and absolute discretion by giving thirty (30) days prior written notice to the other Parties of its intention to terminate this Agreement, and (iii) if the duration of operation (including any extension thereof) of Party A or Party C is expired or terminated, except in the situation where Party A has assigned its rights and obligations in accordance with Article 4.2 hereof.</w:t>
      </w:r>
    </w:p>
    <w:p>
      <w:pPr>
        <w:spacing w:after="0" w:line="178" w:lineRule="exact"/>
        <w:rPr>
          <w:sz w:val="20"/>
          <w:szCs w:val="20"/>
          <w:color w:val="auto"/>
        </w:rPr>
      </w:pPr>
    </w:p>
    <w:p>
      <w:pPr>
        <w:ind w:left="652" w:hanging="652"/>
        <w:spacing w:after="0"/>
        <w:tabs>
          <w:tab w:leader="none" w:pos="652"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Applicable Laws and Dispute Resolution</w:t>
      </w:r>
    </w:p>
    <w:p>
      <w:pPr>
        <w:spacing w:after="0" w:line="225"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7"/>
          <w:szCs w:val="17"/>
          <w:color w:val="auto"/>
        </w:rPr>
        <w:t>Applicable Law</w:t>
      </w:r>
    </w:p>
    <w:p>
      <w:pPr>
        <w:spacing w:after="0" w:line="225" w:lineRule="exact"/>
        <w:rPr>
          <w:sz w:val="20"/>
          <w:szCs w:val="20"/>
          <w:color w:val="auto"/>
        </w:rPr>
      </w:pPr>
    </w:p>
    <w:p>
      <w:pPr>
        <w:ind w:left="1292"/>
        <w:spacing w:after="0" w:line="277" w:lineRule="auto"/>
        <w:rPr>
          <w:sz w:val="20"/>
          <w:szCs w:val="20"/>
          <w:color w:val="auto"/>
        </w:rPr>
      </w:pPr>
      <w:r>
        <w:rPr>
          <w:rFonts w:ascii="Arial" w:cs="Arial" w:eastAsia="Arial" w:hAnsi="Arial"/>
          <w:sz w:val="18"/>
          <w:szCs w:val="18"/>
          <w:color w:val="auto"/>
        </w:rPr>
        <w:t>The formation, validity, interpretation and performance of and settlement of disputes under this Agreement shall be governed by the laws of the PRC.</w:t>
      </w:r>
    </w:p>
    <w:p>
      <w:pPr>
        <w:spacing w:after="0" w:line="170" w:lineRule="exact"/>
        <w:rPr>
          <w:sz w:val="20"/>
          <w:szCs w:val="20"/>
          <w:color w:val="auto"/>
        </w:rPr>
      </w:pPr>
    </w:p>
    <w:p>
      <w:pPr>
        <w:ind w:left="1052"/>
        <w:spacing w:after="0"/>
        <w:tabs>
          <w:tab w:leader="none" w:pos="16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1292" w:right="40"/>
        <w:spacing w:after="0" w:line="342" w:lineRule="auto"/>
        <w:rPr>
          <w:sz w:val="20"/>
          <w:szCs w:val="20"/>
          <w:color w:val="auto"/>
        </w:rPr>
      </w:pPr>
      <w:r>
        <w:rPr>
          <w:rFonts w:ascii="Arial" w:cs="Arial" w:eastAsia="Arial" w:hAnsi="Arial"/>
          <w:sz w:val="16"/>
          <w:szCs w:val="16"/>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w:t>
      </w:r>
    </w:p>
    <w:p>
      <w:pPr>
        <w:sectPr>
          <w:pgSz w:w="11900" w:h="16976" w:orient="portrait"/>
          <w:cols w:equalWidth="0" w:num="1">
            <w:col w:w="11372"/>
          </w:cols>
          <w:pgMar w:left="248" w:top="342" w:right="279" w:bottom="0" w:gutter="0" w:footer="0" w:header="0"/>
        </w:sectPr>
      </w:pPr>
    </w:p>
    <w:bookmarkStart w:id="213" w:name="page214"/>
    <w:bookmarkEnd w:id="213"/>
    <w:p>
      <w:pPr>
        <w:ind w:left="1300" w:right="100"/>
        <w:spacing w:after="0" w:line="269" w:lineRule="auto"/>
        <w:rPr>
          <w:sz w:val="20"/>
          <w:szCs w:val="20"/>
          <w:color w:val="auto"/>
        </w:rPr>
      </w:pPr>
      <w:r>
        <w:rPr>
          <w:rFonts w:ascii="Arial" w:cs="Arial" w:eastAsia="Arial" w:hAnsi="Arial"/>
          <w:sz w:val="17"/>
          <w:szCs w:val="17"/>
          <w:color w:val="auto"/>
        </w:rPr>
        <w:t>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Taxes and Expenses</w:t>
      </w:r>
    </w:p>
    <w:p>
      <w:pPr>
        <w:spacing w:after="0" w:line="225" w:lineRule="exact"/>
        <w:rPr>
          <w:rFonts w:ascii="Arial" w:cs="Arial" w:eastAsia="Arial" w:hAnsi="Arial"/>
          <w:sz w:val="18"/>
          <w:szCs w:val="18"/>
          <w:color w:val="auto"/>
        </w:rPr>
      </w:pPr>
    </w:p>
    <w:p>
      <w:pPr>
        <w:ind w:left="660" w:right="160"/>
        <w:spacing w:after="0" w:line="264" w:lineRule="auto"/>
        <w:rPr>
          <w:rFonts w:ascii="Arial" w:cs="Arial" w:eastAsia="Arial" w:hAnsi="Arial"/>
          <w:sz w:val="18"/>
          <w:szCs w:val="18"/>
          <w:color w:val="auto"/>
        </w:rPr>
      </w:pPr>
      <w:r>
        <w:rPr>
          <w:rFonts w:ascii="Arial" w:cs="Arial" w:eastAsia="Arial" w:hAnsi="Arial"/>
          <w:sz w:val="18"/>
          <w:szCs w:val="18"/>
          <w:color w:val="auto"/>
        </w:rPr>
        <w:t>Party A shall bear any and all transfer and registration taxes, expenses and charges incurred by or levied on it, Party B or Party C with respect to the preparation and execution of this Agreement and each Transfer Agreement and the consummation of the transactions contemplated under this Agreement and each Transfer Agreement.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225" w:lineRule="exact"/>
        <w:rPr>
          <w:sz w:val="20"/>
          <w:szCs w:val="20"/>
          <w:color w:val="auto"/>
        </w:rPr>
      </w:pPr>
    </w:p>
    <w:p>
      <w:pPr>
        <w:ind w:left="1700" w:right="120" w:hanging="647"/>
        <w:spacing w:after="0" w:line="290" w:lineRule="auto"/>
        <w:tabs>
          <w:tab w:leader="none" w:pos="1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8. Any disclosure of confidential information by the personnel of any party or by the institutions engaged by such party shall be deemed as a disclosure by such party, and such party shall be liable for the breach under this Agreement.</w:t>
      </w:r>
    </w:p>
    <w:p>
      <w:pPr>
        <w:spacing w:after="0" w:line="166"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All parties agree that this Article 8 shall survive the invalidity, cancellation, termination or unenforceability of this Agreement.</w:t>
      </w:r>
    </w:p>
    <w:p>
      <w:pPr>
        <w:spacing w:after="0" w:line="225"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225" w:lineRule="exact"/>
        <w:rPr>
          <w:rFonts w:ascii="Arial" w:cs="Arial" w:eastAsia="Arial" w:hAnsi="Arial"/>
          <w:sz w:val="18"/>
          <w:szCs w:val="18"/>
          <w:color w:val="auto"/>
        </w:rPr>
      </w:pPr>
    </w:p>
    <w:p>
      <w:pPr>
        <w:ind w:left="660" w:right="160"/>
        <w:spacing w:after="0" w:line="293" w:lineRule="auto"/>
        <w:rPr>
          <w:rFonts w:ascii="Arial" w:cs="Arial" w:eastAsia="Arial" w:hAnsi="Arial"/>
          <w:sz w:val="18"/>
          <w:szCs w:val="18"/>
          <w:color w:val="auto"/>
        </w:rPr>
      </w:pPr>
      <w:r>
        <w:rPr>
          <w:rFonts w:ascii="Arial" w:cs="Arial" w:eastAsia="Arial" w:hAnsi="Arial"/>
          <w:sz w:val="16"/>
          <w:szCs w:val="16"/>
          <w:color w:val="auto"/>
        </w:rPr>
        <w:t>All notices, claims, certificates, requests, demands and other communications under this Agreement shall be made in writing and shall be delivered to any Party hereto by hand or sent by facsimile, or sent, postage prepaid, by reputable overnight courier services, or by email properly addressed to the email address of the relevant Party and left the email gateway of the sender and the sender did not receive a message that the email was undeliverable, at the following addresses (or at such other address for such Party as shall be specified by like notice), and shall be deemed given when so delivered by hand, or if sent by facsimile, upon receipt of a confirmed transmittal receipt, or if sent by overnight courier, five (5) days after delivery to or pickup by the overnight courier service or, if sent by email, at the time of completion of transmission thereof:</w:t>
      </w:r>
    </w:p>
    <w:p>
      <w:pPr>
        <w:spacing w:after="0" w:line="16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If to Party A: NetEase (Hangzhou) Network Co.,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ind w:left="1820"/>
              <w:spacing w:after="0"/>
              <w:rPr>
                <w:sz w:val="20"/>
                <w:szCs w:val="20"/>
                <w:color w:val="auto"/>
              </w:rPr>
            </w:pPr>
            <w:r>
              <w:rPr>
                <w:rFonts w:ascii="Arial" w:cs="Arial" w:eastAsia="Arial" w:hAnsi="Arial"/>
                <w:sz w:val="18"/>
                <w:szCs w:val="18"/>
                <w:color w:val="auto"/>
              </w:rPr>
              <w:t>Address:</w:t>
            </w:r>
          </w:p>
        </w:tc>
        <w:tc>
          <w:tcPr>
            <w:tcW w:w="8120" w:type="dxa"/>
            <w:vAlign w:val="bottom"/>
          </w:tcPr>
          <w:p>
            <w:pPr>
              <w:ind w:left="640"/>
              <w:spacing w:after="0"/>
              <w:rPr>
                <w:sz w:val="20"/>
                <w:szCs w:val="20"/>
                <w:color w:val="auto"/>
              </w:rPr>
            </w:pPr>
            <w:r>
              <w:rPr>
                <w:rFonts w:ascii="Arial" w:cs="Arial" w:eastAsia="Arial" w:hAnsi="Arial"/>
                <w:sz w:val="18"/>
                <w:szCs w:val="18"/>
                <w:color w:val="auto"/>
              </w:rPr>
              <w:t>7/F, Building 4, No. 599 Wangshang Road, Binjiang District, Hangzhou, Zhejiang, PRC</w:t>
            </w:r>
          </w:p>
        </w:tc>
      </w:tr>
      <w:tr>
        <w:trPr>
          <w:trHeight w:val="216"/>
        </w:trPr>
        <w:tc>
          <w:tcPr>
            <w:tcW w:w="3340" w:type="dxa"/>
            <w:vAlign w:val="bottom"/>
          </w:tcPr>
          <w:p>
            <w:pPr>
              <w:ind w:left="1820"/>
              <w:spacing w:after="0"/>
              <w:rPr>
                <w:sz w:val="20"/>
                <w:szCs w:val="20"/>
                <w:color w:val="auto"/>
              </w:rPr>
            </w:pPr>
            <w:r>
              <w:rPr>
                <w:rFonts w:ascii="Arial" w:cs="Arial" w:eastAsia="Arial" w:hAnsi="Arial"/>
                <w:sz w:val="18"/>
                <w:szCs w:val="18"/>
                <w:color w:val="auto"/>
              </w:rPr>
              <w:t>Fax:</w:t>
            </w:r>
          </w:p>
        </w:tc>
        <w:tc>
          <w:tcPr>
            <w:tcW w:w="8120" w:type="dxa"/>
            <w:vAlign w:val="bottom"/>
          </w:tcPr>
          <w:p>
            <w:pPr>
              <w:ind w:left="640"/>
              <w:spacing w:after="0"/>
              <w:rPr>
                <w:sz w:val="20"/>
                <w:szCs w:val="20"/>
                <w:color w:val="auto"/>
              </w:rPr>
            </w:pPr>
            <w:r>
              <w:rPr>
                <w:rFonts w:ascii="Arial" w:cs="Arial" w:eastAsia="Arial" w:hAnsi="Arial"/>
                <w:sz w:val="18"/>
                <w:szCs w:val="18"/>
                <w:color w:val="auto"/>
              </w:rPr>
              <w:t>0571-89852163</w:t>
            </w:r>
          </w:p>
        </w:tc>
      </w:tr>
      <w:tr>
        <w:trPr>
          <w:trHeight w:val="216"/>
        </w:trPr>
        <w:tc>
          <w:tcPr>
            <w:tcW w:w="3340" w:type="dxa"/>
            <w:vAlign w:val="bottom"/>
          </w:tcPr>
          <w:p>
            <w:pPr>
              <w:ind w:left="1820"/>
              <w:spacing w:after="0"/>
              <w:rPr>
                <w:sz w:val="20"/>
                <w:szCs w:val="20"/>
                <w:color w:val="auto"/>
              </w:rPr>
            </w:pPr>
            <w:r>
              <w:rPr>
                <w:rFonts w:ascii="Arial" w:cs="Arial" w:eastAsia="Arial" w:hAnsi="Arial"/>
                <w:sz w:val="18"/>
                <w:szCs w:val="18"/>
                <w:color w:val="auto"/>
              </w:rPr>
              <w:t>Email:</w:t>
            </w:r>
          </w:p>
        </w:tc>
        <w:tc>
          <w:tcPr>
            <w:tcW w:w="8120" w:type="dxa"/>
            <w:vAlign w:val="bottom"/>
          </w:tcPr>
          <w:p>
            <w:pPr>
              <w:ind w:left="640"/>
              <w:spacing w:after="0"/>
              <w:rPr>
                <w:sz w:val="20"/>
                <w:szCs w:val="20"/>
                <w:color w:val="auto"/>
              </w:rPr>
            </w:pPr>
            <w:r>
              <w:rPr>
                <w:rFonts w:ascii="Arial" w:cs="Arial" w:eastAsia="Arial" w:hAnsi="Arial"/>
                <w:sz w:val="18"/>
                <w:szCs w:val="18"/>
                <w:color w:val="auto"/>
              </w:rPr>
              <w:t>liujianing@corp.netease.com</w:t>
            </w:r>
          </w:p>
        </w:tc>
      </w:tr>
      <w:tr>
        <w:trPr>
          <w:trHeight w:val="230"/>
        </w:trPr>
        <w:tc>
          <w:tcPr>
            <w:tcW w:w="3340" w:type="dxa"/>
            <w:vAlign w:val="bottom"/>
          </w:tcPr>
          <w:p>
            <w:pPr>
              <w:ind w:left="1820"/>
              <w:spacing w:after="0"/>
              <w:rPr>
                <w:sz w:val="20"/>
                <w:szCs w:val="20"/>
                <w:color w:val="auto"/>
              </w:rPr>
            </w:pPr>
            <w:r>
              <w:rPr>
                <w:rFonts w:ascii="Arial" w:cs="Arial" w:eastAsia="Arial" w:hAnsi="Arial"/>
                <w:sz w:val="18"/>
                <w:szCs w:val="18"/>
                <w:color w:val="auto"/>
              </w:rPr>
              <w:t>Attention:</w:t>
            </w:r>
          </w:p>
        </w:tc>
        <w:tc>
          <w:tcPr>
            <w:tcW w:w="8120" w:type="dxa"/>
            <w:vAlign w:val="bottom"/>
          </w:tcPr>
          <w:p>
            <w:pPr>
              <w:ind w:left="640"/>
              <w:spacing w:after="0"/>
              <w:rPr>
                <w:sz w:val="20"/>
                <w:szCs w:val="20"/>
                <w:color w:val="auto"/>
              </w:rPr>
            </w:pPr>
            <w:r>
              <w:rPr>
                <w:rFonts w:ascii="Arial" w:cs="Arial" w:eastAsia="Arial" w:hAnsi="Arial"/>
                <w:sz w:val="18"/>
                <w:szCs w:val="18"/>
                <w:color w:val="auto"/>
              </w:rPr>
              <w:t>Liu Jianing</w:t>
            </w:r>
          </w:p>
        </w:tc>
      </w:tr>
      <w:tr>
        <w:trPr>
          <w:trHeight w:val="432"/>
        </w:trPr>
        <w:tc>
          <w:tcPr>
            <w:tcW w:w="3340" w:type="dxa"/>
            <w:vAlign w:val="bottom"/>
          </w:tcPr>
          <w:p>
            <w:pPr>
              <w:spacing w:after="0"/>
              <w:rPr>
                <w:sz w:val="24"/>
                <w:szCs w:val="24"/>
                <w:color w:val="auto"/>
              </w:rPr>
            </w:pPr>
          </w:p>
        </w:tc>
        <w:tc>
          <w:tcPr>
            <w:tcW w:w="8120" w:type="dxa"/>
            <w:vAlign w:val="bottom"/>
          </w:tcPr>
          <w:p>
            <w:pPr>
              <w:ind w:left="2320"/>
              <w:spacing w:after="0"/>
              <w:rPr>
                <w:sz w:val="20"/>
                <w:szCs w:val="20"/>
                <w:color w:val="auto"/>
              </w:rPr>
            </w:pPr>
            <w:r>
              <w:rPr>
                <w:rFonts w:ascii="Arial" w:cs="Arial" w:eastAsia="Arial" w:hAnsi="Arial"/>
                <w:sz w:val="18"/>
                <w:szCs w:val="18"/>
                <w:color w:val="auto"/>
              </w:rPr>
              <w:t>9</w:t>
            </w:r>
          </w:p>
        </w:tc>
      </w:tr>
      <w:tr>
        <w:trPr>
          <w:trHeight w:val="132"/>
        </w:trPr>
        <w:tc>
          <w:tcPr>
            <w:tcW w:w="3340" w:type="dxa"/>
            <w:vAlign w:val="bottom"/>
            <w:tcBorders>
              <w:bottom w:val="single" w:sz="8" w:color="808080"/>
            </w:tcBorders>
          </w:tcPr>
          <w:p>
            <w:pPr>
              <w:spacing w:after="0"/>
              <w:rPr>
                <w:sz w:val="11"/>
                <w:szCs w:val="11"/>
                <w:color w:val="auto"/>
              </w:rPr>
            </w:pPr>
          </w:p>
        </w:tc>
        <w:tc>
          <w:tcPr>
            <w:tcW w:w="8120" w:type="dxa"/>
            <w:vAlign w:val="bottom"/>
            <w:tcBorders>
              <w:bottom w:val="single" w:sz="8" w:color="808080"/>
            </w:tcBorders>
          </w:tcPr>
          <w:p>
            <w:pPr>
              <w:spacing w:after="0"/>
              <w:rPr>
                <w:sz w:val="11"/>
                <w:szCs w:val="11"/>
                <w:color w:val="auto"/>
              </w:rPr>
            </w:pPr>
          </w:p>
        </w:tc>
      </w:tr>
      <w:tr>
        <w:trPr>
          <w:trHeight w:val="780"/>
        </w:trPr>
        <w:tc>
          <w:tcPr>
            <w:tcW w:w="3340" w:type="dxa"/>
            <w:vAlign w:val="bottom"/>
          </w:tcPr>
          <w:p>
            <w:pPr>
              <w:ind w:left="660"/>
              <w:spacing w:after="0"/>
              <w:rPr>
                <w:sz w:val="20"/>
                <w:szCs w:val="20"/>
                <w:color w:val="auto"/>
              </w:rPr>
            </w:pPr>
            <w:r>
              <w:rPr>
                <w:rFonts w:ascii="Arial" w:cs="Arial" w:eastAsia="Arial" w:hAnsi="Arial"/>
                <w:sz w:val="18"/>
                <w:szCs w:val="18"/>
                <w:b w:val="1"/>
                <w:bCs w:val="1"/>
                <w:color w:val="auto"/>
              </w:rPr>
              <w:t>If to Party B: Hu Zhipeng</w:t>
            </w:r>
          </w:p>
        </w:tc>
        <w:tc>
          <w:tcPr>
            <w:tcW w:w="8120" w:type="dxa"/>
            <w:vAlign w:val="bottom"/>
          </w:tcPr>
          <w:p>
            <w:pPr>
              <w:spacing w:after="0"/>
              <w:rPr>
                <w:sz w:val="24"/>
                <w:szCs w:val="24"/>
                <w:color w:val="auto"/>
              </w:rPr>
            </w:pPr>
          </w:p>
        </w:tc>
      </w:tr>
      <w:tr>
        <w:trPr>
          <w:trHeight w:val="418"/>
        </w:trPr>
        <w:tc>
          <w:tcPr>
            <w:tcW w:w="3340" w:type="dxa"/>
            <w:vAlign w:val="bottom"/>
          </w:tcPr>
          <w:p>
            <w:pPr>
              <w:ind w:left="1760"/>
              <w:spacing w:after="0"/>
              <w:rPr>
                <w:sz w:val="20"/>
                <w:szCs w:val="20"/>
                <w:color w:val="auto"/>
              </w:rPr>
            </w:pPr>
            <w:r>
              <w:rPr>
                <w:rFonts w:ascii="Arial" w:cs="Arial" w:eastAsia="Arial" w:hAnsi="Arial"/>
                <w:sz w:val="18"/>
                <w:szCs w:val="18"/>
                <w:color w:val="auto"/>
              </w:rPr>
              <w:t>Address:</w:t>
            </w:r>
          </w:p>
        </w:tc>
        <w:tc>
          <w:tcPr>
            <w:tcW w:w="8120" w:type="dxa"/>
            <w:vAlign w:val="bottom"/>
          </w:tcPr>
          <w:p>
            <w:pPr>
              <w:ind w:left="640"/>
              <w:spacing w:after="0"/>
              <w:rPr>
                <w:sz w:val="20"/>
                <w:szCs w:val="20"/>
                <w:color w:val="auto"/>
              </w:rPr>
            </w:pPr>
            <w:r>
              <w:rPr>
                <w:rFonts w:ascii="Arial" w:cs="Arial" w:eastAsia="Arial" w:hAnsi="Arial"/>
                <w:sz w:val="18"/>
                <w:szCs w:val="18"/>
                <w:color w:val="auto"/>
              </w:rPr>
              <w:t>No. 14 South Street, Chaoyangmen, FESCO, Beijing, PRC</w:t>
            </w:r>
          </w:p>
        </w:tc>
      </w:tr>
      <w:tr>
        <w:trPr>
          <w:trHeight w:val="216"/>
        </w:trPr>
        <w:tc>
          <w:tcPr>
            <w:tcW w:w="3340" w:type="dxa"/>
            <w:vAlign w:val="bottom"/>
          </w:tcPr>
          <w:p>
            <w:pPr>
              <w:ind w:left="1760"/>
              <w:spacing w:after="0"/>
              <w:rPr>
                <w:sz w:val="20"/>
                <w:szCs w:val="20"/>
                <w:color w:val="auto"/>
              </w:rPr>
            </w:pPr>
            <w:r>
              <w:rPr>
                <w:rFonts w:ascii="Arial" w:cs="Arial" w:eastAsia="Arial" w:hAnsi="Arial"/>
                <w:sz w:val="18"/>
                <w:szCs w:val="18"/>
                <w:color w:val="auto"/>
              </w:rPr>
              <w:t>Fax:</w:t>
            </w:r>
          </w:p>
        </w:tc>
        <w:tc>
          <w:tcPr>
            <w:tcW w:w="8120" w:type="dxa"/>
            <w:vAlign w:val="bottom"/>
          </w:tcPr>
          <w:p>
            <w:pPr>
              <w:ind w:left="640"/>
              <w:spacing w:after="0"/>
              <w:rPr>
                <w:sz w:val="20"/>
                <w:szCs w:val="20"/>
                <w:color w:val="auto"/>
              </w:rPr>
            </w:pPr>
            <w:r>
              <w:rPr>
                <w:rFonts w:ascii="Arial" w:cs="Arial" w:eastAsia="Arial" w:hAnsi="Arial"/>
                <w:sz w:val="18"/>
                <w:szCs w:val="18"/>
                <w:color w:val="auto"/>
              </w:rPr>
              <w:t>0571-89852760</w:t>
            </w:r>
          </w:p>
        </w:tc>
      </w:tr>
      <w:tr>
        <w:trPr>
          <w:trHeight w:val="230"/>
        </w:trPr>
        <w:tc>
          <w:tcPr>
            <w:tcW w:w="3340" w:type="dxa"/>
            <w:vAlign w:val="bottom"/>
          </w:tcPr>
          <w:p>
            <w:pPr>
              <w:ind w:left="1760"/>
              <w:spacing w:after="0"/>
              <w:rPr>
                <w:sz w:val="20"/>
                <w:szCs w:val="20"/>
                <w:color w:val="auto"/>
              </w:rPr>
            </w:pPr>
            <w:r>
              <w:rPr>
                <w:rFonts w:ascii="Arial" w:cs="Arial" w:eastAsia="Arial" w:hAnsi="Arial"/>
                <w:sz w:val="18"/>
                <w:szCs w:val="18"/>
                <w:color w:val="auto"/>
              </w:rPr>
              <w:t>Email:</w:t>
            </w:r>
          </w:p>
        </w:tc>
        <w:tc>
          <w:tcPr>
            <w:tcW w:w="8120" w:type="dxa"/>
            <w:vAlign w:val="bottom"/>
          </w:tcPr>
          <w:p>
            <w:pPr>
              <w:ind w:left="640"/>
              <w:spacing w:after="0"/>
              <w:rPr>
                <w:sz w:val="20"/>
                <w:szCs w:val="20"/>
                <w:color w:val="auto"/>
              </w:rPr>
            </w:pPr>
            <w:r>
              <w:rPr>
                <w:rFonts w:ascii="Arial" w:cs="Arial" w:eastAsia="Arial" w:hAnsi="Arial"/>
                <w:sz w:val="18"/>
                <w:szCs w:val="18"/>
                <w:color w:val="auto"/>
              </w:rPr>
              <w:t>zphu@corp.netease.com</w:t>
            </w:r>
          </w:p>
        </w:tc>
      </w:tr>
      <w:tr>
        <w:trPr>
          <w:trHeight w:val="432"/>
        </w:trPr>
        <w:tc>
          <w:tcPr>
            <w:tcW w:w="11460" w:type="dxa"/>
            <w:vAlign w:val="bottom"/>
            <w:gridSpan w:val="2"/>
          </w:tcPr>
          <w:p>
            <w:pPr>
              <w:ind w:left="660"/>
              <w:spacing w:after="0"/>
              <w:rPr>
                <w:sz w:val="20"/>
                <w:szCs w:val="20"/>
                <w:color w:val="auto"/>
              </w:rPr>
            </w:pPr>
            <w:r>
              <w:rPr>
                <w:rFonts w:ascii="Arial" w:cs="Arial" w:eastAsia="Arial" w:hAnsi="Arial"/>
                <w:sz w:val="18"/>
                <w:szCs w:val="18"/>
                <w:b w:val="1"/>
                <w:bCs w:val="1"/>
                <w:color w:val="auto"/>
              </w:rPr>
              <w:t>If to Party C: Hangzhou NetEase Leihuo Network Co., Ltd.</w:t>
            </w:r>
          </w:p>
        </w:tc>
      </w:tr>
      <w:tr>
        <w:trPr>
          <w:trHeight w:val="418"/>
        </w:trPr>
        <w:tc>
          <w:tcPr>
            <w:tcW w:w="3340" w:type="dxa"/>
            <w:vAlign w:val="bottom"/>
          </w:tcPr>
          <w:p>
            <w:pPr>
              <w:ind w:left="1760"/>
              <w:spacing w:after="0"/>
              <w:rPr>
                <w:sz w:val="20"/>
                <w:szCs w:val="20"/>
                <w:color w:val="auto"/>
              </w:rPr>
            </w:pPr>
            <w:r>
              <w:rPr>
                <w:rFonts w:ascii="Arial" w:cs="Arial" w:eastAsia="Arial" w:hAnsi="Arial"/>
                <w:sz w:val="18"/>
                <w:szCs w:val="18"/>
                <w:color w:val="auto"/>
              </w:rPr>
              <w:t>Address:</w:t>
            </w:r>
          </w:p>
        </w:tc>
        <w:tc>
          <w:tcPr>
            <w:tcW w:w="8120" w:type="dxa"/>
            <w:vAlign w:val="bottom"/>
          </w:tcPr>
          <w:p>
            <w:pPr>
              <w:ind w:left="640"/>
              <w:spacing w:after="0"/>
              <w:rPr>
                <w:sz w:val="20"/>
                <w:szCs w:val="20"/>
                <w:color w:val="auto"/>
              </w:rPr>
            </w:pPr>
            <w:r>
              <w:rPr>
                <w:rFonts w:ascii="Arial" w:cs="Arial" w:eastAsia="Arial" w:hAnsi="Arial"/>
                <w:sz w:val="18"/>
                <w:szCs w:val="18"/>
                <w:color w:val="auto"/>
                <w:w w:val="99"/>
              </w:rPr>
              <w:t>Room 702, Building 4, No. 599 Wangshang Road, Binjiang District, Hangzhou, Zhejiang, PRC</w:t>
            </w:r>
          </w:p>
        </w:tc>
      </w:tr>
      <w:tr>
        <w:trPr>
          <w:trHeight w:val="216"/>
        </w:trPr>
        <w:tc>
          <w:tcPr>
            <w:tcW w:w="3340" w:type="dxa"/>
            <w:vAlign w:val="bottom"/>
          </w:tcPr>
          <w:p>
            <w:pPr>
              <w:ind w:left="1760"/>
              <w:spacing w:after="0"/>
              <w:rPr>
                <w:sz w:val="20"/>
                <w:szCs w:val="20"/>
                <w:color w:val="auto"/>
              </w:rPr>
            </w:pPr>
            <w:r>
              <w:rPr>
                <w:rFonts w:ascii="Arial" w:cs="Arial" w:eastAsia="Arial" w:hAnsi="Arial"/>
                <w:sz w:val="18"/>
                <w:szCs w:val="18"/>
                <w:color w:val="auto"/>
              </w:rPr>
              <w:t>Fax:</w:t>
            </w:r>
          </w:p>
        </w:tc>
        <w:tc>
          <w:tcPr>
            <w:tcW w:w="8120" w:type="dxa"/>
            <w:vAlign w:val="bottom"/>
          </w:tcPr>
          <w:p>
            <w:pPr>
              <w:ind w:left="640"/>
              <w:spacing w:after="0"/>
              <w:rPr>
                <w:sz w:val="20"/>
                <w:szCs w:val="20"/>
                <w:color w:val="auto"/>
              </w:rPr>
            </w:pPr>
            <w:r>
              <w:rPr>
                <w:rFonts w:ascii="Arial" w:cs="Arial" w:eastAsia="Arial" w:hAnsi="Arial"/>
                <w:sz w:val="18"/>
                <w:szCs w:val="18"/>
                <w:color w:val="auto"/>
              </w:rPr>
              <w:t>0571-89852760</w:t>
            </w:r>
          </w:p>
        </w:tc>
      </w:tr>
      <w:tr>
        <w:trPr>
          <w:trHeight w:val="212"/>
        </w:trPr>
        <w:tc>
          <w:tcPr>
            <w:tcW w:w="3340" w:type="dxa"/>
            <w:vAlign w:val="bottom"/>
          </w:tcPr>
          <w:p>
            <w:pPr>
              <w:ind w:left="1760"/>
              <w:spacing w:after="0"/>
              <w:rPr>
                <w:sz w:val="20"/>
                <w:szCs w:val="20"/>
                <w:color w:val="auto"/>
              </w:rPr>
            </w:pPr>
            <w:r>
              <w:rPr>
                <w:rFonts w:ascii="Arial" w:cs="Arial" w:eastAsia="Arial" w:hAnsi="Arial"/>
                <w:sz w:val="18"/>
                <w:szCs w:val="18"/>
                <w:color w:val="auto"/>
              </w:rPr>
              <w:t>Email:</w:t>
            </w:r>
          </w:p>
        </w:tc>
        <w:tc>
          <w:tcPr>
            <w:tcW w:w="8120" w:type="dxa"/>
            <w:vAlign w:val="bottom"/>
          </w:tcPr>
          <w:p>
            <w:pPr>
              <w:ind w:left="640"/>
              <w:spacing w:after="0"/>
              <w:rPr>
                <w:sz w:val="20"/>
                <w:szCs w:val="20"/>
                <w:color w:val="auto"/>
              </w:rPr>
            </w:pPr>
            <w:r>
              <w:rPr>
                <w:rFonts w:ascii="Arial" w:cs="Arial" w:eastAsia="Arial" w:hAnsi="Arial"/>
                <w:sz w:val="18"/>
                <w:szCs w:val="18"/>
                <w:color w:val="auto"/>
              </w:rPr>
              <w:t>zphu@corp.netease.com</w:t>
            </w:r>
          </w:p>
        </w:tc>
      </w:tr>
      <w:tr>
        <w:trPr>
          <w:trHeight w:val="234"/>
        </w:trPr>
        <w:tc>
          <w:tcPr>
            <w:tcW w:w="3340" w:type="dxa"/>
            <w:vAlign w:val="bottom"/>
          </w:tcPr>
          <w:p>
            <w:pPr>
              <w:ind w:left="1760"/>
              <w:spacing w:after="0"/>
              <w:rPr>
                <w:sz w:val="20"/>
                <w:szCs w:val="20"/>
                <w:color w:val="auto"/>
              </w:rPr>
            </w:pPr>
            <w:r>
              <w:rPr>
                <w:rFonts w:ascii="Arial" w:cs="Arial" w:eastAsia="Arial" w:hAnsi="Arial"/>
                <w:sz w:val="18"/>
                <w:szCs w:val="18"/>
                <w:color w:val="auto"/>
              </w:rPr>
              <w:t>Attention:</w:t>
            </w:r>
          </w:p>
        </w:tc>
        <w:tc>
          <w:tcPr>
            <w:tcW w:w="8120" w:type="dxa"/>
            <w:vAlign w:val="bottom"/>
          </w:tcPr>
          <w:p>
            <w:pPr>
              <w:ind w:left="640"/>
              <w:spacing w:after="0"/>
              <w:rPr>
                <w:sz w:val="20"/>
                <w:szCs w:val="20"/>
                <w:color w:val="auto"/>
              </w:rPr>
            </w:pPr>
            <w:r>
              <w:rPr>
                <w:rFonts w:ascii="Arial" w:cs="Arial" w:eastAsia="Arial" w:hAnsi="Arial"/>
                <w:sz w:val="18"/>
                <w:szCs w:val="18"/>
                <w:b w:val="1"/>
                <w:bCs w:val="1"/>
                <w:color w:val="auto"/>
              </w:rPr>
              <w:t>Hu Zhipeng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hanging="652"/>
        <w:spacing w:after="0"/>
        <w:tabs>
          <w:tab w:leader="none" w:pos="66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225" w:lineRule="exact"/>
        <w:rPr>
          <w:rFonts w:ascii="Arial" w:cs="Arial" w:eastAsia="Arial" w:hAnsi="Arial"/>
          <w:sz w:val="18"/>
          <w:szCs w:val="18"/>
          <w:color w:val="auto"/>
        </w:rPr>
      </w:pPr>
    </w:p>
    <w:p>
      <w:pPr>
        <w:ind w:left="660" w:right="60"/>
        <w:spacing w:after="0" w:line="277" w:lineRule="auto"/>
        <w:rPr>
          <w:rFonts w:ascii="Arial" w:cs="Arial" w:eastAsia="Arial" w:hAnsi="Arial"/>
          <w:sz w:val="18"/>
          <w:szCs w:val="18"/>
          <w:color w:val="auto"/>
        </w:rPr>
      </w:pPr>
      <w:r>
        <w:rPr>
          <w:rFonts w:ascii="Arial" w:cs="Arial" w:eastAsia="Arial" w:hAnsi="Arial"/>
          <w:sz w:val="18"/>
          <w:szCs w:val="18"/>
          <w:color w:val="auto"/>
        </w:rPr>
        <w:t>The Parties agree to promptly execute documents and take further actions that are reasonably required for, or beneficial to, the purpose of performing the provisions and carrying out the intent of this Agreement.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ectPr>
          <w:pgSz w:w="11900" w:h="16838" w:orient="portrait"/>
          <w:cols w:equalWidth="0" w:num="1">
            <w:col w:w="11460"/>
          </w:cols>
          <w:pgMar w:left="240" w:top="125" w:right="199" w:bottom="0" w:gutter="0" w:footer="0" w:header="0"/>
        </w:sectPr>
      </w:pPr>
    </w:p>
    <w:bookmarkStart w:id="214" w:name="page215"/>
    <w:bookmarkEnd w:id="214"/>
    <w:p>
      <w:pPr>
        <w:ind w:left="1060"/>
        <w:spacing w:after="0"/>
        <w:tabs>
          <w:tab w:leader="none" w:pos="16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Amendment, Modification or Supplement</w:t>
      </w:r>
    </w:p>
    <w:p>
      <w:pPr>
        <w:spacing w:after="0" w:line="225" w:lineRule="exact"/>
        <w:rPr>
          <w:sz w:val="20"/>
          <w:szCs w:val="20"/>
          <w:color w:val="auto"/>
        </w:rPr>
      </w:pPr>
    </w:p>
    <w:p>
      <w:pPr>
        <w:ind w:left="1300" w:right="80"/>
        <w:spacing w:after="0" w:line="308" w:lineRule="auto"/>
        <w:rPr>
          <w:sz w:val="20"/>
          <w:szCs w:val="20"/>
          <w:color w:val="auto"/>
        </w:rPr>
      </w:pPr>
      <w:r>
        <w:rPr>
          <w:rFonts w:ascii="Arial" w:cs="Arial" w:eastAsia="Arial" w:hAnsi="Arial"/>
          <w:sz w:val="17"/>
          <w:szCs w:val="17"/>
          <w:color w:val="auto"/>
        </w:rPr>
        <w:t>Any amendment or supplement to this Agreement shall be made by the Parties in writing. The amendments or supplements duly executed by each Party shall be deemed as a part of this Agreement and shall have the same legal effect as this Agreement.</w:t>
      </w:r>
    </w:p>
    <w:p>
      <w:pPr>
        <w:spacing w:after="0" w:line="147"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Entire Agreement</w:t>
      </w:r>
    </w:p>
    <w:p>
      <w:pPr>
        <w:spacing w:after="0" w:line="22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 Parties acknowledge that once this Agreement becomes effective, it shall constitute the entire agreement of the Parties with respect to the subject matters hereof and shall supersede all prior oral and/or written agreements and understandings by the Parties with respect to the subject matters hereof.</w:t>
      </w:r>
    </w:p>
    <w:p>
      <w:pPr>
        <w:spacing w:after="0" w:line="181"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Severability</w:t>
      </w:r>
    </w:p>
    <w:p>
      <w:pPr>
        <w:spacing w:after="0" w:line="225" w:lineRule="exact"/>
        <w:rPr>
          <w:sz w:val="20"/>
          <w:szCs w:val="20"/>
          <w:color w:val="auto"/>
        </w:rPr>
      </w:pPr>
    </w:p>
    <w:p>
      <w:pPr>
        <w:ind w:left="1300"/>
        <w:spacing w:after="0" w:line="279" w:lineRule="auto"/>
        <w:rPr>
          <w:sz w:val="20"/>
          <w:szCs w:val="20"/>
          <w:color w:val="auto"/>
        </w:rPr>
      </w:pPr>
      <w:r>
        <w:rPr>
          <w:rFonts w:ascii="Arial" w:cs="Arial" w:eastAsia="Arial" w:hAnsi="Arial"/>
          <w:sz w:val="17"/>
          <w:szCs w:val="17"/>
          <w:color w:val="auto"/>
        </w:rPr>
        <w:t>If any provision of this Agreement is judged to be invalid, illegal or unenforceable in any respect according to any applicable law or regulation, the validity, legality and enforceability of the other provisions hereof shall not be affected or impaired in any way. The Parties shall, through good-faith negotiations, replace those invalid, illegal or unenforceable provisions with valid provisions that may bring about economic effects as similar as possible to those from such invalid, illegal or unenforceable provisions.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Headings</w:t>
      </w:r>
    </w:p>
    <w:p>
      <w:pPr>
        <w:spacing w:after="0" w:line="225" w:lineRule="exact"/>
        <w:rPr>
          <w:sz w:val="20"/>
          <w:szCs w:val="20"/>
          <w:color w:val="auto"/>
        </w:rPr>
      </w:pPr>
    </w:p>
    <w:p>
      <w:pPr>
        <w:ind w:left="1300" w:right="660"/>
        <w:spacing w:after="0" w:line="277" w:lineRule="auto"/>
        <w:rPr>
          <w:sz w:val="20"/>
          <w:szCs w:val="20"/>
          <w:color w:val="auto"/>
        </w:rPr>
      </w:pPr>
      <w:r>
        <w:rPr>
          <w:rFonts w:ascii="Arial" w:cs="Arial" w:eastAsia="Arial" w:hAnsi="Arial"/>
          <w:sz w:val="18"/>
          <w:szCs w:val="18"/>
          <w:color w:val="auto"/>
        </w:rPr>
        <w:t>The headings contained in this Agreement are for the convenience of reference only and shall not be used for the interpretation or explanation or otherwise affect the meaning of the provisions of this Agreement.</w:t>
      </w:r>
    </w:p>
    <w:p>
      <w:pPr>
        <w:spacing w:after="0" w:line="170"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color w:val="auto"/>
        </w:rPr>
        <w:t>Successor</w:t>
      </w:r>
    </w:p>
    <w:p>
      <w:pPr>
        <w:spacing w:after="0" w:line="225" w:lineRule="exact"/>
        <w:rPr>
          <w:sz w:val="20"/>
          <w:szCs w:val="20"/>
          <w:color w:val="auto"/>
        </w:rPr>
      </w:pPr>
    </w:p>
    <w:p>
      <w:pPr>
        <w:ind w:left="1300" w:right="40"/>
        <w:spacing w:after="0" w:line="257" w:lineRule="auto"/>
        <w:rPr>
          <w:sz w:val="20"/>
          <w:szCs w:val="20"/>
          <w:color w:val="auto"/>
        </w:rPr>
      </w:pPr>
      <w:r>
        <w:rPr>
          <w:rFonts w:ascii="Arial" w:cs="Arial" w:eastAsia="Arial" w:hAnsi="Arial"/>
          <w:sz w:val="18"/>
          <w:szCs w:val="18"/>
          <w:color w:val="auto"/>
        </w:rPr>
        <w:t>This Agreement shall bind upon and inure to the benefit of the successors and permitted assigns of each Party. In the event of Party B’s death or incapacity, the terms of this Agreement shall be binding upon the executors, administrators, heirs and successors of Party B. Any Equity Interest held by Party B shall not be part of Party B’s estate upon death or incapacity and shall not pass to Party B’s heirs or successors. Upon Party B’s death or incapacity, any Equity Interest held by Party B shall be transferred to Party A or its Designated Persons.</w:t>
      </w:r>
    </w:p>
    <w:p>
      <w:pPr>
        <w:spacing w:after="0" w:line="188"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Survival</w:t>
      </w:r>
    </w:p>
    <w:p>
      <w:pPr>
        <w:spacing w:after="0" w:line="225" w:lineRule="exact"/>
        <w:rPr>
          <w:sz w:val="20"/>
          <w:szCs w:val="20"/>
          <w:color w:val="auto"/>
        </w:rPr>
      </w:pPr>
    </w:p>
    <w:p>
      <w:pPr>
        <w:ind w:left="1300" w:right="440"/>
        <w:spacing w:after="0" w:line="342" w:lineRule="auto"/>
        <w:rPr>
          <w:sz w:val="20"/>
          <w:szCs w:val="20"/>
          <w:color w:val="auto"/>
        </w:rPr>
      </w:pPr>
      <w:r>
        <w:rPr>
          <w:rFonts w:ascii="Arial" w:cs="Arial" w:eastAsia="Arial" w:hAnsi="Arial"/>
          <w:sz w:val="16"/>
          <w:szCs w:val="16"/>
          <w:color w:val="auto"/>
        </w:rPr>
        <w:t>Any obligation arising from or becoming due under this Agreement before its expiration or premature termination shall survive such expiration or premature termination. Articles 6, 8, 9 and 10 and this Article 11.6 shall survive the termination of this Agreement.</w:t>
      </w:r>
    </w:p>
    <w:p>
      <w:pPr>
        <w:spacing w:after="0" w:line="124" w:lineRule="exact"/>
        <w:rPr>
          <w:sz w:val="20"/>
          <w:szCs w:val="20"/>
          <w:color w:val="auto"/>
        </w:rPr>
      </w:pPr>
    </w:p>
    <w:p>
      <w:pPr>
        <w:ind w:left="1060"/>
        <w:spacing w:after="0"/>
        <w:tabs>
          <w:tab w:leader="none" w:pos="168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Waiver</w:t>
      </w:r>
    </w:p>
    <w:p>
      <w:pPr>
        <w:spacing w:after="0" w:line="225" w:lineRule="exact"/>
        <w:rPr>
          <w:sz w:val="20"/>
          <w:szCs w:val="20"/>
          <w:color w:val="auto"/>
        </w:rPr>
      </w:pPr>
    </w:p>
    <w:p>
      <w:pPr>
        <w:ind w:left="1300"/>
        <w:spacing w:after="0" w:line="264" w:lineRule="auto"/>
        <w:rPr>
          <w:sz w:val="20"/>
          <w:szCs w:val="20"/>
          <w:color w:val="auto"/>
        </w:rPr>
      </w:pPr>
      <w:r>
        <w:rPr>
          <w:rFonts w:ascii="Arial" w:cs="Arial" w:eastAsia="Arial" w:hAnsi="Arial"/>
          <w:sz w:val="18"/>
          <w:szCs w:val="18"/>
          <w:color w:val="auto"/>
        </w:rPr>
        <w:t>Any Party may waive the terms and conditions of this Agreement by a written instrument signed by the Parties. Any waiver by a Party to a breach by the other Parties in a specific situation shall not be construed as a waiver to any similar breach by the other Parties in other situations.</w:t>
      </w:r>
    </w:p>
    <w:p>
      <w:pPr>
        <w:spacing w:after="0" w:line="177"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Party has caused this Agreement to be executed by himself/herself, its legal representative or its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as of the date first written above.</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NetEase (Hangzhou)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Hu Zhipeng</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Signature:</w:t>
        <w:tab/>
        <w:t>/s/ Hu Zhipeng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30187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 Hangzhou NetEase Leihuo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 Notice</w:t>
      </w:r>
    </w:p>
    <w:p>
      <w:pPr>
        <w:spacing w:after="0" w:line="21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ectPr>
          <w:pgSz w:w="11900" w:h="16838" w:orient="portrait"/>
          <w:cols w:equalWidth="0" w:num="1">
            <w:col w:w="11300"/>
          </w:cols>
          <w:pgMar w:left="240" w:top="125" w:right="359" w:bottom="0" w:gutter="0" w:footer="0" w:header="0"/>
        </w:sectPr>
      </w:pPr>
    </w:p>
    <w:bookmarkStart w:id="215" w:name="page216"/>
    <w:bookmarkEnd w:id="215"/>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Dear Hu Zhipeng,</w:t>
      </w:r>
    </w:p>
    <w:p>
      <w:pPr>
        <w:sectPr>
          <w:pgSz w:w="11900" w:h="16888" w:orient="portrait"/>
          <w:cols w:equalWidth="0" w:num="1">
            <w:col w:w="11460"/>
          </w:cols>
          <w:pgMar w:left="240" w:top="125" w:right="199" w:bottom="0" w:gutter="0" w:footer="0" w:header="0"/>
        </w:sectPr>
      </w:pPr>
    </w:p>
    <w:p>
      <w:pPr>
        <w:spacing w:after="0" w:line="24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Pursuant to the Amended and Restated Exclusive Purchase Option Agreement between us executed on to transfer to us or our Designated Person(s) certain equity interests or assets upon notice from us.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i w:val="1"/>
          <w:iCs w:val="1"/>
          <w:color w:val="auto"/>
        </w:rPr>
        <w:t>Option Agreement</w:t>
      </w:r>
      <w:r>
        <w:rPr>
          <w:rFonts w:ascii="Arial" w:cs="Arial" w:eastAsia="Arial" w:hAnsi="Arial"/>
          <w:sz w:val="16"/>
          <w:szCs w:val="16"/>
          <w:color w:val="auto"/>
        </w:rPr>
        <w:t>”), you agreed</w:t>
      </w:r>
    </w:p>
    <w:p>
      <w:pPr>
        <w:spacing w:after="0" w:line="464" w:lineRule="exact"/>
        <w:rPr>
          <w:sz w:val="20"/>
          <w:szCs w:val="20"/>
          <w:color w:val="auto"/>
        </w:rPr>
      </w:pPr>
    </w:p>
    <w:p>
      <w:pPr>
        <w:sectPr>
          <w:pgSz w:w="11900" w:h="16888" w:orient="portrait"/>
          <w:cols w:equalWidth="0" w:num="2">
            <w:col w:w="8040" w:space="460"/>
            <w:col w:w="2960"/>
          </w:cols>
          <w:pgMar w:left="240" w:top="125" w:right="199" w:bottom="0" w:gutter="0" w:footer="0" w:header="0"/>
          <w:type w:val="continuous"/>
        </w:sectPr>
      </w:pPr>
    </w:p>
    <w:p>
      <w:pPr>
        <w:ind w:right="120" w:firstLine="648"/>
        <w:spacing w:after="0" w:line="277" w:lineRule="auto"/>
        <w:rPr>
          <w:sz w:val="20"/>
          <w:szCs w:val="20"/>
          <w:color w:val="auto"/>
        </w:rPr>
      </w:pPr>
      <w:r>
        <w:rPr>
          <w:rFonts w:ascii="Arial" w:cs="Arial" w:eastAsia="Arial" w:hAnsi="Arial"/>
          <w:sz w:val="18"/>
          <w:szCs w:val="18"/>
          <w:color w:val="auto"/>
        </w:rPr>
        <w:t>This letter serves as our notice to you under Article 1.2.1 of the Option Agreement, and we hereby notify you that we wish to purchase from you the following [</w:t>
      </w:r>
      <w:r>
        <w:rPr>
          <w:rFonts w:ascii="Arial" w:cs="Arial" w:eastAsia="Arial" w:hAnsi="Arial"/>
          <w:sz w:val="18"/>
          <w:szCs w:val="18"/>
          <w:i w:val="1"/>
          <w:iCs w:val="1"/>
          <w:color w:val="auto"/>
        </w:rPr>
        <w:t>equity interests / assets</w:t>
      </w:r>
      <w:r>
        <w:rPr>
          <w:rFonts w:ascii="Arial" w:cs="Arial" w:eastAsia="Arial" w:hAnsi="Arial"/>
          <w:sz w:val="18"/>
          <w:szCs w:val="18"/>
          <w:color w:val="auto"/>
        </w:rPr>
        <w:t>], which constitute the Purchased Interest under Article 1.2.1 of the Option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0220" w:type="dxa"/>
            <w:vAlign w:val="bottom"/>
          </w:tcPr>
          <w:p>
            <w:pPr>
              <w:ind w:left="100"/>
              <w:spacing w:after="0"/>
              <w:rPr>
                <w:sz w:val="20"/>
                <w:szCs w:val="20"/>
                <w:color w:val="auto"/>
              </w:rPr>
            </w:pPr>
            <w:r>
              <w:rPr>
                <w:rFonts w:ascii="Arial" w:cs="Arial" w:eastAsia="Arial" w:hAnsi="Arial"/>
                <w:sz w:val="18"/>
                <w:szCs w:val="18"/>
                <w:color w:val="auto"/>
              </w:rPr>
              <w:t>[All /  % of the shares in Hangzhou NetEase Leihuo Network Co., Ltd.]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0220" w:type="dxa"/>
            <w:vAlign w:val="bottom"/>
          </w:tcPr>
          <w:p>
            <w:pPr>
              <w:ind w:left="100"/>
              <w:spacing w:after="0"/>
              <w:rPr>
                <w:sz w:val="20"/>
                <w:szCs w:val="20"/>
                <w:color w:val="auto"/>
              </w:rPr>
            </w:pPr>
            <w:r>
              <w:rPr>
                <w:rFonts w:ascii="Arial" w:cs="Arial" w:eastAsia="Arial" w:hAnsi="Arial"/>
                <w:sz w:val="18"/>
                <w:szCs w:val="18"/>
                <w:color w:val="auto"/>
                <w:w w:val="94"/>
              </w:rPr>
              <w:t>[All the assets of Hangzhou NetEase Leihuo Network Co., Ltd. / The following assets of Hangzhou NetEase Leihuo Network Co., Ltd.:</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0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60" w:type="dxa"/>
            <w:vAlign w:val="bottom"/>
          </w:tcPr>
          <w:p>
            <w:pPr>
              <w:spacing w:after="0"/>
              <w:rPr>
                <w:sz w:val="24"/>
                <w:szCs w:val="24"/>
                <w:color w:val="auto"/>
              </w:rPr>
            </w:pPr>
          </w:p>
        </w:tc>
        <w:tc>
          <w:tcPr>
            <w:tcW w:w="10860" w:type="dxa"/>
            <w:vAlign w:val="bottom"/>
            <w:gridSpan w:val="2"/>
          </w:tcPr>
          <w:p>
            <w:pPr>
              <w:ind w:left="100"/>
              <w:spacing w:after="0"/>
              <w:rPr>
                <w:sz w:val="20"/>
                <w:szCs w:val="20"/>
                <w:color w:val="auto"/>
              </w:rPr>
            </w:pPr>
            <w:r>
              <w:rPr>
                <w:rFonts w:ascii="Arial" w:cs="Arial" w:eastAsia="Arial" w:hAnsi="Arial"/>
                <w:sz w:val="18"/>
                <w:szCs w:val="18"/>
                <w:color w:val="auto"/>
                <w:w w:val="91"/>
              </w:rPr>
              <w:t>In consideration for the Purchased Interest, the Purchase Price (as defined in Article 1.3 of the Option Agreement) of the Purchased Interest will be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[RMB</w:t>
            </w:r>
          </w:p>
        </w:tc>
        <w:tc>
          <w:tcPr>
            <w:tcW w:w="10220" w:type="dxa"/>
            <w:vAlign w:val="bottom"/>
          </w:tcPr>
          <w:p>
            <w:pPr>
              <w:ind w:left="720"/>
              <w:spacing w:after="0"/>
              <w:rPr>
                <w:sz w:val="20"/>
                <w:szCs w:val="20"/>
                <w:color w:val="auto"/>
              </w:rPr>
            </w:pPr>
            <w:r>
              <w:rPr>
                <w:rFonts w:ascii="Arial" w:cs="Arial" w:eastAsia="Arial" w:hAnsi="Arial"/>
                <w:sz w:val="18"/>
                <w:szCs w:val="18"/>
                <w:color w:val="auto"/>
              </w:rPr>
              <w:t>]. We shall handle payment of the Purchase Price pursuant to Article 1.5 of the Option Agreement.</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10220" w:type="dxa"/>
            <w:vAlign w:val="bottom"/>
          </w:tcPr>
          <w:p>
            <w:pPr>
              <w:ind w:left="100"/>
              <w:spacing w:after="0"/>
              <w:rPr>
                <w:sz w:val="20"/>
                <w:szCs w:val="20"/>
                <w:color w:val="auto"/>
              </w:rPr>
            </w:pPr>
            <w:r>
              <w:rPr>
                <w:rFonts w:ascii="Arial" w:cs="Arial" w:eastAsia="Arial" w:hAnsi="Arial"/>
                <w:sz w:val="18"/>
                <w:szCs w:val="18"/>
                <w:color w:val="auto"/>
              </w:rPr>
              <w:t>Please assist us in arranging for the transfer of the Purchased Interest to [</w:t>
            </w:r>
            <w:r>
              <w:rPr>
                <w:rFonts w:ascii="Arial" w:cs="Arial" w:eastAsia="Arial" w:hAnsi="Arial"/>
                <w:sz w:val="18"/>
                <w:szCs w:val="18"/>
                <w:i w:val="1"/>
                <w:iCs w:val="1"/>
                <w:color w:val="auto"/>
              </w:rPr>
              <w:t>us / our Designated Person(s), which is/are</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Such transfer should occur no later than forty-five (45) business days after the date hereof</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NetEase (Hangzhou) Network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Power of Attorney</w:t>
      </w:r>
    </w:p>
    <w:p>
      <w:pPr>
        <w:spacing w:after="0" w:line="21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 hereby irrevocably appoint , holder of [passport / PRC identification] number : , as my proxy, to sign and deliver any and all legal documents that are necessary or useful to effect any exercise of an option to purchase any equity interests or assets pursuant to the Exclusive Purchase Option Agreement between NetEase (Hangzhou) Network Co., Ltd., Hu Zhipeng and Hangzhou NetEase Leihuo Network Co., Ltd. executed</w:t>
      </w: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on</w:t>
            </w:r>
          </w:p>
        </w:tc>
        <w:tc>
          <w:tcPr>
            <w:tcW w:w="5800" w:type="dxa"/>
            <w:vAlign w:val="bottom"/>
          </w:tcPr>
          <w:p>
            <w:pPr>
              <w:jc w:val="right"/>
              <w:ind w:right="5370"/>
              <w:spacing w:after="0"/>
              <w:rPr>
                <w:sz w:val="20"/>
                <w:szCs w:val="20"/>
                <w:color w:val="auto"/>
              </w:rPr>
            </w:pPr>
            <w:r>
              <w:rPr>
                <w:rFonts w:ascii="Arial" w:cs="Arial" w:eastAsia="Arial" w:hAnsi="Arial"/>
                <w:sz w:val="18"/>
                <w:szCs w:val="18"/>
                <w:color w:val="auto"/>
              </w:rPr>
              <w:t>.</w:t>
            </w: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140" w:type="dxa"/>
            <w:vAlign w:val="bottom"/>
          </w:tcPr>
          <w:p>
            <w:pPr>
              <w:ind w:left="4280"/>
              <w:spacing w:after="0"/>
              <w:rPr>
                <w:sz w:val="20"/>
                <w:szCs w:val="20"/>
                <w:color w:val="auto"/>
              </w:rPr>
            </w:pPr>
            <w:r>
              <w:rPr>
                <w:rFonts w:ascii="Arial" w:cs="Arial" w:eastAsia="Arial" w:hAnsi="Arial"/>
                <w:sz w:val="18"/>
                <w:szCs w:val="18"/>
                <w:color w:val="auto"/>
                <w:w w:val="90"/>
              </w:rPr>
              <w:t>Hu Zhipeng</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4"/>
                <w:szCs w:val="24"/>
                <w:color w:val="auto"/>
              </w:rPr>
            </w:pPr>
          </w:p>
        </w:tc>
        <w:tc>
          <w:tcPr>
            <w:tcW w:w="10980" w:type="dxa"/>
            <w:vAlign w:val="bottom"/>
            <w:gridSpan w:val="3"/>
          </w:tcPr>
          <w:p>
            <w:pPr>
              <w:ind w:left="5240"/>
              <w:spacing w:after="0"/>
              <w:rPr>
                <w:sz w:val="20"/>
                <w:szCs w:val="20"/>
                <w:color w:val="auto"/>
              </w:rPr>
            </w:pPr>
            <w:r>
              <w:rPr>
                <w:rFonts w:ascii="Arial" w:cs="Arial" w:eastAsia="Arial" w:hAnsi="Arial"/>
                <w:sz w:val="18"/>
                <w:szCs w:val="18"/>
                <w:i w:val="1"/>
                <w:iCs w:val="1"/>
                <w:color w:val="auto"/>
              </w:rPr>
              <w:t>Date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8"/>
        </w:trPr>
        <w:tc>
          <w:tcPr>
            <w:tcW w:w="480" w:type="dxa"/>
            <w:vAlign w:val="bottom"/>
            <w:tcBorders>
              <w:bottom w:val="single" w:sz="8" w:color="808080"/>
            </w:tcBorders>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Exhibit 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Transfer Agreement</w:t>
      </w:r>
    </w:p>
    <w:p>
      <w:pPr>
        <w:sectPr>
          <w:pgSz w:w="11900" w:h="16888" w:orient="portrait"/>
          <w:cols w:equalWidth="0" w:num="1">
            <w:col w:w="11460"/>
          </w:cols>
          <w:pgMar w:left="240" w:top="125" w:right="199" w:bottom="0" w:gutter="0" w:footer="0" w:header="0"/>
          <w:type w:val="continuous"/>
        </w:sectPr>
      </w:pP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Transfer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jointly signed by the Parties on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at the offices of Hangzhou NetEase Leihuo Network Co., Ltd. (the</w:t>
      </w:r>
    </w:p>
    <w:p>
      <w:pPr>
        <w:spacing w:after="0" w:line="463" w:lineRule="exact"/>
        <w:rPr>
          <w:sz w:val="20"/>
          <w:szCs w:val="20"/>
          <w:color w:val="auto"/>
        </w:rPr>
      </w:pPr>
    </w:p>
    <w:p>
      <w:pPr>
        <w:sectPr>
          <w:pgSz w:w="11900" w:h="16888" w:orient="portrait"/>
          <w:cols w:equalWidth="0" w:num="2">
            <w:col w:w="5760" w:space="720"/>
            <w:col w:w="4980"/>
          </w:cols>
          <w:pgMar w:left="240" w:top="125" w:right="199" w:bottom="0" w:gutter="0" w:footer="0" w:header="0"/>
          <w:type w:val="continuous"/>
        </w:sectPr>
      </w:pPr>
    </w:p>
    <w:p>
      <w:pPr>
        <w:spacing w:after="0"/>
        <w:rPr>
          <w:sz w:val="20"/>
          <w:szCs w:val="20"/>
          <w:color w:val="auto"/>
        </w:rPr>
      </w:pPr>
      <w:r>
        <w:rPr>
          <w:rFonts w:ascii="Arial" w:cs="Arial" w:eastAsia="Arial" w:hAnsi="Arial"/>
          <w:sz w:val="16"/>
          <w:szCs w:val="16"/>
          <w:color w:val="auto"/>
        </w:rPr>
        <w:t>Transferor: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Transferee:</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Hu Zhipeng/ Hangzhou NetEase Leihuo Network Co., Ltd.</w:t>
      </w:r>
      <w:r>
        <w:rPr>
          <w:rFonts w:ascii="Arial" w:cs="Arial" w:eastAsia="Arial" w:hAnsi="Arial"/>
          <w:sz w:val="17"/>
          <w:szCs w:val="17"/>
          <w:color w:val="auto"/>
        </w:rPr>
        <w:t>] (“</w:t>
      </w:r>
      <w:r>
        <w:rPr>
          <w:rFonts w:ascii="Arial" w:cs="Arial" w:eastAsia="Arial" w:hAnsi="Arial"/>
          <w:sz w:val="17"/>
          <w:szCs w:val="17"/>
          <w:b w:val="1"/>
          <w:bCs w:val="1"/>
          <w:i w:val="1"/>
          <w:iCs w:val="1"/>
          <w:color w:val="auto"/>
        </w:rPr>
        <w:t>Party A</w:t>
      </w: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NetEase (Hangzhou) Network Co., Ltd. or designated person(s)</w:t>
      </w:r>
      <w:r>
        <w:rPr>
          <w:rFonts w:ascii="Arial" w:cs="Arial" w:eastAsia="Arial" w:hAnsi="Arial"/>
          <w:sz w:val="16"/>
          <w:szCs w:val="16"/>
          <w:color w:val="auto"/>
        </w:rPr>
        <w:t>] (“</w:t>
      </w:r>
      <w:r>
        <w:rPr>
          <w:rFonts w:ascii="Arial" w:cs="Arial" w:eastAsia="Arial" w:hAnsi="Arial"/>
          <w:sz w:val="16"/>
          <w:szCs w:val="16"/>
          <w:b w:val="1"/>
          <w:bCs w:val="1"/>
          <w:i w:val="1"/>
          <w:iCs w:val="1"/>
          <w:color w:val="auto"/>
        </w:rPr>
        <w:t>Party B</w:t>
      </w:r>
      <w:r>
        <w:rPr>
          <w:rFonts w:ascii="Arial" w:cs="Arial" w:eastAsia="Arial" w:hAnsi="Arial"/>
          <w:sz w:val="16"/>
          <w:szCs w:val="16"/>
          <w:color w:val="auto"/>
        </w:rPr>
        <w:t>”)</w:t>
      </w:r>
    </w:p>
    <w:p>
      <w:pPr>
        <w:spacing w:after="0" w:line="200" w:lineRule="exact"/>
        <w:rPr>
          <w:sz w:val="20"/>
          <w:szCs w:val="20"/>
          <w:color w:val="auto"/>
        </w:rPr>
      </w:pPr>
    </w:p>
    <w:p>
      <w:pPr>
        <w:sectPr>
          <w:pgSz w:w="11900" w:h="16888" w:orient="portrait"/>
          <w:cols w:equalWidth="0" w:num="2">
            <w:col w:w="820" w:space="500"/>
            <w:col w:w="10140"/>
          </w:cols>
          <w:pgMar w:left="240" w:top="125" w:right="19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and Party B are called collectively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[Party A owns [ ]% of the equity interest of the Company.] According to the relevant laws, rules and regulations, upon friendly negotiations between the Parties, and pursuant to the Amended and Restated Exclusive Purchase Option Agreement entered into by the Parties on (the “</w:t>
      </w:r>
      <w:r>
        <w:rPr>
          <w:rFonts w:ascii="Arial" w:cs="Arial" w:eastAsia="Arial" w:hAnsi="Arial"/>
          <w:sz w:val="18"/>
          <w:szCs w:val="18"/>
          <w:b w:val="1"/>
          <w:bCs w:val="1"/>
          <w:i w:val="1"/>
          <w:iCs w:val="1"/>
          <w:color w:val="auto"/>
        </w:rPr>
        <w:t>Exclusive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Purchase Option Agreement</w:t>
      </w:r>
      <w:r>
        <w:rPr>
          <w:rFonts w:ascii="Arial" w:cs="Arial" w:eastAsia="Arial" w:hAnsi="Arial"/>
          <w:sz w:val="18"/>
          <w:szCs w:val="18"/>
          <w:color w:val="auto"/>
        </w:rPr>
        <w:t>”), the Parties agree to the following: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1. Subject of Transfer and Purchase Price</w:t>
      </w:r>
    </w:p>
    <w:p>
      <w:pPr>
        <w:spacing w:after="0" w:line="225" w:lineRule="exact"/>
        <w:rPr>
          <w:sz w:val="20"/>
          <w:szCs w:val="20"/>
          <w:color w:val="auto"/>
        </w:rPr>
      </w:pPr>
    </w:p>
    <w:p>
      <w:pPr>
        <w:ind w:left="660"/>
        <w:spacing w:after="0"/>
        <w:tabs>
          <w:tab w:leader="none" w:pos="6480" w:val="left"/>
          <w:tab w:leader="none" w:pos="6820" w:val="left"/>
        </w:tabs>
        <w:rPr>
          <w:sz w:val="20"/>
          <w:szCs w:val="20"/>
          <w:color w:val="auto"/>
        </w:rPr>
      </w:pPr>
      <w:r>
        <w:rPr>
          <w:rFonts w:ascii="Arial" w:cs="Arial" w:eastAsia="Arial" w:hAnsi="Arial"/>
          <w:sz w:val="18"/>
          <w:szCs w:val="18"/>
          <w:color w:val="auto"/>
        </w:rPr>
        <w:t>Party A shall transfer to [Party B / Party B’s designated person(s):</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 equity interest of the Company / the following assets:</w:t>
      </w:r>
    </w:p>
    <w:p>
      <w:pPr>
        <w:spacing w:after="0" w:line="23" w:lineRule="exact"/>
        <w:rPr>
          <w:sz w:val="20"/>
          <w:szCs w:val="20"/>
          <w:color w:val="auto"/>
        </w:rPr>
      </w:pPr>
    </w:p>
    <w:p>
      <w:pPr>
        <w:ind w:left="2660"/>
        <w:spacing w:after="0"/>
        <w:tabs>
          <w:tab w:leader="none" w:pos="8460" w:val="left"/>
        </w:tabs>
        <w:rPr>
          <w:sz w:val="20"/>
          <w:szCs w:val="20"/>
          <w:color w:val="auto"/>
        </w:rPr>
      </w:pPr>
      <w:r>
        <w:rPr>
          <w:rFonts w:ascii="Arial" w:cs="Arial" w:eastAsia="Arial" w:hAnsi="Arial"/>
          <w:sz w:val="18"/>
          <w:szCs w:val="18"/>
          <w:color w:val="auto"/>
        </w:rPr>
        <w:t>] (the “</w:t>
      </w:r>
      <w:r>
        <w:rPr>
          <w:rFonts w:ascii="Arial" w:cs="Arial" w:eastAsia="Arial" w:hAnsi="Arial"/>
          <w:sz w:val="18"/>
          <w:szCs w:val="18"/>
          <w:b w:val="1"/>
          <w:bCs w:val="1"/>
          <w:i w:val="1"/>
          <w:iCs w:val="1"/>
          <w:color w:val="auto"/>
        </w:rPr>
        <w:t>Transferred Interest</w:t>
      </w:r>
      <w:r>
        <w:rPr>
          <w:rFonts w:ascii="Arial" w:cs="Arial" w:eastAsia="Arial" w:hAnsi="Arial"/>
          <w:sz w:val="18"/>
          <w:szCs w:val="18"/>
          <w:color w:val="auto"/>
        </w:rPr>
        <w:t>”) for the total purchase price of [RMB</w:t>
      </w:r>
      <w:r>
        <w:rPr>
          <w:sz w:val="20"/>
          <w:szCs w:val="20"/>
          <w:color w:val="auto"/>
        </w:rPr>
        <w:tab/>
      </w:r>
      <w:r>
        <w:rPr>
          <w:rFonts w:ascii="Arial" w:cs="Arial" w:eastAsia="Arial" w:hAnsi="Arial"/>
          <w:sz w:val="17"/>
          <w:szCs w:val="17"/>
          <w:color w:val="auto"/>
        </w:rPr>
        <w:t>].</w:t>
      </w:r>
    </w:p>
    <w:p>
      <w:pPr>
        <w:sectPr>
          <w:pgSz w:w="11900" w:h="16888" w:orient="portrait"/>
          <w:cols w:equalWidth="0" w:num="1">
            <w:col w:w="11460"/>
          </w:cols>
          <w:pgMar w:left="240" w:top="125" w:right="199" w:bottom="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2. Undertakings and Guarantee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Party A guarantees that the Transferred Interest is legally owned by Party A and that Party A owns the complete, effective right of disposal. Party A guarantees that the Transferred Interest is free of any mortgage or other security and not the subject of claims of any third party. Otherwise, Party A shall undertake all legal liabilities incurred therefrom. Party A undertakes and guarantees that after this Agreement has become effective, Party B shall have all of Party A’s previous rights in the Transferred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Article 3. Liabilities for Breach of Contract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If any Party to this Agreement fails to, according to the provisions of this Agreement, appropriately and fully perform its obligations, such Party shall be liable for breach of contract. Any damages and costs incurred by the non-breaching Party, due to a breach of contract by the breaching Party, shall be paid by the breaching Party to the non-breaching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4. Method of Dispute Resolutions</w:t>
      </w:r>
    </w:p>
    <w:p>
      <w:pPr>
        <w:sectPr>
          <w:pgSz w:w="11900" w:h="16888" w:orient="portrait"/>
          <w:cols w:equalWidth="0" w:num="1">
            <w:col w:w="11460"/>
          </w:cols>
          <w:pgMar w:left="240" w:top="125" w:right="199" w:bottom="0" w:gutter="0" w:footer="0" w:header="0"/>
          <w:type w:val="continuous"/>
        </w:sectPr>
      </w:pPr>
    </w:p>
    <w:bookmarkStart w:id="216" w:name="page217"/>
    <w:bookmarkEnd w:id="216"/>
    <w:p>
      <w:pPr>
        <w:ind w:right="40" w:firstLine="648"/>
        <w:spacing w:after="0" w:line="342" w:lineRule="auto"/>
        <w:rPr>
          <w:sz w:val="20"/>
          <w:szCs w:val="20"/>
          <w:color w:val="auto"/>
        </w:rPr>
      </w:pPr>
      <w:r>
        <w:rPr>
          <w:rFonts w:ascii="Arial" w:cs="Arial" w:eastAsia="Arial" w:hAnsi="Arial"/>
          <w:sz w:val="16"/>
          <w:szCs w:val="16"/>
          <w:color w:val="auto"/>
        </w:rPr>
        <w:t>This Agreement shall be subject to the relevant laws of the People’s Republic of China and the interpretations thereof. Any dispute arising from or in connection with this Agreement shall be resolved by the dispute resolution mechanism in Article 6.2 of the Exclusive Purchase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Article 5. Others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Both Parties guarantee that the above agreed contents are the real expression of intention of the Parties, and the legal liabilities for all consequences caused by misstatement shall be borne by the Parties correspondingly. This Agreement shall become effective upon execution by Party A and Party B.</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This Agreement shall be executed in </w:t>
      </w:r>
      <w:r>
        <w:rPr>
          <w:rFonts w:ascii="Arial" w:cs="Arial" w:eastAsia="Arial" w:hAnsi="Arial"/>
          <w:sz w:val="16"/>
          <w:szCs w:val="16"/>
          <w:u w:val="single" w:color="auto"/>
          <w:color w:val="auto"/>
        </w:rPr>
        <w:t>triplicate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each of the Parties and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for the Company for use in completing the relevant formalities.</w:t>
      </w:r>
    </w:p>
    <w:p>
      <w:pPr>
        <w:sectPr>
          <w:pgSz w:w="11900" w:h="16838" w:orient="portrait"/>
          <w:cols w:equalWidth="0" w:num="1">
            <w:col w:w="11280"/>
          </w:cols>
          <w:pgMar w:left="240" w:top="341" w:right="3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Party A (signature):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0" w:lineRule="exact"/>
        <w:rPr>
          <w:sz w:val="20"/>
          <w:szCs w:val="20"/>
          <w:color w:val="auto"/>
        </w:rPr>
      </w:pPr>
    </w:p>
    <w:p>
      <w:pPr>
        <w:sectPr>
          <w:pgSz w:w="11900" w:h="16838" w:orient="portrait"/>
          <w:cols w:equalWidth="0" w:num="2">
            <w:col w:w="1440" w:space="480"/>
            <w:col w:w="9360"/>
          </w:cols>
          <w:pgMar w:left="240" w:top="341" w:right="3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Party B (signature):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[signed]</w:t>
      </w:r>
    </w:p>
    <w:p>
      <w:pPr>
        <w:spacing w:after="0" w:line="200" w:lineRule="exact"/>
        <w:rPr>
          <w:sz w:val="20"/>
          <w:szCs w:val="20"/>
          <w:color w:val="auto"/>
        </w:rPr>
      </w:pPr>
    </w:p>
    <w:p>
      <w:pPr>
        <w:sectPr>
          <w:pgSz w:w="11900" w:h="16838" w:orient="portrait"/>
          <w:cols w:equalWidth="0" w:num="2">
            <w:col w:w="1420" w:space="500"/>
            <w:col w:w="9360"/>
          </w:cols>
          <w:pgMar w:left="240" w:top="341" w:right="379" w:bottom="1440" w:gutter="0" w:footer="0" w:header="0"/>
          <w:type w:val="continuous"/>
        </w:sectPr>
      </w:pPr>
    </w:p>
    <w:p>
      <w:pPr>
        <w:spacing w:after="0" w:line="48" w:lineRule="exact"/>
        <w:rPr>
          <w:sz w:val="20"/>
          <w:szCs w:val="20"/>
          <w:color w:val="auto"/>
        </w:rPr>
      </w:pPr>
    </w:p>
    <w:p>
      <w:pPr>
        <w:ind w:left="5720"/>
        <w:spacing w:after="0"/>
        <w:tabs>
          <w:tab w:leader="none" w:pos="690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type w:val="continuous"/>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4.51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OPERATING AGREEMENT</w:t>
      </w:r>
    </w:p>
    <w:p>
      <w:pPr>
        <w:spacing w:after="0" w:line="225"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color w:val="auto"/>
        </w:rPr>
        <w:t>This Amended and Restated Operating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among the following parties on December 1, 2015, to amend and restate in its entirety the Operating Agreement entered into by and among the following parties (or their predecessors in interest) on April 15, 2009 (the “</w:t>
      </w:r>
      <w:r>
        <w:rPr>
          <w:rFonts w:ascii="Arial" w:cs="Arial" w:eastAsia="Arial" w:hAnsi="Arial"/>
          <w:sz w:val="18"/>
          <w:szCs w:val="18"/>
          <w:b w:val="1"/>
          <w:bCs w:val="1"/>
          <w:color w:val="auto"/>
        </w:rPr>
        <w:t>Original Agreement</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NetEase (Hangzhou) Network Co.,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Room 103-105, 1/F, Building 18, No. 1 Jiaogong Road, Hangzhou, Zhejiang Province, PRC</w:t>
      </w:r>
    </w:p>
    <w:p>
      <w:pPr>
        <w:spacing w:after="0" w:line="200" w:lineRule="exact"/>
        <w:rPr>
          <w:sz w:val="20"/>
          <w:szCs w:val="20"/>
          <w:color w:val="auto"/>
        </w:rPr>
      </w:pPr>
    </w:p>
    <w:p>
      <w:pPr>
        <w:sectPr>
          <w:pgSz w:w="11900" w:h="16838" w:orient="portrait"/>
          <w:cols w:equalWidth="0" w:num="2">
            <w:col w:w="700" w:space="620"/>
            <w:col w:w="1010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Hangzhou NetEase Leihuo Network Co.,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Room 601-603, 6/F, Building 18, No. 1 Jiaogong Road, West Lake District, Hangzhou, Zhejiang Province, PRC</w:t>
      </w:r>
    </w:p>
    <w:p>
      <w:pPr>
        <w:spacing w:after="0" w:line="200" w:lineRule="exact"/>
        <w:rPr>
          <w:sz w:val="20"/>
          <w:szCs w:val="20"/>
          <w:color w:val="auto"/>
        </w:rPr>
      </w:pPr>
    </w:p>
    <w:p>
      <w:pPr>
        <w:sectPr>
          <w:pgSz w:w="11900" w:h="16838" w:orient="portrait"/>
          <w:cols w:equalWidth="0" w:num="2">
            <w:col w:w="700" w:space="620"/>
            <w:col w:w="1010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Hu Zhipeng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 14 South Street, Chaoyangmen, FESCO, Beijing, PRC</w:t>
      </w:r>
    </w:p>
    <w:p>
      <w:pPr>
        <w:spacing w:after="0" w:line="200" w:lineRule="exact"/>
        <w:rPr>
          <w:sz w:val="20"/>
          <w:szCs w:val="20"/>
          <w:color w:val="auto"/>
        </w:rPr>
      </w:pPr>
    </w:p>
    <w:p>
      <w:pPr>
        <w:sectPr>
          <w:pgSz w:w="11900" w:h="16838" w:orient="portrait"/>
          <w:cols w:equalWidth="0" w:num="2">
            <w:col w:w="700" w:space="620"/>
            <w:col w:w="1010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Hu Tianlei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 38 Zheda Road, West Lake District, Hangzhou, Zhejiang Province, PRC</w:t>
      </w:r>
    </w:p>
    <w:p>
      <w:pPr>
        <w:spacing w:after="0" w:line="200" w:lineRule="exact"/>
        <w:rPr>
          <w:sz w:val="20"/>
          <w:szCs w:val="20"/>
          <w:color w:val="auto"/>
        </w:rPr>
      </w:pPr>
    </w:p>
    <w:p>
      <w:pPr>
        <w:sectPr>
          <w:pgSz w:w="11900" w:h="16838" w:orient="portrait"/>
          <w:cols w:equalWidth="0" w:num="2">
            <w:col w:w="700" w:space="620"/>
            <w:col w:w="10100"/>
          </w:cols>
          <w:pgMar w:left="240" w:top="121" w:right="239" w:bottom="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Party A, Party B, Party C and Party D are called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each of them is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left="660" w:hanging="652"/>
        <w:spacing w:after="0"/>
        <w:tabs>
          <w:tab w:leader="none" w:pos="66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Party A is a wholly foreign-owned enterprise duly incorporated and validly existing under the laws of the People’s Republic of China (the “</w:t>
      </w:r>
      <w:r>
        <w:rPr>
          <w:rFonts w:ascii="Arial" w:cs="Arial" w:eastAsia="Arial" w:hAnsi="Arial"/>
          <w:sz w:val="16"/>
          <w:szCs w:val="16"/>
          <w:b w:val="1"/>
          <w:bCs w:val="1"/>
          <w:color w:val="auto"/>
        </w:rPr>
        <w:t>PRC</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left="660" w:hanging="652"/>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Party B is a limited liability company duly incorporated and validly existing under PRC law;</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Party C and Party D are shareholders of Party B, in which Party C owns 50% and Party D owns 50% of the equity interest;</w:t>
      </w:r>
    </w:p>
    <w:p>
      <w:pPr>
        <w:spacing w:after="0" w:line="221" w:lineRule="exact"/>
        <w:rPr>
          <w:rFonts w:ascii="Arial" w:cs="Arial" w:eastAsia="Arial" w:hAnsi="Arial"/>
          <w:sz w:val="18"/>
          <w:szCs w:val="18"/>
          <w:color w:val="auto"/>
        </w:rPr>
      </w:pPr>
    </w:p>
    <w:p>
      <w:pPr>
        <w:ind w:left="660" w:right="420" w:hanging="652"/>
        <w:spacing w:after="0" w:line="282" w:lineRule="auto"/>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Party A has established a business relationship with Party B by entering into a Cooperation Agreement dated April 15, 2009 (the “</w:t>
      </w:r>
      <w:r>
        <w:rPr>
          <w:rFonts w:ascii="Arial" w:cs="Arial" w:eastAsia="Arial" w:hAnsi="Arial"/>
          <w:sz w:val="18"/>
          <w:szCs w:val="18"/>
          <w:b w:val="1"/>
          <w:bCs w:val="1"/>
          <w:color w:val="auto"/>
        </w:rPr>
        <w:t>Cooperation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 other agreements; and</w:t>
      </w:r>
    </w:p>
    <w:p>
      <w:pPr>
        <w:spacing w:after="0" w:line="16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Pursuant to the above-mentioned agreements between Party A and Party B, Party B shall pay certain sums of money to Party A. The daily operations of Party B will have a material effect on Party B’s ability to pay such account payable to Party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through negotiations, all parties to this Agreement hereby agree as follows:</w:t>
      </w:r>
    </w:p>
    <w:p>
      <w:pPr>
        <w:spacing w:after="0" w:line="229" w:lineRule="exact"/>
        <w:rPr>
          <w:sz w:val="20"/>
          <w:szCs w:val="20"/>
          <w:color w:val="auto"/>
        </w:rPr>
      </w:pPr>
    </w:p>
    <w:p>
      <w:pPr>
        <w:ind w:left="660" w:right="40" w:hanging="652"/>
        <w:spacing w:after="0" w:line="272" w:lineRule="auto"/>
        <w:tabs>
          <w:tab w:leader="none" w:pos="6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Party A agrees, subject to the satisfaction of the relevant provisions herein by Party B and subject to the other provisions in this Agreement, to be the guarantor of Party B in the contracts, agreements or transactions entered into between Party B and any third party in connection with Party B’s business and operations, to provide full guarantees for the performance of such contracts, agreements or transactions by Party B. As counter-guarantee, Party B agrees to pledge the accounts receivable in its operations and all of its assets to Party A. According to the aforesaid guarantee arrangement, Party A, when necessary, is willing to enter into written guarantee contracts with Party B’s counterparties to assume the guarantor’s liabilities. Party B, Party C and Party D shall take all necessary actions (including, but not limited to, executing the relevant documents and filing the relevant registrations) to carry out the counter-guarantee arrangement with Party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hanging="652"/>
        <w:spacing w:after="0" w:line="297" w:lineRule="auto"/>
        <w:tabs>
          <w:tab w:leader="none" w:pos="66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In consideration of the requirements of Article 1 hereof and to ensure the performance of the various business agreements between Party A and Party B and the payment by Party B of the amounts payable to Party A thereunder, Party B, together with its shareholders Party C and Party D, hereby jointly agree that, without Party A’s prior written consent, Party B shall not engage in any transaction that may materially affect its assets, liabilities, rights or operations (except that Party B may, in the ordinary course of its business, enter into business contracts or agreements, sell or purchase assets and create liens in favor of relevant counter parties as required by law), including, but not limited to, the following:</w:t>
      </w:r>
    </w:p>
    <w:p>
      <w:pPr>
        <w:spacing w:after="0" w:line="15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2.1</w:t>
      </w:r>
      <w:r>
        <w:rPr>
          <w:rFonts w:ascii="Arial" w:cs="Arial" w:eastAsia="Arial" w:hAnsi="Arial"/>
          <w:sz w:val="16"/>
          <w:szCs w:val="16"/>
          <w:color w:val="auto"/>
        </w:rPr>
        <w:t>To declare any dividend or distribution to any shareholder;</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2.2</w:t>
      </w:r>
      <w:r>
        <w:rPr>
          <w:rFonts w:ascii="Arial" w:cs="Arial" w:eastAsia="Arial" w:hAnsi="Arial"/>
          <w:sz w:val="16"/>
          <w:szCs w:val="16"/>
          <w:color w:val="auto"/>
        </w:rPr>
        <w:t>To borrow money from any third party or assume any debt;</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2.3</w:t>
      </w:r>
      <w:r>
        <w:rPr>
          <w:rFonts w:ascii="Arial" w:cs="Arial" w:eastAsia="Arial" w:hAnsi="Arial"/>
          <w:sz w:val="16"/>
          <w:szCs w:val="16"/>
          <w:color w:val="auto"/>
        </w:rPr>
        <w:t>To sell to or acquire from any third party any asset or rights, including, but not limited to, any intellectual property rights;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2.4</w:t>
      </w:r>
      <w:r>
        <w:rPr>
          <w:rFonts w:ascii="Arial" w:cs="Arial" w:eastAsia="Arial" w:hAnsi="Arial"/>
          <w:sz w:val="16"/>
          <w:szCs w:val="16"/>
          <w:color w:val="auto"/>
        </w:rPr>
        <w:t>To provide a guarantee for any third party using its assets or intellectual property rights as collateral;</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2.5</w:t>
      </w:r>
      <w:r>
        <w:rPr>
          <w:rFonts w:ascii="Arial" w:cs="Arial" w:eastAsia="Arial" w:hAnsi="Arial"/>
          <w:sz w:val="16"/>
          <w:szCs w:val="16"/>
          <w:color w:val="auto"/>
        </w:rPr>
        <w:t>To assign to any third party its business contracts;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2.6</w:t>
      </w:r>
      <w:r>
        <w:rPr>
          <w:rFonts w:ascii="Arial" w:cs="Arial" w:eastAsia="Arial" w:hAnsi="Arial"/>
          <w:sz w:val="16"/>
          <w:szCs w:val="16"/>
          <w:color w:val="auto"/>
        </w:rPr>
        <w:t>To engage in any activity beyond its normal business scope;</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2.7</w:t>
      </w:r>
      <w:r>
        <w:rPr>
          <w:rFonts w:ascii="Arial" w:cs="Arial" w:eastAsia="Arial" w:hAnsi="Arial"/>
          <w:sz w:val="16"/>
          <w:szCs w:val="16"/>
          <w:color w:val="auto"/>
        </w:rPr>
        <w:t>To change or dismiss any of its directors or remove and replace any of its officers;</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2.8</w:t>
      </w:r>
      <w:r>
        <w:rPr>
          <w:rFonts w:ascii="Arial" w:cs="Arial" w:eastAsia="Arial" w:hAnsi="Arial"/>
          <w:sz w:val="16"/>
          <w:szCs w:val="16"/>
          <w:color w:val="auto"/>
        </w:rPr>
        <w:t>To amend its articles of association or change its business scope;</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2.9</w:t>
      </w:r>
      <w:r>
        <w:rPr>
          <w:rFonts w:ascii="Arial" w:cs="Arial" w:eastAsia="Arial" w:hAnsi="Arial"/>
          <w:sz w:val="16"/>
          <w:szCs w:val="16"/>
          <w:color w:val="auto"/>
        </w:rPr>
        <w:t>To change its normal business procedures or amend any of its important rules and regulations; or</w:t>
      </w:r>
    </w:p>
    <w:p>
      <w:pPr>
        <w:spacing w:after="0" w:line="22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2.10    To transfer its rights and obligations under this Agreement to any third party.</w:t>
      </w:r>
    </w:p>
    <w:p>
      <w:pPr>
        <w:sectPr>
          <w:pgSz w:w="11900" w:h="16838" w:orient="portrait"/>
          <w:cols w:equalWidth="0" w:num="1">
            <w:col w:w="11420"/>
          </w:cols>
          <w:pgMar w:left="240" w:top="121" w:right="239" w:bottom="0" w:gutter="0" w:footer="0" w:header="0"/>
          <w:type w:val="continuous"/>
        </w:sectPr>
      </w:pPr>
    </w:p>
    <w:bookmarkStart w:id="218" w:name="page219"/>
    <w:bookmarkEnd w:id="218"/>
    <w:p>
      <w:pPr>
        <w:ind w:left="652" w:right="120" w:hanging="652"/>
        <w:spacing w:after="0" w:line="259" w:lineRule="auto"/>
        <w:tabs>
          <w:tab w:leader="none" w:pos="65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 order to ensure the performance of the various business agreements between Party A and Party B and the payment by Party B of the amounts payable to Party A thereunder, Party B, together with its shareholders Party C and Party D, hereby jointly agree to accept and comply in all respects with advice and guidance provided by Party A from time to time relating to its corporate policies on matters such as employment and dismissal of employees, daily operations and management, and financial management.</w:t>
      </w:r>
    </w:p>
    <w:p>
      <w:pPr>
        <w:spacing w:after="0" w:line="186" w:lineRule="exact"/>
        <w:rPr>
          <w:rFonts w:ascii="Arial" w:cs="Arial" w:eastAsia="Arial" w:hAnsi="Arial"/>
          <w:sz w:val="18"/>
          <w:szCs w:val="18"/>
          <w:color w:val="auto"/>
        </w:rPr>
      </w:pPr>
    </w:p>
    <w:p>
      <w:pPr>
        <w:ind w:left="652" w:hanging="652"/>
        <w:spacing w:after="0" w:line="255" w:lineRule="auto"/>
        <w:tabs>
          <w:tab w:leader="none" w:pos="652" w:val="left"/>
        </w:tabs>
        <w:numPr>
          <w:ilvl w:val="0"/>
          <w:numId w:val="394"/>
        </w:numPr>
        <w:rPr>
          <w:rFonts w:ascii="Arial" w:cs="Arial" w:eastAsia="Arial" w:hAnsi="Arial"/>
          <w:sz w:val="18"/>
          <w:szCs w:val="18"/>
          <w:color w:val="auto"/>
        </w:rPr>
      </w:pPr>
      <w:r>
        <w:rPr>
          <w:rFonts w:ascii="Arial" w:cs="Arial" w:eastAsia="Arial" w:hAnsi="Arial"/>
          <w:sz w:val="18"/>
          <w:szCs w:val="18"/>
          <w:color w:val="auto"/>
        </w:rPr>
        <w:t>Party B, together with its shareholders Party C and Party D, hereby jointly agree that Party C and Party D shall appoint candidates recommended by Party A as directors of Party B, and Party B shall appoint Party A’s senior executive officers recommended by Party A as its president, chief financial officer and other senior executive officers. If any of the above-mentioned senior executive officers of Party A leaves Party A, whether voluntarily or as a result of dismissal by Party A, he or she shall also lose his/her right to hold any position at Party B, and Party B shall appoint other senior executive officers of Party A recommended by Party A to fill such a position. The persons recommended by Party A in accordance with this Article 4 shall comply with the legal requirements regarding the qualifications of directors, presidents, chief financial officers, and other senior executive officers.</w:t>
      </w:r>
    </w:p>
    <w:p>
      <w:pPr>
        <w:spacing w:after="0" w:line="1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60" w:hanging="652"/>
        <w:spacing w:after="0" w:line="257" w:lineRule="auto"/>
        <w:tabs>
          <w:tab w:leader="none" w:pos="65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Party B, together with its shareholders Party C and Party D, hereby jointly agree and confirm that Party B shall first seek a guarantee from Party A if Party B needs any guarantee for its performance of any of its contracts or for any borrowing for working capital purposes in the course of its operations. In such cases, Party A shall have the right, but not the obligation, to provide the appropriate guarantee to Party B at Party A’s sole discretion. If Party A decides not to provide such a guarantee, Party A shall immediately issue a written notice to Party B and Party B may seek a guarantee from third parties.</w:t>
      </w:r>
    </w:p>
    <w:p>
      <w:pPr>
        <w:spacing w:after="0" w:line="188" w:lineRule="exact"/>
        <w:rPr>
          <w:rFonts w:ascii="Arial" w:cs="Arial" w:eastAsia="Arial" w:hAnsi="Arial"/>
          <w:sz w:val="18"/>
          <w:szCs w:val="18"/>
          <w:color w:val="auto"/>
        </w:rPr>
      </w:pPr>
    </w:p>
    <w:p>
      <w:pPr>
        <w:ind w:left="652" w:right="340" w:hanging="652"/>
        <w:spacing w:after="0" w:line="277" w:lineRule="auto"/>
        <w:tabs>
          <w:tab w:leader="none" w:pos="65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In the event that any of the agreements between Party A and Party B terminates or expires, Party A shall have the right, but not the obligation, to terminate all agreements between Party A and Party B including, but not limited to, the Cooperation Agreement.</w:t>
      </w:r>
    </w:p>
    <w:p>
      <w:pPr>
        <w:spacing w:after="0" w:line="170"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Any amendment or supplement to this Agreement shall be made in writing. The amendment or supplement duly executed by all Parties shall form an integral part of this Agreement and shall have the same legal effect as this Agreement.</w:t>
      </w:r>
    </w:p>
    <w:p>
      <w:pPr>
        <w:spacing w:after="0" w:line="170" w:lineRule="exact"/>
        <w:rPr>
          <w:rFonts w:ascii="Arial" w:cs="Arial" w:eastAsia="Arial" w:hAnsi="Arial"/>
          <w:sz w:val="18"/>
          <w:szCs w:val="18"/>
          <w:color w:val="auto"/>
        </w:rPr>
      </w:pPr>
    </w:p>
    <w:p>
      <w:pPr>
        <w:ind w:left="652" w:right="400" w:hanging="652"/>
        <w:spacing w:after="0" w:line="264" w:lineRule="auto"/>
        <w:tabs>
          <w:tab w:leader="none" w:pos="65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Should any provision of this Agreement be held invalid or unenforceable because of inconsistency with applicable laws, such provision shall be invalid or unenforceable only to the extent of such applicable laws without affecting the validity or enforceability of the remainder of this Agreement.</w:t>
      </w:r>
    </w:p>
    <w:p>
      <w:pPr>
        <w:spacing w:after="0" w:line="181" w:lineRule="exact"/>
        <w:rPr>
          <w:rFonts w:ascii="Arial" w:cs="Arial" w:eastAsia="Arial" w:hAnsi="Arial"/>
          <w:sz w:val="18"/>
          <w:szCs w:val="18"/>
          <w:color w:val="auto"/>
        </w:rPr>
      </w:pPr>
    </w:p>
    <w:p>
      <w:pPr>
        <w:ind w:left="652" w:right="80" w:hanging="652"/>
        <w:spacing w:after="0" w:line="264" w:lineRule="auto"/>
        <w:tabs>
          <w:tab w:leader="none" w:pos="65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Party B shall not assign its rights and obligations under this Agreement to any third party without the prior written consent of Party A. Party B hereby agrees that Party A may assign its rights and obligations under this Agreement as Party A sees fit, in which case Party A only needs to give a written notice to Party B and no further consent of Party B is required.</w:t>
      </w:r>
    </w:p>
    <w:p>
      <w:pPr>
        <w:spacing w:after="0" w:line="181" w:lineRule="exact"/>
        <w:rPr>
          <w:rFonts w:ascii="Arial" w:cs="Arial" w:eastAsia="Arial" w:hAnsi="Arial"/>
          <w:sz w:val="18"/>
          <w:szCs w:val="18"/>
          <w:color w:val="auto"/>
        </w:rPr>
      </w:pPr>
    </w:p>
    <w:p>
      <w:pPr>
        <w:ind w:left="652" w:right="60" w:hanging="652"/>
        <w:spacing w:after="0" w:line="290" w:lineRule="auto"/>
        <w:tabs>
          <w:tab w:leader="none" w:pos="647" w:val="left"/>
        </w:tabs>
        <w:numPr>
          <w:ilvl w:val="0"/>
          <w:numId w:val="395"/>
        </w:numPr>
        <w:rPr>
          <w:rFonts w:ascii="Arial" w:cs="Arial" w:eastAsia="Arial" w:hAnsi="Arial"/>
          <w:sz w:val="16"/>
          <w:szCs w:val="16"/>
          <w:color w:val="auto"/>
        </w:rPr>
      </w:pPr>
      <w:r>
        <w:rPr>
          <w:rFonts w:ascii="Arial" w:cs="Arial" w:eastAsia="Arial" w:hAnsi="Arial"/>
          <w:sz w:val="16"/>
          <w:szCs w:val="16"/>
          <w:color w:val="auto"/>
        </w:rPr>
        <w:t>All Parties acknowledge and confirm that any oral or written materials exchanged pursuant to this Agreement are confidential. Each Party shall keep confidential all such materials and not disclose any such materials to any third Party without the prior written consent from the other Parties except in the following situations: (a) such materials are or will become known by the public (through no fault of the receiving Party); (b) any materials as required to be disclosed by the applicable laws or rules of any stock exchange or governmental entity; and (c) any materials disclosed by each Party to its legal or financial advisors relating to the transactions contemplated by this Agreement, and such legal or financial advisors shall comply with the confidentiality provisions set forth in this Article 10. Any disclosure of confidential information by the personnel of any Party or by the institutions engaged by such Party shall be deemed as a disclosure by such Party, and such Party shall be liable for the breach under this Agreement. Both Parties agree that this Article 10 shall survive the invalidity, cancellation, termination or unenforceability of this Agreement.</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32" w:hanging="632"/>
        <w:spacing w:after="0"/>
        <w:tabs>
          <w:tab w:leader="none" w:pos="632"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formation, validity, interpretation and performance of and settlement of disputes under this Agreement shall be governed by the laws of the PRC.</w:t>
      </w:r>
    </w:p>
    <w:p>
      <w:pPr>
        <w:spacing w:after="0" w:line="248" w:lineRule="exact"/>
        <w:rPr>
          <w:rFonts w:ascii="Arial" w:cs="Arial" w:eastAsia="Arial" w:hAnsi="Arial"/>
          <w:sz w:val="16"/>
          <w:szCs w:val="16"/>
          <w:color w:val="auto"/>
        </w:rPr>
      </w:pPr>
    </w:p>
    <w:p>
      <w:pPr>
        <w:ind w:left="652" w:right="20" w:hanging="652"/>
        <w:spacing w:after="0" w:line="268" w:lineRule="auto"/>
        <w:tabs>
          <w:tab w:leader="none" w:pos="647" w:val="left"/>
        </w:tabs>
        <w:numPr>
          <w:ilvl w:val="0"/>
          <w:numId w:val="396"/>
        </w:numPr>
        <w:rPr>
          <w:rFonts w:ascii="Arial" w:cs="Arial" w:eastAsia="Arial" w:hAnsi="Arial"/>
          <w:sz w:val="17"/>
          <w:szCs w:val="17"/>
          <w:color w:val="auto"/>
        </w:rPr>
      </w:pPr>
      <w:r>
        <w:rPr>
          <w:rFonts w:ascii="Arial" w:cs="Arial" w:eastAsia="Arial" w:hAnsi="Arial"/>
          <w:sz w:val="17"/>
          <w:szCs w:val="17"/>
          <w:color w:val="auto"/>
        </w:rPr>
        <w:t>Any dispute, conflict, or claim arising in connection with the interpretation and performance of the provisions of this Agreement (including any issue relating to the existence, validity, and termination of this Agreement) shall be resolved by the Parties in good faith through negotiations. In case no resolution can be reached by the Parties within thirty (30) days after a Party makes a request for dispute resolution through negotiations, any Party may refer such dispute to a competent court having legal jurisdiction over the registration place of Party A. The Parties agree to submit to the jurisdiction of such court. The Parties agree that the dispute and any court proceedings shall be kept confidential and that the existence of the proceedings and any element of it (including but not limited to any pleadings, briefs or other documents submitted or exchanged, any testimony or other oral submissions, and any awards) shall not be disclosed beyond the court, the Parties, their counsels and any person necessary to the conduct of the proceeding, except as may be lawfully required in judicial proceedings or as required by the rules of the U.S. Securities and Exchange Commission, the NASDAQ stock market rules or the rules of any other quotation system or exchange on which the securities of the disclosing Parties or their affiliates are listed or as otherwise required by applicable law. The Parties further agree to request that the court conduct any proceedings in closed session and to keep the existence of the proceedings and any element of it, including the decision of the court, confidential and refrain from publishing or otherwise disclosing any of the foregoing information to the public, except as may be lawfully required in judicial proceedings or as otherwise required by applicable law.</w:t>
      </w:r>
    </w:p>
    <w:p>
      <w:pPr>
        <w:spacing w:after="0" w:line="187" w:lineRule="exact"/>
        <w:rPr>
          <w:rFonts w:ascii="Arial" w:cs="Arial" w:eastAsia="Arial" w:hAnsi="Arial"/>
          <w:sz w:val="17"/>
          <w:szCs w:val="17"/>
          <w:color w:val="auto"/>
        </w:rPr>
      </w:pPr>
    </w:p>
    <w:p>
      <w:pPr>
        <w:ind w:left="652" w:hanging="652"/>
        <w:spacing w:after="0"/>
        <w:tabs>
          <w:tab w:leader="none" w:pos="652"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This Agreement shall be executed by a duly authorized representative of each Party and become effective as of the date first written above.</w:t>
      </w:r>
    </w:p>
    <w:p>
      <w:pPr>
        <w:spacing w:after="0" w:line="236" w:lineRule="exact"/>
        <w:rPr>
          <w:rFonts w:ascii="Arial" w:cs="Arial" w:eastAsia="Arial" w:hAnsi="Arial"/>
          <w:sz w:val="17"/>
          <w:szCs w:val="17"/>
          <w:color w:val="auto"/>
        </w:rPr>
      </w:pPr>
    </w:p>
    <w:p>
      <w:pPr>
        <w:ind w:left="652" w:right="280" w:hanging="652"/>
        <w:spacing w:after="0" w:line="264" w:lineRule="auto"/>
        <w:tabs>
          <w:tab w:leader="none" w:pos="647" w:val="left"/>
        </w:tabs>
        <w:numPr>
          <w:ilvl w:val="0"/>
          <w:numId w:val="396"/>
        </w:numPr>
        <w:rPr>
          <w:rFonts w:ascii="Arial" w:cs="Arial" w:eastAsia="Arial" w:hAnsi="Arial"/>
          <w:sz w:val="18"/>
          <w:szCs w:val="18"/>
          <w:color w:val="auto"/>
        </w:rPr>
      </w:pPr>
      <w:r>
        <w:rPr>
          <w:rFonts w:ascii="Arial" w:cs="Arial" w:eastAsia="Arial" w:hAnsi="Arial"/>
          <w:sz w:val="18"/>
          <w:szCs w:val="18"/>
          <w:color w:val="auto"/>
        </w:rPr>
        <w:t>Notwithstanding Article 13 hereof, once effective, this Agreement shall constitute the entire agreement of the Parties hereto with respect to the subject matters hereof and supersede all prior oral and/or written agreements and understandings by the Parties with respect to the subject matters hereof.</w:t>
      </w:r>
    </w:p>
    <w:p>
      <w:pPr>
        <w:spacing w:after="0" w:line="181" w:lineRule="exact"/>
        <w:rPr>
          <w:rFonts w:ascii="Arial" w:cs="Arial" w:eastAsia="Arial" w:hAnsi="Arial"/>
          <w:sz w:val="18"/>
          <w:szCs w:val="18"/>
          <w:color w:val="auto"/>
        </w:rPr>
      </w:pPr>
    </w:p>
    <w:p>
      <w:pPr>
        <w:ind w:left="652" w:right="80" w:hanging="652"/>
        <w:spacing w:after="0" w:line="312" w:lineRule="auto"/>
        <w:tabs>
          <w:tab w:leader="none" w:pos="647" w:val="left"/>
        </w:tabs>
        <w:numPr>
          <w:ilvl w:val="0"/>
          <w:numId w:val="396"/>
        </w:numPr>
        <w:rPr>
          <w:rFonts w:ascii="Arial" w:cs="Arial" w:eastAsia="Arial" w:hAnsi="Arial"/>
          <w:sz w:val="16"/>
          <w:szCs w:val="16"/>
          <w:color w:val="auto"/>
        </w:rPr>
      </w:pPr>
      <w:r>
        <w:rPr>
          <w:rFonts w:ascii="Arial" w:cs="Arial" w:eastAsia="Arial" w:hAnsi="Arial"/>
          <w:sz w:val="16"/>
          <w:szCs w:val="16"/>
          <w:color w:val="auto"/>
        </w:rPr>
        <w:t>The term of this Agreement is twenty (20) years unless terminated earlier in accordance with the provisions of this Agreement or related agreements entered into by the Parties. This Agreement may be extended only with the written consent of Party A before its expiration. The term of the extension shall be decided by the Parties through negotiation. If the duration of operation (including any extension thereof) of Party A or Party B is</w:t>
      </w:r>
    </w:p>
    <w:p>
      <w:pPr>
        <w:sectPr>
          <w:pgSz w:w="11900" w:h="16838" w:orient="portrait"/>
          <w:cols w:equalWidth="0" w:num="1">
            <w:col w:w="11412"/>
          </w:cols>
          <w:pgMar w:left="248" w:top="125" w:right="239" w:bottom="0" w:gutter="0" w:footer="0" w:header="0"/>
        </w:sectPr>
      </w:pPr>
    </w:p>
    <w:bookmarkStart w:id="219" w:name="page220"/>
    <w:bookmarkEnd w:id="219"/>
    <w:p>
      <w:pPr>
        <w:ind w:left="660" w:right="160"/>
        <w:spacing w:after="0" w:line="277" w:lineRule="auto"/>
        <w:rPr>
          <w:sz w:val="20"/>
          <w:szCs w:val="20"/>
          <w:color w:val="auto"/>
        </w:rPr>
      </w:pPr>
      <w:r>
        <w:rPr>
          <w:rFonts w:ascii="Arial" w:cs="Arial" w:eastAsia="Arial" w:hAnsi="Arial"/>
          <w:sz w:val="18"/>
          <w:szCs w:val="18"/>
          <w:color w:val="auto"/>
        </w:rPr>
        <w:t>expired or terminated for other reasons within the aforesaid term of this Agreement, this Agreement shall be terminated simultaneously, unless such Party has already assigned its rights and obligations hereunder in accordance with Article 9 hereof.</w:t>
      </w:r>
    </w:p>
    <w:p>
      <w:pPr>
        <w:spacing w:after="0" w:line="170" w:lineRule="exact"/>
        <w:rPr>
          <w:sz w:val="20"/>
          <w:szCs w:val="20"/>
          <w:color w:val="auto"/>
        </w:rPr>
      </w:pPr>
    </w:p>
    <w:p>
      <w:pPr>
        <w:ind w:left="660" w:right="280" w:hanging="652"/>
        <w:spacing w:after="0" w:line="264" w:lineRule="auto"/>
        <w:tabs>
          <w:tab w:leader="none" w:pos="65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This Agreement will terminate on the expiration date unless it is renewed in accordance with the relevant provision herein. During the term of this Agreement, Party B shall not terminate this Agreement. Notwithstanding the above stipulation, Party A shall have the right to terminate this Agreement at any time by issuing a thirty (30) days’ prior written notice to Party B.</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 WITNESS THEREOF</w:t>
      </w:r>
      <w:r>
        <w:rPr>
          <w:rFonts w:ascii="Arial" w:cs="Arial" w:eastAsia="Arial" w:hAnsi="Arial"/>
          <w:sz w:val="18"/>
          <w:szCs w:val="18"/>
          <w:color w:val="auto"/>
        </w:rPr>
        <w:t>, each Party hereto has caused this Agreement to be duly executed by himself/herself or a duly authorized representative on its</w:t>
      </w:r>
      <w:r>
        <w:rPr>
          <w:rFonts w:ascii="Arial" w:cs="Arial" w:eastAsia="Arial" w:hAnsi="Arial"/>
          <w:sz w:val="18"/>
          <w:szCs w:val="18"/>
          <w:b w:val="1"/>
          <w:bCs w:val="1"/>
          <w:color w:val="auto"/>
        </w:rPr>
        <w:t xml:space="preserve"> </w:t>
      </w:r>
      <w:r>
        <w:rPr>
          <w:rFonts w:ascii="Arial" w:cs="Arial" w:eastAsia="Arial" w:hAnsi="Arial"/>
          <w:sz w:val="18"/>
          <w:szCs w:val="18"/>
          <w:color w:val="auto"/>
        </w:rPr>
        <w:t>behalf as of the date 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NetEase (Hangzhou)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Hangzhou NetEase Leihuo Network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C: Hu Zhipeng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 Zhipeng</w:t>
            </w:r>
          </w:p>
        </w:tc>
        <w:tc>
          <w:tcPr>
            <w:tcW w:w="5740" w:type="dxa"/>
            <w:vAlign w:val="bottom"/>
          </w:tcPr>
          <w:p>
            <w:pPr>
              <w:spacing w:after="0"/>
              <w:rPr>
                <w:sz w:val="20"/>
                <w:szCs w:val="20"/>
                <w:color w:val="auto"/>
              </w:rPr>
            </w:pPr>
          </w:p>
        </w:tc>
      </w:tr>
      <w:tr>
        <w:trPr>
          <w:trHeight w:val="642"/>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Party D: Hu Tianlei</w:t>
            </w:r>
          </w:p>
        </w:tc>
        <w:tc>
          <w:tcPr>
            <w:tcW w:w="574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 Tianlei</w:t>
            </w:r>
          </w:p>
        </w:tc>
        <w:tc>
          <w:tcPr>
            <w:tcW w:w="5740" w:type="dxa"/>
            <w:vAlign w:val="bottom"/>
          </w:tcPr>
          <w:p>
            <w:pPr>
              <w:spacing w:after="0"/>
              <w:rPr>
                <w:sz w:val="24"/>
                <w:szCs w:val="24"/>
                <w:color w:val="auto"/>
              </w:rPr>
            </w:pPr>
          </w:p>
        </w:tc>
      </w:tr>
      <w:tr>
        <w:trPr>
          <w:trHeight w:val="341"/>
        </w:trPr>
        <w:tc>
          <w:tcPr>
            <w:tcW w:w="10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SUBSIDIARIES AND VARIABLE INTEREST ENTITIES OF NETEASE,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980" w:type="dxa"/>
            <w:vAlign w:val="bottom"/>
          </w:tcPr>
          <w:p>
            <w:pPr>
              <w:ind w:left="1100"/>
              <w:spacing w:after="0"/>
              <w:rPr>
                <w:sz w:val="20"/>
                <w:szCs w:val="20"/>
                <w:color w:val="auto"/>
              </w:rPr>
            </w:pPr>
            <w:r>
              <w:rPr>
                <w:rFonts w:ascii="Arial" w:cs="Arial" w:eastAsia="Arial" w:hAnsi="Arial"/>
                <w:sz w:val="14"/>
                <w:szCs w:val="14"/>
                <w:b w:val="1"/>
                <w:bCs w:val="1"/>
                <w:color w:val="auto"/>
              </w:rPr>
              <w:t>Jurisdiction of Incorporation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NetEase Interactive Entertainment Limited</w:t>
            </w:r>
          </w:p>
        </w:tc>
        <w:tc>
          <w:tcPr>
            <w:tcW w:w="24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British Virgin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Lede Inc. (previously named Ujia.com, Inc.)</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Media, Inc.</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HQG, Inc.</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(Hong Kong) Limited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NetEase Interactive Entertainment Limited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Lede (Hong Kong) Limited (previously named Ujia (Hong Kong) Limited)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Media (Hong Kong) Limited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HQG, Limited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 Boguan Telecommunication Technology Co., Ltd.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Information Technology (Beijing) Co., Ltd.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Youdao Information Technology (Beijing) Co., Ltd.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Hangzhou Langhe Technology Co., Ltd.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(Hangzhou) Network Co., Ltd.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Lede Technology Co., Ltd.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NetEase Media Technology (Beijing) Co., Ltd.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Hangzhou Youmai Technology Co., Ltd.</w:t>
            </w:r>
          </w:p>
        </w:tc>
        <w:tc>
          <w:tcPr>
            <w:tcW w:w="3980" w:type="dxa"/>
            <w:vAlign w:val="bottom"/>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365"/>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Variable Interest Entities:</w:t>
            </w:r>
          </w:p>
        </w:tc>
        <w:tc>
          <w:tcPr>
            <w:tcW w:w="3980" w:type="dxa"/>
            <w:vAlign w:val="bottom"/>
          </w:tcPr>
          <w:p>
            <w:pPr>
              <w:ind w:left="1100"/>
              <w:spacing w:after="0"/>
              <w:rPr>
                <w:sz w:val="20"/>
                <w:szCs w:val="20"/>
                <w:color w:val="auto"/>
              </w:rPr>
            </w:pPr>
            <w:r>
              <w:rPr>
                <w:rFonts w:ascii="Arial" w:cs="Arial" w:eastAsia="Arial" w:hAnsi="Arial"/>
                <w:sz w:val="14"/>
                <w:szCs w:val="14"/>
                <w:b w:val="1"/>
                <w:bCs w:val="1"/>
                <w:color w:val="auto"/>
              </w:rPr>
              <w:t>Jurisdiction of Incorporation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Guangzhou NetEase Computer System Co., Ltd.(1)</w:t>
            </w:r>
          </w:p>
        </w:tc>
        <w:tc>
          <w:tcPr>
            <w:tcW w:w="24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Beijing NetEase Media Co., Ltd. (previously named Beijing Guangyitong Advertising Co., Ltd.)</w:t>
            </w: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Hangzhou NetEase Leihuo Network Co., Ltd. (previously named Hangzhou Leihuo Network</w:t>
            </w: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Ltd.)</w:t>
            </w:r>
          </w:p>
        </w:tc>
        <w:tc>
          <w:tcPr>
            <w:tcW w:w="3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82689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0" w:firstLine="8"/>
        <w:spacing w:after="0" w:line="308" w:lineRule="auto"/>
        <w:tabs>
          <w:tab w:leader="none" w:pos="705" w:val="left"/>
        </w:tabs>
        <w:numPr>
          <w:ilvl w:val="0"/>
          <w:numId w:val="398"/>
        </w:numPr>
        <w:rPr>
          <w:rFonts w:ascii="Arial" w:cs="Arial" w:eastAsia="Arial" w:hAnsi="Arial"/>
          <w:sz w:val="17"/>
          <w:szCs w:val="17"/>
          <w:color w:val="auto"/>
        </w:rPr>
      </w:pPr>
      <w:r>
        <w:rPr>
          <w:rFonts w:ascii="Arial" w:cs="Arial" w:eastAsia="Arial" w:hAnsi="Arial"/>
          <w:sz w:val="17"/>
          <w:szCs w:val="17"/>
          <w:color w:val="auto"/>
        </w:rPr>
        <w:t>Guangzhou NetEase Computer System Co., Ltd. also has a majority-owned subsidiary, Beijing NetEase Youdao Computer System Co., Ltd., and a wholly-owned subsidiary, Wangyibao Co., Ltd., both of which are incorporated under the laws of the People’s Republic of China.</w:t>
      </w:r>
    </w:p>
    <w:p>
      <w:pPr>
        <w:spacing w:after="0" w:line="146" w:lineRule="exact"/>
        <w:rPr>
          <w:rFonts w:ascii="Arial" w:cs="Arial" w:eastAsia="Arial" w:hAnsi="Arial"/>
          <w:sz w:val="17"/>
          <w:szCs w:val="17"/>
          <w:color w:val="auto"/>
        </w:rPr>
      </w:pPr>
    </w:p>
    <w:p>
      <w:pPr>
        <w:ind w:right="80" w:firstLine="8"/>
        <w:spacing w:after="0" w:line="255" w:lineRule="auto"/>
        <w:tabs>
          <w:tab w:leader="none" w:pos="70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Starting in August 2008, Blizzard Entertainment, Inc. (together with its affiliated companies) agreed to license certain online games to Shanghai EaseNet Network Technology Co., Ltd. for operation in the PRC. Shanghai EaseNet Network Technology Co., Ltd. is a People’s Republic of China company owned by William Lei Ding, our Chief Executive Officer, director and major shareholder and has contractual arrangements with the joint venture established between, and owned equally by, Blizzard Entertainment, Inc. (together with its affiliated companies) and us, and with us. The joint venture was established concurrently with the licensing of games from Blizzard Entertainment, Inc. (together with its affiliated companies) in August 2008 and provides technical services to Shanghai EaseNet Network Technology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1" w:name="page222"/>
    <w:bookmarkEnd w:id="221"/>
    <w:p>
      <w:pPr>
        <w:jc w:val="right"/>
        <w:ind w:right="4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William Lei Ding, certify that:</w:t>
      </w:r>
    </w:p>
    <w:p>
      <w:pPr>
        <w:spacing w:after="0" w:line="225" w:lineRule="exact"/>
        <w:rPr>
          <w:sz w:val="20"/>
          <w:szCs w:val="20"/>
          <w:color w:val="auto"/>
        </w:rPr>
      </w:pPr>
    </w:p>
    <w:p>
      <w:pPr>
        <w:ind w:left="680" w:hanging="231"/>
        <w:spacing w:after="0"/>
        <w:tabs>
          <w:tab w:leader="none" w:pos="6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 Inc.;</w:t>
      </w:r>
    </w:p>
    <w:p>
      <w:pPr>
        <w:spacing w:after="0" w:line="225" w:lineRule="exact"/>
        <w:rPr>
          <w:rFonts w:ascii="Arial" w:cs="Arial" w:eastAsia="Arial" w:hAnsi="Arial"/>
          <w:sz w:val="18"/>
          <w:szCs w:val="18"/>
          <w:color w:val="auto"/>
        </w:rPr>
      </w:pPr>
    </w:p>
    <w:p>
      <w:pPr>
        <w:ind w:right="360" w:firstLine="449"/>
        <w:spacing w:after="0" w:line="342" w:lineRule="auto"/>
        <w:tabs>
          <w:tab w:leader="none" w:pos="621" w:val="left"/>
        </w:tabs>
        <w:numPr>
          <w:ilvl w:val="0"/>
          <w:numId w:val="39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449"/>
        <w:spacing w:after="0" w:line="277" w:lineRule="auto"/>
        <w:tabs>
          <w:tab w:leader="none" w:pos="66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00" w:firstLine="449"/>
        <w:spacing w:after="0" w:line="264" w:lineRule="auto"/>
        <w:tabs>
          <w:tab w:leader="none" w:pos="666"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1300" w:right="160" w:hanging="644"/>
        <w:spacing w:after="0" w:line="264" w:lineRule="auto"/>
        <w:tabs>
          <w:tab w:leader="none" w:pos="127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60" w:hanging="644"/>
        <w:spacing w:after="0" w:line="264" w:lineRule="auto"/>
        <w:tabs>
          <w:tab w:leader="none" w:pos="12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420" w:hanging="644"/>
        <w:spacing w:after="0" w:line="342" w:lineRule="auto"/>
        <w:tabs>
          <w:tab w:leader="none" w:pos="1283" w:val="left"/>
        </w:tabs>
        <w:numPr>
          <w:ilvl w:val="1"/>
          <w:numId w:val="39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2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60" w:firstLine="449"/>
        <w:spacing w:after="0" w:line="308" w:lineRule="auto"/>
        <w:tabs>
          <w:tab w:leader="none" w:pos="621"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300" w:right="700" w:hanging="644"/>
        <w:spacing w:after="0" w:line="342" w:lineRule="auto"/>
        <w:tabs>
          <w:tab w:leader="none" w:pos="1270" w:val="left"/>
        </w:tabs>
        <w:numPr>
          <w:ilvl w:val="1"/>
          <w:numId w:val="39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300" w:right="400" w:hanging="644"/>
        <w:spacing w:after="0" w:line="277" w:lineRule="auto"/>
        <w:tabs>
          <w:tab w:leader="none" w:pos="1280"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060" w:type="dxa"/>
            <w:vAlign w:val="bottom"/>
          </w:tcPr>
          <w:p>
            <w:pPr>
              <w:spacing w:after="0"/>
              <w:rPr>
                <w:sz w:val="20"/>
                <w:szCs w:val="20"/>
                <w:color w:val="auto"/>
              </w:rPr>
            </w:pPr>
            <w:r>
              <w:rPr>
                <w:rFonts w:ascii="Arial" w:cs="Arial" w:eastAsia="Arial" w:hAnsi="Arial"/>
                <w:sz w:val="18"/>
                <w:szCs w:val="18"/>
                <w:color w:val="auto"/>
              </w:rPr>
              <w:t>April 22, 2016</w:t>
            </w:r>
          </w:p>
        </w:tc>
        <w:tc>
          <w:tcPr>
            <w:tcW w:w="5680" w:type="dxa"/>
            <w:vAlign w:val="bottom"/>
          </w:tcPr>
          <w:p>
            <w:pPr>
              <w:spacing w:after="0"/>
              <w:rPr>
                <w:sz w:val="20"/>
                <w:szCs w:val="20"/>
                <w:color w:val="auto"/>
              </w:rPr>
            </w:pP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568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c>
          <w:tcPr>
            <w:tcW w:w="568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680" w:type="dxa"/>
            <w:vAlign w:val="bottom"/>
          </w:tcPr>
          <w:p>
            <w:pPr>
              <w:spacing w:after="0"/>
              <w:rPr>
                <w:sz w:val="20"/>
                <w:szCs w:val="20"/>
                <w:color w:val="auto"/>
              </w:rPr>
            </w:pPr>
          </w:p>
        </w:tc>
      </w:tr>
      <w:tr>
        <w:trPr>
          <w:trHeight w:val="348"/>
        </w:trPr>
        <w:tc>
          <w:tcPr>
            <w:tcW w:w="72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2" w:name="page223"/>
    <w:bookmarkEnd w:id="222"/>
    <w:p>
      <w:pPr>
        <w:jc w:val="right"/>
        <w:ind w:right="4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Onward Choi, certify that:</w:t>
      </w:r>
    </w:p>
    <w:p>
      <w:pPr>
        <w:spacing w:after="0" w:line="225" w:lineRule="exact"/>
        <w:rPr>
          <w:sz w:val="20"/>
          <w:szCs w:val="20"/>
          <w:color w:val="auto"/>
        </w:rPr>
      </w:pPr>
    </w:p>
    <w:p>
      <w:pPr>
        <w:ind w:left="680" w:hanging="231"/>
        <w:spacing w:after="0"/>
        <w:tabs>
          <w:tab w:leader="none" w:pos="68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 Inc.;</w:t>
      </w:r>
    </w:p>
    <w:p>
      <w:pPr>
        <w:spacing w:after="0" w:line="225" w:lineRule="exact"/>
        <w:rPr>
          <w:rFonts w:ascii="Arial" w:cs="Arial" w:eastAsia="Arial" w:hAnsi="Arial"/>
          <w:sz w:val="18"/>
          <w:szCs w:val="18"/>
          <w:color w:val="auto"/>
        </w:rPr>
      </w:pPr>
    </w:p>
    <w:p>
      <w:pPr>
        <w:ind w:right="320" w:firstLine="449"/>
        <w:spacing w:after="0" w:line="342" w:lineRule="auto"/>
        <w:tabs>
          <w:tab w:leader="none" w:pos="666" w:val="left"/>
        </w:tabs>
        <w:numPr>
          <w:ilvl w:val="0"/>
          <w:numId w:val="4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449"/>
        <w:spacing w:after="0" w:line="277" w:lineRule="auto"/>
        <w:tabs>
          <w:tab w:leader="none" w:pos="66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00" w:firstLine="449"/>
        <w:spacing w:after="0" w:line="264" w:lineRule="auto"/>
        <w:tabs>
          <w:tab w:leader="none" w:pos="666"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1180" w:right="80" w:hanging="524"/>
        <w:spacing w:after="0" w:line="264" w:lineRule="auto"/>
        <w:tabs>
          <w:tab w:leader="none" w:pos="1172" w:val="left"/>
        </w:tabs>
        <w:numPr>
          <w:ilvl w:val="1"/>
          <w:numId w:val="4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80" w:right="380" w:hanging="524"/>
        <w:spacing w:after="0" w:line="264" w:lineRule="auto"/>
        <w:tabs>
          <w:tab w:leader="none" w:pos="1182" w:val="left"/>
        </w:tabs>
        <w:numPr>
          <w:ilvl w:val="1"/>
          <w:numId w:val="4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80" w:right="560" w:hanging="524"/>
        <w:spacing w:after="0" w:line="342" w:lineRule="auto"/>
        <w:tabs>
          <w:tab w:leader="none" w:pos="1185" w:val="left"/>
        </w:tabs>
        <w:numPr>
          <w:ilvl w:val="1"/>
          <w:numId w:val="40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80" w:right="160" w:hanging="524"/>
        <w:spacing w:after="0" w:line="264" w:lineRule="auto"/>
        <w:tabs>
          <w:tab w:leader="none" w:pos="1182" w:val="left"/>
        </w:tabs>
        <w:numPr>
          <w:ilvl w:val="1"/>
          <w:numId w:val="40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20" w:firstLine="449"/>
        <w:spacing w:after="0" w:line="308" w:lineRule="auto"/>
        <w:tabs>
          <w:tab w:leader="none" w:pos="666"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180" w:right="800" w:hanging="524"/>
        <w:spacing w:after="0" w:line="342" w:lineRule="auto"/>
        <w:tabs>
          <w:tab w:leader="none" w:pos="1172" w:val="left"/>
        </w:tabs>
        <w:numPr>
          <w:ilvl w:val="1"/>
          <w:numId w:val="4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180" w:right="500" w:hanging="524"/>
        <w:spacing w:after="0" w:line="277" w:lineRule="auto"/>
        <w:tabs>
          <w:tab w:leader="none" w:pos="1182"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w:t>
        <w:tab/>
        <w:t>April 22, 2016</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Onward Choi</w:t>
            </w:r>
          </w:p>
        </w:tc>
        <w:tc>
          <w:tcPr>
            <w:tcW w:w="5680" w:type="dxa"/>
            <w:vAlign w:val="bottom"/>
          </w:tcPr>
          <w:p>
            <w:pPr>
              <w:spacing w:after="0"/>
              <w:rPr>
                <w:sz w:val="20"/>
                <w:szCs w:val="20"/>
                <w:color w:val="auto"/>
              </w:rPr>
            </w:pPr>
          </w:p>
        </w:tc>
      </w:tr>
      <w:tr>
        <w:trPr>
          <w:trHeight w:val="195"/>
        </w:trPr>
        <w:tc>
          <w:tcPr>
            <w:tcW w:w="68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Onward Choi</w:t>
            </w:r>
          </w:p>
        </w:tc>
        <w:tc>
          <w:tcPr>
            <w:tcW w:w="5680" w:type="dxa"/>
            <w:vAlign w:val="bottom"/>
          </w:tcPr>
          <w:p>
            <w:pPr>
              <w:spacing w:after="0"/>
              <w:rPr>
                <w:sz w:val="16"/>
                <w:szCs w:val="16"/>
                <w:color w:val="auto"/>
              </w:rPr>
            </w:pPr>
          </w:p>
        </w:tc>
      </w:tr>
      <w:tr>
        <w:trPr>
          <w:trHeight w:val="230"/>
        </w:trPr>
        <w:tc>
          <w:tcPr>
            <w:tcW w:w="68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Acting Chief Financial Officer</w:t>
            </w:r>
          </w:p>
        </w:tc>
        <w:tc>
          <w:tcPr>
            <w:tcW w:w="5680" w:type="dxa"/>
            <w:vAlign w:val="bottom"/>
          </w:tcPr>
          <w:p>
            <w:pPr>
              <w:spacing w:after="0"/>
              <w:rPr>
                <w:sz w:val="20"/>
                <w:szCs w:val="20"/>
                <w:color w:val="auto"/>
              </w:rPr>
            </w:pPr>
          </w:p>
        </w:tc>
      </w:tr>
      <w:tr>
        <w:trPr>
          <w:trHeight w:val="348"/>
        </w:trPr>
        <w:tc>
          <w:tcPr>
            <w:tcW w:w="68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3" w:name="page224"/>
    <w:bookmarkEnd w:id="223"/>
    <w:p>
      <w:pPr>
        <w:ind w:left="10480"/>
        <w:spacing w:after="0"/>
        <w:rPr>
          <w:sz w:val="20"/>
          <w:szCs w:val="20"/>
          <w:color w:val="auto"/>
        </w:rPr>
      </w:pPr>
      <w:r>
        <w:rPr>
          <w:rFonts w:ascii="Arial" w:cs="Arial" w:eastAsia="Arial" w:hAnsi="Arial"/>
          <w:sz w:val="17"/>
          <w:szCs w:val="17"/>
          <w:b w:val="1"/>
          <w:bCs w:val="1"/>
          <w:color w:val="auto"/>
        </w:rPr>
        <w:t>Exhibit 13.1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periodic report of NetEase, Inc. (the “Company”) on Form 20-F for the year ended December 31, 2015 as filed with the Securities and Exchange Commission (the “Report”), I, William Lei Ding, the Chief Executive Officer of the Company, hereby certify as of the date hereof, solely for purposes of Title 18, Chapter 63, Section 1350 of the United States Code, that to the best of my knowledge:</w:t>
      </w:r>
    </w:p>
    <w:p>
      <w:pPr>
        <w:spacing w:after="0" w:line="181" w:lineRule="exact"/>
        <w:rPr>
          <w:sz w:val="20"/>
          <w:szCs w:val="20"/>
          <w:color w:val="auto"/>
        </w:rPr>
      </w:pPr>
    </w:p>
    <w:p>
      <w:pPr>
        <w:ind w:left="180" w:hanging="172"/>
        <w:spacing w:after="0"/>
        <w:tabs>
          <w:tab w:leader="none" w:pos="1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right="420" w:firstLine="8"/>
        <w:spacing w:after="0" w:line="277" w:lineRule="auto"/>
        <w:tabs>
          <w:tab w:leader="none" w:pos="18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tcPr>
          <w:p>
            <w:pPr>
              <w:spacing w:after="0"/>
              <w:rPr>
                <w:sz w:val="20"/>
                <w:szCs w:val="20"/>
                <w:color w:val="auto"/>
              </w:rPr>
            </w:pPr>
            <w:r>
              <w:rPr>
                <w:rFonts w:ascii="Arial" w:cs="Arial" w:eastAsia="Arial" w:hAnsi="Arial"/>
                <w:sz w:val="18"/>
                <w:szCs w:val="18"/>
                <w:color w:val="auto"/>
              </w:rPr>
              <w:t>April 22, 2016</w:t>
            </w:r>
          </w:p>
        </w:tc>
        <w:tc>
          <w:tcPr>
            <w:tcW w:w="5720" w:type="dxa"/>
            <w:vAlign w:val="bottom"/>
          </w:tcPr>
          <w:p>
            <w:pPr>
              <w:spacing w:after="0"/>
              <w:rPr>
                <w:sz w:val="20"/>
                <w:szCs w:val="20"/>
                <w:color w:val="auto"/>
              </w:rPr>
            </w:pPr>
          </w:p>
        </w:tc>
      </w:tr>
      <w:tr>
        <w:trPr>
          <w:trHeight w:val="648"/>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5720" w:type="dxa"/>
            <w:vAlign w:val="bottom"/>
          </w:tcPr>
          <w:p>
            <w:pPr>
              <w:spacing w:after="0"/>
              <w:rPr>
                <w:sz w:val="24"/>
                <w:szCs w:val="24"/>
                <w:color w:val="auto"/>
              </w:rPr>
            </w:pP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c>
          <w:tcPr>
            <w:tcW w:w="5720" w:type="dxa"/>
            <w:vAlign w:val="bottom"/>
          </w:tcPr>
          <w:p>
            <w:pPr>
              <w:spacing w:after="0"/>
              <w:rPr>
                <w:sz w:val="16"/>
                <w:szCs w:val="16"/>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20" w:type="dxa"/>
            <w:vAlign w:val="bottom"/>
          </w:tcPr>
          <w:p>
            <w:pPr>
              <w:spacing w:after="0"/>
              <w:rPr>
                <w:sz w:val="20"/>
                <w:szCs w:val="20"/>
                <w:color w:val="auto"/>
              </w:rPr>
            </w:pPr>
          </w:p>
        </w:tc>
      </w:tr>
      <w:tr>
        <w:trPr>
          <w:trHeight w:val="348"/>
        </w:trPr>
        <w:tc>
          <w:tcPr>
            <w:tcW w:w="94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4" w:name="page225"/>
    <w:bookmarkEnd w:id="224"/>
    <w:p>
      <w:pPr>
        <w:ind w:left="10480"/>
        <w:spacing w:after="0"/>
        <w:rPr>
          <w:sz w:val="20"/>
          <w:szCs w:val="20"/>
          <w:color w:val="auto"/>
        </w:rPr>
      </w:pPr>
      <w:r>
        <w:rPr>
          <w:rFonts w:ascii="Arial" w:cs="Arial" w:eastAsia="Arial" w:hAnsi="Arial"/>
          <w:sz w:val="17"/>
          <w:szCs w:val="17"/>
          <w:b w:val="1"/>
          <w:bCs w:val="1"/>
          <w:color w:val="auto"/>
        </w:rPr>
        <w:t>Exhibit 13.2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periodic report of NetEase, Inc. (the “Company”) on Form 20-F for the year ended December 31, 2015 as filed with the Securities and Exchange Commission (the “Report”), I, Onward Choi, the Acting Chief Financial Officer of the Company, hereby certify as of the date hereof, solely for purposes of Title 18, Chapter 63, Section 1350 of the United States Code, that to the best of my knowledge:</w:t>
      </w:r>
    </w:p>
    <w:p>
      <w:pPr>
        <w:spacing w:after="0" w:line="181" w:lineRule="exact"/>
        <w:rPr>
          <w:sz w:val="20"/>
          <w:szCs w:val="20"/>
          <w:color w:val="auto"/>
        </w:rPr>
      </w:pPr>
    </w:p>
    <w:p>
      <w:pPr>
        <w:ind w:left="180" w:hanging="172"/>
        <w:spacing w:after="0"/>
        <w:tabs>
          <w:tab w:leader="none" w:pos="1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right="420" w:firstLine="8"/>
        <w:spacing w:after="0" w:line="277" w:lineRule="auto"/>
        <w:tabs>
          <w:tab w:leader="none" w:pos="18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980" w:type="dxa"/>
            <w:vAlign w:val="bottom"/>
          </w:tcPr>
          <w:p>
            <w:pPr>
              <w:spacing w:after="0"/>
              <w:rPr>
                <w:sz w:val="20"/>
                <w:szCs w:val="20"/>
                <w:color w:val="auto"/>
              </w:rPr>
            </w:pPr>
            <w:r>
              <w:rPr>
                <w:rFonts w:ascii="Arial" w:cs="Arial" w:eastAsia="Arial" w:hAnsi="Arial"/>
                <w:sz w:val="18"/>
                <w:szCs w:val="18"/>
                <w:color w:val="auto"/>
              </w:rPr>
              <w:t>April 22, 2016</w:t>
            </w:r>
          </w:p>
        </w:tc>
        <w:tc>
          <w:tcPr>
            <w:tcW w:w="5680" w:type="dxa"/>
            <w:vAlign w:val="bottom"/>
          </w:tcPr>
          <w:p>
            <w:pPr>
              <w:spacing w:after="0"/>
              <w:rPr>
                <w:sz w:val="20"/>
                <w:szCs w:val="20"/>
                <w:color w:val="auto"/>
              </w:rPr>
            </w:pPr>
          </w:p>
        </w:tc>
      </w:tr>
      <w:tr>
        <w:trPr>
          <w:trHeight w:val="648"/>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Onward Choi</w:t>
            </w:r>
          </w:p>
        </w:tc>
        <w:tc>
          <w:tcPr>
            <w:tcW w:w="5680" w:type="dxa"/>
            <w:vAlign w:val="bottom"/>
          </w:tcPr>
          <w:p>
            <w:pPr>
              <w:spacing w:after="0"/>
              <w:rPr>
                <w:sz w:val="24"/>
                <w:szCs w:val="24"/>
                <w:color w:val="auto"/>
              </w:rPr>
            </w:pP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Onward Choi</w:t>
            </w:r>
          </w:p>
        </w:tc>
        <w:tc>
          <w:tcPr>
            <w:tcW w:w="568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Acting Chief Financial Officer</w:t>
            </w:r>
          </w:p>
        </w:tc>
        <w:tc>
          <w:tcPr>
            <w:tcW w:w="5680" w:type="dxa"/>
            <w:vAlign w:val="bottom"/>
          </w:tcPr>
          <w:p>
            <w:pPr>
              <w:spacing w:after="0"/>
              <w:rPr>
                <w:sz w:val="20"/>
                <w:szCs w:val="20"/>
                <w:color w:val="auto"/>
              </w:rPr>
            </w:pPr>
          </w:p>
        </w:tc>
      </w:tr>
      <w:tr>
        <w:trPr>
          <w:trHeight w:val="348"/>
        </w:trPr>
        <w:tc>
          <w:tcPr>
            <w:tcW w:w="80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333-100069 and No. 333-164249) of NetEase, Inc. of our report dated April 22, 2016 relating to the financial statements and the effectiveness of internal control over financial reporting, which appears in this Form 20-F.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15.3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[Letterhead of Maples and Calder]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Building No. 7, West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Zhongguancun Software Park (Phase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10 Xibeiwang East Road, Haidian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100193,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22 April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NetEase, Inc.</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have acted as legal advisors as to the laws of the Cayman Islands to NetEase, Inc., an exempted limited liability company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by the Company with the United States Securities and Exchange Commission of an annual report on Form 20-F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hereby consent to the reference of our name under the headings “Taxation” and “Enforcement of Civil Liabilities” in the Form 20-F.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Maples and Calder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15.4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[Letterhead of Jun He Lawyers]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22,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No. 7, West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Zhongguancun Software Park (Phase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10 Xibeiwang East Road, Haidian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Beijing,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Consent of People’s Republic of China Counsel</w:t>
      </w:r>
    </w:p>
    <w:p>
      <w:pPr>
        <w:spacing w:after="0" w:line="225"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We consent to the reference to our firm under the heading “Enforcement of Civil Liabilities” in the annual report on Form 20-F for the year ended December 31, 2015 of NetEase, Inc. to be filed with the Securities and Exchange Commission in the month of April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Jun He Lawyers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Jun He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10B4E8"/>
    <w:multiLevelType w:val="hybridMultilevel"/>
    <w:lvl w:ilvl="0">
      <w:lvlJc w:val="left"/>
      <w:lvlText w:val="o"/>
      <w:numFmt w:val="bullet"/>
      <w:start w:val="1"/>
    </w:lvl>
  </w:abstractNum>
  <w:abstractNum w:abstractNumId="1">
    <w:nsid w:val="43D3BCD4"/>
    <w:multiLevelType w:val="hybridMultilevel"/>
    <w:lvl w:ilvl="0">
      <w:lvlJc w:val="left"/>
      <w:lvlText w:val="x"/>
      <w:numFmt w:val="bullet"/>
      <w:start w:val="1"/>
    </w:lvl>
  </w:abstractNum>
  <w:abstractNum w:abstractNumId="2">
    <w:nsid w:val="4C2A7166"/>
    <w:multiLevelType w:val="hybridMultilevel"/>
    <w:lvl w:ilvl="0">
      <w:lvlJc w:val="left"/>
      <w:lvlText w:val="o"/>
      <w:numFmt w:val="bullet"/>
      <w:start w:val="1"/>
    </w:lvl>
  </w:abstractNum>
  <w:abstractNum w:abstractNumId="3">
    <w:nsid w:val="2E534A82"/>
    <w:multiLevelType w:val="hybridMultilevel"/>
    <w:lvl w:ilvl="0">
      <w:lvlJc w:val="left"/>
      <w:lvlText w:val="o"/>
      <w:numFmt w:val="bullet"/>
      <w:start w:val="1"/>
    </w:lvl>
  </w:abstractNum>
  <w:abstractNum w:abstractNumId="4">
    <w:nsid w:val="26F2D364"/>
    <w:multiLevelType w:val="hybridMultilevel"/>
    <w:lvl w:ilvl="0">
      <w:lvlJc w:val="left"/>
      <w:lvlText w:val="·"/>
      <w:numFmt w:val="bullet"/>
      <w:start w:val="1"/>
    </w:lvl>
  </w:abstractNum>
  <w:abstractNum w:abstractNumId="5">
    <w:nsid w:val="71C1AF98"/>
    <w:multiLevelType w:val="hybridMultilevel"/>
    <w:lvl w:ilvl="0">
      <w:lvlJc w:val="left"/>
      <w:lvlText w:val="%1."/>
      <w:numFmt w:val="upperLetter"/>
      <w:start w:val="1"/>
    </w:lvl>
  </w:abstractNum>
  <w:abstractNum w:abstractNumId="6">
    <w:nsid w:val="3D00B9D9"/>
    <w:multiLevelType w:val="hybridMultilevel"/>
    <w:lvl w:ilvl="0">
      <w:lvlJc w:val="left"/>
      <w:lvlText w:val="(%1)"/>
      <w:numFmt w:val="decimal"/>
      <w:start w:val="1"/>
    </w:lvl>
  </w:abstractNum>
  <w:abstractNum w:abstractNumId="7">
    <w:nsid w:val="15BCABA8"/>
    <w:multiLevelType w:val="hybridMultilevel"/>
    <w:lvl w:ilvl="0">
      <w:lvlJc w:val="left"/>
      <w:lvlText w:val="%1."/>
      <w:numFmt w:val="upperLetter"/>
      <w:start w:val="2"/>
    </w:lvl>
  </w:abstractNum>
  <w:abstractNum w:abstractNumId="8">
    <w:nsid w:val="4E0B9A87"/>
    <w:multiLevelType w:val="hybridMultilevel"/>
    <w:lvl w:ilvl="0">
      <w:lvlJc w:val="left"/>
      <w:lvlText w:val="·"/>
      <w:numFmt w:val="bullet"/>
      <w:start w:val="1"/>
    </w:lvl>
  </w:abstractNum>
  <w:abstractNum w:abstractNumId="9">
    <w:nsid w:val="434BAE75"/>
    <w:multiLevelType w:val="hybridMultilevel"/>
    <w:lvl w:ilvl="0">
      <w:lvlJc w:val="left"/>
      <w:lvlText w:val="·"/>
      <w:numFmt w:val="bullet"/>
      <w:start w:val="1"/>
    </w:lvl>
  </w:abstractNum>
  <w:abstractNum w:abstractNumId="10">
    <w:nsid w:val="4F38F265"/>
    <w:multiLevelType w:val="hybridMultilevel"/>
    <w:lvl w:ilvl="0">
      <w:lvlJc w:val="left"/>
      <w:lvlText w:val="·"/>
      <w:numFmt w:val="bullet"/>
      <w:start w:val="1"/>
    </w:lvl>
  </w:abstractNum>
  <w:abstractNum w:abstractNumId="11">
    <w:nsid w:val="4C502870"/>
    <w:multiLevelType w:val="hybridMultilevel"/>
    <w:lvl w:ilvl="0">
      <w:lvlJc w:val="left"/>
      <w:lvlText w:val="·"/>
      <w:numFmt w:val="bullet"/>
      <w:start w:val="1"/>
    </w:lvl>
  </w:abstractNum>
  <w:abstractNum w:abstractNumId="12">
    <w:nsid w:val="1DE8725A"/>
    <w:multiLevelType w:val="hybridMultilevel"/>
    <w:lvl w:ilvl="0">
      <w:lvlJc w:val="left"/>
      <w:lvlText w:val="·"/>
      <w:numFmt w:val="bullet"/>
      <w:start w:val="1"/>
    </w:lvl>
  </w:abstractNum>
  <w:abstractNum w:abstractNumId="13">
    <w:nsid w:val="6A37288A"/>
    <w:multiLevelType w:val="hybridMultilevel"/>
    <w:lvl w:ilvl="0">
      <w:lvlJc w:val="left"/>
      <w:lvlText w:val="·"/>
      <w:numFmt w:val="bullet"/>
      <w:start w:val="1"/>
    </w:lvl>
  </w:abstractNum>
  <w:abstractNum w:abstractNumId="14">
    <w:nsid w:val="8F8B73F"/>
    <w:multiLevelType w:val="hybridMultilevel"/>
    <w:lvl w:ilvl="0">
      <w:lvlJc w:val="left"/>
      <w:lvlText w:val="%1."/>
      <w:numFmt w:val="upperLetter"/>
      <w:start w:val="1"/>
    </w:lvl>
  </w:abstractNum>
  <w:abstractNum w:abstractNumId="15">
    <w:nsid w:val="CA6B462"/>
    <w:multiLevelType w:val="hybridMultilevel"/>
    <w:lvl w:ilvl="0">
      <w:lvlJc w:val="left"/>
      <w:lvlText w:val="%1."/>
      <w:numFmt w:val="upperLetter"/>
      <w:start w:val="2"/>
    </w:lvl>
  </w:abstractNum>
  <w:abstractNum w:abstractNumId="16">
    <w:nsid w:val="763CB680"/>
    <w:multiLevelType w:val="hybridMultilevel"/>
    <w:lvl w:ilvl="0">
      <w:lvlJc w:val="left"/>
      <w:lvlText w:val="%1:"/>
      <w:numFmt w:val="upperLetter"/>
      <w:start w:val="35"/>
    </w:lvl>
  </w:abstractNum>
  <w:abstractNum w:abstractNumId="17">
    <w:nsid w:val="15B71329"/>
    <w:multiLevelType w:val="hybridMultilevel"/>
    <w:lvl w:ilvl="0">
      <w:lvlJc w:val="left"/>
      <w:lvlText w:val="·"/>
      <w:numFmt w:val="bullet"/>
      <w:start w:val="1"/>
    </w:lvl>
  </w:abstractNum>
  <w:abstractNum w:abstractNumId="18">
    <w:nsid w:val="3DA97044"/>
    <w:multiLevelType w:val="hybridMultilevel"/>
    <w:lvl w:ilvl="0">
      <w:lvlJc w:val="left"/>
      <w:lvlText w:val="%1"/>
      <w:numFmt w:val="upperLetter"/>
      <w:start w:val="35"/>
    </w:lvl>
  </w:abstractNum>
  <w:abstractNum w:abstractNumId="19">
    <w:nsid w:val="1CDCE2DE"/>
    <w:multiLevelType w:val="hybridMultilevel"/>
    <w:lvl w:ilvl="0">
      <w:lvlJc w:val="left"/>
      <w:lvlText w:val="·"/>
      <w:numFmt w:val="bullet"/>
      <w:start w:val="1"/>
    </w:lvl>
  </w:abstractNum>
  <w:abstractNum w:abstractNumId="20">
    <w:nsid w:val="69D3947C"/>
    <w:multiLevelType w:val="hybridMultilevel"/>
    <w:lvl w:ilvl="0">
      <w:lvlJc w:val="left"/>
      <w:lvlText w:val="·"/>
      <w:numFmt w:val="bullet"/>
      <w:start w:val="1"/>
    </w:lvl>
  </w:abstractNum>
  <w:abstractNum w:abstractNumId="21">
    <w:nsid w:val="2539DFA5"/>
    <w:multiLevelType w:val="hybridMultilevel"/>
    <w:lvl w:ilvl="0">
      <w:lvlJc w:val="left"/>
      <w:lvlText w:val="·"/>
      <w:numFmt w:val="bullet"/>
      <w:start w:val="1"/>
    </w:lvl>
  </w:abstractNum>
  <w:abstractNum w:abstractNumId="22">
    <w:nsid w:val="2DB88089"/>
    <w:multiLevelType w:val="hybridMultilevel"/>
    <w:lvl w:ilvl="0">
      <w:lvlJc w:val="left"/>
      <w:lvlText w:val="·"/>
      <w:numFmt w:val="bullet"/>
      <w:start w:val="1"/>
    </w:lvl>
  </w:abstractNum>
  <w:abstractNum w:abstractNumId="23">
    <w:nsid w:val="706B674E"/>
    <w:multiLevelType w:val="hybridMultilevel"/>
    <w:lvl w:ilvl="0">
      <w:lvlJc w:val="left"/>
      <w:lvlText w:val="%1."/>
      <w:numFmt w:val="upperLetter"/>
      <w:start w:val="3"/>
    </w:lvl>
  </w:abstractNum>
  <w:abstractNum w:abstractNumId="24">
    <w:nsid w:val="2C106A57"/>
    <w:multiLevelType w:val="hybridMultilevel"/>
    <w:lvl w:ilvl="0">
      <w:lvlJc w:val="left"/>
      <w:lvlText w:val="%1."/>
      <w:numFmt w:val="upperLetter"/>
      <w:start w:val="1"/>
    </w:lvl>
  </w:abstractNum>
  <w:abstractNum w:abstractNumId="25">
    <w:nsid w:val="684EED59"/>
    <w:multiLevelType w:val="hybridMultilevel"/>
    <w:lvl w:ilvl="0">
      <w:lvlJc w:val="left"/>
      <w:lvlText w:val="(%1)"/>
      <w:numFmt w:val="lowerRoman"/>
      <w:start w:val="2"/>
    </w:lvl>
  </w:abstractNum>
  <w:abstractNum w:abstractNumId="26">
    <w:nsid w:val="545EE5D3"/>
    <w:multiLevelType w:val="hybridMultilevel"/>
    <w:lvl w:ilvl="0">
      <w:lvlJc w:val="left"/>
      <w:lvlText w:val="·"/>
      <w:numFmt w:val="bullet"/>
      <w:start w:val="1"/>
    </w:lvl>
  </w:abstractNum>
  <w:abstractNum w:abstractNumId="27">
    <w:nsid w:val="4A66051"/>
    <w:multiLevelType w:val="hybridMultilevel"/>
    <w:lvl w:ilvl="0">
      <w:lvlJc w:val="left"/>
      <w:lvlText w:val="·"/>
      <w:numFmt w:val="bullet"/>
      <w:start w:val="1"/>
    </w:lvl>
  </w:abstractNum>
  <w:abstractNum w:abstractNumId="28">
    <w:nsid w:val="20F4BDAD"/>
    <w:multiLevelType w:val="hybridMultilevel"/>
    <w:lvl w:ilvl="0">
      <w:lvlJc w:val="left"/>
      <w:lvlText w:val="·"/>
      <w:numFmt w:val="bullet"/>
      <w:start w:val="1"/>
    </w:lvl>
  </w:abstractNum>
  <w:abstractNum w:abstractNumId="29">
    <w:nsid w:val="639DEFAC"/>
    <w:multiLevelType w:val="hybridMultilevel"/>
    <w:lvl w:ilvl="0">
      <w:lvlJc w:val="left"/>
      <w:lvlText w:val="·"/>
      <w:numFmt w:val="bullet"/>
      <w:start w:val="1"/>
    </w:lvl>
  </w:abstractNum>
  <w:abstractNum w:abstractNumId="30">
    <w:nsid w:val="501F9786"/>
    <w:multiLevelType w:val="hybridMultilevel"/>
    <w:lvl w:ilvl="0">
      <w:lvlJc w:val="left"/>
      <w:lvlText w:val="·"/>
      <w:numFmt w:val="bullet"/>
      <w:start w:val="1"/>
    </w:lvl>
  </w:abstractNum>
  <w:abstractNum w:abstractNumId="31">
    <w:nsid w:val="6B057295"/>
    <w:multiLevelType w:val="hybridMultilevel"/>
    <w:lvl w:ilvl="0">
      <w:lvlJc w:val="left"/>
      <w:lvlText w:val="·"/>
      <w:numFmt w:val="bullet"/>
      <w:start w:val="1"/>
    </w:lvl>
    <w:lvl w:ilvl="1">
      <w:lvlJc w:val="left"/>
      <w:lvlText w:val="·"/>
      <w:numFmt w:val="bullet"/>
      <w:start w:val="1"/>
    </w:lvl>
  </w:abstractNum>
  <w:abstractNum w:abstractNumId="32">
    <w:nsid w:val="2771AC80"/>
    <w:multiLevelType w:val="hybridMultilevel"/>
    <w:lvl w:ilvl="0">
      <w:lvlJc w:val="left"/>
      <w:lvlText w:val="·"/>
      <w:numFmt w:val="bullet"/>
      <w:start w:val="1"/>
    </w:lvl>
  </w:abstractNum>
  <w:abstractNum w:abstractNumId="33">
    <w:nsid w:val="1C4A08EC"/>
    <w:multiLevelType w:val="hybridMultilevel"/>
    <w:lvl w:ilvl="0">
      <w:lvlJc w:val="left"/>
      <w:lvlText w:val="·"/>
      <w:numFmt w:val="bullet"/>
      <w:start w:val="1"/>
    </w:lvl>
  </w:abstractNum>
  <w:abstractNum w:abstractNumId="34">
    <w:nsid w:val="1958BD17"/>
    <w:multiLevelType w:val="hybridMultilevel"/>
    <w:lvl w:ilvl="0">
      <w:lvlJc w:val="left"/>
      <w:lvlText w:val="·"/>
      <w:numFmt w:val="bullet"/>
      <w:start w:val="1"/>
    </w:lvl>
  </w:abstractNum>
  <w:abstractNum w:abstractNumId="35">
    <w:nsid w:val="4E647FE4"/>
    <w:multiLevelType w:val="hybridMultilevel"/>
    <w:lvl w:ilvl="0">
      <w:lvlJc w:val="left"/>
      <w:lvlText w:val="·"/>
      <w:numFmt w:val="bullet"/>
      <w:start w:val="1"/>
    </w:lvl>
  </w:abstractNum>
  <w:abstractNum w:abstractNumId="36">
    <w:nsid w:val="E0BB885"/>
    <w:multiLevelType w:val="hybridMultilevel"/>
    <w:lvl w:ilvl="0">
      <w:lvlJc w:val="left"/>
      <w:lvlText w:val="·"/>
      <w:numFmt w:val="bullet"/>
      <w:start w:val="1"/>
    </w:lvl>
  </w:abstractNum>
  <w:abstractNum w:abstractNumId="37">
    <w:nsid w:val="565976F1"/>
    <w:multiLevelType w:val="hybridMultilevel"/>
    <w:lvl w:ilvl="0">
      <w:lvlJc w:val="left"/>
      <w:lvlText w:val="·"/>
      <w:numFmt w:val="bullet"/>
      <w:start w:val="1"/>
    </w:lvl>
  </w:abstractNum>
  <w:abstractNum w:abstractNumId="38">
    <w:nsid w:val="64212B8C"/>
    <w:multiLevelType w:val="hybridMultilevel"/>
    <w:lvl w:ilvl="0">
      <w:lvlJc w:val="left"/>
      <w:lvlText w:val="·"/>
      <w:numFmt w:val="bullet"/>
      <w:start w:val="1"/>
    </w:lvl>
    <w:lvl w:ilvl="1">
      <w:lvlJc w:val="left"/>
      <w:lvlText w:val="·"/>
      <w:numFmt w:val="bullet"/>
      <w:start w:val="1"/>
    </w:lvl>
  </w:abstractNum>
  <w:abstractNum w:abstractNumId="39">
    <w:nsid w:val="5C17530C"/>
    <w:multiLevelType w:val="hybridMultilevel"/>
    <w:lvl w:ilvl="0">
      <w:lvlJc w:val="left"/>
      <w:lvlText w:val="·"/>
      <w:numFmt w:val="bullet"/>
      <w:start w:val="1"/>
    </w:lvl>
  </w:abstractNum>
  <w:abstractNum w:abstractNumId="40">
    <w:nsid w:val="19A52566"/>
    <w:multiLevelType w:val="hybridMultilevel"/>
    <w:lvl w:ilvl="0">
      <w:lvlJc w:val="left"/>
      <w:lvlText w:val="%1."/>
      <w:numFmt w:val="upperLetter"/>
      <w:start w:val="2"/>
    </w:lvl>
  </w:abstractNum>
  <w:abstractNum w:abstractNumId="41">
    <w:nsid w:val="335A1DF1"/>
    <w:multiLevelType w:val="hybridMultilevel"/>
    <w:lvl w:ilvl="0">
      <w:lvlJc w:val="left"/>
      <w:lvlText w:val="(%1)"/>
      <w:numFmt w:val="lowerRoman"/>
      <w:start w:val="8"/>
    </w:lvl>
  </w:abstractNum>
  <w:abstractNum w:abstractNumId="42">
    <w:nsid w:val="28677B7C"/>
    <w:multiLevelType w:val="hybridMultilevel"/>
    <w:lvl w:ilvl="0">
      <w:lvlJc w:val="left"/>
      <w:lvlText w:val="%1."/>
      <w:numFmt w:val="upperLetter"/>
      <w:start w:val="2"/>
    </w:lvl>
    <w:lvl w:ilvl="1">
      <w:lvlJc w:val="left"/>
      <w:lvlText w:val="·"/>
      <w:numFmt w:val="bullet"/>
      <w:start w:val="1"/>
    </w:lvl>
  </w:abstractNum>
  <w:abstractNum w:abstractNumId="43">
    <w:nsid w:val="378D97C0"/>
    <w:multiLevelType w:val="hybridMultilevel"/>
    <w:lvl w:ilvl="0">
      <w:lvlJc w:val="left"/>
      <w:lvlText w:val="%1."/>
      <w:numFmt w:val="upperLetter"/>
      <w:start w:val="4"/>
    </w:lvl>
  </w:abstractNum>
  <w:abstractNum w:abstractNumId="44">
    <w:nsid w:val="1D91467C"/>
    <w:multiLevelType w:val="hybridMultilevel"/>
    <w:lvl w:ilvl="0">
      <w:lvlJc w:val="left"/>
      <w:lvlText w:val="%1."/>
      <w:numFmt w:val="upperLetter"/>
      <w:start w:val="5"/>
    </w:lvl>
  </w:abstractNum>
  <w:abstractNum w:abstractNumId="45">
    <w:nsid w:val="316032BB"/>
    <w:multiLevelType w:val="hybridMultilevel"/>
    <w:lvl w:ilvl="0">
      <w:lvlJc w:val="left"/>
      <w:lvlText w:val="%1."/>
      <w:numFmt w:val="upperLetter"/>
      <w:start w:val="6"/>
    </w:lvl>
  </w:abstractNum>
  <w:abstractNum w:abstractNumId="46">
    <w:nsid w:val="44344C22"/>
    <w:multiLevelType w:val="hybridMultilevel"/>
    <w:lvl w:ilvl="0">
      <w:lvlJc w:val="left"/>
      <w:lvlText w:val="%1."/>
      <w:numFmt w:val="upperLetter"/>
      <w:start w:val="1"/>
    </w:lvl>
  </w:abstractNum>
  <w:abstractNum w:abstractNumId="47">
    <w:nsid w:val="13CDFCFC"/>
    <w:multiLevelType w:val="hybridMultilevel"/>
    <w:lvl w:ilvl="0">
      <w:lvlJc w:val="left"/>
      <w:lvlText w:val="%1."/>
      <w:numFmt w:val="upperLetter"/>
      <w:start w:val="2"/>
    </w:lvl>
  </w:abstractNum>
  <w:abstractNum w:abstractNumId="48">
    <w:nsid w:val="471745E4"/>
    <w:multiLevelType w:val="hybridMultilevel"/>
    <w:lvl w:ilvl="0">
      <w:lvlJc w:val="left"/>
      <w:lvlText w:val="%1."/>
      <w:numFmt w:val="upperLetter"/>
      <w:start w:val="3"/>
    </w:lvl>
  </w:abstractNum>
  <w:abstractNum w:abstractNumId="49">
    <w:nsid w:val="1DDBC66"/>
    <w:multiLevelType w:val="hybridMultilevel"/>
    <w:lvl w:ilvl="0">
      <w:lvlJc w:val="left"/>
      <w:lvlText w:val="%1."/>
      <w:numFmt w:val="upperLetter"/>
      <w:start w:val="4"/>
    </w:lvl>
  </w:abstractNum>
  <w:abstractNum w:abstractNumId="50">
    <w:nsid w:val="30AADFDA"/>
    <w:multiLevelType w:val="hybridMultilevel"/>
    <w:lvl w:ilvl="0">
      <w:lvlJc w:val="left"/>
      <w:lvlText w:val="%1."/>
      <w:numFmt w:val="upperLetter"/>
      <w:start w:val="5"/>
    </w:lvl>
  </w:abstractNum>
  <w:abstractNum w:abstractNumId="51">
    <w:nsid w:val="30EADA61"/>
    <w:multiLevelType w:val="hybridMultilevel"/>
    <w:lvl w:ilvl="0">
      <w:lvlJc w:val="left"/>
      <w:lvlText w:val="·"/>
      <w:numFmt w:val="bullet"/>
      <w:start w:val="1"/>
    </w:lvl>
  </w:abstractNum>
  <w:abstractNum w:abstractNumId="52">
    <w:nsid w:val="27179C0B"/>
    <w:multiLevelType w:val="hybridMultilevel"/>
    <w:lvl w:ilvl="0">
      <w:lvlJc w:val="left"/>
      <w:lvlText w:val="*"/>
      <w:numFmt w:val="bullet"/>
      <w:start w:val="1"/>
    </w:lvl>
  </w:abstractNum>
  <w:abstractNum w:abstractNumId="53">
    <w:nsid w:val="5E636063"/>
    <w:multiLevelType w:val="hybridMultilevel"/>
    <w:lvl w:ilvl="0">
      <w:lvlJc w:val="left"/>
      <w:lvlText w:val="(%1)"/>
      <w:numFmt w:val="decimal"/>
      <w:start w:val="1"/>
    </w:lvl>
  </w:abstractNum>
  <w:abstractNum w:abstractNumId="54">
    <w:nsid w:val="215641AF"/>
    <w:multiLevelType w:val="hybridMultilevel"/>
    <w:lvl w:ilvl="0">
      <w:lvlJc w:val="left"/>
      <w:lvlText w:val="(%1)"/>
      <w:numFmt w:val="decimal"/>
      <w:start w:val="3"/>
    </w:lvl>
  </w:abstractNum>
  <w:abstractNum w:abstractNumId="55">
    <w:nsid w:val="53280662"/>
    <w:multiLevelType w:val="hybridMultilevel"/>
    <w:lvl w:ilvl="0">
      <w:lvlJc w:val="left"/>
      <w:lvlText w:val="%1."/>
      <w:numFmt w:val="upperLetter"/>
      <w:start w:val="1"/>
    </w:lvl>
  </w:abstractNum>
  <w:abstractNum w:abstractNumId="56">
    <w:nsid w:val="46B24DBC"/>
    <w:multiLevelType w:val="hybridMultilevel"/>
    <w:lvl w:ilvl="0">
      <w:lvlJc w:val="left"/>
      <w:lvlText w:val="%1."/>
      <w:numFmt w:val="upperLetter"/>
      <w:start w:val="2"/>
    </w:lvl>
  </w:abstractNum>
  <w:abstractNum w:abstractNumId="57">
    <w:nsid w:val="75B52783"/>
    <w:multiLevelType w:val="hybridMultilevel"/>
    <w:lvl w:ilvl="0">
      <w:lvlJc w:val="left"/>
      <w:lvlText w:val="·"/>
      <w:numFmt w:val="bullet"/>
      <w:start w:val="1"/>
    </w:lvl>
  </w:abstractNum>
  <w:abstractNum w:abstractNumId="58">
    <w:nsid w:val="57CE66B4"/>
    <w:multiLevelType w:val="hybridMultilevel"/>
    <w:lvl w:ilvl="0">
      <w:lvlJc w:val="left"/>
      <w:lvlText w:val="·"/>
      <w:numFmt w:val="bullet"/>
      <w:start w:val="1"/>
    </w:lvl>
    <w:lvl w:ilvl="1">
      <w:lvlJc w:val="left"/>
      <w:lvlText w:val="·"/>
      <w:numFmt w:val="bullet"/>
      <w:start w:val="1"/>
    </w:lvl>
  </w:abstractNum>
  <w:abstractNum w:abstractNumId="59">
    <w:nsid w:val="67A70B69"/>
    <w:multiLevelType w:val="hybridMultilevel"/>
    <w:lvl w:ilvl="0">
      <w:lvlJc w:val="left"/>
      <w:lvlText w:val="·"/>
      <w:numFmt w:val="bullet"/>
      <w:start w:val="1"/>
    </w:lvl>
  </w:abstractNum>
  <w:abstractNum w:abstractNumId="60">
    <w:nsid w:val="5953172F"/>
    <w:multiLevelType w:val="hybridMultilevel"/>
    <w:lvl w:ilvl="0">
      <w:lvlJc w:val="left"/>
      <w:lvlText w:val="·"/>
      <w:numFmt w:val="bullet"/>
      <w:start w:val="1"/>
    </w:lvl>
  </w:abstractNum>
  <w:abstractNum w:abstractNumId="61">
    <w:nsid w:val="27EDFE3A"/>
    <w:multiLevelType w:val="hybridMultilevel"/>
    <w:lvl w:ilvl="0">
      <w:lvlJc w:val="left"/>
      <w:lvlText w:val="·"/>
      <w:numFmt w:val="bullet"/>
      <w:start w:val="1"/>
    </w:lvl>
  </w:abstractNum>
  <w:abstractNum w:abstractNumId="62">
    <w:nsid w:val="52AC7DFF"/>
    <w:multiLevelType w:val="hybridMultilevel"/>
    <w:lvl w:ilvl="0">
      <w:lvlJc w:val="left"/>
      <w:lvlText w:val="·"/>
      <w:numFmt w:val="bullet"/>
      <w:start w:val="1"/>
    </w:lvl>
  </w:abstractNum>
  <w:abstractNum w:abstractNumId="63">
    <w:nsid w:val="C4C3AF"/>
    <w:multiLevelType w:val="hybridMultilevel"/>
    <w:lvl w:ilvl="0">
      <w:lvlJc w:val="left"/>
      <w:lvlText w:val="·"/>
      <w:numFmt w:val="bullet"/>
      <w:start w:val="1"/>
    </w:lvl>
    <w:lvl w:ilvl="1">
      <w:lvlJc w:val="left"/>
      <w:lvlText w:val="·"/>
      <w:numFmt w:val="bullet"/>
      <w:start w:val="1"/>
    </w:lvl>
  </w:abstractNum>
  <w:abstractNum w:abstractNumId="64">
    <w:nsid w:val="44380727"/>
    <w:multiLevelType w:val="hybridMultilevel"/>
    <w:lvl w:ilvl="0">
      <w:lvlJc w:val="left"/>
      <w:lvlText w:val="·"/>
      <w:numFmt w:val="bullet"/>
      <w:start w:val="1"/>
    </w:lvl>
  </w:abstractNum>
  <w:abstractNum w:abstractNumId="65">
    <w:nsid w:val="6C053B16"/>
    <w:multiLevelType w:val="hybridMultilevel"/>
    <w:lvl w:ilvl="0">
      <w:lvlJc w:val="left"/>
      <w:lvlText w:val="·"/>
      <w:numFmt w:val="bullet"/>
      <w:start w:val="1"/>
    </w:lvl>
    <w:lvl w:ilvl="1">
      <w:lvlJc w:val="left"/>
      <w:lvlText w:val="·"/>
      <w:numFmt w:val="bullet"/>
      <w:start w:val="1"/>
    </w:lvl>
  </w:abstractNum>
  <w:abstractNum w:abstractNumId="66">
    <w:nsid w:val="4F294393"/>
    <w:multiLevelType w:val="hybridMultilevel"/>
    <w:lvl w:ilvl="0">
      <w:lvlJc w:val="left"/>
      <w:lvlText w:val="·"/>
      <w:numFmt w:val="bullet"/>
      <w:start w:val="1"/>
    </w:lvl>
  </w:abstractNum>
  <w:abstractNum w:abstractNumId="67">
    <w:nsid w:val="5243BFAC"/>
    <w:multiLevelType w:val="hybridMultilevel"/>
    <w:lvl w:ilvl="0">
      <w:lvlJc w:val="left"/>
      <w:lvlText w:val="·"/>
      <w:numFmt w:val="bullet"/>
      <w:start w:val="1"/>
    </w:lvl>
    <w:lvl w:ilvl="1">
      <w:lvlJc w:val="left"/>
      <w:lvlText w:val="·"/>
      <w:numFmt w:val="bullet"/>
      <w:start w:val="1"/>
    </w:lvl>
  </w:abstractNum>
  <w:abstractNum w:abstractNumId="68">
    <w:nsid w:val="425EB207"/>
    <w:multiLevelType w:val="hybridMultilevel"/>
    <w:lvl w:ilvl="0">
      <w:lvlJc w:val="left"/>
      <w:lvlText w:val="·"/>
      <w:numFmt w:val="bullet"/>
      <w:start w:val="1"/>
    </w:lvl>
    <w:lvl w:ilvl="1">
      <w:lvlJc w:val="left"/>
      <w:lvlText w:val="·"/>
      <w:numFmt w:val="bullet"/>
      <w:start w:val="1"/>
    </w:lvl>
  </w:abstractNum>
  <w:abstractNum w:abstractNumId="69">
    <w:nsid w:val="334A6F1F"/>
    <w:multiLevelType w:val="hybridMultilevel"/>
    <w:lvl w:ilvl="0">
      <w:lvlJc w:val="left"/>
      <w:lvlText w:val="%1."/>
      <w:numFmt w:val="upperLetter"/>
      <w:start w:val="3"/>
    </w:lvl>
  </w:abstractNum>
  <w:abstractNum w:abstractNumId="70">
    <w:nsid w:val="2E5B12B8"/>
    <w:multiLevelType w:val="hybridMultilevel"/>
    <w:lvl w:ilvl="0">
      <w:lvlJc w:val="left"/>
      <w:lvlText w:val="%1."/>
      <w:numFmt w:val="upperLetter"/>
      <w:start w:val="1"/>
    </w:lvl>
  </w:abstractNum>
  <w:abstractNum w:abstractNumId="71">
    <w:nsid w:val="5C03D76D"/>
    <w:multiLevelType w:val="hybridMultilevel"/>
    <w:lvl w:ilvl="0">
      <w:lvlJc w:val="left"/>
      <w:lvlText w:val="%1."/>
      <w:numFmt w:val="upperLetter"/>
      <w:start w:val="2"/>
    </w:lvl>
  </w:abstractNum>
  <w:abstractNum w:abstractNumId="72">
    <w:nsid w:val="66A48D11"/>
    <w:multiLevelType w:val="hybridMultilevel"/>
    <w:lvl w:ilvl="0">
      <w:lvlJc w:val="left"/>
      <w:lvlText w:val="%1."/>
      <w:numFmt w:val="upperLetter"/>
      <w:start w:val="1"/>
    </w:lvl>
  </w:abstractNum>
  <w:abstractNum w:abstractNumId="73">
    <w:nsid w:val="56C28E34"/>
    <w:multiLevelType w:val="hybridMultilevel"/>
    <w:lvl w:ilvl="0">
      <w:lvlJc w:val="left"/>
      <w:lvlText w:val="%1."/>
      <w:numFmt w:val="upperLetter"/>
      <w:start w:val="2"/>
    </w:lvl>
  </w:abstractNum>
  <w:abstractNum w:abstractNumId="74">
    <w:nsid w:val="13916F2D"/>
    <w:multiLevelType w:val="hybridMultilevel"/>
    <w:lvl w:ilvl="0">
      <w:lvlJc w:val="left"/>
      <w:lvlText w:val="(%1)"/>
      <w:numFmt w:val="lowerLetter"/>
      <w:start w:val="1"/>
    </w:lvl>
  </w:abstractNum>
  <w:abstractNum w:abstractNumId="75">
    <w:nsid w:val="435D38D"/>
    <w:multiLevelType w:val="hybridMultilevel"/>
    <w:lvl w:ilvl="0">
      <w:lvlJc w:val="left"/>
      <w:lvlText w:val="·"/>
      <w:numFmt w:val="bullet"/>
      <w:start w:val="1"/>
    </w:lvl>
  </w:abstractNum>
  <w:abstractNum w:abstractNumId="76">
    <w:nsid w:val="822C0EF"/>
    <w:multiLevelType w:val="hybridMultilevel"/>
    <w:lvl w:ilvl="0">
      <w:lvlJc w:val="left"/>
      <w:lvlText w:val="%1."/>
      <w:numFmt w:val="upperLetter"/>
      <w:start w:val="3"/>
    </w:lvl>
  </w:abstractNum>
  <w:abstractNum w:abstractNumId="77">
    <w:nsid w:val="57C5BB4F"/>
    <w:multiLevelType w:val="hybridMultilevel"/>
    <w:lvl w:ilvl="0">
      <w:lvlJc w:val="left"/>
      <w:lvlText w:val="%1."/>
      <w:numFmt w:val="upperLetter"/>
      <w:start w:val="4"/>
    </w:lvl>
  </w:abstractNum>
  <w:abstractNum w:abstractNumId="78">
    <w:nsid w:val="1803D089"/>
    <w:multiLevelType w:val="hybridMultilevel"/>
    <w:lvl w:ilvl="0">
      <w:lvlJc w:val="left"/>
      <w:lvlText w:val="%1."/>
      <w:numFmt w:val="upperLetter"/>
      <w:start w:val="5"/>
    </w:lvl>
  </w:abstractNum>
  <w:abstractNum w:abstractNumId="79">
    <w:nsid w:val="4F3A06D4"/>
    <w:multiLevelType w:val="hybridMultilevel"/>
    <w:lvl w:ilvl="0">
      <w:lvlJc w:val="left"/>
      <w:lvlText w:val="·"/>
      <w:numFmt w:val="bullet"/>
      <w:start w:val="1"/>
    </w:lvl>
  </w:abstractNum>
  <w:abstractNum w:abstractNumId="80">
    <w:nsid w:val="59A377B6"/>
    <w:multiLevelType w:val="hybridMultilevel"/>
    <w:lvl w:ilvl="0">
      <w:lvlJc w:val="left"/>
      <w:lvlText w:val="·"/>
      <w:numFmt w:val="bullet"/>
      <w:start w:val="1"/>
    </w:lvl>
  </w:abstractNum>
  <w:abstractNum w:abstractNumId="81">
    <w:nsid w:val="48AEB063"/>
    <w:multiLevelType w:val="hybridMultilevel"/>
    <w:lvl w:ilvl="0">
      <w:lvlJc w:val="left"/>
      <w:lvlText w:val="(%1)"/>
      <w:numFmt w:val="decimal"/>
      <w:start w:val="1"/>
    </w:lvl>
  </w:abstractNum>
  <w:abstractNum w:abstractNumId="82">
    <w:nsid w:val="24E135"/>
    <w:multiLevelType w:val="hybridMultilevel"/>
    <w:lvl w:ilvl="0">
      <w:lvlJc w:val="left"/>
      <w:lvlText w:val="(%1)"/>
      <w:numFmt w:val="lowerLetter"/>
      <w:start w:val="3"/>
    </w:lvl>
  </w:abstractNum>
  <w:abstractNum w:abstractNumId="83">
    <w:nsid w:val="BB13C1"/>
    <w:multiLevelType w:val="hybridMultilevel"/>
    <w:lvl w:ilvl="0">
      <w:lvlJc w:val="left"/>
      <w:lvlText w:val="·"/>
      <w:numFmt w:val="bullet"/>
      <w:start w:val="1"/>
    </w:lvl>
  </w:abstractNum>
  <w:abstractNum w:abstractNumId="84">
    <w:nsid w:val="271210C7"/>
    <w:multiLevelType w:val="hybridMultilevel"/>
    <w:lvl w:ilvl="0">
      <w:lvlJc w:val="left"/>
      <w:lvlText w:val="(%1)"/>
      <w:numFmt w:val="decimal"/>
      <w:start w:val="1"/>
    </w:lvl>
  </w:abstractNum>
  <w:abstractNum w:abstractNumId="85">
    <w:nsid w:val="217B22E4"/>
    <w:multiLevelType w:val="hybridMultilevel"/>
    <w:lvl w:ilvl="0">
      <w:lvlJc w:val="left"/>
      <w:lvlText w:val="(%1)"/>
      <w:numFmt w:val="decimal"/>
      <w:start w:val="1"/>
    </w:lvl>
  </w:abstractNum>
  <w:abstractNum w:abstractNumId="86">
    <w:nsid w:val="53E31A24"/>
    <w:multiLevelType w:val="hybridMultilevel"/>
    <w:lvl w:ilvl="0">
      <w:lvlJc w:val="left"/>
      <w:lvlText w:val="%1."/>
      <w:numFmt w:val="upperLetter"/>
      <w:start w:val="6"/>
    </w:lvl>
  </w:abstractNum>
  <w:abstractNum w:abstractNumId="87">
    <w:nsid w:val="6DC45E83"/>
    <w:multiLevelType w:val="hybridMultilevel"/>
    <w:lvl w:ilvl="0">
      <w:lvlJc w:val="left"/>
      <w:lvlText w:val="%1."/>
      <w:numFmt w:val="upperLetter"/>
      <w:start w:val="7"/>
    </w:lvl>
  </w:abstractNum>
  <w:abstractNum w:abstractNumId="88">
    <w:nsid w:val="17304A67"/>
    <w:multiLevelType w:val="hybridMultilevel"/>
    <w:lvl w:ilvl="0">
      <w:lvlJc w:val="left"/>
      <w:lvlText w:val="%1."/>
      <w:numFmt w:val="upperLetter"/>
      <w:start w:val="8"/>
    </w:lvl>
  </w:abstractNum>
  <w:abstractNum w:abstractNumId="89">
    <w:nsid w:val="2BB180D8"/>
    <w:multiLevelType w:val="hybridMultilevel"/>
    <w:lvl w:ilvl="0">
      <w:lvlJc w:val="left"/>
      <w:lvlText w:val="%1."/>
      <w:numFmt w:val="upperLetter"/>
      <w:start w:val="9"/>
    </w:lvl>
  </w:abstractNum>
  <w:abstractNum w:abstractNumId="90">
    <w:nsid w:val="556B69ED"/>
    <w:multiLevelType w:val="hybridMultilevel"/>
    <w:lvl w:ilvl="0">
      <w:lvlJc w:val="left"/>
      <w:lvlText w:val="%1."/>
      <w:numFmt w:val="upperLetter"/>
      <w:start w:val="1"/>
    </w:lvl>
  </w:abstractNum>
  <w:abstractNum w:abstractNumId="91">
    <w:nsid w:val="70836196"/>
    <w:multiLevelType w:val="hybridMultilevel"/>
    <w:lvl w:ilvl="0">
      <w:lvlJc w:val="left"/>
      <w:lvlText w:val="(%1)"/>
      <w:numFmt w:val="decimal"/>
      <w:start w:val="1"/>
    </w:lvl>
  </w:abstractNum>
  <w:abstractNum w:abstractNumId="92">
    <w:nsid w:val="539F7F12"/>
    <w:multiLevelType w:val="hybridMultilevel"/>
    <w:lvl w:ilvl="0">
      <w:lvlJc w:val="left"/>
      <w:lvlText w:val="·"/>
      <w:numFmt w:val="bullet"/>
      <w:start w:val="1"/>
    </w:lvl>
  </w:abstractNum>
  <w:abstractNum w:abstractNumId="93">
    <w:nsid w:val="2817E7EC"/>
    <w:multiLevelType w:val="hybridMultilevel"/>
    <w:lvl w:ilvl="0">
      <w:lvlJc w:val="left"/>
      <w:lvlText w:val="(%1)"/>
      <w:numFmt w:val="decimal"/>
      <w:start w:val="1"/>
    </w:lvl>
  </w:abstractNum>
  <w:abstractNum w:abstractNumId="94">
    <w:nsid w:val="71482545"/>
    <w:multiLevelType w:val="hybridMultilevel"/>
    <w:lvl w:ilvl="0">
      <w:lvlJc w:val="left"/>
      <w:lvlText w:val="*"/>
      <w:numFmt w:val="bullet"/>
      <w:start w:val="1"/>
    </w:lvl>
  </w:abstractNum>
  <w:abstractNum w:abstractNumId="95">
    <w:nsid w:val="17D78639"/>
    <w:multiLevelType w:val="hybridMultilevel"/>
    <w:lvl w:ilvl="0">
      <w:lvlJc w:val="left"/>
      <w:lvlText w:val="**"/>
      <w:numFmt w:val="bullet"/>
      <w:start w:val="1"/>
    </w:lvl>
  </w:abstractNum>
  <w:abstractNum w:abstractNumId="96">
    <w:nsid w:val="141D2302"/>
    <w:multiLevelType w:val="hybridMultilevel"/>
    <w:lvl w:ilvl="0">
      <w:lvlJc w:val="left"/>
      <w:lvlText w:val="%1."/>
      <w:numFmt w:val="decimal"/>
      <w:start w:val="1"/>
    </w:lvl>
  </w:abstractNum>
  <w:abstractNum w:abstractNumId="97">
    <w:nsid w:val="407168D8"/>
    <w:multiLevelType w:val="hybridMultilevel"/>
    <w:lvl w:ilvl="0">
      <w:lvlJc w:val="left"/>
      <w:lvlText w:val="(%1)"/>
      <w:numFmt w:val="lowerLetter"/>
      <w:start w:val="1"/>
    </w:lvl>
  </w:abstractNum>
  <w:abstractNum w:abstractNumId="98">
    <w:nsid w:val="6A1B45E5"/>
    <w:multiLevelType w:val="hybridMultilevel"/>
    <w:lvl w:ilvl="0">
      <w:lvlJc w:val="left"/>
      <w:lvlText w:val="(%1)"/>
      <w:numFmt w:val="lowerLetter"/>
      <w:start w:val="2"/>
    </w:lvl>
  </w:abstractNum>
  <w:abstractNum w:abstractNumId="99">
    <w:nsid w:val="567BD50A"/>
    <w:multiLevelType w:val="hybridMultilevel"/>
    <w:lvl w:ilvl="0">
      <w:lvlJc w:val="left"/>
      <w:lvlText w:val="(%1)"/>
      <w:numFmt w:val="decimal"/>
      <w:start w:val="1"/>
    </w:lvl>
  </w:abstractNum>
  <w:abstractNum w:abstractNumId="100">
    <w:nsid w:val="73BBD7F8"/>
    <w:multiLevelType w:val="hybridMultilevel"/>
    <w:lvl w:ilvl="0">
      <w:lvlJc w:val="left"/>
      <w:lvlText w:val="·"/>
      <w:numFmt w:val="bullet"/>
      <w:start w:val="1"/>
    </w:lvl>
  </w:abstractNum>
  <w:abstractNum w:abstractNumId="101">
    <w:nsid w:val="1876589D"/>
    <w:multiLevelType w:val="hybridMultilevel"/>
    <w:lvl w:ilvl="0">
      <w:lvlJc w:val="left"/>
      <w:lvlText w:val="·"/>
      <w:numFmt w:val="bullet"/>
      <w:start w:val="1"/>
    </w:lvl>
  </w:abstractNum>
  <w:abstractNum w:abstractNumId="102">
    <w:nsid w:val="327FAC77"/>
    <w:multiLevelType w:val="hybridMultilevel"/>
    <w:lvl w:ilvl="0">
      <w:lvlJc w:val="left"/>
      <w:lvlText w:val="·"/>
      <w:numFmt w:val="bullet"/>
      <w:start w:val="1"/>
    </w:lvl>
  </w:abstractNum>
  <w:abstractNum w:abstractNumId="103">
    <w:nsid w:val="5A606509"/>
    <w:multiLevelType w:val="hybridMultilevel"/>
    <w:lvl w:ilvl="0">
      <w:lvlJc w:val="left"/>
      <w:lvlText w:val="*"/>
      <w:numFmt w:val="bullet"/>
      <w:start w:val="1"/>
    </w:lvl>
    <w:lvl w:ilvl="1">
      <w:lvlJc w:val="left"/>
      <w:lvlText w:val="**"/>
      <w:numFmt w:val="bullet"/>
      <w:start w:val="1"/>
    </w:lvl>
  </w:abstractNum>
  <w:abstractNum w:abstractNumId="104">
    <w:nsid w:val="6F38E6D1"/>
    <w:multiLevelType w:val="hybridMultilevel"/>
    <w:lvl w:ilvl="0">
      <w:lvlJc w:val="left"/>
      <w:lvlText w:val="·"/>
      <w:numFmt w:val="bullet"/>
      <w:start w:val="1"/>
    </w:lvl>
    <w:lvl w:ilvl="1">
      <w:lvlJc w:val="left"/>
      <w:lvlText w:val="·"/>
      <w:numFmt w:val="bullet"/>
      <w:start w:val="1"/>
    </w:lvl>
  </w:abstractNum>
  <w:abstractNum w:abstractNumId="105">
    <w:nsid w:val="46111BA5"/>
    <w:multiLevelType w:val="hybridMultilevel"/>
    <w:lvl w:ilvl="0">
      <w:lvlJc w:val="left"/>
      <w:lvlText w:val="·"/>
      <w:numFmt w:val="bullet"/>
      <w:start w:val="1"/>
    </w:lvl>
  </w:abstractNum>
  <w:abstractNum w:abstractNumId="106">
    <w:nsid w:val="5E963896"/>
    <w:multiLevelType w:val="hybridMultilevel"/>
    <w:lvl w:ilvl="0">
      <w:lvlJc w:val="left"/>
      <w:lvlText w:val="·"/>
      <w:numFmt w:val="bullet"/>
      <w:start w:val="1"/>
    </w:lvl>
  </w:abstractNum>
  <w:abstractNum w:abstractNumId="107">
    <w:nsid w:val="775BA7C1"/>
    <w:multiLevelType w:val="hybridMultilevel"/>
    <w:lvl w:ilvl="0">
      <w:lvlJc w:val="left"/>
      <w:lvlText w:val="·"/>
      <w:numFmt w:val="bullet"/>
      <w:start w:val="1"/>
    </w:lvl>
  </w:abstractNum>
  <w:abstractNum w:abstractNumId="108">
    <w:nsid w:val="1DD6D6F4"/>
    <w:multiLevelType w:val="hybridMultilevel"/>
    <w:lvl w:ilvl="0">
      <w:lvlJc w:val="left"/>
      <w:lvlText w:val="%1."/>
      <w:numFmt w:val="decimal"/>
      <w:start w:val="2"/>
    </w:lvl>
  </w:abstractNum>
  <w:abstractNum w:abstractNumId="109">
    <w:nsid w:val="769A091F"/>
    <w:multiLevelType w:val="hybridMultilevel"/>
    <w:lvl w:ilvl="0">
      <w:lvlJc w:val="left"/>
      <w:lvlText w:val="(%1)"/>
      <w:numFmt w:val="lowerLetter"/>
      <w:start w:val="1"/>
    </w:lvl>
  </w:abstractNum>
  <w:abstractNum w:abstractNumId="110">
    <w:nsid w:val="4695AE95"/>
    <w:multiLevelType w:val="hybridMultilevel"/>
    <w:lvl w:ilvl="0">
      <w:lvlJc w:val="left"/>
      <w:lvlText w:val="(%1)"/>
      <w:numFmt w:val="lowerLetter"/>
      <w:start w:val="2"/>
    </w:lvl>
  </w:abstractNum>
  <w:abstractNum w:abstractNumId="111">
    <w:nsid w:val="777A4EAA"/>
    <w:multiLevelType w:val="hybridMultilevel"/>
    <w:lvl w:ilvl="0">
      <w:lvlJc w:val="left"/>
      <w:lvlText w:val="(%1)"/>
      <w:numFmt w:val="lowerLetter"/>
      <w:start w:val="3"/>
    </w:lvl>
  </w:abstractNum>
  <w:abstractNum w:abstractNumId="112">
    <w:nsid w:val="3F48B982"/>
    <w:multiLevelType w:val="hybridMultilevel"/>
    <w:lvl w:ilvl="0">
      <w:lvlJc w:val="left"/>
      <w:lvlText w:val="(%1)"/>
      <w:numFmt w:val="lowerRoman"/>
      <w:start w:val="1"/>
    </w:lvl>
  </w:abstractNum>
  <w:abstractNum w:abstractNumId="113">
    <w:nsid w:val="46BA8FCA"/>
    <w:multiLevelType w:val="hybridMultilevel"/>
    <w:lvl w:ilvl="0">
      <w:lvlJc w:val="left"/>
      <w:lvlText w:val="(%1)"/>
      <w:numFmt w:val="lowerRoman"/>
      <w:start w:val="2"/>
    </w:lvl>
  </w:abstractNum>
  <w:abstractNum w:abstractNumId="114">
    <w:nsid w:val="7835626C"/>
    <w:multiLevelType w:val="hybridMultilevel"/>
    <w:lvl w:ilvl="0">
      <w:lvlJc w:val="left"/>
      <w:lvlText w:val="(%1)"/>
      <w:numFmt w:val="lowerRoman"/>
      <w:start w:val="3"/>
    </w:lvl>
  </w:abstractNum>
  <w:abstractNum w:abstractNumId="115">
    <w:nsid w:val="665ACA49"/>
    <w:multiLevelType w:val="hybridMultilevel"/>
    <w:lvl w:ilvl="0">
      <w:lvlJc w:val="left"/>
      <w:lvlText w:val="(%1)"/>
      <w:numFmt w:val="lowerLetter"/>
      <w:start w:val="4"/>
    </w:lvl>
  </w:abstractNum>
  <w:abstractNum w:abstractNumId="116">
    <w:nsid w:val="6835B2AE"/>
    <w:multiLevelType w:val="hybridMultilevel"/>
    <w:lvl w:ilvl="0">
      <w:lvlJc w:val="left"/>
      <w:lvlText w:val="(%1)"/>
      <w:numFmt w:val="lowerLetter"/>
      <w:start w:val="5"/>
    </w:lvl>
  </w:abstractNum>
  <w:abstractNum w:abstractNumId="117">
    <w:nsid w:val="4C187C90"/>
    <w:multiLevelType w:val="hybridMultilevel"/>
    <w:lvl w:ilvl="0">
      <w:lvlJc w:val="left"/>
      <w:lvlText w:val="(%1)"/>
      <w:numFmt w:val="lowerLetter"/>
      <w:start w:val="6"/>
    </w:lvl>
  </w:abstractNum>
  <w:abstractNum w:abstractNumId="118">
    <w:nsid w:val="541F28CD"/>
    <w:multiLevelType w:val="hybridMultilevel"/>
    <w:lvl w:ilvl="0">
      <w:lvlJc w:val="left"/>
      <w:lvlText w:val="(%1)"/>
      <w:numFmt w:val="lowerLetter"/>
      <w:start w:val="7"/>
    </w:lvl>
  </w:abstractNum>
  <w:abstractNum w:abstractNumId="119">
    <w:nsid w:val="7F65FD16"/>
    <w:multiLevelType w:val="hybridMultilevel"/>
    <w:lvl w:ilvl="0">
      <w:lvlJc w:val="left"/>
      <w:lvlText w:val="(%1)"/>
      <w:numFmt w:val="lowerLetter"/>
      <w:start w:val="8"/>
    </w:lvl>
  </w:abstractNum>
  <w:abstractNum w:abstractNumId="120">
    <w:nsid w:val="77C9FD68"/>
    <w:multiLevelType w:val="hybridMultilevel"/>
    <w:lvl w:ilvl="0">
      <w:lvlJc w:val="left"/>
      <w:lvlText w:val="(%1)"/>
      <w:numFmt w:val="lowerRoman"/>
      <w:start w:val="1"/>
    </w:lvl>
  </w:abstractNum>
  <w:abstractNum w:abstractNumId="121">
    <w:nsid w:val="298A92BA"/>
    <w:multiLevelType w:val="hybridMultilevel"/>
    <w:lvl w:ilvl="0">
      <w:lvlJc w:val="left"/>
      <w:lvlText w:val="(%1)"/>
      <w:numFmt w:val="lowerLetter"/>
      <w:start w:val="10"/>
    </w:lvl>
  </w:abstractNum>
  <w:abstractNum w:abstractNumId="122">
    <w:nsid w:val="6FE95EAC"/>
    <w:multiLevelType w:val="hybridMultilevel"/>
    <w:lvl w:ilvl="0">
      <w:lvlJc w:val="left"/>
      <w:lvlText w:val="(%1)"/>
      <w:numFmt w:val="lowerLetter"/>
      <w:start w:val="11"/>
    </w:lvl>
  </w:abstractNum>
  <w:abstractNum w:abstractNumId="123">
    <w:nsid w:val="4B697C7A"/>
    <w:multiLevelType w:val="hybridMultilevel"/>
    <w:lvl w:ilvl="0">
      <w:lvlJc w:val="left"/>
      <w:lvlText w:val="(%1)"/>
      <w:numFmt w:val="lowerLetter"/>
      <w:start w:val="12"/>
    </w:lvl>
  </w:abstractNum>
  <w:abstractNum w:abstractNumId="124">
    <w:nsid w:val="51A27AA6"/>
    <w:multiLevelType w:val="hybridMultilevel"/>
    <w:lvl w:ilvl="0">
      <w:lvlJc w:val="left"/>
      <w:lvlText w:val="(%1)"/>
      <w:numFmt w:val="lowerLetter"/>
      <w:start w:val="13"/>
    </w:lvl>
  </w:abstractNum>
  <w:abstractNum w:abstractNumId="125">
    <w:nsid w:val="613183F2"/>
    <w:multiLevelType w:val="hybridMultilevel"/>
    <w:lvl w:ilvl="0">
      <w:lvlJc w:val="left"/>
      <w:lvlText w:val="(%1)"/>
      <w:numFmt w:val="lowerLetter"/>
      <w:start w:val="14"/>
    </w:lvl>
  </w:abstractNum>
  <w:abstractNum w:abstractNumId="126">
    <w:nsid w:val="634102B4"/>
    <w:multiLevelType w:val="hybridMultilevel"/>
    <w:lvl w:ilvl="0">
      <w:lvlJc w:val="left"/>
      <w:lvlText w:val="(%1)"/>
      <w:numFmt w:val="lowerLetter"/>
      <w:start w:val="15"/>
    </w:lvl>
  </w:abstractNum>
  <w:abstractNum w:abstractNumId="127">
    <w:nsid w:val="65BF9DA8"/>
    <w:multiLevelType w:val="hybridMultilevel"/>
    <w:lvl w:ilvl="0">
      <w:lvlJc w:val="left"/>
      <w:lvlText w:val="(%1)"/>
      <w:numFmt w:val="lowerLetter"/>
      <w:start w:val="16"/>
    </w:lvl>
  </w:abstractNum>
  <w:abstractNum w:abstractNumId="128">
    <w:nsid w:val="21A2ECCA"/>
    <w:multiLevelType w:val="hybridMultilevel"/>
    <w:lvl w:ilvl="0">
      <w:lvlJc w:val="left"/>
      <w:lvlText w:val="(%1)"/>
      <w:numFmt w:val="lowerLetter"/>
      <w:start w:val="17"/>
    </w:lvl>
  </w:abstractNum>
  <w:abstractNum w:abstractNumId="129">
    <w:nsid w:val="4D5C4899"/>
    <w:multiLevelType w:val="hybridMultilevel"/>
    <w:lvl w:ilvl="0">
      <w:lvlJc w:val="left"/>
      <w:lvlText w:val="(%1)"/>
      <w:numFmt w:val="lowerLetter"/>
      <w:start w:val="18"/>
    </w:lvl>
  </w:abstractNum>
  <w:abstractNum w:abstractNumId="130">
    <w:nsid w:val="3C3B72B2"/>
    <w:multiLevelType w:val="hybridMultilevel"/>
    <w:lvl w:ilvl="0">
      <w:lvlJc w:val="left"/>
      <w:lvlText w:val="(%1)"/>
      <w:numFmt w:val="lowerLetter"/>
      <w:start w:val="19"/>
    </w:lvl>
  </w:abstractNum>
  <w:abstractNum w:abstractNumId="131">
    <w:nsid w:val="155EC4C2"/>
    <w:multiLevelType w:val="hybridMultilevel"/>
    <w:lvl w:ilvl="0">
      <w:lvlJc w:val="left"/>
      <w:lvlText w:val="(%1)"/>
      <w:numFmt w:val="lowerLetter"/>
      <w:start w:val="20"/>
    </w:lvl>
  </w:abstractNum>
  <w:abstractNum w:abstractNumId="132">
    <w:nsid w:val="65D2A137"/>
    <w:multiLevelType w:val="hybridMultilevel"/>
    <w:lvl w:ilvl="0">
      <w:lvlJc w:val="left"/>
      <w:lvlText w:val="(%1)"/>
      <w:numFmt w:val="lowerLetter"/>
      <w:start w:val="21"/>
    </w:lvl>
  </w:abstractNum>
  <w:abstractNum w:abstractNumId="133">
    <w:nsid w:val="6EBB1F2A"/>
    <w:multiLevelType w:val="hybridMultilevel"/>
    <w:lvl w:ilvl="0">
      <w:lvlJc w:val="left"/>
      <w:lvlText w:val="(%1)"/>
      <w:numFmt w:val="lowerRoman"/>
      <w:start w:val="5"/>
    </w:lvl>
  </w:abstractNum>
  <w:abstractNum w:abstractNumId="134">
    <w:nsid w:val="6FBF29CB"/>
    <w:multiLevelType w:val="hybridMultilevel"/>
    <w:lvl w:ilvl="0">
      <w:lvlJc w:val="left"/>
      <w:lvlText w:val="(%1)"/>
      <w:numFmt w:val="lowerLetter"/>
      <w:start w:val="23"/>
    </w:lvl>
  </w:abstractNum>
  <w:abstractNum w:abstractNumId="135">
    <w:nsid w:val="550B8808"/>
    <w:multiLevelType w:val="hybridMultilevel"/>
    <w:lvl w:ilvl="0">
      <w:lvlJc w:val="left"/>
      <w:lvlText w:val="(%1)"/>
      <w:numFmt w:val="lowerRoman"/>
      <w:start w:val="10"/>
    </w:lvl>
  </w:abstractNum>
  <w:abstractNum w:abstractNumId="136">
    <w:nsid w:val="34CC3ACF"/>
    <w:multiLevelType w:val="hybridMultilevel"/>
    <w:lvl w:ilvl="0">
      <w:lvlJc w:val="left"/>
      <w:lvlText w:val="(%1)"/>
      <w:numFmt w:val="lowerLetter"/>
      <w:start w:val="25"/>
    </w:lvl>
  </w:abstractNum>
  <w:abstractNum w:abstractNumId="137">
    <w:nsid w:val="4E556261"/>
    <w:multiLevelType w:val="hybridMultilevel"/>
    <w:lvl w:ilvl="0">
      <w:lvlJc w:val="left"/>
      <w:lvlText w:val="(%1)"/>
      <w:numFmt w:val="lowerLetter"/>
      <w:start w:val="1"/>
    </w:lvl>
  </w:abstractNum>
  <w:abstractNum w:abstractNumId="138">
    <w:nsid w:val="4C672FC9"/>
    <w:multiLevelType w:val="hybridMultilevel"/>
    <w:lvl w:ilvl="0">
      <w:lvlJc w:val="left"/>
      <w:lvlText w:val="(%1)"/>
      <w:numFmt w:val="lowerLetter"/>
      <w:start w:val="2"/>
    </w:lvl>
  </w:abstractNum>
  <w:abstractNum w:abstractNumId="139">
    <w:nsid w:val="52A311C3"/>
    <w:multiLevelType w:val="hybridMultilevel"/>
    <w:lvl w:ilvl="0">
      <w:lvlJc w:val="left"/>
      <w:lvlText w:val="%1"/>
      <w:numFmt w:val="upperLetter"/>
      <w:start w:val="27"/>
    </w:lvl>
  </w:abstractNum>
  <w:abstractNum w:abstractNumId="140">
    <w:nsid w:val="44EF6B80"/>
    <w:multiLevelType w:val="hybridMultilevel"/>
    <w:lvl w:ilvl="0">
      <w:lvlJc w:val="left"/>
      <w:lvlText w:val="(%1)"/>
      <w:numFmt w:val="lowerLetter"/>
      <w:start w:val="3"/>
    </w:lvl>
  </w:abstractNum>
  <w:abstractNum w:abstractNumId="141">
    <w:nsid w:val="12FCDE5E"/>
    <w:multiLevelType w:val="hybridMultilevel"/>
    <w:lvl w:ilvl="0">
      <w:lvlJc w:val="left"/>
      <w:lvlText w:val="(%1)"/>
      <w:numFmt w:val="lowerLetter"/>
      <w:start w:val="4"/>
    </w:lvl>
  </w:abstractNum>
  <w:abstractNum w:abstractNumId="142">
    <w:nsid w:val="4A1D606E"/>
    <w:multiLevelType w:val="hybridMultilevel"/>
    <w:lvl w:ilvl="0">
      <w:lvlJc w:val="left"/>
      <w:lvlText w:val="(%1)"/>
      <w:numFmt w:val="lowerLetter"/>
      <w:start w:val="5"/>
    </w:lvl>
  </w:abstractNum>
  <w:abstractNum w:abstractNumId="143">
    <w:nsid w:val="4382503"/>
    <w:multiLevelType w:val="hybridMultilevel"/>
    <w:lvl w:ilvl="0">
      <w:lvlJc w:val="left"/>
      <w:lvlText w:val="%1."/>
      <w:numFmt w:val="decimal"/>
      <w:start w:val="4"/>
    </w:lvl>
  </w:abstractNum>
  <w:abstractNum w:abstractNumId="144">
    <w:nsid w:val="59B76E28"/>
    <w:multiLevelType w:val="hybridMultilevel"/>
    <w:lvl w:ilvl="0">
      <w:lvlJc w:val="left"/>
      <w:lvlText w:val="%1."/>
      <w:numFmt w:val="decimal"/>
      <w:start w:val="6"/>
    </w:lvl>
  </w:abstractNum>
  <w:abstractNum w:abstractNumId="145">
    <w:nsid w:val="4252C2DA"/>
    <w:multiLevelType w:val="hybridMultilevel"/>
    <w:lvl w:ilvl="0">
      <w:lvlJc w:val="left"/>
      <w:lvlText w:val="%1."/>
      <w:numFmt w:val="decimal"/>
      <w:start w:val="8"/>
    </w:lvl>
  </w:abstractNum>
  <w:abstractNum w:abstractNumId="146">
    <w:nsid w:val="6A92EF4C"/>
    <w:multiLevelType w:val="hybridMultilevel"/>
    <w:lvl w:ilvl="0">
      <w:lvlJc w:val="left"/>
      <w:lvlText w:val="(%1)"/>
      <w:numFmt w:val="lowerLetter"/>
      <w:start w:val="1"/>
    </w:lvl>
  </w:abstractNum>
  <w:abstractNum w:abstractNumId="147">
    <w:nsid w:val="41ED20D7"/>
    <w:multiLevelType w:val="hybridMultilevel"/>
    <w:lvl w:ilvl="0">
      <w:lvlJc w:val="left"/>
      <w:lvlText w:val="(%1)"/>
      <w:numFmt w:val="decimal"/>
      <w:start w:val="1"/>
    </w:lvl>
  </w:abstractNum>
  <w:abstractNum w:abstractNumId="148">
    <w:nsid w:val="E6B3F6A"/>
    <w:multiLevelType w:val="hybridMultilevel"/>
    <w:lvl w:ilvl="0">
      <w:lvlJc w:val="left"/>
      <w:lvlText w:val="(%1)"/>
      <w:numFmt w:val="decimal"/>
      <w:start w:val="3"/>
    </w:lvl>
  </w:abstractNum>
  <w:abstractNum w:abstractNumId="149">
    <w:nsid w:val="3EB21819"/>
    <w:multiLevelType w:val="hybridMultilevel"/>
    <w:lvl w:ilvl="0">
      <w:lvlJc w:val="left"/>
      <w:lvlText w:val="(%1)"/>
      <w:numFmt w:val="decimal"/>
      <w:start w:val="4"/>
    </w:lvl>
  </w:abstractNum>
  <w:abstractNum w:abstractNumId="150">
    <w:nsid w:val="41531DED"/>
    <w:multiLevelType w:val="hybridMultilevel"/>
    <w:lvl w:ilvl="0">
      <w:lvlJc w:val="left"/>
      <w:lvlText w:val="(%1)"/>
      <w:numFmt w:val="lowerLetter"/>
      <w:start w:val="2"/>
    </w:lvl>
  </w:abstractNum>
  <w:abstractNum w:abstractNumId="151">
    <w:nsid w:val="6353CD2"/>
    <w:multiLevelType w:val="hybridMultilevel"/>
    <w:lvl w:ilvl="0">
      <w:lvlJc w:val="left"/>
      <w:lvlText w:val="%1."/>
      <w:numFmt w:val="decimal"/>
      <w:start w:val="11"/>
    </w:lvl>
  </w:abstractNum>
  <w:abstractNum w:abstractNumId="152">
    <w:nsid w:val="683CAAD3"/>
    <w:multiLevelType w:val="hybridMultilevel"/>
    <w:lvl w:ilvl="0">
      <w:lvlJc w:val="left"/>
      <w:lvlText w:val="(%1)"/>
      <w:numFmt w:val="lowerLetter"/>
      <w:start w:val="1"/>
    </w:lvl>
  </w:abstractNum>
  <w:abstractNum w:abstractNumId="153">
    <w:nsid w:val="313C7C99"/>
    <w:multiLevelType w:val="hybridMultilevel"/>
    <w:lvl w:ilvl="0">
      <w:lvlJc w:val="left"/>
      <w:lvlText w:val="(%1)"/>
      <w:numFmt w:val="lowerLetter"/>
      <w:start w:val="2"/>
    </w:lvl>
  </w:abstractNum>
  <w:abstractNum w:abstractNumId="154">
    <w:nsid w:val="519EB94C"/>
    <w:multiLevelType w:val="hybridMultilevel"/>
    <w:lvl w:ilvl="0">
      <w:lvlJc w:val="left"/>
      <w:lvlText w:val="(%1)"/>
      <w:numFmt w:val="lowerLetter"/>
      <w:start w:val="3"/>
    </w:lvl>
  </w:abstractNum>
  <w:abstractNum w:abstractNumId="155">
    <w:nsid w:val="39DF2579"/>
    <w:multiLevelType w:val="hybridMultilevel"/>
    <w:lvl w:ilvl="0">
      <w:lvlJc w:val="left"/>
      <w:lvlText w:val="(%1)"/>
      <w:numFmt w:val="lowerLetter"/>
      <w:start w:val="4"/>
    </w:lvl>
  </w:abstractNum>
  <w:abstractNum w:abstractNumId="156">
    <w:nsid w:val="126E008B"/>
    <w:multiLevelType w:val="hybridMultilevel"/>
    <w:lvl w:ilvl="0">
      <w:lvlJc w:val="left"/>
      <w:lvlText w:val="%1."/>
      <w:numFmt w:val="decimal"/>
      <w:start w:val="14"/>
    </w:lvl>
  </w:abstractNum>
  <w:abstractNum w:abstractNumId="157">
    <w:nsid w:val="34DFBC00"/>
    <w:multiLevelType w:val="hybridMultilevel"/>
    <w:lvl w:ilvl="0">
      <w:lvlJc w:val="left"/>
      <w:lvlText w:val="%1."/>
      <w:numFmt w:val="decimal"/>
      <w:start w:val="15"/>
    </w:lvl>
  </w:abstractNum>
  <w:abstractNum w:abstractNumId="158">
    <w:nsid w:val="1F9EC322"/>
    <w:multiLevelType w:val="hybridMultilevel"/>
    <w:lvl w:ilvl="0">
      <w:lvlJc w:val="left"/>
      <w:lvlText w:val="%1."/>
      <w:numFmt w:val="decimal"/>
      <w:start w:val="16"/>
    </w:lvl>
  </w:abstractNum>
  <w:abstractNum w:abstractNumId="159">
    <w:nsid w:val="3410ED56"/>
    <w:multiLevelType w:val="hybridMultilevel"/>
    <w:lvl w:ilvl="0">
      <w:lvlJc w:val="left"/>
      <w:lvlText w:val="%1."/>
      <w:numFmt w:val="decimal"/>
      <w:start w:val="17"/>
    </w:lvl>
  </w:abstractNum>
  <w:abstractNum w:abstractNumId="160">
    <w:nsid w:val="23C049A"/>
    <w:multiLevelType w:val="hybridMultilevel"/>
    <w:lvl w:ilvl="0">
      <w:lvlJc w:val="left"/>
      <w:lvlText w:val="%1."/>
      <w:numFmt w:val="decimal"/>
      <w:start w:val="18"/>
    </w:lvl>
  </w:abstractNum>
  <w:abstractNum w:abstractNumId="161">
    <w:nsid w:val="5BDA35D4"/>
    <w:multiLevelType w:val="hybridMultilevel"/>
    <w:lvl w:ilvl="0">
      <w:lvlJc w:val="left"/>
      <w:lvlText w:val="%1."/>
      <w:numFmt w:val="decimal"/>
      <w:start w:val="19"/>
    </w:lvl>
  </w:abstractNum>
  <w:abstractNum w:abstractNumId="162">
    <w:nsid w:val="496FB218"/>
    <w:multiLevelType w:val="hybridMultilevel"/>
    <w:lvl w:ilvl="0">
      <w:lvlJc w:val="left"/>
      <w:lvlText w:val="%1."/>
      <w:numFmt w:val="decimal"/>
      <w:start w:val="20"/>
    </w:lvl>
  </w:abstractNum>
  <w:abstractNum w:abstractNumId="163">
    <w:nsid w:val="680EA5D1"/>
    <w:multiLevelType w:val="hybridMultilevel"/>
    <w:lvl w:ilvl="0">
      <w:lvlJc w:val="left"/>
      <w:lvlText w:val="(%1)"/>
      <w:numFmt w:val="lowerLetter"/>
      <w:start w:val="1"/>
    </w:lvl>
  </w:abstractNum>
  <w:abstractNum w:abstractNumId="164">
    <w:nsid w:val="4A9554FE"/>
    <w:multiLevelType w:val="hybridMultilevel"/>
    <w:lvl w:ilvl="0">
      <w:lvlJc w:val="left"/>
      <w:lvlText w:val="(%1)"/>
      <w:numFmt w:val="lowerLetter"/>
      <w:start w:val="2"/>
    </w:lvl>
  </w:abstractNum>
  <w:abstractNum w:abstractNumId="165">
    <w:nsid w:val="392EDBE4"/>
    <w:multiLevelType w:val="hybridMultilevel"/>
    <w:lvl w:ilvl="0">
      <w:lvlJc w:val="left"/>
      <w:lvlText w:val="(%1)"/>
      <w:numFmt w:val="lowerLetter"/>
      <w:start w:val="3"/>
    </w:lvl>
  </w:abstractNum>
  <w:abstractNum w:abstractNumId="166">
    <w:nsid w:val="3D1A2DD9"/>
    <w:multiLevelType w:val="hybridMultilevel"/>
    <w:lvl w:ilvl="0">
      <w:lvlJc w:val="left"/>
      <w:lvlText w:val="(%1)"/>
      <w:numFmt w:val="lowerLetter"/>
      <w:start w:val="4"/>
    </w:lvl>
  </w:abstractNum>
  <w:abstractNum w:abstractNumId="167">
    <w:nsid w:val="7F618FCD"/>
    <w:multiLevelType w:val="hybridMultilevel"/>
    <w:lvl w:ilvl="0">
      <w:lvlJc w:val="left"/>
      <w:lvlText w:val="(%1)"/>
      <w:numFmt w:val="lowerLetter"/>
      <w:start w:val="5"/>
    </w:lvl>
  </w:abstractNum>
  <w:abstractNum w:abstractNumId="168">
    <w:nsid w:val="7843E45"/>
    <w:multiLevelType w:val="hybridMultilevel"/>
    <w:lvl w:ilvl="0">
      <w:lvlJc w:val="left"/>
      <w:lvlText w:val="(%1)"/>
      <w:numFmt w:val="lowerLetter"/>
      <w:start w:val="6"/>
    </w:lvl>
  </w:abstractNum>
  <w:abstractNum w:abstractNumId="169">
    <w:nsid w:val="9815DA3"/>
    <w:multiLevelType w:val="hybridMultilevel"/>
    <w:lvl w:ilvl="0">
      <w:lvlJc w:val="left"/>
      <w:lvlText w:val="%1."/>
      <w:numFmt w:val="decimal"/>
      <w:start w:val="21"/>
    </w:lvl>
  </w:abstractNum>
  <w:abstractNum w:abstractNumId="170">
    <w:nsid w:val="5204A191"/>
    <w:multiLevelType w:val="hybridMultilevel"/>
    <w:lvl w:ilvl="0">
      <w:lvlJc w:val="left"/>
      <w:lvlText w:val="%1."/>
      <w:numFmt w:val="decimal"/>
      <w:start w:val="22"/>
    </w:lvl>
  </w:abstractNum>
  <w:abstractNum w:abstractNumId="171">
    <w:nsid w:val="4C73A9C6"/>
    <w:multiLevelType w:val="hybridMultilevel"/>
    <w:lvl w:ilvl="0">
      <w:lvlJc w:val="left"/>
      <w:lvlText w:val="(%1)"/>
      <w:numFmt w:val="lowerLetter"/>
      <w:start w:val="1"/>
    </w:lvl>
  </w:abstractNum>
  <w:abstractNum w:abstractNumId="172">
    <w:nsid w:val="1C7E3C01"/>
    <w:multiLevelType w:val="hybridMultilevel"/>
    <w:lvl w:ilvl="0">
      <w:lvlJc w:val="left"/>
      <w:lvlText w:val="™"/>
      <w:numFmt w:val="bullet"/>
      <w:start w:val="1"/>
    </w:lvl>
  </w:abstractNum>
  <w:abstractNum w:abstractNumId="173">
    <w:nsid w:val="1C2201FF"/>
    <w:multiLevelType w:val="hybridMultilevel"/>
    <w:lvl w:ilvl="0">
      <w:lvlJc w:val="left"/>
      <w:lvlText w:val="(%1)"/>
      <w:numFmt w:val="lowerLetter"/>
      <w:start w:val="2"/>
    </w:lvl>
  </w:abstractNum>
  <w:abstractNum w:abstractNumId="174">
    <w:nsid w:val="50ABCEC9"/>
    <w:multiLevelType w:val="hybridMultilevel"/>
    <w:lvl w:ilvl="0">
      <w:lvlJc w:val="left"/>
      <w:lvlText w:val="%1."/>
      <w:numFmt w:val="decimal"/>
      <w:start w:val="23"/>
    </w:lvl>
  </w:abstractNum>
  <w:abstractNum w:abstractNumId="175">
    <w:nsid w:val="7635AA2A"/>
    <w:multiLevelType w:val="hybridMultilevel"/>
    <w:lvl w:ilvl="0">
      <w:lvlJc w:val="left"/>
      <w:lvlText w:val="%1."/>
      <w:numFmt w:val="decimal"/>
      <w:start w:val="24"/>
    </w:lvl>
  </w:abstractNum>
  <w:abstractNum w:abstractNumId="176">
    <w:nsid w:val="5E74C4D9"/>
    <w:multiLevelType w:val="hybridMultilevel"/>
    <w:lvl w:ilvl="0">
      <w:lvlJc w:val="left"/>
      <w:lvlText w:val="%1."/>
      <w:numFmt w:val="decimal"/>
      <w:start w:val="25"/>
    </w:lvl>
  </w:abstractNum>
  <w:abstractNum w:abstractNumId="177">
    <w:nsid w:val="3B3EBE15"/>
    <w:multiLevelType w:val="hybridMultilevel"/>
    <w:lvl w:ilvl="0">
      <w:lvlJc w:val="left"/>
      <w:lvlText w:val="%1."/>
      <w:numFmt w:val="decimal"/>
      <w:start w:val="26"/>
    </w:lvl>
  </w:abstractNum>
  <w:abstractNum w:abstractNumId="178">
    <w:nsid w:val="3822CB01"/>
    <w:multiLevelType w:val="hybridMultilevel"/>
    <w:lvl w:ilvl="0">
      <w:lvlJc w:val="left"/>
      <w:lvlText w:val="(%1)"/>
      <w:numFmt w:val="lowerLetter"/>
      <w:start w:val="1"/>
    </w:lvl>
  </w:abstractNum>
  <w:abstractNum w:abstractNumId="179">
    <w:nsid w:val="6CE00443"/>
    <w:multiLevelType w:val="hybridMultilevel"/>
    <w:lvl w:ilvl="0">
      <w:lvlJc w:val="left"/>
      <w:lvlText w:val="(%1)"/>
      <w:numFmt w:val="lowerLetter"/>
      <w:start w:val="2"/>
    </w:lvl>
  </w:abstractNum>
  <w:abstractNum w:abstractNumId="180">
    <w:nsid w:val="79F0D62F"/>
    <w:multiLevelType w:val="hybridMultilevel"/>
    <w:lvl w:ilvl="0">
      <w:lvlJc w:val="left"/>
      <w:lvlText w:val="%1."/>
      <w:numFmt w:val="decimal"/>
      <w:start w:val="27"/>
    </w:lvl>
  </w:abstractNum>
  <w:abstractNum w:abstractNumId="181">
    <w:nsid w:val="7975E8EE"/>
    <w:multiLevelType w:val="hybridMultilevel"/>
    <w:lvl w:ilvl="0">
      <w:lvlJc w:val="left"/>
      <w:lvlText w:val="%1."/>
      <w:numFmt w:val="decimal"/>
      <w:start w:val="28"/>
    </w:lvl>
  </w:abstractNum>
  <w:abstractNum w:abstractNumId="182">
    <w:nsid w:val="73154115"/>
    <w:multiLevelType w:val="hybridMultilevel"/>
    <w:lvl w:ilvl="0">
      <w:lvlJc w:val="left"/>
      <w:lvlText w:val="%1."/>
      <w:numFmt w:val="decimal"/>
      <w:start w:val="1"/>
    </w:lvl>
  </w:abstractNum>
  <w:abstractNum w:abstractNumId="183">
    <w:nsid w:val="622D8102"/>
    <w:multiLevelType w:val="hybridMultilevel"/>
    <w:lvl w:ilvl="0">
      <w:lvlJc w:val="left"/>
      <w:lvlText w:val="%1."/>
      <w:numFmt w:val="decimal"/>
      <w:start w:val="1"/>
    </w:lvl>
  </w:abstractNum>
  <w:abstractNum w:abstractNumId="184">
    <w:nsid w:val="2AB26587"/>
    <w:multiLevelType w:val="hybridMultilevel"/>
    <w:lvl w:ilvl="0">
      <w:lvlJc w:val="left"/>
      <w:lvlText w:val="%1."/>
      <w:numFmt w:val="decimal"/>
      <w:start w:val="4"/>
    </w:lvl>
    <w:lvl w:ilvl="1">
      <w:lvlJc w:val="left"/>
      <w:lvlText w:val="%2."/>
      <w:numFmt w:val="lowerLetter"/>
      <w:start w:val="1"/>
    </w:lvl>
  </w:abstractNum>
  <w:abstractNum w:abstractNumId="185">
    <w:nsid w:val="44B3FA61"/>
    <w:multiLevelType w:val="hybridMultilevel"/>
    <w:lvl w:ilvl="0">
      <w:lvlJc w:val="left"/>
      <w:lvlText w:val="%1."/>
      <w:numFmt w:val="decimal"/>
      <w:start w:val="1"/>
    </w:lvl>
  </w:abstractNum>
  <w:abstractNum w:abstractNumId="186">
    <w:nsid w:val="1C0CA67C"/>
    <w:multiLevelType w:val="hybridMultilevel"/>
    <w:lvl w:ilvl="0">
      <w:lvlJc w:val="left"/>
      <w:lvlText w:val="%1."/>
      <w:numFmt w:val="decimal"/>
      <w:start w:val="1"/>
    </w:lvl>
  </w:abstractNum>
  <w:abstractNum w:abstractNumId="187">
    <w:nsid w:val="3D206613"/>
    <w:multiLevelType w:val="hybridMultilevel"/>
    <w:lvl w:ilvl="0">
      <w:lvlJc w:val="left"/>
      <w:lvlText w:val="%1."/>
      <w:numFmt w:val="decimal"/>
      <w:start w:val="4"/>
    </w:lvl>
    <w:lvl w:ilvl="1">
      <w:lvlJc w:val="left"/>
      <w:lvlText w:val="%2"/>
      <w:numFmt w:val="lowerLetter"/>
      <w:start w:val="1"/>
    </w:lvl>
  </w:abstractNum>
  <w:abstractNum w:abstractNumId="188">
    <w:nsid w:val="7993B662"/>
    <w:multiLevelType w:val="hybridMultilevel"/>
    <w:lvl w:ilvl="0">
      <w:lvlJc w:val="left"/>
      <w:lvlText w:val="%1."/>
      <w:numFmt w:val="lowerLetter"/>
      <w:start w:val="2"/>
    </w:lvl>
  </w:abstractNum>
  <w:abstractNum w:abstractNumId="189">
    <w:nsid w:val="3BAB699E"/>
    <w:multiLevelType w:val="hybridMultilevel"/>
    <w:lvl w:ilvl="0">
      <w:lvlJc w:val="left"/>
      <w:lvlText w:val="%1."/>
      <w:numFmt w:val="decimal"/>
      <w:start w:val="1"/>
    </w:lvl>
    <w:lvl w:ilvl="1">
      <w:lvlJc w:val="left"/>
      <w:lvlText w:val="(%2)"/>
      <w:numFmt w:val="lowerLetter"/>
      <w:start w:val="1"/>
    </w:lvl>
  </w:abstractNum>
  <w:abstractNum w:abstractNumId="190">
    <w:nsid w:val="71315369"/>
    <w:multiLevelType w:val="hybridMultilevel"/>
    <w:lvl w:ilvl="0">
      <w:lvlJc w:val="left"/>
      <w:lvlText w:val="%1."/>
      <w:numFmt w:val="decimal"/>
      <w:start w:val="1"/>
    </w:lvl>
  </w:abstractNum>
  <w:abstractNum w:abstractNumId="191">
    <w:nsid w:val="7BCFBAFC"/>
    <w:multiLevelType w:val="hybridMultilevel"/>
    <w:lvl w:ilvl="0">
      <w:lvlJc w:val="left"/>
      <w:lvlText w:val="%1."/>
      <w:numFmt w:val="decimal"/>
      <w:start w:val="1"/>
    </w:lvl>
  </w:abstractNum>
  <w:abstractNum w:abstractNumId="192">
    <w:nsid w:val="17859F72"/>
    <w:multiLevelType w:val="hybridMultilevel"/>
    <w:lvl w:ilvl="0">
      <w:lvlJc w:val="left"/>
      <w:lvlText w:val="%1."/>
      <w:numFmt w:val="decimal"/>
      <w:start w:val="4"/>
    </w:lvl>
    <w:lvl w:ilvl="1">
      <w:lvlJc w:val="left"/>
      <w:lvlText w:val="%2"/>
      <w:numFmt w:val="lowerLetter"/>
      <w:start w:val="1"/>
    </w:lvl>
  </w:abstractNum>
  <w:abstractNum w:abstractNumId="193">
    <w:nsid w:val="3AA10581"/>
    <w:multiLevelType w:val="hybridMultilevel"/>
    <w:lvl w:ilvl="0">
      <w:lvlJc w:val="left"/>
      <w:lvlText w:val="%1."/>
      <w:numFmt w:val="lowerLetter"/>
      <w:start w:val="2"/>
    </w:lvl>
  </w:abstractNum>
  <w:abstractNum w:abstractNumId="194">
    <w:nsid w:val="63DE60CD"/>
    <w:multiLevelType w:val="hybridMultilevel"/>
    <w:lvl w:ilvl="0">
      <w:lvlJc w:val="left"/>
      <w:lvlText w:val="%1."/>
      <w:numFmt w:val="decimal"/>
      <w:start w:val="1"/>
    </w:lvl>
  </w:abstractNum>
  <w:abstractNum w:abstractNumId="195">
    <w:nsid w:val="621AF471"/>
    <w:multiLevelType w:val="hybridMultilevel"/>
    <w:lvl w:ilvl="0">
      <w:lvlJc w:val="left"/>
      <w:lvlText w:val="%1."/>
      <w:numFmt w:val="decimal"/>
      <w:start w:val="1"/>
    </w:lvl>
  </w:abstractNum>
  <w:abstractNum w:abstractNumId="196">
    <w:nsid w:val="73CFE165"/>
    <w:multiLevelType w:val="hybridMultilevel"/>
    <w:lvl w:ilvl="0">
      <w:lvlJc w:val="left"/>
      <w:lvlText w:val="%1."/>
      <w:numFmt w:val="decimal"/>
      <w:start w:val="4"/>
    </w:lvl>
    <w:lvl w:ilvl="1">
      <w:lvlJc w:val="left"/>
      <w:lvlText w:val="%2"/>
      <w:numFmt w:val="lowerLetter"/>
      <w:start w:val="1"/>
    </w:lvl>
  </w:abstractNum>
  <w:abstractNum w:abstractNumId="197">
    <w:nsid w:val="20F88EA6"/>
    <w:multiLevelType w:val="hybridMultilevel"/>
    <w:lvl w:ilvl="0">
      <w:lvlJc w:val="left"/>
      <w:lvlText w:val="%1."/>
      <w:numFmt w:val="lowerLetter"/>
      <w:start w:val="2"/>
    </w:lvl>
  </w:abstractNum>
  <w:abstractNum w:abstractNumId="198">
    <w:nsid w:val="617C843E"/>
    <w:multiLevelType w:val="hybridMultilevel"/>
    <w:lvl w:ilvl="0">
      <w:lvlJc w:val="left"/>
      <w:lvlText w:val="(%1)"/>
      <w:numFmt w:val="decimal"/>
      <w:start w:val="1"/>
    </w:lvl>
  </w:abstractNum>
  <w:abstractNum w:abstractNumId="199">
    <w:nsid w:val="7B541FAB"/>
    <w:multiLevelType w:val="hybridMultilevel"/>
    <w:lvl w:ilvl="0">
      <w:lvlJc w:val="left"/>
      <w:lvlText w:val="(%1)"/>
      <w:numFmt w:val="decimal"/>
      <w:start w:val="3"/>
    </w:lvl>
  </w:abstractNum>
  <w:abstractNum w:abstractNumId="200">
    <w:nsid w:val="2A79EC49"/>
    <w:multiLevelType w:val="hybridMultilevel"/>
    <w:lvl w:ilvl="0">
      <w:lvlJc w:val="left"/>
      <w:lvlText w:val="(%1)"/>
      <w:numFmt w:val="upperLetter"/>
      <w:start w:val="1"/>
    </w:lvl>
  </w:abstractNum>
  <w:abstractNum w:abstractNumId="201">
    <w:nsid w:val="338125CF"/>
    <w:multiLevelType w:val="hybridMultilevel"/>
    <w:lvl w:ilvl="0">
      <w:lvlJc w:val="left"/>
      <w:lvlText w:val="%1."/>
      <w:numFmt w:val="decimal"/>
      <w:start w:val="1"/>
    </w:lvl>
    <w:lvl w:ilvl="1">
      <w:lvlJc w:val="left"/>
      <w:lvlText w:val="(%2)"/>
      <w:numFmt w:val="lowerLetter"/>
      <w:start w:val="1"/>
    </w:lvl>
  </w:abstractNum>
  <w:abstractNum w:abstractNumId="202">
    <w:nsid w:val="47C7C971"/>
    <w:multiLevelType w:val="hybridMultilevel"/>
    <w:lvl w:ilvl="0">
      <w:lvlJc w:val="left"/>
      <w:lvlText w:val="(%1)"/>
      <w:numFmt w:val="lowerLetter"/>
      <w:start w:val="5"/>
    </w:lvl>
  </w:abstractNum>
  <w:abstractNum w:abstractNumId="203">
    <w:nsid w:val="46F8284B"/>
    <w:multiLevelType w:val="hybridMultilevel"/>
    <w:lvl w:ilvl="0">
      <w:lvlJc w:val="left"/>
      <w:lvlText w:val="(%1)"/>
      <w:numFmt w:val="lowerLetter"/>
      <w:start w:val="1"/>
    </w:lvl>
  </w:abstractNum>
  <w:abstractNum w:abstractNumId="204">
    <w:nsid w:val="4FA327CE"/>
    <w:multiLevelType w:val="hybridMultilevel"/>
    <w:lvl w:ilvl="0">
      <w:lvlJc w:val="left"/>
      <w:lvlText w:val="%1."/>
      <w:numFmt w:val="decimal"/>
      <w:start w:val="2"/>
    </w:lvl>
    <w:lvl w:ilvl="1">
      <w:lvlJc w:val="left"/>
      <w:lvlText w:val="(%2)"/>
      <w:numFmt w:val="lowerLetter"/>
      <w:start w:val="1"/>
    </w:lvl>
  </w:abstractNum>
  <w:abstractNum w:abstractNumId="205">
    <w:nsid w:val="1873983A"/>
    <w:multiLevelType w:val="hybridMultilevel"/>
    <w:lvl w:ilvl="0">
      <w:lvlJc w:val="left"/>
      <w:lvlText w:val="(%1)"/>
      <w:numFmt w:val="lowerLetter"/>
      <w:start w:val="1"/>
    </w:lvl>
  </w:abstractNum>
  <w:abstractNum w:abstractNumId="206">
    <w:nsid w:val="3D2DD275"/>
    <w:multiLevelType w:val="hybridMultilevel"/>
    <w:lvl w:ilvl="0">
      <w:lvlJc w:val="left"/>
      <w:lvlText w:val="(%1)"/>
      <w:numFmt w:val="lowerLetter"/>
      <w:start w:val="5"/>
    </w:lvl>
  </w:abstractNum>
  <w:abstractNum w:abstractNumId="207">
    <w:nsid w:val="2E17ECA7"/>
    <w:multiLevelType w:val="hybridMultilevel"/>
    <w:lvl w:ilvl="0">
      <w:lvlJc w:val="left"/>
      <w:lvlText w:val="%1"/>
      <w:numFmt w:val="decimal"/>
      <w:start w:val="1"/>
    </w:lvl>
    <w:lvl w:ilvl="1">
      <w:lvlJc w:val="left"/>
      <w:lvlText w:val="(%2)"/>
      <w:numFmt w:val="lowerLetter"/>
      <w:start w:val="6"/>
    </w:lvl>
  </w:abstractNum>
  <w:abstractNum w:abstractNumId="208">
    <w:nsid w:val="53B2564F"/>
    <w:multiLevelType w:val="hybridMultilevel"/>
    <w:lvl w:ilvl="0">
      <w:lvlJc w:val="left"/>
      <w:lvlText w:val="%1."/>
      <w:numFmt w:val="decimal"/>
      <w:start w:val="3"/>
    </w:lvl>
    <w:lvl w:ilvl="1">
      <w:lvlJc w:val="left"/>
      <w:lvlText w:val="(%2)"/>
      <w:numFmt w:val="lowerLetter"/>
      <w:start w:val="1"/>
    </w:lvl>
  </w:abstractNum>
  <w:abstractNum w:abstractNumId="209">
    <w:nsid w:val="75509D76"/>
    <w:multiLevelType w:val="hybridMultilevel"/>
    <w:lvl w:ilvl="0">
      <w:lvlJc w:val="left"/>
      <w:lvlText w:val="(%1)"/>
      <w:numFmt w:val="lowerLetter"/>
      <w:start w:val="7"/>
    </w:lvl>
  </w:abstractNum>
  <w:abstractNum w:abstractNumId="210">
    <w:nsid w:val="1AF7F0EA"/>
    <w:multiLevelType w:val="hybridMultilevel"/>
    <w:lvl w:ilvl="0">
      <w:lvlJc w:val="left"/>
      <w:lvlText w:val="(%1)"/>
      <w:numFmt w:val="lowerLetter"/>
      <w:start w:val="1"/>
    </w:lvl>
  </w:abstractNum>
  <w:abstractNum w:abstractNumId="211">
    <w:nsid w:val="4DA32C7E"/>
    <w:multiLevelType w:val="hybridMultilevel"/>
    <w:lvl w:ilvl="0">
      <w:lvlJc w:val="left"/>
      <w:lvlText w:val="%1"/>
      <w:numFmt w:val="decimal"/>
      <w:start w:val="1"/>
    </w:lvl>
    <w:lvl w:ilvl="1">
      <w:lvlJc w:val="left"/>
      <w:lvlText w:val="(%2)"/>
      <w:numFmt w:val="lowerLetter"/>
      <w:start w:val="6"/>
    </w:lvl>
  </w:abstractNum>
  <w:abstractNum w:abstractNumId="212">
    <w:nsid w:val="6EC68664"/>
    <w:multiLevelType w:val="hybridMultilevel"/>
    <w:lvl w:ilvl="0">
      <w:lvlJc w:val="left"/>
      <w:lvlText w:val="%1."/>
      <w:numFmt w:val="decimal"/>
      <w:start w:val="4"/>
    </w:lvl>
    <w:lvl w:ilvl="1">
      <w:lvlJc w:val="left"/>
      <w:lvlText w:val="%2"/>
      <w:numFmt w:val="lowerLetter"/>
      <w:start w:val="1"/>
    </w:lvl>
  </w:abstractNum>
  <w:abstractNum w:abstractNumId="213">
    <w:nsid w:val="E0D31FF"/>
    <w:multiLevelType w:val="hybridMultilevel"/>
    <w:lvl w:ilvl="0">
      <w:lvlJc w:val="left"/>
      <w:lvlText w:val="%1."/>
      <w:numFmt w:val="decimal"/>
      <w:start w:val="6"/>
    </w:lvl>
  </w:abstractNum>
  <w:abstractNum w:abstractNumId="214">
    <w:nsid w:val="2FD0AD81"/>
    <w:multiLevelType w:val="hybridMultilevel"/>
    <w:lvl w:ilvl="0">
      <w:lvlJc w:val="left"/>
      <w:lvlText w:val="%1."/>
      <w:numFmt w:val="decimal"/>
      <w:start w:val="7"/>
    </w:lvl>
  </w:abstractNum>
  <w:abstractNum w:abstractNumId="215">
    <w:nsid w:val="1978EBEB"/>
    <w:multiLevelType w:val="hybridMultilevel"/>
    <w:lvl w:ilvl="0">
      <w:lvlJc w:val="left"/>
      <w:lvlText w:val="%1."/>
      <w:numFmt w:val="decimal"/>
      <w:start w:val="1"/>
    </w:lvl>
  </w:abstractNum>
  <w:abstractNum w:abstractNumId="216">
    <w:nsid w:val="52C12C61"/>
    <w:multiLevelType w:val="hybridMultilevel"/>
    <w:lvl w:ilvl="0">
      <w:lvlJc w:val="left"/>
      <w:lvlText w:val=","/>
      <w:numFmt w:val="bullet"/>
      <w:start w:val="1"/>
    </w:lvl>
  </w:abstractNum>
  <w:abstractNum w:abstractNumId="217">
    <w:nsid w:val="4BDD53FD"/>
    <w:multiLevelType w:val="hybridMultilevel"/>
    <w:lvl w:ilvl="0">
      <w:lvlJc w:val="left"/>
      <w:lvlText w:val="(%1)"/>
      <w:numFmt w:val="decimal"/>
      <w:start w:val="1"/>
    </w:lvl>
  </w:abstractNum>
  <w:abstractNum w:abstractNumId="218">
    <w:nsid w:val="569951FE"/>
    <w:multiLevelType w:val="hybridMultilevel"/>
    <w:lvl w:ilvl="0">
      <w:lvlJc w:val="left"/>
      <w:lvlText w:val="(%1)"/>
      <w:numFmt w:val="decimal"/>
      <w:start w:val="3"/>
    </w:lvl>
  </w:abstractNum>
  <w:abstractNum w:abstractNumId="219">
    <w:nsid w:val="4C54E2C3"/>
    <w:multiLevelType w:val="hybridMultilevel"/>
    <w:lvl w:ilvl="0">
      <w:lvlJc w:val="left"/>
      <w:lvlText w:val="(%1)"/>
      <w:numFmt w:val="upperLetter"/>
      <w:start w:val="1"/>
    </w:lvl>
  </w:abstractNum>
  <w:abstractNum w:abstractNumId="220">
    <w:nsid w:val="788BD9B"/>
    <w:multiLevelType w:val="hybridMultilevel"/>
    <w:lvl w:ilvl="0">
      <w:lvlJc w:val="left"/>
      <w:lvlText w:val="%1."/>
      <w:numFmt w:val="decimal"/>
      <w:start w:val="1"/>
    </w:lvl>
    <w:lvl w:ilvl="1">
      <w:lvlJc w:val="left"/>
      <w:lvlText w:val="(%2)"/>
      <w:numFmt w:val="lowerLetter"/>
      <w:start w:val="1"/>
    </w:lvl>
  </w:abstractNum>
  <w:abstractNum w:abstractNumId="221">
    <w:nsid w:val="47CAA567"/>
    <w:multiLevelType w:val="hybridMultilevel"/>
    <w:lvl w:ilvl="0">
      <w:lvlJc w:val="left"/>
      <w:lvlText w:val="(%1)"/>
      <w:numFmt w:val="lowerLetter"/>
      <w:start w:val="5"/>
    </w:lvl>
  </w:abstractNum>
  <w:abstractNum w:abstractNumId="222">
    <w:nsid w:val="48249DBF"/>
    <w:multiLevelType w:val="hybridMultilevel"/>
    <w:lvl w:ilvl="0">
      <w:lvlJc w:val="left"/>
      <w:lvlText w:val="(%1)"/>
      <w:numFmt w:val="lowerLetter"/>
      <w:start w:val="1"/>
    </w:lvl>
  </w:abstractNum>
  <w:abstractNum w:abstractNumId="223">
    <w:nsid w:val="1F0E5D0D"/>
    <w:multiLevelType w:val="hybridMultilevel"/>
    <w:lvl w:ilvl="0">
      <w:lvlJc w:val="left"/>
      <w:lvlText w:val="%1."/>
      <w:numFmt w:val="decimal"/>
      <w:start w:val="2"/>
    </w:lvl>
    <w:lvl w:ilvl="1">
      <w:lvlJc w:val="left"/>
      <w:lvlText w:val="(%2)"/>
      <w:numFmt w:val="lowerLetter"/>
      <w:start w:val="1"/>
    </w:lvl>
  </w:abstractNum>
  <w:abstractNum w:abstractNumId="224">
    <w:nsid w:val="26BAAE9"/>
    <w:multiLevelType w:val="hybridMultilevel"/>
    <w:lvl w:ilvl="0">
      <w:lvlJc w:val="left"/>
      <w:lvlText w:val="(%1)"/>
      <w:numFmt w:val="lowerLetter"/>
      <w:start w:val="1"/>
    </w:lvl>
  </w:abstractNum>
  <w:abstractNum w:abstractNumId="225">
    <w:nsid w:val="2C02FE8C"/>
    <w:multiLevelType w:val="hybridMultilevel"/>
    <w:lvl w:ilvl="0">
      <w:lvlJc w:val="left"/>
      <w:lvlText w:val="%1"/>
      <w:numFmt w:val="decimal"/>
      <w:start w:val="1"/>
    </w:lvl>
    <w:lvl w:ilvl="1">
      <w:lvlJc w:val="left"/>
      <w:lvlText w:val="(%2)"/>
      <w:numFmt w:val="lowerLetter"/>
      <w:start w:val="6"/>
    </w:lvl>
  </w:abstractNum>
  <w:abstractNum w:abstractNumId="226">
    <w:nsid w:val="129517E"/>
    <w:multiLevelType w:val="hybridMultilevel"/>
    <w:lvl w:ilvl="0">
      <w:lvlJc w:val="left"/>
      <w:lvlText w:val="%1."/>
      <w:numFmt w:val="decimal"/>
      <w:start w:val="3"/>
    </w:lvl>
    <w:lvl w:ilvl="1">
      <w:lvlJc w:val="left"/>
      <w:lvlText w:val="(%2)"/>
      <w:numFmt w:val="lowerLetter"/>
      <w:start w:val="1"/>
    </w:lvl>
  </w:abstractNum>
  <w:abstractNum w:abstractNumId="227">
    <w:nsid w:val="763B8C4E"/>
    <w:multiLevelType w:val="hybridMultilevel"/>
    <w:lvl w:ilvl="0">
      <w:lvlJc w:val="left"/>
      <w:lvlText w:val="(%1)"/>
      <w:numFmt w:val="lowerLetter"/>
      <w:start w:val="7"/>
    </w:lvl>
  </w:abstractNum>
  <w:abstractNum w:abstractNumId="228">
    <w:nsid w:val="4CFB8D32"/>
    <w:multiLevelType w:val="hybridMultilevel"/>
    <w:lvl w:ilvl="0">
      <w:lvlJc w:val="left"/>
      <w:lvlText w:val="(%1)"/>
      <w:numFmt w:val="lowerLetter"/>
      <w:start w:val="1"/>
    </w:lvl>
  </w:abstractNum>
  <w:abstractNum w:abstractNumId="229">
    <w:nsid w:val="62A5D5BD"/>
    <w:multiLevelType w:val="hybridMultilevel"/>
    <w:lvl w:ilvl="0">
      <w:lvlJc w:val="left"/>
      <w:lvlText w:val="%1"/>
      <w:numFmt w:val="decimal"/>
      <w:start w:val="1"/>
    </w:lvl>
    <w:lvl w:ilvl="1">
      <w:lvlJc w:val="left"/>
      <w:lvlText w:val="(%2)"/>
      <w:numFmt w:val="lowerLetter"/>
      <w:start w:val="6"/>
    </w:lvl>
  </w:abstractNum>
  <w:abstractNum w:abstractNumId="230">
    <w:nsid w:val="718FABF9"/>
    <w:multiLevelType w:val="hybridMultilevel"/>
    <w:lvl w:ilvl="0">
      <w:lvlJc w:val="left"/>
      <w:lvlText w:val="%1."/>
      <w:numFmt w:val="decimal"/>
      <w:start w:val="4"/>
    </w:lvl>
    <w:lvl w:ilvl="1">
      <w:lvlJc w:val="left"/>
      <w:lvlText w:val="%2"/>
      <w:numFmt w:val="lowerLetter"/>
      <w:start w:val="1"/>
    </w:lvl>
  </w:abstractNum>
  <w:abstractNum w:abstractNumId="231">
    <w:nsid w:val="7775797C"/>
    <w:multiLevelType w:val="hybridMultilevel"/>
    <w:lvl w:ilvl="0">
      <w:lvlJc w:val="left"/>
      <w:lvlText w:val="%1."/>
      <w:numFmt w:val="decimal"/>
      <w:start w:val="6"/>
    </w:lvl>
  </w:abstractNum>
  <w:abstractNum w:abstractNumId="232">
    <w:nsid w:val="1626FB8C"/>
    <w:multiLevelType w:val="hybridMultilevel"/>
    <w:lvl w:ilvl="0">
      <w:lvlJc w:val="left"/>
      <w:lvlText w:val="%1."/>
      <w:numFmt w:val="decimal"/>
      <w:start w:val="7"/>
    </w:lvl>
  </w:abstractNum>
  <w:abstractNum w:abstractNumId="233">
    <w:nsid w:val="3957756A"/>
    <w:multiLevelType w:val="hybridMultilevel"/>
    <w:lvl w:ilvl="0">
      <w:lvlJc w:val="left"/>
      <w:lvlText w:val="%1."/>
      <w:numFmt w:val="decimal"/>
      <w:start w:val="1"/>
    </w:lvl>
  </w:abstractNum>
  <w:abstractNum w:abstractNumId="234">
    <w:nsid w:val="3E6DA1C7"/>
    <w:multiLevelType w:val="hybridMultilevel"/>
    <w:lvl w:ilvl="0">
      <w:lvlJc w:val="left"/>
      <w:lvlText w:val="(%1)"/>
      <w:numFmt w:val="decimal"/>
      <w:start w:val="1"/>
    </w:lvl>
  </w:abstractNum>
  <w:abstractNum w:abstractNumId="235">
    <w:nsid w:val="65CA235B"/>
    <w:multiLevelType w:val="hybridMultilevel"/>
    <w:lvl w:ilvl="0">
      <w:lvlJc w:val="left"/>
      <w:lvlText w:val="(%1)"/>
      <w:numFmt w:val="upperLetter"/>
      <w:start w:val="1"/>
    </w:lvl>
  </w:abstractNum>
  <w:abstractNum w:abstractNumId="236">
    <w:nsid w:val="51CB0DA4"/>
    <w:multiLevelType w:val="hybridMultilevel"/>
    <w:lvl w:ilvl="0">
      <w:lvlJc w:val="left"/>
      <w:lvlText w:val="%1."/>
      <w:numFmt w:val="decimal"/>
      <w:start w:val="1"/>
    </w:lvl>
  </w:abstractNum>
  <w:abstractNum w:abstractNumId="237">
    <w:nsid w:val="7B9B743C"/>
    <w:multiLevelType w:val="hybridMultilevel"/>
    <w:lvl w:ilvl="0">
      <w:lvlJc w:val="left"/>
      <w:lvlText w:val="(%1)"/>
      <w:numFmt w:val="decimal"/>
      <w:start w:val="1"/>
    </w:lvl>
  </w:abstractNum>
  <w:abstractNum w:abstractNumId="238">
    <w:nsid w:val="13E21002"/>
    <w:multiLevelType w:val="hybridMultilevel"/>
    <w:lvl w:ilvl="0">
      <w:lvlJc w:val="left"/>
      <w:lvlText w:val="(%1)"/>
      <w:numFmt w:val="decimal"/>
      <w:start w:val="2"/>
    </w:lvl>
  </w:abstractNum>
  <w:abstractNum w:abstractNumId="239">
    <w:nsid w:val="257D63F4"/>
    <w:multiLevelType w:val="hybridMultilevel"/>
    <w:lvl w:ilvl="0">
      <w:lvlJc w:val="left"/>
      <w:lvlText w:val="%1."/>
      <w:numFmt w:val="decimal"/>
      <w:start w:val="2"/>
    </w:lvl>
  </w:abstractNum>
  <w:abstractNum w:abstractNumId="240">
    <w:nsid w:val="70EC11B2"/>
    <w:multiLevelType w:val="hybridMultilevel"/>
    <w:lvl w:ilvl="0">
      <w:lvlJc w:val="left"/>
      <w:lvlText w:val="(%1)"/>
      <w:numFmt w:val="upperLetter"/>
      <w:start w:val="1"/>
    </w:lvl>
  </w:abstractNum>
  <w:abstractNum w:abstractNumId="241">
    <w:nsid w:val="2EDA00ED"/>
    <w:multiLevelType w:val="hybridMultilevel"/>
    <w:lvl w:ilvl="0">
      <w:lvlJc w:val="left"/>
      <w:lvlText w:val="%1."/>
      <w:numFmt w:val="decimal"/>
      <w:start w:val="3"/>
    </w:lvl>
  </w:abstractNum>
  <w:abstractNum w:abstractNumId="242">
    <w:nsid w:val="73209072"/>
    <w:multiLevelType w:val="hybridMultilevel"/>
    <w:lvl w:ilvl="0">
      <w:lvlJc w:val="left"/>
      <w:lvlText w:val="(%1)"/>
      <w:numFmt w:val="decimal"/>
      <w:start w:val="1"/>
    </w:lvl>
  </w:abstractNum>
  <w:abstractNum w:abstractNumId="243">
    <w:nsid w:val="5FB29816"/>
    <w:multiLevelType w:val="hybridMultilevel"/>
    <w:lvl w:ilvl="0">
      <w:lvlJc w:val="left"/>
      <w:lvlText w:val="%1."/>
      <w:numFmt w:val="decimal"/>
      <w:start w:val="5"/>
    </w:lvl>
    <w:lvl w:ilvl="1">
      <w:lvlJc w:val="left"/>
      <w:lvlText w:val="(%2)"/>
      <w:numFmt w:val="lowerLetter"/>
      <w:start w:val="1"/>
    </w:lvl>
  </w:abstractNum>
  <w:abstractNum w:abstractNumId="244">
    <w:nsid w:val="3CE732EC"/>
    <w:multiLevelType w:val="hybridMultilevel"/>
    <w:lvl w:ilvl="0">
      <w:lvlJc w:val="left"/>
      <w:lvlText w:val="(%1)"/>
      <w:numFmt w:val="lowerLetter"/>
      <w:start w:val="4"/>
    </w:lvl>
  </w:abstractNum>
  <w:abstractNum w:abstractNumId="245">
    <w:nsid w:val="22F13DF3"/>
    <w:multiLevelType w:val="hybridMultilevel"/>
    <w:lvl w:ilvl="0">
      <w:lvlJc w:val="left"/>
      <w:lvlText w:val="(%1)"/>
      <w:numFmt w:val="lowerLetter"/>
      <w:start w:val="1"/>
    </w:lvl>
  </w:abstractNum>
  <w:abstractNum w:abstractNumId="246">
    <w:nsid w:val="792B8401"/>
    <w:multiLevelType w:val="hybridMultilevel"/>
    <w:lvl w:ilvl="0">
      <w:lvlJc w:val="left"/>
      <w:lvlText w:val="(%1)"/>
      <w:numFmt w:val="lowerLetter"/>
      <w:start w:val="2"/>
    </w:lvl>
  </w:abstractNum>
  <w:abstractNum w:abstractNumId="247">
    <w:nsid w:val="FA85F4D"/>
    <w:multiLevelType w:val="hybridMultilevel"/>
    <w:lvl w:ilvl="0">
      <w:lvlJc w:val="left"/>
      <w:lvlText w:val="%1"/>
      <w:numFmt w:val="decimal"/>
      <w:start w:val="1"/>
    </w:lvl>
    <w:lvl w:ilvl="1">
      <w:lvlJc w:val="left"/>
      <w:lvlText w:val="(%2)"/>
      <w:numFmt w:val="lowerLetter"/>
      <w:start w:val="3"/>
    </w:lvl>
  </w:abstractNum>
  <w:abstractNum w:abstractNumId="248">
    <w:nsid w:val="6ECE91F0"/>
    <w:multiLevelType w:val="hybridMultilevel"/>
    <w:lvl w:ilvl="0">
      <w:lvlJc w:val="left"/>
      <w:lvlText w:val="%1."/>
      <w:numFmt w:val="decimal"/>
      <w:start w:val="7"/>
    </w:lvl>
    <w:lvl w:ilvl="1">
      <w:lvlJc w:val="left"/>
      <w:lvlText w:val="(%2)"/>
      <w:numFmt w:val="lowerLetter"/>
      <w:start w:val="1"/>
    </w:lvl>
  </w:abstractNum>
  <w:abstractNum w:abstractNumId="249">
    <w:nsid w:val="4FC4D600"/>
    <w:multiLevelType w:val="hybridMultilevel"/>
    <w:lvl w:ilvl="0">
      <w:lvlJc w:val="left"/>
      <w:lvlText w:val="%1."/>
      <w:numFmt w:val="decimal"/>
      <w:start w:val="8"/>
    </w:lvl>
    <w:lvl w:ilvl="1">
      <w:lvlJc w:val="left"/>
      <w:lvlText w:val="(%2)"/>
      <w:numFmt w:val="decimal"/>
      <w:start w:val="1"/>
    </w:lvl>
  </w:abstractNum>
  <w:abstractNum w:abstractNumId="250">
    <w:nsid w:val="5BFD4210"/>
    <w:multiLevelType w:val="hybridMultilevel"/>
    <w:lvl w:ilvl="0">
      <w:lvlJc w:val="left"/>
      <w:lvlText w:val="%1."/>
      <w:numFmt w:val="decimal"/>
      <w:start w:val="11"/>
    </w:lvl>
  </w:abstractNum>
  <w:abstractNum w:abstractNumId="251">
    <w:nsid w:val="76574F8B"/>
    <w:multiLevelType w:val="hybridMultilevel"/>
    <w:lvl w:ilvl="0">
      <w:lvlJc w:val="left"/>
      <w:lvlText w:val="%1."/>
      <w:numFmt w:val="decimal"/>
      <w:start w:val="13"/>
    </w:lvl>
  </w:abstractNum>
  <w:abstractNum w:abstractNumId="252">
    <w:nsid w:val="178F7B67"/>
    <w:multiLevelType w:val="hybridMultilevel"/>
    <w:lvl w:ilvl="0">
      <w:lvlJc w:val="left"/>
      <w:lvlText w:val="(%1)"/>
      <w:numFmt w:val="decimal"/>
      <w:start w:val="1"/>
    </w:lvl>
  </w:abstractNum>
  <w:abstractNum w:abstractNumId="253">
    <w:nsid w:val="2421DFCF"/>
    <w:multiLevelType w:val="hybridMultilevel"/>
    <w:lvl w:ilvl="0">
      <w:lvlJc w:val="left"/>
      <w:lvlText w:val="(%1)"/>
      <w:numFmt w:val="upperLetter"/>
      <w:start w:val="1"/>
    </w:lvl>
  </w:abstractNum>
  <w:abstractNum w:abstractNumId="254">
    <w:nsid w:val="1565AC99"/>
    <w:multiLevelType w:val="hybridMultilevel"/>
    <w:lvl w:ilvl="0">
      <w:lvlJc w:val="left"/>
      <w:lvlText w:val="%1."/>
      <w:numFmt w:val="decimal"/>
      <w:start w:val="1"/>
    </w:lvl>
  </w:abstractNum>
  <w:abstractNum w:abstractNumId="255">
    <w:nsid w:val="19FB2650"/>
    <w:multiLevelType w:val="hybridMultilevel"/>
    <w:lvl w:ilvl="0">
      <w:lvlJc w:val="left"/>
      <w:lvlText w:val="(%1)"/>
      <w:numFmt w:val="decimal"/>
      <w:start w:val="1"/>
    </w:lvl>
  </w:abstractNum>
  <w:abstractNum w:abstractNumId="256">
    <w:nsid w:val="5024DE5B"/>
    <w:multiLevelType w:val="hybridMultilevel"/>
    <w:lvl w:ilvl="0">
      <w:lvlJc w:val="left"/>
      <w:lvlText w:val="(%1)"/>
      <w:numFmt w:val="decimal"/>
      <w:start w:val="2"/>
    </w:lvl>
  </w:abstractNum>
  <w:abstractNum w:abstractNumId="257">
    <w:nsid w:val="168EFE17"/>
    <w:multiLevelType w:val="hybridMultilevel"/>
    <w:lvl w:ilvl="0">
      <w:lvlJc w:val="left"/>
      <w:lvlText w:val="%1."/>
      <w:numFmt w:val="decimal"/>
      <w:start w:val="2"/>
    </w:lvl>
  </w:abstractNum>
  <w:abstractNum w:abstractNumId="258">
    <w:nsid w:val="1036B29F"/>
    <w:multiLevelType w:val="hybridMultilevel"/>
    <w:lvl w:ilvl="0">
      <w:lvlJc w:val="left"/>
      <w:lvlText w:val="(%1)"/>
      <w:numFmt w:val="upperLetter"/>
      <w:start w:val="1"/>
    </w:lvl>
  </w:abstractNum>
  <w:abstractNum w:abstractNumId="259">
    <w:nsid w:val="1D206B8E"/>
    <w:multiLevelType w:val="hybridMultilevel"/>
    <w:lvl w:ilvl="0">
      <w:lvlJc w:val="left"/>
      <w:lvlText w:val="%1."/>
      <w:numFmt w:val="decimal"/>
      <w:start w:val="3"/>
    </w:lvl>
  </w:abstractNum>
  <w:abstractNum w:abstractNumId="260">
    <w:nsid w:val="7934D3D4"/>
    <w:multiLevelType w:val="hybridMultilevel"/>
    <w:lvl w:ilvl="0">
      <w:lvlJc w:val="left"/>
      <w:lvlText w:val="(%1)"/>
      <w:numFmt w:val="decimal"/>
      <w:start w:val="1"/>
    </w:lvl>
  </w:abstractNum>
  <w:abstractNum w:abstractNumId="261">
    <w:nsid w:val="1C65E98"/>
    <w:multiLevelType w:val="hybridMultilevel"/>
    <w:lvl w:ilvl="0">
      <w:lvlJc w:val="left"/>
      <w:lvlText w:val="%1."/>
      <w:numFmt w:val="decimal"/>
      <w:start w:val="5"/>
    </w:lvl>
    <w:lvl w:ilvl="1">
      <w:lvlJc w:val="left"/>
      <w:lvlText w:val="(%2)"/>
      <w:numFmt w:val="lowerLetter"/>
      <w:start w:val="1"/>
    </w:lvl>
  </w:abstractNum>
  <w:abstractNum w:abstractNumId="262">
    <w:nsid w:val="1495E50A"/>
    <w:multiLevelType w:val="hybridMultilevel"/>
    <w:lvl w:ilvl="0">
      <w:lvlJc w:val="left"/>
      <w:lvlText w:val="(%1)"/>
      <w:numFmt w:val="lowerLetter"/>
      <w:start w:val="4"/>
    </w:lvl>
  </w:abstractNum>
  <w:abstractNum w:abstractNumId="263">
    <w:nsid w:val="F5BCF61"/>
    <w:multiLevelType w:val="hybridMultilevel"/>
    <w:lvl w:ilvl="0">
      <w:lvlJc w:val="left"/>
      <w:lvlText w:val="(%1)"/>
      <w:numFmt w:val="lowerLetter"/>
      <w:start w:val="1"/>
    </w:lvl>
  </w:abstractNum>
  <w:abstractNum w:abstractNumId="264">
    <w:nsid w:val="3B1DD403"/>
    <w:multiLevelType w:val="hybridMultilevel"/>
    <w:lvl w:ilvl="0">
      <w:lvlJc w:val="left"/>
      <w:lvlText w:val="(%1)"/>
      <w:numFmt w:val="lowerLetter"/>
      <w:start w:val="2"/>
    </w:lvl>
  </w:abstractNum>
  <w:abstractNum w:abstractNumId="265">
    <w:nsid w:val="530386D1"/>
    <w:multiLevelType w:val="hybridMultilevel"/>
    <w:lvl w:ilvl="0">
      <w:lvlJc w:val="left"/>
      <w:lvlText w:val="%1"/>
      <w:numFmt w:val="decimal"/>
      <w:start w:val="1"/>
    </w:lvl>
    <w:lvl w:ilvl="1">
      <w:lvlJc w:val="left"/>
      <w:lvlText w:val="(%2)"/>
      <w:numFmt w:val="lowerLetter"/>
      <w:start w:val="3"/>
    </w:lvl>
  </w:abstractNum>
  <w:abstractNum w:abstractNumId="266">
    <w:nsid w:val="7525F2BC"/>
    <w:multiLevelType w:val="hybridMultilevel"/>
    <w:lvl w:ilvl="0">
      <w:lvlJc w:val="left"/>
      <w:lvlText w:val="%1."/>
      <w:numFmt w:val="decimal"/>
      <w:start w:val="7"/>
    </w:lvl>
    <w:lvl w:ilvl="1">
      <w:lvlJc w:val="left"/>
      <w:lvlText w:val="(%2)"/>
      <w:numFmt w:val="lowerLetter"/>
      <w:start w:val="1"/>
    </w:lvl>
  </w:abstractNum>
  <w:abstractNum w:abstractNumId="267">
    <w:nsid w:val="CE8E1A7"/>
    <w:multiLevelType w:val="hybridMultilevel"/>
    <w:lvl w:ilvl="0">
      <w:lvlJc w:val="left"/>
      <w:lvlText w:val="%1"/>
      <w:numFmt w:val="decimal"/>
      <w:start w:val="1"/>
    </w:lvl>
    <w:lvl w:ilvl="1">
      <w:lvlJc w:val="left"/>
      <w:lvlText w:val="(%2)"/>
      <w:numFmt w:val="decimal"/>
      <w:start w:val="1"/>
    </w:lvl>
  </w:abstractNum>
  <w:abstractNum w:abstractNumId="268">
    <w:nsid w:val="4E9EFB0D"/>
    <w:multiLevelType w:val="hybridMultilevel"/>
    <w:lvl w:ilvl="0">
      <w:lvlJc w:val="left"/>
      <w:lvlText w:val="%1."/>
      <w:numFmt w:val="decimal"/>
      <w:start w:val="9"/>
    </w:lvl>
    <w:lvl w:ilvl="1">
      <w:lvlJc w:val="left"/>
      <w:lvlText w:val="%2"/>
      <w:numFmt w:val="decimal"/>
      <w:start w:val="1"/>
    </w:lvl>
  </w:abstractNum>
  <w:abstractNum w:abstractNumId="269">
    <w:nsid w:val="90802BE"/>
    <w:multiLevelType w:val="hybridMultilevel"/>
    <w:lvl w:ilvl="0">
      <w:lvlJc w:val="left"/>
      <w:lvlText w:val="%1."/>
      <w:numFmt w:val="decimal"/>
      <w:start w:val="11"/>
    </w:lvl>
  </w:abstractNum>
  <w:abstractNum w:abstractNumId="270">
    <w:nsid w:val="3266459B"/>
    <w:multiLevelType w:val="hybridMultilevel"/>
    <w:lvl w:ilvl="0">
      <w:lvlJc w:val="left"/>
      <w:lvlText w:val="%1."/>
      <w:numFmt w:val="decimal"/>
      <w:start w:val="13"/>
    </w:lvl>
  </w:abstractNum>
  <w:abstractNum w:abstractNumId="271">
    <w:nsid w:val="3F8B0CBF"/>
    <w:multiLevelType w:val="hybridMultilevel"/>
    <w:lvl w:ilvl="0">
      <w:lvlJc w:val="left"/>
      <w:lvlText w:val="%1."/>
      <w:numFmt w:val="decimal"/>
      <w:start w:val="1"/>
    </w:lvl>
  </w:abstractNum>
  <w:abstractNum w:abstractNumId="272">
    <w:nsid w:val="37E203AB"/>
    <w:multiLevelType w:val="hybridMultilevel"/>
    <w:lvl w:ilvl="0">
      <w:lvlJc w:val="left"/>
      <w:lvlText w:val="%1."/>
      <w:numFmt w:val="decimal"/>
      <w:start w:val="1"/>
    </w:lvl>
  </w:abstractNum>
  <w:abstractNum w:abstractNumId="273">
    <w:nsid w:val="2586D60E"/>
    <w:multiLevelType w:val="hybridMultilevel"/>
    <w:lvl w:ilvl="0">
      <w:lvlJc w:val="left"/>
      <w:lvlText w:val="%1."/>
      <w:numFmt w:val="decimal"/>
      <w:start w:val="2"/>
    </w:lvl>
  </w:abstractNum>
  <w:abstractNum w:abstractNumId="274">
    <w:nsid w:val="1F3DA4D5"/>
    <w:multiLevelType w:val="hybridMultilevel"/>
    <w:lvl w:ilvl="0">
      <w:lvlJc w:val="left"/>
      <w:lvlText w:val="%1."/>
      <w:numFmt w:val="decimal"/>
      <w:start w:val="3"/>
    </w:lvl>
  </w:abstractNum>
  <w:abstractNum w:abstractNumId="275">
    <w:nsid w:val="74C93698"/>
    <w:multiLevelType w:val="hybridMultilevel"/>
    <w:lvl w:ilvl="0">
      <w:lvlJc w:val="left"/>
      <w:lvlText w:val="%1."/>
      <w:numFmt w:val="decimal"/>
      <w:start w:val="4"/>
    </w:lvl>
  </w:abstractNum>
  <w:abstractNum w:abstractNumId="276">
    <w:nsid w:val="48781401"/>
    <w:multiLevelType w:val="hybridMultilevel"/>
    <w:lvl w:ilvl="0">
      <w:lvlJc w:val="left"/>
      <w:lvlText w:val="%1."/>
      <w:numFmt w:val="decimal"/>
      <w:start w:val="5"/>
    </w:lvl>
  </w:abstractNum>
  <w:abstractNum w:abstractNumId="277">
    <w:nsid w:val="186928D6"/>
    <w:multiLevelType w:val="hybridMultilevel"/>
    <w:lvl w:ilvl="0">
      <w:lvlJc w:val="left"/>
      <w:lvlText w:val="%1."/>
      <w:numFmt w:val="decimal"/>
      <w:start w:val="6"/>
    </w:lvl>
  </w:abstractNum>
  <w:abstractNum w:abstractNumId="278">
    <w:nsid w:val="47195E5"/>
    <w:multiLevelType w:val="hybridMultilevel"/>
    <w:lvl w:ilvl="0">
      <w:lvlJc w:val="left"/>
      <w:lvlText w:val="%1."/>
      <w:numFmt w:val="decimal"/>
      <w:start w:val="7"/>
    </w:lvl>
  </w:abstractNum>
  <w:abstractNum w:abstractNumId="279">
    <w:nsid w:val="3746A5F2"/>
    <w:multiLevelType w:val="hybridMultilevel"/>
    <w:lvl w:ilvl="0">
      <w:lvlJc w:val="left"/>
      <w:lvlText w:val="%1."/>
      <w:numFmt w:val="decimal"/>
      <w:start w:val="9"/>
    </w:lvl>
  </w:abstractNum>
  <w:abstractNum w:abstractNumId="280">
    <w:nsid w:val="682DFED6"/>
    <w:multiLevelType w:val="hybridMultilevel"/>
    <w:lvl w:ilvl="0">
      <w:lvlJc w:val="left"/>
      <w:lvlText w:val="%1."/>
      <w:numFmt w:val="decimal"/>
      <w:start w:val="10"/>
    </w:lvl>
  </w:abstractNum>
  <w:abstractNum w:abstractNumId="281">
    <w:nsid w:val="606ED7F6"/>
    <w:multiLevelType w:val="hybridMultilevel"/>
    <w:lvl w:ilvl="0">
      <w:lvlJc w:val="left"/>
      <w:lvlText w:val="%1."/>
      <w:numFmt w:val="decimal"/>
      <w:start w:val="1"/>
    </w:lvl>
  </w:abstractNum>
  <w:abstractNum w:abstractNumId="282">
    <w:nsid w:val="2D9DF57D"/>
    <w:multiLevelType w:val="hybridMultilevel"/>
    <w:lvl w:ilvl="0">
      <w:lvlJc w:val="left"/>
      <w:lvlText w:val="%1."/>
      <w:numFmt w:val="decimal"/>
      <w:start w:val="1"/>
    </w:lvl>
  </w:abstractNum>
  <w:abstractNum w:abstractNumId="283">
    <w:nsid w:val="7FBD7A3E"/>
    <w:multiLevelType w:val="hybridMultilevel"/>
    <w:lvl w:ilvl="0">
      <w:lvlJc w:val="left"/>
      <w:lvlText w:val="%1."/>
      <w:numFmt w:val="decimal"/>
      <w:start w:val="2"/>
    </w:lvl>
  </w:abstractNum>
  <w:abstractNum w:abstractNumId="284">
    <w:nsid w:val="490B7C5"/>
    <w:multiLevelType w:val="hybridMultilevel"/>
    <w:lvl w:ilvl="0">
      <w:lvlJc w:val="left"/>
      <w:lvlText w:val="%1."/>
      <w:numFmt w:val="decimal"/>
      <w:start w:val="3"/>
    </w:lvl>
  </w:abstractNum>
  <w:abstractNum w:abstractNumId="285">
    <w:nsid w:val="4303A216"/>
    <w:multiLevelType w:val="hybridMultilevel"/>
    <w:lvl w:ilvl="0">
      <w:lvlJc w:val="left"/>
      <w:lvlText w:val="%1."/>
      <w:numFmt w:val="decimal"/>
      <w:start w:val="4"/>
    </w:lvl>
  </w:abstractNum>
  <w:abstractNum w:abstractNumId="286">
    <w:nsid w:val="19B8A08E"/>
    <w:multiLevelType w:val="hybridMultilevel"/>
    <w:lvl w:ilvl="0">
      <w:lvlJc w:val="left"/>
      <w:lvlText w:val="%1."/>
      <w:numFmt w:val="decimal"/>
      <w:start w:val="5"/>
    </w:lvl>
  </w:abstractNum>
  <w:abstractNum w:abstractNumId="287">
    <w:nsid w:val="54B59621"/>
    <w:multiLevelType w:val="hybridMultilevel"/>
    <w:lvl w:ilvl="0">
      <w:lvlJc w:val="left"/>
      <w:lvlText w:val="%1."/>
      <w:numFmt w:val="decimal"/>
      <w:start w:val="6"/>
    </w:lvl>
  </w:abstractNum>
  <w:abstractNum w:abstractNumId="288">
    <w:nsid w:val="5992A02E"/>
    <w:multiLevelType w:val="hybridMultilevel"/>
    <w:lvl w:ilvl="0">
      <w:lvlJc w:val="left"/>
      <w:lvlText w:val="%1."/>
      <w:numFmt w:val="decimal"/>
      <w:start w:val="7"/>
    </w:lvl>
  </w:abstractNum>
  <w:abstractNum w:abstractNumId="289">
    <w:nsid w:val="29EF532D"/>
    <w:multiLevelType w:val="hybridMultilevel"/>
    <w:lvl w:ilvl="0">
      <w:lvlJc w:val="left"/>
      <w:lvlText w:val="%1."/>
      <w:numFmt w:val="decimal"/>
      <w:start w:val="9"/>
    </w:lvl>
  </w:abstractNum>
  <w:abstractNum w:abstractNumId="290">
    <w:nsid w:val="71D601AF"/>
    <w:multiLevelType w:val="hybridMultilevel"/>
    <w:lvl w:ilvl="0">
      <w:lvlJc w:val="left"/>
      <w:lvlText w:val="%1."/>
      <w:numFmt w:val="decimal"/>
      <w:start w:val="10"/>
    </w:lvl>
  </w:abstractNum>
  <w:abstractNum w:abstractNumId="291">
    <w:nsid w:val="52C77402"/>
    <w:multiLevelType w:val="hybridMultilevel"/>
    <w:lvl w:ilvl="0">
      <w:lvlJc w:val="left"/>
      <w:lvlText w:val="%1."/>
      <w:numFmt w:val="decimal"/>
      <w:start w:val="1"/>
    </w:lvl>
  </w:abstractNum>
  <w:abstractNum w:abstractNumId="292">
    <w:nsid w:val="2BB5B1C6"/>
    <w:multiLevelType w:val="hybridMultilevel"/>
    <w:lvl w:ilvl="0">
      <w:lvlJc w:val="left"/>
      <w:lvlText w:val="%1."/>
      <w:numFmt w:val="decimal"/>
      <w:start w:val="1"/>
    </w:lvl>
  </w:abstractNum>
  <w:abstractNum w:abstractNumId="293">
    <w:nsid w:val="66BE6B9"/>
    <w:multiLevelType w:val="hybridMultilevel"/>
    <w:lvl w:ilvl="0">
      <w:lvlJc w:val="left"/>
      <w:lvlText w:val="%1."/>
      <w:numFmt w:val="decimal"/>
      <w:start w:val="2"/>
    </w:lvl>
  </w:abstractNum>
  <w:abstractNum w:abstractNumId="294">
    <w:nsid w:val="62234363"/>
    <w:multiLevelType w:val="hybridMultilevel"/>
    <w:lvl w:ilvl="0">
      <w:lvlJc w:val="left"/>
      <w:lvlText w:val="%1."/>
      <w:numFmt w:val="decimal"/>
      <w:start w:val="3"/>
    </w:lvl>
  </w:abstractNum>
  <w:abstractNum w:abstractNumId="295">
    <w:nsid w:val="66D385C9"/>
    <w:multiLevelType w:val="hybridMultilevel"/>
    <w:lvl w:ilvl="0">
      <w:lvlJc w:val="left"/>
      <w:lvlText w:val="%1."/>
      <w:numFmt w:val="decimal"/>
      <w:start w:val="5"/>
    </w:lvl>
  </w:abstractNum>
  <w:abstractNum w:abstractNumId="296">
    <w:nsid w:val="596F6D8A"/>
    <w:multiLevelType w:val="hybridMultilevel"/>
    <w:lvl w:ilvl="0">
      <w:lvlJc w:val="left"/>
      <w:lvlText w:val="%1."/>
      <w:numFmt w:val="decimal"/>
      <w:start w:val="11"/>
    </w:lvl>
  </w:abstractNum>
  <w:abstractNum w:abstractNumId="297">
    <w:nsid w:val="5749361F"/>
    <w:multiLevelType w:val="hybridMultilevel"/>
    <w:lvl w:ilvl="0">
      <w:lvlJc w:val="left"/>
      <w:lvlText w:val="%1."/>
      <w:numFmt w:val="decimal"/>
      <w:start w:val="16"/>
    </w:lvl>
  </w:abstractNum>
  <w:abstractNum w:abstractNumId="298">
    <w:nsid w:val="73BC6770"/>
    <w:multiLevelType w:val="hybridMultilevel"/>
    <w:lvl w:ilvl="0">
      <w:lvlJc w:val="left"/>
      <w:lvlText w:val="%1."/>
      <w:numFmt w:val="decimal"/>
      <w:start w:val="1"/>
    </w:lvl>
    <w:lvl w:ilvl="1">
      <w:lvlJc w:val="left"/>
      <w:lvlText w:val="(%2)"/>
      <w:numFmt w:val="lowerLetter"/>
      <w:start w:val="1"/>
    </w:lvl>
  </w:abstractNum>
  <w:abstractNum w:abstractNumId="299">
    <w:nsid w:val="280E6897"/>
    <w:multiLevelType w:val="hybridMultilevel"/>
    <w:lvl w:ilvl="0">
      <w:lvlJc w:val="left"/>
      <w:lvlText w:val="%1"/>
      <w:numFmt w:val="decimal"/>
      <w:start w:val="1"/>
    </w:lvl>
    <w:lvl w:ilvl="1">
      <w:lvlJc w:val="left"/>
      <w:lvlText w:val="(%2)"/>
      <w:numFmt w:val="lowerLetter"/>
      <w:start w:val="3"/>
    </w:lvl>
  </w:abstractNum>
  <w:abstractNum w:abstractNumId="300">
    <w:nsid w:val="605138DE"/>
    <w:multiLevelType w:val="hybridMultilevel"/>
    <w:lvl w:ilvl="0">
      <w:lvlJc w:val="left"/>
      <w:lvlText w:val="%1."/>
      <w:numFmt w:val="decimal"/>
      <w:start w:val="2"/>
    </w:lvl>
    <w:lvl w:ilvl="1">
      <w:lvlJc w:val="left"/>
      <w:lvlText w:val="(%2)"/>
      <w:numFmt w:val="lowerLetter"/>
      <w:start w:val="1"/>
    </w:lvl>
  </w:abstractNum>
  <w:abstractNum w:abstractNumId="301">
    <w:nsid w:val="2622AD0C"/>
    <w:multiLevelType w:val="hybridMultilevel"/>
    <w:lvl w:ilvl="0">
      <w:lvlJc w:val="left"/>
      <w:lvlText w:val="(%1)"/>
      <w:numFmt w:val="decimal"/>
      <w:start w:val="1"/>
    </w:lvl>
  </w:abstractNum>
  <w:abstractNum w:abstractNumId="302">
    <w:nsid w:val="67997556"/>
    <w:multiLevelType w:val="hybridMultilevel"/>
    <w:lvl w:ilvl="0">
      <w:lvlJc w:val="left"/>
      <w:lvlText w:val="(%1)"/>
      <w:numFmt w:val="upperLetter"/>
      <w:start w:val="1"/>
    </w:lvl>
  </w:abstractNum>
  <w:abstractNum w:abstractNumId="303">
    <w:nsid w:val="18333C89"/>
    <w:multiLevelType w:val="hybridMultilevel"/>
    <w:lvl w:ilvl="0">
      <w:lvlJc w:val="left"/>
      <w:lvlText w:val="%1."/>
      <w:numFmt w:val="decimal"/>
      <w:start w:val="1"/>
    </w:lvl>
    <w:lvl w:ilvl="1">
      <w:lvlJc w:val="left"/>
      <w:lvlText w:val="(%2)"/>
      <w:numFmt w:val="lowerLetter"/>
      <w:start w:val="1"/>
    </w:lvl>
  </w:abstractNum>
  <w:abstractNum w:abstractNumId="304">
    <w:nsid w:val="4BA9831A"/>
    <w:multiLevelType w:val="hybridMultilevel"/>
    <w:lvl w:ilvl="0">
      <w:lvlJc w:val="left"/>
      <w:lvlText w:val="(%1)"/>
      <w:numFmt w:val="lowerLetter"/>
      <w:start w:val="5"/>
    </w:lvl>
  </w:abstractNum>
  <w:abstractNum w:abstractNumId="305">
    <w:nsid w:val="6D71A2B"/>
    <w:multiLevelType w:val="hybridMultilevel"/>
    <w:lvl w:ilvl="0">
      <w:lvlJc w:val="left"/>
      <w:lvlText w:val="(%1)"/>
      <w:numFmt w:val="lowerLetter"/>
      <w:start w:val="1"/>
    </w:lvl>
  </w:abstractNum>
  <w:abstractNum w:abstractNumId="306">
    <w:nsid w:val="CFC7321"/>
    <w:multiLevelType w:val="hybridMultilevel"/>
    <w:lvl w:ilvl="0">
      <w:lvlJc w:val="left"/>
      <w:lvlText w:val="%1."/>
      <w:numFmt w:val="decimal"/>
      <w:start w:val="2"/>
    </w:lvl>
    <w:lvl w:ilvl="1">
      <w:lvlJc w:val="left"/>
      <w:lvlText w:val="(%2)"/>
      <w:numFmt w:val="lowerLetter"/>
      <w:start w:val="1"/>
    </w:lvl>
  </w:abstractNum>
  <w:abstractNum w:abstractNumId="307">
    <w:nsid w:val="1421971B"/>
    <w:multiLevelType w:val="hybridMultilevel"/>
    <w:lvl w:ilvl="0">
      <w:lvlJc w:val="left"/>
      <w:lvlText w:val="(%1)"/>
      <w:numFmt w:val="lowerLetter"/>
      <w:start w:val="1"/>
    </w:lvl>
  </w:abstractNum>
  <w:abstractNum w:abstractNumId="308">
    <w:nsid w:val="1F404301"/>
    <w:multiLevelType w:val="hybridMultilevel"/>
    <w:lvl w:ilvl="0">
      <w:lvlJc w:val="left"/>
      <w:lvlText w:val="(%1)"/>
      <w:numFmt w:val="lowerLetter"/>
      <w:start w:val="5"/>
    </w:lvl>
  </w:abstractNum>
  <w:abstractNum w:abstractNumId="309">
    <w:nsid w:val="116E090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10">
    <w:nsid w:val="4B683D0D"/>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311">
    <w:nsid w:val="76E41D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12">
    <w:nsid w:val="71DCE0FD"/>
    <w:multiLevelType w:val="hybridMultilevel"/>
    <w:lvl w:ilvl="0">
      <w:lvlJc w:val="left"/>
      <w:lvlText w:val="(%1)"/>
      <w:numFmt w:val="lowerLetter"/>
      <w:start w:val="6"/>
    </w:lvl>
  </w:abstractNum>
  <w:abstractNum w:abstractNumId="313">
    <w:nsid w:val="7906328B"/>
    <w:multiLevelType w:val="hybridMultilevel"/>
    <w:lvl w:ilvl="0">
      <w:lvlJc w:val="left"/>
      <w:lvlText w:val="(%1)"/>
      <w:numFmt w:val="lowerLetter"/>
      <w:start w:val="1"/>
    </w:lvl>
  </w:abstractNum>
  <w:abstractNum w:abstractNumId="314">
    <w:nsid w:val="72BBC16"/>
    <w:multiLevelType w:val="hybridMultilevel"/>
    <w:lvl w:ilvl="0">
      <w:lvlJc w:val="left"/>
      <w:lvlText w:val="(%1)"/>
      <w:numFmt w:val="lowerLetter"/>
      <w:start w:val="5"/>
    </w:lvl>
  </w:abstractNum>
  <w:abstractNum w:abstractNumId="315">
    <w:nsid w:val="766D98C2"/>
    <w:multiLevelType w:val="hybridMultilevel"/>
    <w:lvl w:ilvl="0">
      <w:lvlJc w:val="left"/>
      <w:lvlText w:val="%1"/>
      <w:numFmt w:val="decimal"/>
      <w:start w:val="1"/>
    </w:lvl>
    <w:lvl w:ilvl="1">
      <w:lvlJc w:val="left"/>
      <w:lvlText w:val="(%2)"/>
      <w:numFmt w:val="lowerLetter"/>
      <w:start w:val="6"/>
    </w:lvl>
  </w:abstractNum>
  <w:abstractNum w:abstractNumId="316">
    <w:nsid w:val="3C09D4A1"/>
    <w:multiLevelType w:val="hybridMultilevel"/>
    <w:lvl w:ilvl="0">
      <w:lvlJc w:val="left"/>
      <w:lvlText w:val="%1."/>
      <w:numFmt w:val="decimal"/>
      <w:start w:val="4"/>
    </w:lvl>
    <w:lvl w:ilvl="1">
      <w:lvlJc w:val="left"/>
      <w:lvlText w:val="%2"/>
      <w:numFmt w:val="lowerLetter"/>
      <w:start w:val="1"/>
    </w:lvl>
  </w:abstractNum>
  <w:abstractNum w:abstractNumId="317">
    <w:nsid w:val="20E45CA4"/>
    <w:multiLevelType w:val="hybridMultilevel"/>
    <w:lvl w:ilvl="0">
      <w:lvlJc w:val="left"/>
      <w:lvlText w:val="%1."/>
      <w:numFmt w:val="decimal"/>
      <w:start w:val="6"/>
    </w:lvl>
  </w:abstractNum>
  <w:abstractNum w:abstractNumId="318">
    <w:nsid w:val="4B232EE3"/>
    <w:multiLevelType w:val="hybridMultilevel"/>
    <w:lvl w:ilvl="0">
      <w:lvlJc w:val="left"/>
      <w:lvlText w:val="%1."/>
      <w:numFmt w:val="decimal"/>
      <w:start w:val="7"/>
    </w:lvl>
  </w:abstractNum>
  <w:abstractNum w:abstractNumId="319">
    <w:nsid w:val="159C74CF"/>
    <w:multiLevelType w:val="hybridMultilevel"/>
    <w:lvl w:ilvl="0">
      <w:lvlJc w:val="left"/>
      <w:lvlText w:val="%1."/>
      <w:numFmt w:val="decimal"/>
      <w:start w:val="2"/>
    </w:lvl>
  </w:abstractNum>
  <w:abstractNum w:abstractNumId="320">
    <w:nsid w:val="4AD3AFD2"/>
    <w:multiLevelType w:val="hybridMultilevel"/>
    <w:lvl w:ilvl="0">
      <w:lvlJc w:val="left"/>
      <w:lvlText w:val="%1."/>
      <w:numFmt w:val="decimal"/>
      <w:start w:val="8"/>
    </w:lvl>
  </w:abstractNum>
  <w:abstractNum w:abstractNumId="321">
    <w:nsid w:val="3CF93092"/>
    <w:multiLevelType w:val="hybridMultilevel"/>
    <w:lvl w:ilvl="0">
      <w:lvlJc w:val="left"/>
      <w:lvlText w:val="(%1)"/>
      <w:numFmt w:val="decimal"/>
      <w:start w:val="1"/>
    </w:lvl>
  </w:abstractNum>
  <w:abstractNum w:abstractNumId="322">
    <w:nsid w:val="6863E8D2"/>
    <w:multiLevelType w:val="hybridMultilevel"/>
    <w:lvl w:ilvl="0">
      <w:lvlJc w:val="left"/>
      <w:lvlText w:val="(%1)"/>
      <w:numFmt w:val="upperLetter"/>
      <w:start w:val="1"/>
    </w:lvl>
  </w:abstractNum>
  <w:abstractNum w:abstractNumId="323">
    <w:nsid w:val="76896198"/>
    <w:multiLevelType w:val="hybridMultilevel"/>
    <w:lvl w:ilvl="0">
      <w:lvlJc w:val="left"/>
      <w:lvlText w:val="%1."/>
      <w:numFmt w:val="decimal"/>
      <w:start w:val="1"/>
    </w:lvl>
    <w:lvl w:ilvl="1">
      <w:lvlJc w:val="left"/>
      <w:lvlText w:val="(%2)"/>
      <w:numFmt w:val="lowerLetter"/>
      <w:start w:val="1"/>
    </w:lvl>
  </w:abstractNum>
  <w:abstractNum w:abstractNumId="324">
    <w:nsid w:val="4365174B"/>
    <w:multiLevelType w:val="hybridMultilevel"/>
    <w:lvl w:ilvl="0">
      <w:lvlJc w:val="left"/>
      <w:lvlText w:val="(%1)"/>
      <w:numFmt w:val="lowerLetter"/>
      <w:start w:val="5"/>
    </w:lvl>
  </w:abstractNum>
  <w:abstractNum w:abstractNumId="325">
    <w:nsid w:val="4A872C35"/>
    <w:multiLevelType w:val="hybridMultilevel"/>
    <w:lvl w:ilvl="0">
      <w:lvlJc w:val="left"/>
      <w:lvlText w:val="(%1)"/>
      <w:numFmt w:val="lowerLetter"/>
      <w:start w:val="1"/>
    </w:lvl>
  </w:abstractNum>
  <w:abstractNum w:abstractNumId="326">
    <w:nsid w:val="5D5CE761"/>
    <w:multiLevelType w:val="hybridMultilevel"/>
    <w:lvl w:ilvl="0">
      <w:lvlJc w:val="left"/>
      <w:lvlText w:val="%1."/>
      <w:numFmt w:val="decimal"/>
      <w:start w:val="2"/>
    </w:lvl>
    <w:lvl w:ilvl="1">
      <w:lvlJc w:val="left"/>
      <w:lvlText w:val="(%2)"/>
      <w:numFmt w:val="lowerLetter"/>
      <w:start w:val="1"/>
    </w:lvl>
  </w:abstractNum>
  <w:abstractNum w:abstractNumId="327">
    <w:nsid w:val="1CD484D5"/>
    <w:multiLevelType w:val="hybridMultilevel"/>
    <w:lvl w:ilvl="0">
      <w:lvlJc w:val="left"/>
      <w:lvlText w:val="(%1)"/>
      <w:numFmt w:val="lowerLetter"/>
      <w:start w:val="1"/>
    </w:lvl>
  </w:abstractNum>
  <w:abstractNum w:abstractNumId="328">
    <w:nsid w:val="21D06255"/>
    <w:multiLevelType w:val="hybridMultilevel"/>
    <w:lvl w:ilvl="0">
      <w:lvlJc w:val="left"/>
      <w:lvlText w:val="(%1)"/>
      <w:numFmt w:val="lowerLetter"/>
      <w:start w:val="5"/>
    </w:lvl>
  </w:abstractNum>
  <w:abstractNum w:abstractNumId="329">
    <w:nsid w:val="51194E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30">
    <w:nsid w:val="44E2ED6C"/>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331">
    <w:nsid w:val="2219B3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32">
    <w:nsid w:val="773BFBDD"/>
    <w:multiLevelType w:val="hybridMultilevel"/>
    <w:lvl w:ilvl="0">
      <w:lvlJc w:val="left"/>
      <w:lvlText w:val="(%1)"/>
      <w:numFmt w:val="lowerLetter"/>
      <w:start w:val="6"/>
    </w:lvl>
  </w:abstractNum>
  <w:abstractNum w:abstractNumId="333">
    <w:nsid w:val="2C7C62C2"/>
    <w:multiLevelType w:val="hybridMultilevel"/>
    <w:lvl w:ilvl="0">
      <w:lvlJc w:val="left"/>
      <w:lvlText w:val="(%1)"/>
      <w:numFmt w:val="lowerLetter"/>
      <w:start w:val="1"/>
    </w:lvl>
  </w:abstractNum>
  <w:abstractNum w:abstractNumId="334">
    <w:nsid w:val="1A54D7BC"/>
    <w:multiLevelType w:val="hybridMultilevel"/>
    <w:lvl w:ilvl="0">
      <w:lvlJc w:val="left"/>
      <w:lvlText w:val="(%1)"/>
      <w:numFmt w:val="lowerLetter"/>
      <w:start w:val="5"/>
    </w:lvl>
  </w:abstractNum>
  <w:abstractNum w:abstractNumId="335">
    <w:nsid w:val="42E57EF7"/>
    <w:multiLevelType w:val="hybridMultilevel"/>
    <w:lvl w:ilvl="0">
      <w:lvlJc w:val="left"/>
      <w:lvlText w:val="%1"/>
      <w:numFmt w:val="decimal"/>
      <w:start w:val="1"/>
    </w:lvl>
    <w:lvl w:ilvl="1">
      <w:lvlJc w:val="left"/>
      <w:lvlText w:val="(%2)"/>
      <w:numFmt w:val="lowerLetter"/>
      <w:start w:val="6"/>
    </w:lvl>
  </w:abstractNum>
  <w:abstractNum w:abstractNumId="336">
    <w:nsid w:val="33537CED"/>
    <w:multiLevelType w:val="hybridMultilevel"/>
    <w:lvl w:ilvl="0">
      <w:lvlJc w:val="left"/>
      <w:lvlText w:val="%1."/>
      <w:numFmt w:val="decimal"/>
      <w:start w:val="4"/>
    </w:lvl>
    <w:lvl w:ilvl="1">
      <w:lvlJc w:val="left"/>
      <w:lvlText w:val="%2"/>
      <w:numFmt w:val="lowerLetter"/>
      <w:start w:val="1"/>
    </w:lvl>
  </w:abstractNum>
  <w:abstractNum w:abstractNumId="337">
    <w:nsid w:val="27514ADE"/>
    <w:multiLevelType w:val="hybridMultilevel"/>
    <w:lvl w:ilvl="0">
      <w:lvlJc w:val="left"/>
      <w:lvlText w:val="%1."/>
      <w:numFmt w:val="decimal"/>
      <w:start w:val="6"/>
    </w:lvl>
  </w:abstractNum>
  <w:abstractNum w:abstractNumId="338">
    <w:nsid w:val="57071613"/>
    <w:multiLevelType w:val="hybridMultilevel"/>
    <w:lvl w:ilvl="0">
      <w:lvlJc w:val="left"/>
      <w:lvlText w:val="%1."/>
      <w:numFmt w:val="decimal"/>
      <w:start w:val="7"/>
    </w:lvl>
  </w:abstractNum>
  <w:abstractNum w:abstractNumId="339">
    <w:nsid w:val="5293BFEF"/>
    <w:multiLevelType w:val="hybridMultilevel"/>
    <w:lvl w:ilvl="0">
      <w:lvlJc w:val="left"/>
      <w:lvlText w:val="%1."/>
      <w:numFmt w:val="decimal"/>
      <w:start w:val="2"/>
    </w:lvl>
  </w:abstractNum>
  <w:abstractNum w:abstractNumId="340">
    <w:nsid w:val="38BF53E5"/>
    <w:multiLevelType w:val="hybridMultilevel"/>
    <w:lvl w:ilvl="0">
      <w:lvlJc w:val="left"/>
      <w:lvlText w:val="%1."/>
      <w:numFmt w:val="decimal"/>
      <w:start w:val="7"/>
    </w:lvl>
  </w:abstractNum>
  <w:abstractNum w:abstractNumId="341">
    <w:nsid w:val="226F5320"/>
    <w:multiLevelType w:val="hybridMultilevel"/>
    <w:lvl w:ilvl="0">
      <w:lvlJc w:val="left"/>
      <w:lvlText w:val="(%1)"/>
      <w:numFmt w:val="decimal"/>
      <w:start w:val="1"/>
    </w:lvl>
  </w:abstractNum>
  <w:abstractNum w:abstractNumId="342">
    <w:nsid w:val="5A0201C7"/>
    <w:multiLevelType w:val="hybridMultilevel"/>
    <w:lvl w:ilvl="0">
      <w:lvlJc w:val="left"/>
      <w:lvlText w:val="(%1)"/>
      <w:numFmt w:val="upperLetter"/>
      <w:start w:val="1"/>
    </w:lvl>
  </w:abstractNum>
  <w:abstractNum w:abstractNumId="343">
    <w:nsid w:val="2A9C34E2"/>
    <w:multiLevelType w:val="hybridMultilevel"/>
    <w:lvl w:ilvl="0">
      <w:lvlJc w:val="left"/>
      <w:lvlText w:val="%1."/>
      <w:numFmt w:val="decimal"/>
      <w:start w:val="1"/>
    </w:lvl>
  </w:abstractNum>
  <w:abstractNum w:abstractNumId="344">
    <w:nsid w:val="1B7585AB"/>
    <w:multiLevelType w:val="hybridMultilevel"/>
    <w:lvl w:ilvl="0">
      <w:lvlJc w:val="left"/>
      <w:lvlText w:val="(%1)"/>
      <w:numFmt w:val="decimal"/>
      <w:start w:val="1"/>
    </w:lvl>
  </w:abstractNum>
  <w:abstractNum w:abstractNumId="345">
    <w:nsid w:val="612DBDDD"/>
    <w:multiLevelType w:val="hybridMultilevel"/>
    <w:lvl w:ilvl="0">
      <w:lvlJc w:val="left"/>
      <w:lvlText w:val="%1."/>
      <w:numFmt w:val="decimal"/>
      <w:start w:val="2"/>
    </w:lvl>
  </w:abstractNum>
  <w:abstractNum w:abstractNumId="346">
    <w:nsid w:val="2109CDA4"/>
    <w:multiLevelType w:val="hybridMultilevel"/>
    <w:lvl w:ilvl="0">
      <w:lvlJc w:val="left"/>
      <w:lvlText w:val="(%1)"/>
      <w:numFmt w:val="upperLetter"/>
      <w:start w:val="1"/>
    </w:lvl>
  </w:abstractNum>
  <w:abstractNum w:abstractNumId="347">
    <w:nsid w:val="577F5A4D"/>
    <w:multiLevelType w:val="hybridMultilevel"/>
    <w:lvl w:ilvl="0">
      <w:lvlJc w:val="left"/>
      <w:lvlText w:val="%1."/>
      <w:numFmt w:val="decimal"/>
      <w:start w:val="3"/>
    </w:lvl>
  </w:abstractNum>
  <w:abstractNum w:abstractNumId="348">
    <w:nsid w:val="2121A81"/>
    <w:multiLevelType w:val="hybridMultilevel"/>
    <w:lvl w:ilvl="0">
      <w:lvlJc w:val="left"/>
      <w:lvlText w:val="(%1)"/>
      <w:numFmt w:val="decimal"/>
      <w:start w:val="1"/>
    </w:lvl>
  </w:abstractNum>
  <w:abstractNum w:abstractNumId="349">
    <w:nsid w:val="6C2CFC88"/>
    <w:multiLevelType w:val="hybridMultilevel"/>
    <w:lvl w:ilvl="0">
      <w:lvlJc w:val="left"/>
      <w:lvlText w:val="%1."/>
      <w:numFmt w:val="decimal"/>
      <w:start w:val="5"/>
    </w:lvl>
    <w:lvl w:ilvl="1">
      <w:lvlJc w:val="left"/>
      <w:lvlText w:val="(%2)"/>
      <w:numFmt w:val="lowerLetter"/>
      <w:start w:val="1"/>
    </w:lvl>
  </w:abstractNum>
  <w:abstractNum w:abstractNumId="350">
    <w:nsid w:val="6D1BCF1C"/>
    <w:multiLevelType w:val="hybridMultilevel"/>
    <w:lvl w:ilvl="0">
      <w:lvlJc w:val="left"/>
      <w:lvlText w:val="(%1)"/>
      <w:numFmt w:val="lowerLetter"/>
      <w:start w:val="3"/>
    </w:lvl>
  </w:abstractNum>
  <w:abstractNum w:abstractNumId="351">
    <w:nsid w:val="4CE5CA53"/>
    <w:multiLevelType w:val="hybridMultilevel"/>
    <w:lvl w:ilvl="0">
      <w:lvlJc w:val="left"/>
      <w:lvlText w:val="%1"/>
      <w:numFmt w:val="decimal"/>
      <w:start w:val="1"/>
    </w:lvl>
    <w:lvl w:ilvl="1">
      <w:lvlJc w:val="left"/>
      <w:lvlText w:val="(%2)"/>
      <w:numFmt w:val="lowerLetter"/>
      <w:start w:val="1"/>
    </w:lvl>
  </w:abstractNum>
  <w:abstractNum w:abstractNumId="352">
    <w:nsid w:val="29262D1A"/>
    <w:multiLevelType w:val="hybridMultilevel"/>
    <w:lvl w:ilvl="0">
      <w:lvlJc w:val="left"/>
      <w:lvlText w:val="%1."/>
      <w:numFmt w:val="decimal"/>
      <w:start w:val="7"/>
    </w:lvl>
    <w:lvl w:ilvl="1">
      <w:lvlJc w:val="left"/>
      <w:lvlText w:val="(%2)"/>
      <w:numFmt w:val="lowerLetter"/>
      <w:start w:val="1"/>
    </w:lvl>
  </w:abstractNum>
  <w:abstractNum w:abstractNumId="353">
    <w:nsid w:val="557FB7EE"/>
    <w:multiLevelType w:val="hybridMultilevel"/>
    <w:lvl w:ilvl="0">
      <w:lvlJc w:val="left"/>
      <w:lvlText w:val="%1."/>
      <w:numFmt w:val="decimal"/>
      <w:start w:val="8"/>
    </w:lvl>
    <w:lvl w:ilvl="1">
      <w:lvlJc w:val="left"/>
      <w:lvlText w:val="(%2)"/>
      <w:numFmt w:val="decimal"/>
      <w:start w:val="1"/>
    </w:lvl>
  </w:abstractNum>
  <w:abstractNum w:abstractNumId="354">
    <w:nsid w:val="436F2BEB"/>
    <w:multiLevelType w:val="hybridMultilevel"/>
    <w:lvl w:ilvl="0">
      <w:lvlJc w:val="left"/>
      <w:lvlText w:val="%1."/>
      <w:numFmt w:val="decimal"/>
      <w:start w:val="11"/>
    </w:lvl>
  </w:abstractNum>
  <w:abstractNum w:abstractNumId="355">
    <w:nsid w:val="6C8B4466"/>
    <w:multiLevelType w:val="hybridMultilevel"/>
    <w:lvl w:ilvl="0">
      <w:lvlJc w:val="left"/>
      <w:lvlText w:val="%1."/>
      <w:numFmt w:val="decimal"/>
      <w:start w:val="13"/>
    </w:lvl>
  </w:abstractNum>
  <w:abstractNum w:abstractNumId="356">
    <w:nsid w:val="2006E424"/>
    <w:multiLevelType w:val="hybridMultilevel"/>
    <w:lvl w:ilvl="0">
      <w:lvlJc w:val="left"/>
      <w:lvlText w:val="(%1)"/>
      <w:numFmt w:val="decimal"/>
      <w:start w:val="1"/>
    </w:lvl>
  </w:abstractNum>
  <w:abstractNum w:abstractNumId="357">
    <w:nsid w:val="20CC134C"/>
    <w:multiLevelType w:val="hybridMultilevel"/>
    <w:lvl w:ilvl="0">
      <w:lvlJc w:val="left"/>
      <w:lvlText w:val="(%1)"/>
      <w:numFmt w:val="upperLetter"/>
      <w:start w:val="1"/>
    </w:lvl>
  </w:abstractNum>
  <w:abstractNum w:abstractNumId="358">
    <w:nsid w:val="95FC93B"/>
    <w:multiLevelType w:val="hybridMultilevel"/>
    <w:lvl w:ilvl="0">
      <w:lvlJc w:val="left"/>
      <w:lvlText w:val="%1."/>
      <w:numFmt w:val="decimal"/>
      <w:start w:val="1"/>
    </w:lvl>
  </w:abstractNum>
  <w:abstractNum w:abstractNumId="359">
    <w:nsid w:val="41D74679"/>
    <w:multiLevelType w:val="hybridMultilevel"/>
    <w:lvl w:ilvl="0">
      <w:lvlJc w:val="left"/>
      <w:lvlText w:val="(%1)"/>
      <w:numFmt w:val="decimal"/>
      <w:start w:val="1"/>
    </w:lvl>
  </w:abstractNum>
  <w:abstractNum w:abstractNumId="360">
    <w:nsid w:val="71E5621E"/>
    <w:multiLevelType w:val="hybridMultilevel"/>
    <w:lvl w:ilvl="0">
      <w:lvlJc w:val="left"/>
      <w:lvlText w:val="%1."/>
      <w:numFmt w:val="decimal"/>
      <w:start w:val="2"/>
    </w:lvl>
    <w:lvl w:ilvl="1">
      <w:lvlJc w:val="left"/>
      <w:lvlText w:val="(%2)"/>
      <w:numFmt w:val="upperLetter"/>
      <w:start w:val="1"/>
    </w:lvl>
  </w:abstractNum>
  <w:abstractNum w:abstractNumId="361">
    <w:nsid w:val="4E42B6A8"/>
    <w:multiLevelType w:val="hybridMultilevel"/>
    <w:lvl w:ilvl="0">
      <w:lvlJc w:val="left"/>
      <w:lvlText w:val="%1."/>
      <w:numFmt w:val="decimal"/>
      <w:start w:val="3"/>
    </w:lvl>
  </w:abstractNum>
  <w:abstractNum w:abstractNumId="362">
    <w:nsid w:val="43F8E1AC"/>
    <w:multiLevelType w:val="hybridMultilevel"/>
    <w:lvl w:ilvl="0">
      <w:lvlJc w:val="left"/>
      <w:lvlText w:val="(%1)"/>
      <w:numFmt w:val="decimal"/>
      <w:start w:val="1"/>
    </w:lvl>
  </w:abstractNum>
  <w:abstractNum w:abstractNumId="363">
    <w:nsid w:val="69215DFB"/>
    <w:multiLevelType w:val="hybridMultilevel"/>
    <w:lvl w:ilvl="0">
      <w:lvlJc w:val="left"/>
      <w:lvlText w:val="%1."/>
      <w:numFmt w:val="decimal"/>
      <w:start w:val="5"/>
    </w:lvl>
    <w:lvl w:ilvl="1">
      <w:lvlJc w:val="left"/>
      <w:lvlText w:val="(%2)"/>
      <w:numFmt w:val="lowerLetter"/>
      <w:start w:val="1"/>
    </w:lvl>
  </w:abstractNum>
  <w:abstractNum w:abstractNumId="364">
    <w:nsid w:val="7ABF196A"/>
    <w:multiLevelType w:val="hybridMultilevel"/>
    <w:lvl w:ilvl="0">
      <w:lvlJc w:val="left"/>
      <w:lvlText w:val="(%1)"/>
      <w:numFmt w:val="lowerLetter"/>
      <w:start w:val="3"/>
    </w:lvl>
  </w:abstractNum>
  <w:abstractNum w:abstractNumId="365">
    <w:nsid w:val="5E4DB968"/>
    <w:multiLevelType w:val="hybridMultilevel"/>
    <w:lvl w:ilvl="0">
      <w:lvlJc w:val="left"/>
      <w:lvlText w:val="%1"/>
      <w:numFmt w:val="decimal"/>
      <w:start w:val="1"/>
    </w:lvl>
    <w:lvl w:ilvl="1">
      <w:lvlJc w:val="left"/>
      <w:lvlText w:val="(%2)"/>
      <w:numFmt w:val="lowerLetter"/>
      <w:start w:val="1"/>
    </w:lvl>
  </w:abstractNum>
  <w:abstractNum w:abstractNumId="366">
    <w:nsid w:val="2C06DCF3"/>
    <w:multiLevelType w:val="hybridMultilevel"/>
    <w:lvl w:ilvl="0">
      <w:lvlJc w:val="left"/>
      <w:lvlText w:val="%1."/>
      <w:numFmt w:val="decimal"/>
      <w:start w:val="7"/>
    </w:lvl>
    <w:lvl w:ilvl="1">
      <w:lvlJc w:val="left"/>
      <w:lvlText w:val="(%2)"/>
      <w:numFmt w:val="lowerLetter"/>
      <w:start w:val="1"/>
    </w:lvl>
  </w:abstractNum>
  <w:abstractNum w:abstractNumId="367">
    <w:nsid w:val="2E129658"/>
    <w:multiLevelType w:val="hybridMultilevel"/>
    <w:lvl w:ilvl="0">
      <w:lvlJc w:val="left"/>
      <w:lvlText w:val="%1."/>
      <w:numFmt w:val="decimal"/>
      <w:start w:val="8"/>
    </w:lvl>
    <w:lvl w:ilvl="1">
      <w:lvlJc w:val="left"/>
      <w:lvlText w:val="(%2)"/>
      <w:numFmt w:val="decimal"/>
      <w:start w:val="1"/>
    </w:lvl>
  </w:abstractNum>
  <w:abstractNum w:abstractNumId="368">
    <w:nsid w:val="59F0446"/>
    <w:multiLevelType w:val="hybridMultilevel"/>
    <w:lvl w:ilvl="0">
      <w:lvlJc w:val="left"/>
      <w:lvlText w:val="%1."/>
      <w:numFmt w:val="decimal"/>
      <w:start w:val="11"/>
    </w:lvl>
  </w:abstractNum>
  <w:abstractNum w:abstractNumId="369">
    <w:nsid w:val="30DF306"/>
    <w:multiLevelType w:val="hybridMultilevel"/>
    <w:lvl w:ilvl="0">
      <w:lvlJc w:val="left"/>
      <w:lvlText w:val="%1."/>
      <w:numFmt w:val="decimal"/>
      <w:start w:val="13"/>
    </w:lvl>
  </w:abstractNum>
  <w:abstractNum w:abstractNumId="370">
    <w:nsid w:val="A65647"/>
    <w:multiLevelType w:val="hybridMultilevel"/>
    <w:lvl w:ilvl="0">
      <w:lvlJc w:val="left"/>
      <w:lvlText w:val="%1."/>
      <w:numFmt w:val="decimal"/>
      <w:start w:val="1"/>
    </w:lvl>
  </w:abstractNum>
  <w:abstractNum w:abstractNumId="371">
    <w:nsid w:val="3E5E582B"/>
    <w:multiLevelType w:val="hybridMultilevel"/>
    <w:lvl w:ilvl="0">
      <w:lvlJc w:val="left"/>
      <w:lvlText w:val="%1."/>
      <w:numFmt w:val="decimal"/>
      <w:start w:val="1"/>
    </w:lvl>
  </w:abstractNum>
  <w:abstractNum w:abstractNumId="372">
    <w:nsid w:val="257D4626"/>
    <w:multiLevelType w:val="hybridMultilevel"/>
    <w:lvl w:ilvl="0">
      <w:lvlJc w:val="left"/>
      <w:lvlText w:val="%1."/>
      <w:numFmt w:val="decimal"/>
      <w:start w:val="2"/>
    </w:lvl>
  </w:abstractNum>
  <w:abstractNum w:abstractNumId="373">
    <w:nsid w:val="5AA8580E"/>
    <w:multiLevelType w:val="hybridMultilevel"/>
    <w:lvl w:ilvl="0">
      <w:lvlJc w:val="left"/>
      <w:lvlText w:val="%1."/>
      <w:numFmt w:val="decimal"/>
      <w:start w:val="3"/>
    </w:lvl>
  </w:abstractNum>
  <w:abstractNum w:abstractNumId="374">
    <w:nsid w:val="68FA8D0D"/>
    <w:multiLevelType w:val="hybridMultilevel"/>
    <w:lvl w:ilvl="0">
      <w:lvlJc w:val="left"/>
      <w:lvlText w:val="%1."/>
      <w:numFmt w:val="decimal"/>
      <w:start w:val="4"/>
    </w:lvl>
  </w:abstractNum>
  <w:abstractNum w:abstractNumId="375">
    <w:nsid w:val="40F2CBD2"/>
    <w:multiLevelType w:val="hybridMultilevel"/>
    <w:lvl w:ilvl="0">
      <w:lvlJc w:val="left"/>
      <w:lvlText w:val="%1."/>
      <w:numFmt w:val="decimal"/>
      <w:start w:val="5"/>
    </w:lvl>
  </w:abstractNum>
  <w:abstractNum w:abstractNumId="376">
    <w:nsid w:val="3BD615EB"/>
    <w:multiLevelType w:val="hybridMultilevel"/>
    <w:lvl w:ilvl="0">
      <w:lvlJc w:val="left"/>
      <w:lvlText w:val="%1."/>
      <w:numFmt w:val="decimal"/>
      <w:start w:val="6"/>
    </w:lvl>
  </w:abstractNum>
  <w:abstractNum w:abstractNumId="377">
    <w:nsid w:val="A045AB2"/>
    <w:multiLevelType w:val="hybridMultilevel"/>
    <w:lvl w:ilvl="0">
      <w:lvlJc w:val="left"/>
      <w:lvlText w:val="%1."/>
      <w:numFmt w:val="decimal"/>
      <w:start w:val="7"/>
    </w:lvl>
  </w:abstractNum>
  <w:abstractNum w:abstractNumId="378">
    <w:nsid w:val="1872261F"/>
    <w:multiLevelType w:val="hybridMultilevel"/>
    <w:lvl w:ilvl="0">
      <w:lvlJc w:val="left"/>
      <w:lvlText w:val="%1."/>
      <w:numFmt w:val="decimal"/>
      <w:start w:val="9"/>
    </w:lvl>
  </w:abstractNum>
  <w:abstractNum w:abstractNumId="379">
    <w:nsid w:val="3DE8306C"/>
    <w:multiLevelType w:val="hybridMultilevel"/>
    <w:lvl w:ilvl="0">
      <w:lvlJc w:val="left"/>
      <w:lvlText w:val="%1."/>
      <w:numFmt w:val="decimal"/>
      <w:start w:val="10"/>
    </w:lvl>
  </w:abstractNum>
  <w:abstractNum w:abstractNumId="380">
    <w:nsid w:val="7631573A"/>
    <w:multiLevelType w:val="hybridMultilevel"/>
    <w:lvl w:ilvl="0">
      <w:lvlJc w:val="left"/>
      <w:lvlText w:val="%1."/>
      <w:numFmt w:val="decimal"/>
      <w:start w:val="1"/>
    </w:lvl>
  </w:abstractNum>
  <w:abstractNum w:abstractNumId="381">
    <w:nsid w:val="58DF53B"/>
    <w:multiLevelType w:val="hybridMultilevel"/>
    <w:lvl w:ilvl="0">
      <w:lvlJc w:val="left"/>
      <w:lvlText w:val="%1."/>
      <w:numFmt w:val="decimal"/>
      <w:start w:val="1"/>
    </w:lvl>
  </w:abstractNum>
  <w:abstractNum w:abstractNumId="382">
    <w:nsid w:val="ACDFAC0"/>
    <w:multiLevelType w:val="hybridMultilevel"/>
    <w:lvl w:ilvl="0">
      <w:lvlJc w:val="left"/>
      <w:lvlText w:val="%1."/>
      <w:numFmt w:val="decimal"/>
      <w:start w:val="2"/>
    </w:lvl>
  </w:abstractNum>
  <w:abstractNum w:abstractNumId="383">
    <w:nsid w:val="1F578454"/>
    <w:multiLevelType w:val="hybridMultilevel"/>
    <w:lvl w:ilvl="0">
      <w:lvlJc w:val="left"/>
      <w:lvlText w:val="%1."/>
      <w:numFmt w:val="decimal"/>
      <w:start w:val="3"/>
    </w:lvl>
  </w:abstractNum>
  <w:abstractNum w:abstractNumId="384">
    <w:nsid w:val="5B0DAD2A"/>
    <w:multiLevelType w:val="hybridMultilevel"/>
    <w:lvl w:ilvl="0">
      <w:lvlJc w:val="left"/>
      <w:lvlText w:val="%1."/>
      <w:numFmt w:val="decimal"/>
      <w:start w:val="4"/>
    </w:lvl>
  </w:abstractNum>
  <w:abstractNum w:abstractNumId="385">
    <w:nsid w:val="4E3D26AB"/>
    <w:multiLevelType w:val="hybridMultilevel"/>
    <w:lvl w:ilvl="0">
      <w:lvlJc w:val="left"/>
      <w:lvlText w:val="%1."/>
      <w:numFmt w:val="decimal"/>
      <w:start w:val="5"/>
    </w:lvl>
  </w:abstractNum>
  <w:abstractNum w:abstractNumId="386">
    <w:nsid w:val="BE2C8BA"/>
    <w:multiLevelType w:val="hybridMultilevel"/>
    <w:lvl w:ilvl="0">
      <w:lvlJc w:val="left"/>
      <w:lvlText w:val="%1."/>
      <w:numFmt w:val="decimal"/>
      <w:start w:val="6"/>
    </w:lvl>
  </w:abstractNum>
  <w:abstractNum w:abstractNumId="387">
    <w:nsid w:val="7B14914E"/>
    <w:multiLevelType w:val="hybridMultilevel"/>
    <w:lvl w:ilvl="0">
      <w:lvlJc w:val="left"/>
      <w:lvlText w:val="%1."/>
      <w:numFmt w:val="decimal"/>
      <w:start w:val="7"/>
    </w:lvl>
  </w:abstractNum>
  <w:abstractNum w:abstractNumId="388">
    <w:nsid w:val="6F0939F8"/>
    <w:multiLevelType w:val="hybridMultilevel"/>
    <w:lvl w:ilvl="0">
      <w:lvlJc w:val="left"/>
      <w:lvlText w:val="%1."/>
      <w:numFmt w:val="decimal"/>
      <w:start w:val="9"/>
    </w:lvl>
  </w:abstractNum>
  <w:abstractNum w:abstractNumId="389">
    <w:nsid w:val="154291F6"/>
    <w:multiLevelType w:val="hybridMultilevel"/>
    <w:lvl w:ilvl="0">
      <w:lvlJc w:val="left"/>
      <w:lvlText w:val="%1."/>
      <w:numFmt w:val="decimal"/>
      <w:start w:val="10"/>
    </w:lvl>
  </w:abstractNum>
  <w:abstractNum w:abstractNumId="390">
    <w:nsid w:val="3CEBD7C7"/>
    <w:multiLevelType w:val="hybridMultilevel"/>
    <w:lvl w:ilvl="0">
      <w:lvlJc w:val="left"/>
      <w:lvlText w:val="%1."/>
      <w:numFmt w:val="decimal"/>
      <w:start w:val="1"/>
    </w:lvl>
  </w:abstractNum>
  <w:abstractNum w:abstractNumId="391">
    <w:nsid w:val="60EE9C16"/>
    <w:multiLevelType w:val="hybridMultilevel"/>
    <w:lvl w:ilvl="0">
      <w:lvlJc w:val="left"/>
      <w:lvlText w:val="%1."/>
      <w:numFmt w:val="decimal"/>
      <w:start w:val="1"/>
    </w:lvl>
  </w:abstractNum>
  <w:abstractNum w:abstractNumId="392">
    <w:nsid w:val="6385489E"/>
    <w:multiLevelType w:val="hybridMultilevel"/>
    <w:lvl w:ilvl="0">
      <w:lvlJc w:val="left"/>
      <w:lvlText w:val="%1."/>
      <w:numFmt w:val="decimal"/>
      <w:start w:val="2"/>
    </w:lvl>
  </w:abstractNum>
  <w:abstractNum w:abstractNumId="393">
    <w:nsid w:val="E4B973"/>
    <w:multiLevelType w:val="hybridMultilevel"/>
    <w:lvl w:ilvl="0">
      <w:lvlJc w:val="left"/>
      <w:lvlText w:val="%1."/>
      <w:numFmt w:val="decimal"/>
      <w:start w:val="3"/>
    </w:lvl>
  </w:abstractNum>
  <w:abstractNum w:abstractNumId="394">
    <w:nsid w:val="4A0FFA11"/>
    <w:multiLevelType w:val="hybridMultilevel"/>
    <w:lvl w:ilvl="0">
      <w:lvlJc w:val="left"/>
      <w:lvlText w:val="%1."/>
      <w:numFmt w:val="decimal"/>
      <w:start w:val="5"/>
    </w:lvl>
  </w:abstractNum>
  <w:abstractNum w:abstractNumId="395">
    <w:nsid w:val="5E446208"/>
    <w:multiLevelType w:val="hybridMultilevel"/>
    <w:lvl w:ilvl="0">
      <w:lvlJc w:val="left"/>
      <w:lvlText w:val="%1."/>
      <w:numFmt w:val="decimal"/>
      <w:start w:val="11"/>
    </w:lvl>
  </w:abstractNum>
  <w:abstractNum w:abstractNumId="396">
    <w:nsid w:val="5F3272DB"/>
    <w:multiLevelType w:val="hybridMultilevel"/>
    <w:lvl w:ilvl="0">
      <w:lvlJc w:val="left"/>
      <w:lvlText w:val="%1."/>
      <w:numFmt w:val="decimal"/>
      <w:start w:val="16"/>
    </w:lvl>
  </w:abstractNum>
  <w:abstractNum w:abstractNumId="397">
    <w:nsid w:val="7616D704"/>
    <w:multiLevelType w:val="hybridMultilevel"/>
    <w:lvl w:ilvl="0">
      <w:lvlJc w:val="left"/>
      <w:lvlText w:val="(%1)"/>
      <w:numFmt w:val="decimal"/>
      <w:start w:val="1"/>
    </w:lvl>
  </w:abstractNum>
  <w:abstractNum w:abstractNumId="398">
    <w:nsid w:val="C56F860"/>
    <w:multiLevelType w:val="hybridMultilevel"/>
    <w:lvl w:ilvl="0">
      <w:lvlJc w:val="left"/>
      <w:lvlText w:val="%1."/>
      <w:numFmt w:val="decimal"/>
      <w:start w:val="1"/>
    </w:lvl>
    <w:lvl w:ilvl="1">
      <w:lvlJc w:val="left"/>
      <w:lvlText w:val="(%2)"/>
      <w:numFmt w:val="lowerLetter"/>
      <w:start w:val="1"/>
    </w:lvl>
  </w:abstractNum>
  <w:abstractNum w:abstractNumId="399">
    <w:nsid w:val="64D17722"/>
    <w:multiLevelType w:val="hybridMultilevel"/>
    <w:lvl w:ilvl="0">
      <w:lvlJc w:val="left"/>
      <w:lvlText w:val="%1."/>
      <w:numFmt w:val="decimal"/>
      <w:start w:val="1"/>
    </w:lvl>
    <w:lvl w:ilvl="1">
      <w:lvlJc w:val="left"/>
      <w:lvlText w:val="(%2)"/>
      <w:numFmt w:val="lowerLetter"/>
      <w:start w:val="1"/>
    </w:lvl>
  </w:abstractNum>
  <w:abstractNum w:abstractNumId="400">
    <w:nsid w:val="7924CA0A"/>
    <w:multiLevelType w:val="hybridMultilevel"/>
    <w:lvl w:ilvl="0">
      <w:lvlJc w:val="left"/>
      <w:lvlText w:val="%1."/>
      <w:numFmt w:val="decimal"/>
      <w:start w:val="1"/>
    </w:lvl>
  </w:abstractNum>
  <w:abstractNum w:abstractNumId="401">
    <w:nsid w:val="CFD4EA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2019-12-07T07:26:19Z</dcterms:created>
  <dcterms:modified xsi:type="dcterms:W3CDTF">2019-12-07T07:26:19Z</dcterms:modified>
</cp:coreProperties>
</file>