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August 19, 2025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Sarah Ying Li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Head of Financial Reporting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NetEase, Inc.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NetEase Building, No. 599 Wangshang Road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Binjiang District, Hangzhou, 310052</w:t>
      </w:r>
    </w:p>
    <w:p>
      <w:pPr>
        <w:spacing w:after="0"/>
        <w:tabs>
          <w:tab w:leader="none" w:pos="9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People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s Republic of China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NetEase, Inc.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11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 20-F for the Fiscal Year Ended December 31, 2024</w:t>
      </w:r>
    </w:p>
    <w:p>
      <w:pPr>
        <w:ind w:left="11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000-30666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Sarah Ying Li: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2339" w:firstLine="737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have completed our review of your filing. We remind you that the company and</w:t>
      </w:r>
    </w:p>
    <w:p>
      <w:pPr>
        <w:ind w:right="285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its management are responsible for the accuracy and adequacy of their disclosures,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notwithstanding any review, comments, action or absence of action by the staff.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97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jc w:val="right"/>
        <w:ind w:right="181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 Corporation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Finance</w:t>
      </w:r>
    </w:p>
    <w:p>
      <w:pPr>
        <w:ind w:left="59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 Technology</w:t>
      </w:r>
    </w:p>
    <w:p>
      <w:pPr>
        <w:ind w:left="640" w:hanging="632"/>
        <w:spacing w:after="0"/>
        <w:tabs>
          <w:tab w:leader="none" w:pos="64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Paul W. Boltz, Jr.</w:t>
      </w:r>
    </w:p>
    <w:sectPr>
      <w:pgSz w:w="11900" w:h="16838" w:orient="portrait"/>
      <w:cols w:equalWidth="0" w:num="1">
        <w:col w:w="10139"/>
      </w:cols>
      <w:pgMar w:left="320" w:top="218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%1:"/>
      <w:numFmt w:val="lowerLetter"/>
      <w:start w:val="29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2025-12-22T00:16:16Z</dcterms:created>
  <dcterms:modified xsi:type="dcterms:W3CDTF">2025-12-22T00:16:16Z</dcterms:modified>
</cp:coreProperties>
</file>