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1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ind w:left="26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REPORT OF FOREIGN ISSUER</w:t>
      </w:r>
    </w:p>
    <w:p>
      <w:pPr>
        <w:ind w:left="1580"/>
        <w:spacing w:after="0" w:line="238" w:lineRule="auto"/>
        <w:rPr>
          <w:sz w:val="20"/>
          <w:szCs w:val="20"/>
          <w:color w:val="auto"/>
        </w:rPr>
      </w:pPr>
      <w:r>
        <w:rPr>
          <w:rFonts w:ascii="Courier New" w:cs="Courier New" w:eastAsia="Courier New" w:hAnsi="Courier New"/>
          <w:sz w:val="18"/>
          <w:szCs w:val="18"/>
          <w:color w:val="auto"/>
        </w:rPr>
        <w:t>PURSUANT TO RULE 13a-16 OR 15d-16 OF THE</w:t>
      </w:r>
    </w:p>
    <w:p>
      <w:pPr>
        <w:ind w:left="21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July 2003</w:t>
      </w:r>
    </w:p>
    <w:p>
      <w:pPr>
        <w:ind w:left="41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Commission File Number: 333-100069</w:t>
      </w:r>
    </w:p>
    <w:p>
      <w:pPr>
        <w:ind w:left="44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NETEASE.COM, INC.</w:t>
      </w:r>
    </w:p>
    <w:p>
      <w:pPr>
        <w:spacing w:after="0" w:line="201"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Suite 1901, Tower E3</w:t>
      </w:r>
    </w:p>
    <w:p>
      <w:pPr>
        <w:ind w:left="2320"/>
        <w:spacing w:after="0" w:line="238" w:lineRule="auto"/>
        <w:rPr>
          <w:sz w:val="20"/>
          <w:szCs w:val="20"/>
          <w:color w:val="auto"/>
        </w:rPr>
      </w:pPr>
      <w:r>
        <w:rPr>
          <w:rFonts w:ascii="Courier New" w:cs="Courier New" w:eastAsia="Courier New" w:hAnsi="Courier New"/>
          <w:sz w:val="18"/>
          <w:szCs w:val="18"/>
          <w:color w:val="auto"/>
        </w:rPr>
        <w:t>The Towers, Oriental Plaza</w:t>
      </w:r>
    </w:p>
    <w:p>
      <w:pPr>
        <w:ind w:left="2740"/>
        <w:spacing w:after="0"/>
        <w:rPr>
          <w:sz w:val="20"/>
          <w:szCs w:val="20"/>
          <w:color w:val="auto"/>
        </w:rPr>
      </w:pPr>
      <w:r>
        <w:rPr>
          <w:rFonts w:ascii="Courier New" w:cs="Courier New" w:eastAsia="Courier New" w:hAnsi="Courier New"/>
          <w:sz w:val="18"/>
          <w:szCs w:val="18"/>
          <w:color w:val="auto"/>
        </w:rPr>
        <w:t>Dong Cheng District</w:t>
      </w:r>
    </w:p>
    <w:p>
      <w:pPr>
        <w:ind w:left="1460"/>
        <w:spacing w:after="0" w:line="237" w:lineRule="auto"/>
        <w:rPr>
          <w:sz w:val="20"/>
          <w:szCs w:val="20"/>
          <w:color w:val="auto"/>
        </w:rPr>
      </w:pPr>
      <w:r>
        <w:rPr>
          <w:rFonts w:ascii="Courier New" w:cs="Courier New" w:eastAsia="Courier New" w:hAnsi="Courier New"/>
          <w:sz w:val="18"/>
          <w:szCs w:val="18"/>
          <w:color w:val="auto"/>
        </w:rPr>
        <w:t>Beijing, People's Republic of China 100738</w:t>
      </w:r>
    </w:p>
    <w:p>
      <w:pPr>
        <w:ind w:left="158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Form 20-F</w:t>
            </w:r>
          </w:p>
        </w:tc>
        <w:tc>
          <w:tcPr>
            <w:tcW w:w="1680" w:type="dxa"/>
            <w:vAlign w:val="bottom"/>
          </w:tcPr>
          <w:p>
            <w:pPr>
              <w:ind w:left="800"/>
              <w:spacing w:after="0"/>
              <w:rPr>
                <w:sz w:val="20"/>
                <w:szCs w:val="20"/>
                <w:color w:val="auto"/>
              </w:rPr>
            </w:pPr>
            <w:r>
              <w:rPr>
                <w:rFonts w:ascii="Courier New" w:cs="Courier New" w:eastAsia="Courier New" w:hAnsi="Courier New"/>
                <w:sz w:val="18"/>
                <w:szCs w:val="18"/>
                <w:color w:val="auto"/>
              </w:rPr>
              <w:t>X</w:t>
            </w:r>
          </w:p>
        </w:tc>
        <w:tc>
          <w:tcPr>
            <w:tcW w:w="374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Form 40-F</w:t>
            </w:r>
          </w:p>
        </w:tc>
      </w:tr>
      <w:tr>
        <w:trPr>
          <w:trHeight w:val="203"/>
        </w:trPr>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t>
            </w:r>
          </w:p>
        </w:tc>
        <w:tc>
          <w:tcPr>
            <w:tcW w:w="3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64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by check mark if the registrant is submitting the Form 6-K in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paper as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permitted</w:t>
            </w:r>
          </w:p>
        </w:tc>
        <w:tc>
          <w:tcPr>
            <w:tcW w:w="5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Regulation S-T Rule 101(b)(1):________________</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Indicate</w:t>
            </w:r>
          </w:p>
        </w:tc>
        <w:tc>
          <w:tcPr>
            <w:tcW w:w="64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by check mark if the registrant is submitting the Form 6-K in</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paper as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permitted</w:t>
            </w:r>
          </w:p>
        </w:tc>
        <w:tc>
          <w:tcPr>
            <w:tcW w:w="5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Regulation S-T Rule 101(b)(7):________________</w:t>
            </w:r>
          </w:p>
        </w:tc>
      </w:tr>
    </w:tbl>
    <w:p>
      <w:pPr>
        <w:spacing w:after="0" w:line="200" w:lineRule="exact"/>
        <w:rPr>
          <w:sz w:val="24"/>
          <w:szCs w:val="24"/>
          <w:color w:val="auto"/>
        </w:rPr>
      </w:pP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ectPr>
          <w:pgSz w:w="11900" w:h="16838" w:orient="portrait"/>
          <w:cols w:equalWidth="0" w:num="1">
            <w:col w:w="9679"/>
          </w:cols>
          <w:pgMar w:left="780" w:top="649" w:right="1440" w:bottom="1440" w:gutter="0" w:footer="0" w:header="0"/>
        </w:sectPr>
      </w:pPr>
    </w:p>
    <w:p>
      <w:pPr>
        <w:spacing w:after="0" w:line="207" w:lineRule="exact"/>
        <w:rPr>
          <w:sz w:val="24"/>
          <w:szCs w:val="24"/>
          <w:color w:val="auto"/>
        </w:rPr>
      </w:pPr>
    </w:p>
    <w:p>
      <w:pPr>
        <w:ind w:left="940"/>
        <w:spacing w:after="0"/>
        <w:rPr>
          <w:sz w:val="20"/>
          <w:szCs w:val="20"/>
          <w:color w:val="auto"/>
        </w:rPr>
      </w:pPr>
      <w:r>
        <w:rPr>
          <w:rFonts w:ascii="Courier New" w:cs="Courier New" w:eastAsia="Courier New" w:hAnsi="Courier New"/>
          <w:sz w:val="16"/>
          <w:szCs w:val="16"/>
          <w:color w:val="auto"/>
        </w:rPr>
        <w:t>Yes ______________ No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100"/>
            <w:col w:w="6419"/>
          </w:cols>
          <w:pgMar w:left="780" w:top="649" w:right="1440" w:bottom="1440" w:gutter="0" w:footer="0" w:header="0"/>
          <w:type w:val="continuous"/>
        </w:sectPr>
      </w:pPr>
    </w:p>
    <w:p>
      <w:pPr>
        <w:spacing w:after="0" w:line="24"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w:t>
      </w:r>
    </w:p>
    <w:p>
      <w:pPr>
        <w:spacing w:after="0" w:line="203" w:lineRule="exact"/>
        <w:rPr>
          <w:sz w:val="24"/>
          <w:szCs w:val="24"/>
          <w:color w:val="auto"/>
        </w:rPr>
      </w:pPr>
    </w:p>
    <w:p>
      <w:pPr>
        <w:ind w:left="940"/>
        <w:spacing w:after="0"/>
        <w:tabs>
          <w:tab w:leader="none" w:pos="18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N.A.</w:t>
      </w:r>
    </w:p>
    <w:p>
      <w:pPr>
        <w:ind w:left="12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Page 1 of 5 Pages</w:t>
      </w:r>
    </w:p>
    <w:p>
      <w:pPr>
        <w:jc w:val="center"/>
        <w:ind w:right="2319"/>
        <w:spacing w:after="0" w:line="238" w:lineRule="auto"/>
        <w:rPr>
          <w:sz w:val="20"/>
          <w:szCs w:val="20"/>
          <w:color w:val="auto"/>
        </w:rPr>
      </w:pPr>
      <w:r>
        <w:rPr>
          <w:rFonts w:ascii="Courier New" w:cs="Courier New" w:eastAsia="Courier New" w:hAnsi="Courier New"/>
          <w:sz w:val="18"/>
          <w:szCs w:val="18"/>
          <w:color w:val="auto"/>
        </w:rPr>
        <w:t>The index of exhibits may be found at Page 2</w:t>
      </w:r>
    </w:p>
    <w:p>
      <w:pPr>
        <w:sectPr>
          <w:pgSz w:w="11900" w:h="16838" w:orient="portrait"/>
          <w:cols w:equalWidth="0" w:num="1">
            <w:col w:w="9679"/>
          </w:cols>
          <w:pgMar w:left="780" w:top="649" w:right="1440"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NETEASE.COM,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ind w:left="80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Regarding Pricing of Zero Coupon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Convertible Subordinated Notes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3</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Exhibit 99.1, Page 4</w:t>
      </w:r>
    </w:p>
    <w:p>
      <w:pPr>
        <w:sectPr>
          <w:pgSz w:w="11900" w:h="16838" w:orient="portrait"/>
          <w:cols w:equalWidth="0" w:num="2">
            <w:col w:w="5600" w:space="720"/>
            <w:col w:w="3899"/>
          </w:cols>
          <w:pgMar w:left="240" w:top="717"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NETEASE.COM, INC.</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Ted Sun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 Mr. Ted Sun</w:t>
      </w:r>
    </w:p>
    <w:p>
      <w:pPr>
        <w:ind w:left="4320"/>
        <w:spacing w:after="0" w:line="238" w:lineRule="auto"/>
        <w:rPr>
          <w:sz w:val="20"/>
          <w:szCs w:val="20"/>
          <w:color w:val="auto"/>
        </w:rPr>
      </w:pPr>
      <w:r>
        <w:rPr>
          <w:rFonts w:ascii="Courier New" w:cs="Courier New" w:eastAsia="Courier New" w:hAnsi="Courier New"/>
          <w:sz w:val="18"/>
          <w:szCs w:val="18"/>
          <w:color w:val="auto"/>
        </w:rPr>
        <w:t>Title: Acting Chief Executive Officer</w:t>
      </w:r>
    </w:p>
    <w:p>
      <w:pPr>
        <w:ind w:left="5060"/>
        <w:spacing w:after="0"/>
        <w:rPr>
          <w:sz w:val="20"/>
          <w:szCs w:val="20"/>
          <w:color w:val="auto"/>
        </w:rPr>
      </w:pPr>
      <w:r>
        <w:rPr>
          <w:rFonts w:ascii="Courier New" w:cs="Courier New" w:eastAsia="Courier New" w:hAnsi="Courier New"/>
          <w:sz w:val="18"/>
          <w:szCs w:val="18"/>
          <w:color w:val="auto"/>
        </w:rPr>
        <w:t>and 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9, 2003</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040" w:val="left"/>
        </w:tabs>
        <w:rPr>
          <w:sz w:val="20"/>
          <w:szCs w:val="20"/>
          <w:color w:val="auto"/>
        </w:rPr>
      </w:pPr>
      <w:r>
        <w:rPr>
          <w:rFonts w:ascii="Courier New" w:cs="Courier New" w:eastAsia="Courier New" w:hAnsi="Courier New"/>
          <w:sz w:val="18"/>
          <w:szCs w:val="18"/>
          <w:color w:val="auto"/>
        </w:rPr>
        <w:t>[LOGO OF NETEASE]</w:t>
      </w:r>
      <w:r>
        <w:rPr>
          <w:sz w:val="20"/>
          <w:szCs w:val="20"/>
          <w:color w:val="auto"/>
        </w:rPr>
        <w:tab/>
      </w:r>
      <w:r>
        <w:rPr>
          <w:rFonts w:ascii="Courier New" w:cs="Courier New" w:eastAsia="Courier New" w:hAnsi="Courier New"/>
          <w:sz w:val="16"/>
          <w:szCs w:val="16"/>
          <w:color w:val="auto"/>
        </w:rPr>
        <w:t>Press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for Media and Investors:</w:t>
      </w:r>
    </w:p>
    <w:p>
      <w:pPr>
        <w:spacing w:after="0" w:line="238" w:lineRule="auto"/>
        <w:rPr>
          <w:sz w:val="20"/>
          <w:szCs w:val="20"/>
          <w:color w:val="auto"/>
        </w:rPr>
      </w:pPr>
      <w:r>
        <w:rPr>
          <w:rFonts w:ascii="Courier New" w:cs="Courier New" w:eastAsia="Courier New" w:hAnsi="Courier New"/>
          <w:sz w:val="18"/>
          <w:szCs w:val="18"/>
          <w:color w:val="auto"/>
        </w:rPr>
        <w:t>Ms. Olive Wang</w:t>
      </w:r>
    </w:p>
    <w:p>
      <w:pPr>
        <w:spacing w:after="0"/>
        <w:rPr>
          <w:sz w:val="20"/>
          <w:szCs w:val="20"/>
          <w:color w:val="auto"/>
        </w:rPr>
      </w:pPr>
      <w:r>
        <w:rPr>
          <w:rFonts w:ascii="Courier New" w:cs="Courier New" w:eastAsia="Courier New" w:hAnsi="Courier New"/>
          <w:sz w:val="18"/>
          <w:szCs w:val="18"/>
          <w:color w:val="auto"/>
        </w:rPr>
        <w:t>NetEase.com, Inc.</w:t>
      </w:r>
    </w:p>
    <w:p>
      <w:pPr>
        <w:spacing w:after="0" w:line="237" w:lineRule="auto"/>
        <w:rPr>
          <w:sz w:val="20"/>
          <w:szCs w:val="20"/>
          <w:color w:val="auto"/>
        </w:rPr>
      </w:pPr>
      <w:r>
        <w:rPr>
          <w:rFonts w:ascii="Courier New" w:cs="Courier New" w:eastAsia="Courier New" w:hAnsi="Courier New"/>
          <w:sz w:val="18"/>
          <w:szCs w:val="18"/>
          <w:color w:val="auto"/>
        </w:rPr>
        <w:t>ir@corp.netease.com</w:t>
      </w:r>
    </w:p>
    <w:p>
      <w:pPr>
        <w:spacing w:after="0" w:line="238" w:lineRule="auto"/>
        <w:rPr>
          <w:sz w:val="20"/>
          <w:szCs w:val="20"/>
          <w:color w:val="auto"/>
        </w:rPr>
      </w:pPr>
      <w:r>
        <w:rPr>
          <w:rFonts w:ascii="Courier New" w:cs="Courier New" w:eastAsia="Courier New" w:hAnsi="Courier New"/>
          <w:sz w:val="18"/>
          <w:szCs w:val="18"/>
          <w:color w:val="auto"/>
        </w:rPr>
        <w:t>8610-8518-0163, ext. 8243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Jessica Barist Cohen</w:t>
      </w:r>
    </w:p>
    <w:p>
      <w:pPr>
        <w:spacing w:after="0" w:line="238" w:lineRule="auto"/>
        <w:rPr>
          <w:sz w:val="20"/>
          <w:szCs w:val="20"/>
          <w:color w:val="auto"/>
        </w:rPr>
      </w:pPr>
      <w:r>
        <w:rPr>
          <w:rFonts w:ascii="Courier New" w:cs="Courier New" w:eastAsia="Courier New" w:hAnsi="Courier New"/>
          <w:sz w:val="18"/>
          <w:szCs w:val="18"/>
          <w:color w:val="auto"/>
        </w:rPr>
        <w:t>Ogilvy Public Relations Worldwide</w:t>
      </w:r>
    </w:p>
    <w:p>
      <w:pPr>
        <w:spacing w:after="0"/>
        <w:rPr>
          <w:sz w:val="20"/>
          <w:szCs w:val="20"/>
          <w:color w:val="auto"/>
        </w:rPr>
      </w:pPr>
      <w:r>
        <w:rPr>
          <w:rFonts w:ascii="Courier New" w:cs="Courier New" w:eastAsia="Courier New" w:hAnsi="Courier New"/>
          <w:sz w:val="18"/>
          <w:szCs w:val="18"/>
          <w:color w:val="auto"/>
        </w:rPr>
        <w:t>jessica.cohen@ogilvy.com</w:t>
      </w:r>
    </w:p>
    <w:p>
      <w:pPr>
        <w:spacing w:after="0" w:line="237" w:lineRule="auto"/>
        <w:rPr>
          <w:sz w:val="20"/>
          <w:szCs w:val="20"/>
          <w:color w:val="auto"/>
        </w:rPr>
      </w:pPr>
      <w:r>
        <w:rPr>
          <w:rFonts w:ascii="Courier New" w:cs="Courier New" w:eastAsia="Courier New" w:hAnsi="Courier New"/>
          <w:sz w:val="18"/>
          <w:szCs w:val="18"/>
          <w:color w:val="auto"/>
        </w:rPr>
        <w:t>8621-6218-3009, ext. 238</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NetEase.com, Inc. Prices $75 Million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Zero Coupon Convertible Subordinated Notes Offering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(Beijing, July 8, 2003) - NetEase.com, Inc. (Nasdaq: NTES), today announced the pricing of $75 million aggregate principal amount of Zero Coupon Convertible Subordinated Notes due 2023, first putable July 15, 2006, in a private offering. The sale of the notes is expected to close on July 14, 2003. The initial purchaser has an option to purchase up to an additional $25 million in aggregate principal amount of the notes.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notes will not bear interest, have a zero yield to maturity and will be convertible, subject to certain conditions, into NetEase's ordinary shares at a conversion price of approximately $0.4815 per ordinary share (equivalent to $48.15 per American Depositary Share), subject to certain antidilution adjustments. This represents a 23% conversion premium based on the closing bid price of $39.15 of NetEase's American Depositary Shares on the Nasdaq National Market on July 7, 2003.</w:t>
      </w:r>
    </w:p>
    <w:p>
      <w:pPr>
        <w:spacing w:after="0" w:line="211"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convertible subordinated notes were placed in a private placement transaction pursuant to Rule 144A under the Securities Act of 1933. Neither the convertible subordinated notes nor the ordinary shares of NetEase issuable upon conversion of the notes have been registered under the Securities Act and may not be offered or sold in the United States or to a U.S. person absent registration or an applicable exemption from the registration requirements.</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[LOGO OF NETEASE]</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This press release does not constitute an offer to sell or the solicitation of an offer to buy any security and shall not constitute an offer, solicitation or sale in any jurisdiction in which such offering would be unlawful.</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 the risk that the offering of convertible subordinated notes may not close; the risk that if we do issue such notes, we may not be able to satisfy our obligations under the indenture for the notes which could lead to a default on the notes and an adverse effect on our business and financial condition; the risk that we may not use the proceeds from this offering in a productive manner; and other risks outlined in our filings with the Securities and Exchange Commission, including our registration statement on Form F-1, as amended. NetEase does not undertake any obligation to update this forward-looking information, except as required under applicable law.</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2019-12-15T02:23:36Z</dcterms:created>
  <dcterms:modified xsi:type="dcterms:W3CDTF">2019-12-15T02:23:36Z</dcterms:modified>
</cp:coreProperties>
</file>