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226060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February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4720"/>
        <w:spacing w:after="0"/>
        <w:rPr>
          <w:sz w:val="20"/>
          <w:szCs w:val="20"/>
          <w:color w:val="auto"/>
        </w:rPr>
      </w:pPr>
      <w:r>
        <w:rPr>
          <w:rFonts w:ascii="Arial" w:cs="Arial" w:eastAsia="Arial" w:hAnsi="Arial"/>
          <w:sz w:val="25"/>
          <w:szCs w:val="25"/>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226060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03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NetEase Reports Fourth Quarter and Fiscal Year 2021 Unaudited Financial Results</w:t>
        </w:r>
      </w:hyperlink>
      <w:r>
        <w:rPr>
          <w:rFonts w:ascii="Arial" w:cs="Arial" w:eastAsia="Arial" w:hAnsi="Arial"/>
          <w:sz w:val="18"/>
          <w:szCs w:val="18"/>
          <w:color w:val="0000EE"/>
        </w:rPr>
        <w:tab/>
      </w:r>
      <w:r>
        <w:rPr>
          <w:rFonts w:ascii="Arial" w:cs="Arial" w:eastAsia="Arial" w:hAnsi="Arial"/>
          <w:sz w:val="16"/>
          <w:szCs w:val="16"/>
          <w:color w:val="0000EE"/>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p>
      <w:pPr>
        <w:ind w:left="5820"/>
        <w:spacing w:after="0"/>
        <w:tabs>
          <w:tab w:leader="none" w:pos="6320" w:val="left"/>
        </w:tabs>
        <w:rPr>
          <w:sz w:val="20"/>
          <w:szCs w:val="20"/>
          <w:color w:val="auto"/>
        </w:rPr>
      </w:pPr>
      <w:r>
        <w:rPr>
          <w:rFonts w:ascii="Arial" w:cs="Arial" w:eastAsia="Arial" w:hAnsi="Arial"/>
          <w:sz w:val="18"/>
          <w:szCs w:val="18"/>
          <w:color w:val="auto"/>
        </w:rPr>
        <w:t>By:</w:t>
        <w:tab/>
        <w:t>/s/ Charles Zhaoxuan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Charles Zhaoxuan Yang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128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67132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13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Media and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Margaret Shi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ir@service.netease.com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571-8985-3378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Twitter: </w:t>
      </w:r>
      <w:r>
        <w:rPr>
          <w:rFonts w:ascii="Arial" w:cs="Arial" w:eastAsia="Arial" w:hAnsi="Arial"/>
          <w:sz w:val="18"/>
          <w:szCs w:val="18"/>
          <w:u w:val="single" w:color="auto"/>
          <w:color w:val="auto"/>
        </w:rPr>
        <w:t>https://twitter.com/NetEase_Global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Reports Fourth Quarter and Fiscal Year 2021 Unaudited Financial Results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(Hangzhou – February 24, 2022)- NetEase, Inc. (NASDAQ: NTES and HKEX: 9999, “NetEase” or the “Company”), one of China’s leading internet and online game services providers, today announced its unaudited financial results for the fourth quarter and fiscal year ended December 31, 2021.</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Financial Highlights</w:t>
      </w:r>
    </w:p>
    <w:p>
      <w:pPr>
        <w:spacing w:after="0" w:line="229" w:lineRule="exact"/>
        <w:rPr>
          <w:sz w:val="20"/>
          <w:szCs w:val="20"/>
          <w:color w:val="auto"/>
        </w:rPr>
      </w:pPr>
    </w:p>
    <w:p>
      <w:pPr>
        <w:ind w:left="380" w:hanging="318"/>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revenues were RMB24.4 billion (US$3.8 billion), an increase of 23.3% compared with the fourth quarter of 2020.</w:t>
      </w:r>
    </w:p>
    <w:p>
      <w:pPr>
        <w:spacing w:after="0" w:line="225" w:lineRule="exact"/>
        <w:rPr>
          <w:rFonts w:ascii="Arial" w:cs="Arial" w:eastAsia="Arial" w:hAnsi="Arial"/>
          <w:sz w:val="18"/>
          <w:szCs w:val="18"/>
          <w:color w:val="auto"/>
        </w:rPr>
      </w:pPr>
    </w:p>
    <w:p>
      <w:pPr>
        <w:ind w:left="760" w:hanging="361"/>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Online game services net revenues were RMB17.4 billion (US$2.7 billion), an increase of 29.8% compared with the fourth quarter of 2020.</w:t>
      </w:r>
    </w:p>
    <w:p>
      <w:pPr>
        <w:spacing w:after="0" w:line="236" w:lineRule="exact"/>
        <w:rPr>
          <w:rFonts w:ascii="Arial" w:cs="Arial" w:eastAsia="Arial" w:hAnsi="Arial"/>
          <w:sz w:val="17"/>
          <w:szCs w:val="17"/>
          <w:color w:val="auto"/>
        </w:rPr>
      </w:pPr>
    </w:p>
    <w:p>
      <w:pPr>
        <w:ind w:left="760" w:hanging="361"/>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Youdao net revenues were RMB1.3 billion (US$209.3 million), an increase of 20.5% compared with the fourth quarter of 2020.</w:t>
      </w:r>
    </w:p>
    <w:p>
      <w:pPr>
        <w:spacing w:after="0" w:line="227" w:lineRule="exact"/>
        <w:rPr>
          <w:rFonts w:ascii="Arial" w:cs="Arial" w:eastAsia="Arial" w:hAnsi="Arial"/>
          <w:sz w:val="18"/>
          <w:szCs w:val="18"/>
          <w:color w:val="auto"/>
        </w:rPr>
      </w:pPr>
    </w:p>
    <w:p>
      <w:pPr>
        <w:ind w:left="760" w:hanging="361"/>
        <w:spacing w:after="0"/>
        <w:tabs>
          <w:tab w:leader="none" w:pos="760" w:val="left"/>
        </w:tabs>
        <w:numPr>
          <w:ilvl w:val="1"/>
          <w:numId w:val="1"/>
        </w:numPr>
        <w:rPr>
          <w:rFonts w:ascii="Arial" w:cs="Arial" w:eastAsia="Arial" w:hAnsi="Arial"/>
          <w:sz w:val="34"/>
          <w:szCs w:val="34"/>
          <w:color w:val="auto"/>
          <w:vertAlign w:val="superscript"/>
        </w:rPr>
      </w:pPr>
      <w:r>
        <w:rPr>
          <w:rFonts w:ascii="Arial" w:cs="Arial" w:eastAsia="Arial" w:hAnsi="Arial"/>
          <w:sz w:val="17"/>
          <w:szCs w:val="17"/>
          <w:color w:val="auto"/>
        </w:rPr>
        <w:t xml:space="preserve">Cloud Music net revenues were RMB1.9 billion (US$296.5 million), an increase of 23.9% compared with the fourth quarter of 2020. </w:t>
      </w:r>
      <w:r>
        <w:rPr>
          <w:rFonts w:ascii="Arial" w:cs="Arial" w:eastAsia="Arial" w:hAnsi="Arial"/>
          <w:sz w:val="27"/>
          <w:szCs w:val="27"/>
          <w:color w:val="auto"/>
          <w:vertAlign w:val="superscript"/>
        </w:rPr>
        <w:t>[1]</w:t>
      </w:r>
    </w:p>
    <w:p>
      <w:pPr>
        <w:spacing w:after="0" w:line="78" w:lineRule="exact"/>
        <w:rPr>
          <w:rFonts w:ascii="Arial" w:cs="Arial" w:eastAsia="Arial" w:hAnsi="Arial"/>
          <w:sz w:val="34"/>
          <w:szCs w:val="34"/>
          <w:color w:val="auto"/>
          <w:vertAlign w:val="superscript"/>
        </w:rPr>
      </w:pPr>
    </w:p>
    <w:p>
      <w:pPr>
        <w:ind w:left="760" w:hanging="361"/>
        <w:spacing w:after="0" w:line="277" w:lineRule="auto"/>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Innovative businesses and others net revenues were RMB3.8 billion (US$588.9 million), an increase of 0.6% compared with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09" w:lineRule="auto"/>
        <w:tabs>
          <w:tab w:leader="none" w:pos="235"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Effective in the fourth quarter of 2021, the Company changed its segment disclosure to separately report the results of Cloud Music. As a result, the Company now reports segments as online game services, Youdao, Cloud Music and innovative businesses and others. See “Change of segment reporting” in this announcement.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380" w:hanging="31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was RMB12.9 billion (US$2.0 billion), an increase of 30.1% compared with the fourth quarter of 2020.</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operating expenses were RMB8.3 billion (US$1.3 billion), an increase of 20.2% compared with the fourth quarter of 2020.</w:t>
      </w:r>
    </w:p>
    <w:p>
      <w:pPr>
        <w:spacing w:after="0" w:line="225" w:lineRule="exact"/>
        <w:rPr>
          <w:rFonts w:ascii="Arial" w:cs="Arial" w:eastAsia="Arial" w:hAnsi="Arial"/>
          <w:sz w:val="18"/>
          <w:szCs w:val="18"/>
          <w:color w:val="auto"/>
        </w:rPr>
      </w:pPr>
    </w:p>
    <w:p>
      <w:pPr>
        <w:ind w:left="380" w:hanging="318"/>
        <w:spacing w:after="0" w:line="289"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Net income attributable to the Company’s shareholders was RMB5.7 billion (US$893.5 million). Non-GAAP net income attributable to the Company’s shareholders was RMB6.6 billion (US$1.0 billion). </w:t>
      </w:r>
      <w:r>
        <w:rPr>
          <w:rFonts w:ascii="Arial" w:cs="Arial" w:eastAsia="Arial" w:hAnsi="Arial"/>
          <w:sz w:val="29"/>
          <w:szCs w:val="29"/>
          <w:color w:val="auto"/>
          <w:vertAlign w:val="superscript"/>
        </w:rPr>
        <w:t>[2]</w:t>
      </w:r>
    </w:p>
    <w:p>
      <w:pPr>
        <w:spacing w:after="0" w:line="40" w:lineRule="exact"/>
        <w:rPr>
          <w:rFonts w:ascii="Arial" w:cs="Arial" w:eastAsia="Arial" w:hAnsi="Arial"/>
          <w:sz w:val="18"/>
          <w:szCs w:val="18"/>
          <w:color w:val="auto"/>
        </w:rPr>
      </w:pPr>
    </w:p>
    <w:p>
      <w:pPr>
        <w:ind w:left="380" w:hanging="318"/>
        <w:spacing w:after="0"/>
        <w:tabs>
          <w:tab w:leader="none" w:pos="38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color w:val="auto"/>
        </w:rPr>
        <w:t xml:space="preserve">Basic net income per share was US$0.27 (US$1.36 per ADS). Non-GAAP basic net income per share was US$0.32 (US$1.58 per ADS). </w:t>
      </w:r>
      <w:r>
        <w:rPr>
          <w:rFonts w:ascii="Arial" w:cs="Arial" w:eastAsia="Arial" w:hAnsi="Arial"/>
          <w:sz w:val="27"/>
          <w:szCs w:val="27"/>
          <w:color w:val="auto"/>
          <w:vertAlign w:val="superscript"/>
        </w:rPr>
        <w:t>[2]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and Early 2022 Operational Highlights</w:t>
      </w:r>
    </w:p>
    <w:p>
      <w:pPr>
        <w:spacing w:after="0" w:line="227" w:lineRule="exact"/>
        <w:rPr>
          <w:sz w:val="20"/>
          <w:szCs w:val="20"/>
          <w:color w:val="auto"/>
        </w:rPr>
      </w:pPr>
    </w:p>
    <w:p>
      <w:pPr>
        <w:ind w:left="380" w:hanging="31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hit titles amassed immediate player popularity including:</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Naraka: Bladepoint</w:t>
      </w:r>
      <w:r>
        <w:rPr>
          <w:rFonts w:ascii="Arial" w:cs="Arial" w:eastAsia="Arial" w:hAnsi="Arial"/>
          <w:sz w:val="18"/>
          <w:szCs w:val="18"/>
          <w:color w:val="auto"/>
        </w:rPr>
        <w:t>, which continually hit record-high users and was named a “Top Seller” on Steam’s Best of 2021 games list. A new Bruce</w:t>
      </w:r>
      <w:r>
        <w:rPr>
          <w:rFonts w:ascii="Arial" w:cs="Arial" w:eastAsia="Arial" w:hAnsi="Arial"/>
          <w:sz w:val="18"/>
          <w:szCs w:val="18"/>
          <w:i w:val="1"/>
          <w:iCs w:val="1"/>
          <w:color w:val="auto"/>
        </w:rPr>
        <w:t xml:space="preserve"> </w:t>
      </w:r>
      <w:r>
        <w:rPr>
          <w:rFonts w:ascii="Arial" w:cs="Arial" w:eastAsia="Arial" w:hAnsi="Arial"/>
          <w:sz w:val="18"/>
          <w:szCs w:val="18"/>
          <w:color w:val="auto"/>
        </w:rPr>
        <w:t>Lee-themed crossover addition also invigorated the global player community.</w:t>
      </w:r>
    </w:p>
    <w:p>
      <w:pPr>
        <w:spacing w:after="0" w:line="170" w:lineRule="exact"/>
        <w:rPr>
          <w:rFonts w:ascii="Arial" w:cs="Arial" w:eastAsia="Arial" w:hAnsi="Arial"/>
          <w:sz w:val="18"/>
          <w:szCs w:val="18"/>
          <w:color w:val="auto"/>
        </w:rPr>
      </w:pPr>
    </w:p>
    <w:p>
      <w:pPr>
        <w:ind w:left="760" w:right="20" w:hanging="320"/>
        <w:spacing w:after="0" w:line="277"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Harry Potter: Magic Awakened</w:t>
      </w:r>
      <w:r>
        <w:rPr>
          <w:rFonts w:ascii="Arial" w:cs="Arial" w:eastAsia="Arial" w:hAnsi="Arial"/>
          <w:sz w:val="18"/>
          <w:szCs w:val="18"/>
          <w:color w:val="auto"/>
        </w:rPr>
        <w:t>, with captivating content updates that drove the game ranking to a leading position on China’s iOS download</w:t>
      </w:r>
      <w:r>
        <w:rPr>
          <w:rFonts w:ascii="Arial" w:cs="Arial" w:eastAsia="Arial" w:hAnsi="Arial"/>
          <w:sz w:val="18"/>
          <w:szCs w:val="18"/>
          <w:i w:val="1"/>
          <w:iCs w:val="1"/>
          <w:color w:val="auto"/>
        </w:rPr>
        <w:t xml:space="preserve"> </w:t>
      </w:r>
      <w:r>
        <w:rPr>
          <w:rFonts w:ascii="Arial" w:cs="Arial" w:eastAsia="Arial" w:hAnsi="Arial"/>
          <w:sz w:val="18"/>
          <w:szCs w:val="18"/>
          <w:color w:val="auto"/>
        </w:rPr>
        <w:t>chart and grossing chart multiple times.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The Showbiz: Dream Chaser</w:t>
      </w:r>
      <w:r>
        <w:rPr>
          <w:rFonts w:ascii="Arial" w:cs="Arial" w:eastAsia="Arial" w:hAnsi="Arial"/>
          <w:sz w:val="18"/>
          <w:szCs w:val="18"/>
          <w:color w:val="auto"/>
        </w:rPr>
        <w:t>, which ranked No. 1 on China’s iOS download chart after its December 2021 debut.</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Extended the reach of leading franchise titles including both the </w:t>
      </w:r>
      <w:r>
        <w:rPr>
          <w:rFonts w:ascii="Arial" w:cs="Arial" w:eastAsia="Arial" w:hAnsi="Arial"/>
          <w:sz w:val="18"/>
          <w:szCs w:val="18"/>
          <w:i w:val="1"/>
          <w:iCs w:val="1"/>
          <w:color w:val="auto"/>
        </w:rPr>
        <w:t>Fantasy Westward Journey</w:t>
      </w:r>
      <w:r>
        <w:rPr>
          <w:rFonts w:ascii="Arial" w:cs="Arial" w:eastAsia="Arial" w:hAnsi="Arial"/>
          <w:sz w:val="18"/>
          <w:szCs w:val="18"/>
          <w:color w:val="auto"/>
        </w:rPr>
        <w:t xml:space="preserve"> and </w:t>
      </w:r>
      <w:r>
        <w:rPr>
          <w:rFonts w:ascii="Arial" w:cs="Arial" w:eastAsia="Arial" w:hAnsi="Arial"/>
          <w:sz w:val="18"/>
          <w:szCs w:val="18"/>
          <w:i w:val="1"/>
          <w:iCs w:val="1"/>
          <w:color w:val="auto"/>
        </w:rPr>
        <w:t>Westward Journey Online</w:t>
      </w:r>
      <w:r>
        <w:rPr>
          <w:rFonts w:ascii="Arial" w:cs="Arial" w:eastAsia="Arial" w:hAnsi="Arial"/>
          <w:sz w:val="18"/>
          <w:szCs w:val="18"/>
          <w:color w:val="auto"/>
        </w:rPr>
        <w:t xml:space="preserve"> series.</w:t>
      </w:r>
    </w:p>
    <w:p>
      <w:pPr>
        <w:spacing w:after="0" w:line="129" w:lineRule="exact"/>
        <w:rPr>
          <w:rFonts w:ascii="Arial" w:cs="Arial" w:eastAsia="Arial" w:hAnsi="Arial"/>
          <w:sz w:val="18"/>
          <w:szCs w:val="18"/>
          <w:color w:val="auto"/>
        </w:rPr>
      </w:pPr>
    </w:p>
    <w:p>
      <w:pPr>
        <w:ind w:left="380" w:hanging="318"/>
        <w:spacing w:after="0"/>
        <w:tabs>
          <w:tab w:leader="none" w:pos="380" w:val="left"/>
        </w:tabs>
        <w:numPr>
          <w:ilvl w:val="0"/>
          <w:numId w:val="4"/>
        </w:numPr>
        <w:rPr>
          <w:rFonts w:ascii="Arial" w:cs="Arial" w:eastAsia="Arial" w:hAnsi="Arial"/>
          <w:sz w:val="32"/>
          <w:szCs w:val="32"/>
          <w:color w:val="auto"/>
          <w:vertAlign w:val="superscript"/>
        </w:rPr>
      </w:pPr>
      <w:r>
        <w:rPr>
          <w:rFonts w:ascii="Arial" w:cs="Arial" w:eastAsia="Arial" w:hAnsi="Arial"/>
          <w:sz w:val="16"/>
          <w:szCs w:val="16"/>
          <w:color w:val="auto"/>
        </w:rPr>
        <w:t xml:space="preserve">Continued the advancement of upcoming games pipeline such as console and mobile versions of </w:t>
      </w:r>
      <w:r>
        <w:rPr>
          <w:rFonts w:ascii="Arial" w:cs="Arial" w:eastAsia="Arial" w:hAnsi="Arial"/>
          <w:sz w:val="16"/>
          <w:szCs w:val="16"/>
          <w:i w:val="1"/>
          <w:iCs w:val="1"/>
          <w:color w:val="auto"/>
        </w:rPr>
        <w:t>Naraka: Bladepoint</w:t>
      </w:r>
      <w:r>
        <w:rPr>
          <w:rFonts w:ascii="Arial" w:cs="Arial" w:eastAsia="Arial" w:hAnsi="Arial"/>
          <w:sz w:val="16"/>
          <w:szCs w:val="16"/>
          <w:color w:val="auto"/>
        </w:rPr>
        <w:t xml:space="preserve">, </w:t>
      </w:r>
      <w:r>
        <w:rPr>
          <w:rFonts w:ascii="Arial" w:cs="Arial" w:eastAsia="Arial" w:hAnsi="Arial"/>
          <w:sz w:val="16"/>
          <w:szCs w:val="16"/>
          <w:i w:val="1"/>
          <w:iCs w:val="1"/>
          <w:color w:val="auto"/>
        </w:rPr>
        <w:t>Diablo</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Immortal™</w:t>
      </w:r>
      <w:r>
        <w:rPr>
          <w:rFonts w:ascii="Arial" w:cs="Arial" w:eastAsia="Arial" w:hAnsi="Arial"/>
          <w:sz w:val="16"/>
          <w:szCs w:val="16"/>
          <w:color w:val="auto"/>
        </w:rPr>
        <w:t xml:space="preserve"> and </w:t>
      </w:r>
      <w:r>
        <w:rPr>
          <w:rFonts w:ascii="Arial" w:cs="Arial" w:eastAsia="Arial" w:hAnsi="Arial"/>
          <w:sz w:val="16"/>
          <w:szCs w:val="16"/>
          <w:i w:val="1"/>
          <w:iCs w:val="1"/>
          <w:color w:val="auto"/>
        </w:rPr>
        <w:t>Ghost</w:t>
      </w:r>
    </w:p>
    <w:p>
      <w:pPr>
        <w:ind w:left="380"/>
        <w:spacing w:after="0"/>
        <w:rPr>
          <w:rFonts w:ascii="Arial" w:cs="Arial" w:eastAsia="Arial" w:hAnsi="Arial"/>
          <w:sz w:val="32"/>
          <w:szCs w:val="32"/>
          <w:color w:val="auto"/>
          <w:vertAlign w:val="superscript"/>
        </w:rPr>
      </w:pPr>
      <w:r>
        <w:rPr>
          <w:rFonts w:ascii="Arial" w:cs="Arial" w:eastAsia="Arial" w:hAnsi="Arial"/>
          <w:sz w:val="17"/>
          <w:szCs w:val="17"/>
          <w:i w:val="1"/>
          <w:iCs w:val="1"/>
          <w:color w:val="auto"/>
        </w:rPr>
        <w:t>World Chronicle</w:t>
      </w:r>
      <w:r>
        <w:rPr>
          <w:rFonts w:ascii="Arial" w:cs="Arial" w:eastAsia="Arial" w:hAnsi="Arial"/>
          <w:sz w:val="17"/>
          <w:szCs w:val="17"/>
          <w:color w:val="auto"/>
        </w:rPr>
        <w:t>, as well as the roll-out of</w:t>
      </w:r>
      <w:r>
        <w:rPr>
          <w:rFonts w:ascii="Arial" w:cs="Arial" w:eastAsia="Arial" w:hAnsi="Arial"/>
          <w:sz w:val="17"/>
          <w:szCs w:val="17"/>
          <w:i w:val="1"/>
          <w:iCs w:val="1"/>
          <w:color w:val="auto"/>
        </w:rPr>
        <w:t xml:space="preserve"> Harry Potter: Magic Awakened </w:t>
      </w:r>
      <w:r>
        <w:rPr>
          <w:rFonts w:ascii="Arial" w:cs="Arial" w:eastAsia="Arial" w:hAnsi="Arial"/>
          <w:sz w:val="17"/>
          <w:szCs w:val="17"/>
          <w:color w:val="auto"/>
        </w:rPr>
        <w:t>and</w:t>
      </w:r>
      <w:r>
        <w:rPr>
          <w:rFonts w:ascii="Arial" w:cs="Arial" w:eastAsia="Arial" w:hAnsi="Arial"/>
          <w:sz w:val="17"/>
          <w:szCs w:val="17"/>
          <w:i w:val="1"/>
          <w:iCs w:val="1"/>
          <w:color w:val="auto"/>
        </w:rPr>
        <w:t xml:space="preserve"> Dead by Daylight Mobile -NetEase </w:t>
      </w:r>
      <w:r>
        <w:rPr>
          <w:rFonts w:ascii="Arial" w:cs="Arial" w:eastAsia="Arial" w:hAnsi="Arial"/>
          <w:sz w:val="17"/>
          <w:szCs w:val="17"/>
          <w:color w:val="auto"/>
        </w:rPr>
        <w:t>in international markets.</w:t>
      </w:r>
    </w:p>
    <w:p>
      <w:pPr>
        <w:spacing w:after="0" w:line="220" w:lineRule="exact"/>
        <w:rPr>
          <w:rFonts w:ascii="Arial" w:cs="Arial" w:eastAsia="Arial" w:hAnsi="Arial"/>
          <w:sz w:val="32"/>
          <w:szCs w:val="32"/>
          <w:color w:val="auto"/>
          <w:vertAlign w:val="superscript"/>
        </w:rPr>
      </w:pPr>
    </w:p>
    <w:p>
      <w:pPr>
        <w:ind w:left="380" w:hanging="318"/>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Achieved continuing operating cash inflow from Youdao for the fourth quarter of 2021, while advancing its learning services and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8"/>
        <w:spacing w:after="0" w:line="209" w:lineRule="auto"/>
        <w:tabs>
          <w:tab w:leader="none" w:pos="2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As used in this announcement, non-GAAP net income attributable to the Company’s shareholders and non-GAAP basic and diluted net income per share and per ADS are defined to exclude share-based compensation expenses. See “Unaudited Reconciliation of GAAP and Non-GAAP Results” in this announcement.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left="380" w:hanging="318"/>
        <w:spacing w:after="0" w:line="259"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completed the initial public offering and listing of Cloud Village Inc. (HKEX: 9899, “Cloud Village”) on The Stock Exchange of Hong Kong Limited (the “Hong Kong Stock Exchange”) in December 2021. Increased Cloud Music’s MAUs of online music services around 1% from 2020 to 2021. Continued to nurture independent artists, serving more than 400,000 independent musicians by the end of 2021 through Cloud Music platforms.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“2021 was a fruitful year with exciting new titles and steady development that propelled growth across our business. We closed the year with total net revenues of RMB24.4 billion in the fourth quarter, up 23.3% year-over-year,” said Mr. William Ding, CEO and Director of NetEase. “While our flagship titles remain strong, we also introduced a number of highly successful games, including </w:t>
      </w:r>
      <w:r>
        <w:rPr>
          <w:rFonts w:ascii="Arial" w:cs="Arial" w:eastAsia="Arial" w:hAnsi="Arial"/>
          <w:sz w:val="18"/>
          <w:szCs w:val="18"/>
          <w:i w:val="1"/>
          <w:iCs w:val="1"/>
          <w:color w:val="auto"/>
        </w:rPr>
        <w:t>Naraka: Bladepoint</w:t>
      </w:r>
      <w:r>
        <w:rPr>
          <w:rFonts w:ascii="Arial" w:cs="Arial" w:eastAsia="Arial" w:hAnsi="Arial"/>
          <w:sz w:val="18"/>
          <w:szCs w:val="18"/>
          <w:color w:val="auto"/>
        </w:rPr>
        <w:t xml:space="preserve"> and </w:t>
      </w:r>
      <w:r>
        <w:rPr>
          <w:rFonts w:ascii="Arial" w:cs="Arial" w:eastAsia="Arial" w:hAnsi="Arial"/>
          <w:sz w:val="18"/>
          <w:szCs w:val="18"/>
          <w:i w:val="1"/>
          <w:iCs w:val="1"/>
          <w:color w:val="auto"/>
        </w:rPr>
        <w:t>Harry Potter: Magic Awakened</w:t>
      </w:r>
      <w:r>
        <w:rPr>
          <w:rFonts w:ascii="Arial" w:cs="Arial" w:eastAsia="Arial" w:hAnsi="Arial"/>
          <w:sz w:val="18"/>
          <w:szCs w:val="18"/>
          <w:color w:val="auto"/>
        </w:rPr>
        <w:t>. These new titles further strengthen our portfolio and demonstrate our ability to develop world-class IP. For 2022, we are very excited to introduce more new games to broader demographics, paving the way for solid growth.</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“Having completed Cloud Village’s IPO, we will continue to improve our music platforms’ infrastructure and offerings to enrich our users’ experience. In 2022 we plan to further cultivate our core interests and enhance content within each of our verticals,” Mr. Ding concluded.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revenues for the fourth quarter of 2021 were RMB24,373.6 million (US$3,824.7 million), compared with RMB22,190.7 million and RMB19,761.7 million for the preceding quarter and the fourth quarter of 2020,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from online game services were RMB17,397.5 million (US$2,730.1 million) for the fourth quarter of 2021, compared with RMB15,899.1 million and RMB13,400.2 million for the preceding quarter and the fourth quarter of 2020, respectively. Net revenues from mobile games accounted for approximately 68.3% of net revenues from online game services for the fourth quarter of 2021, compared with 69.2% and 72.4% for the preceding quarter and the fourth quarter of 2020,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revenues from Youdao were RMB1,333.8 million (US$209.3 million) for the fourth quarter of 2021, compared with RMB1,387.3 million and RMB1,106.8 million for the preceding quarter and the fourth quarter of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revenues from Cloud Music were RMB1,889.3 million (US$296.5 million) for the fourth quarter of 2021, compared with RMB1,924.7 million and RMB1,524.5 million for the preceding quarter and the fourth quarter of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revenues from innovative businesses and others were RMB3,753.0 million (US$588.9 million) for the fourth quarter of 2021, compared with RMB2,979.7 million and RMB3,730.3 million for the preceding quarter and the fourth quarter of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fourth quarter of 2021 was RMB12,917.8 million (US$2,027.1 million), compared with RMB11,810.8 million and RMB9,927.8 million for the preceding quarter and the fourth quarter of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quarter-over-quarter and year-over-year increases in online game services gross profit were primarily due to increased net revenues from new games such as </w:t>
      </w:r>
      <w:r>
        <w:rPr>
          <w:rFonts w:ascii="Arial" w:cs="Arial" w:eastAsia="Arial" w:hAnsi="Arial"/>
          <w:sz w:val="18"/>
          <w:szCs w:val="18"/>
          <w:i w:val="1"/>
          <w:iCs w:val="1"/>
          <w:color w:val="auto"/>
        </w:rPr>
        <w:t>Naraka: Bladepoint</w:t>
      </w:r>
      <w:r>
        <w:rPr>
          <w:rFonts w:ascii="Arial" w:cs="Arial" w:eastAsia="Arial" w:hAnsi="Arial"/>
          <w:sz w:val="18"/>
          <w:szCs w:val="18"/>
          <w:color w:val="auto"/>
        </w:rPr>
        <w:t xml:space="preserve"> and </w:t>
      </w:r>
      <w:r>
        <w:rPr>
          <w:rFonts w:ascii="Arial" w:cs="Arial" w:eastAsia="Arial" w:hAnsi="Arial"/>
          <w:sz w:val="18"/>
          <w:szCs w:val="18"/>
          <w:i w:val="1"/>
          <w:iCs w:val="1"/>
          <w:color w:val="auto"/>
        </w:rPr>
        <w:t>Harry Potter: Magic Awakened</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quarter-over-quarter decrease in Youdao gross profit was primarily due to decreased net revenues from its after-school tutoring services for academic subjects under China’s compulsory education system (the “Academic AST Business”) which were included in its learning services. The year-over-year increase was primarily due to business development from its learning services.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quarter-over-quarter increase in Cloud Music gross profit was primarily due to improved cost control. The year-over-year increase was primarily due to the increased net revenues from its social entertainment services and others as well as improved cost control.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quarter-over-quarter increase in innovative businesses and others gross profit was primarily due to increased gross profit from advertising services and </w:t>
      </w:r>
      <w:r>
        <w:rPr>
          <w:rFonts w:ascii="Arial" w:cs="Arial" w:eastAsia="Arial" w:hAnsi="Arial"/>
          <w:sz w:val="18"/>
          <w:szCs w:val="18"/>
          <w:i w:val="1"/>
          <w:iCs w:val="1"/>
          <w:color w:val="auto"/>
        </w:rPr>
        <w:t>Yanxuan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margin for online game services for the fourth quarter of 2021 was 64.1%, compared with 64.5% and 63.1% for the preceding quarter and the fourth quarter of 2020, respectively. Gross profit margin for online game services generally fluctuates within a narrow band based on the revenue mix of mobile and PC games, as well as NetEase’s self-developed and licensed games.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margin for Youdao for the fourth quarter of 2021 was 50.7%, compared with 56.6% and 47.5% for the preceding quarter and the fourth quarter of 2020, respectively. The quarter-over-quarter and year-over-year fluctuations were mainly due to the development and changes of its Academic AST Business.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profit margin for Cloud Music for the fourth quarter of 2021 was 4.1%, compared with 2.2% and negative gross profit margin of 7.1% for the preceding quarter and the fourth quarter of 2020, respectively. The quarter-over-quarter and year-over-year improvements were mainly due to the factors enumerated above.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margin for innovative businesses and others for the fourth quarter of 2021 was 26.8%, compared with 24.2% and 28.2% for the preceding quarter and the fourth quarter of 2020, respectively. The quarter-over-quarter increase was primarily due to increased gross profit margin from advertising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for the fourth quarter of 2021 were RMB8,309.6 million (US$1,304.0 million), compared with RMB8,035.6 million and RMB6,915.8 million for the preceding quarter and the fourth quarter of 2020, respectively. The quarter-over-quarter and year-over-year increases were mainly due to increased marketing expenditures related to online game services, higher staff-related costs and research and development investments, partially offset by decreased marketing expenditures related to Youdao.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(expenses) consisted of investment (loss)/ income, interest income, exchange (losses)/ gains and others. The quarter-over-quarter increase in net other income was mainly due to higher investment income arising from fair value changes of equity investments, partially offset by higher unrealized exchange losses arising from the Company’s U.S. dollar-denominated bank deposits and loans balances as the exchange rate of the U.S. dollar against the RMB fluctuated over the periods. The year-over-year increase in net other income was mainly due to higher investment income arising from fair value changes of equity investments and reduced unrealized exchange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net income tax charge of RMB934.0 million (US$146.6 million) for the fourth quarter of 2021, compared with RMB807.6 million and RMB552.7 million for the preceding quarter and the fourth quarter of 2020, respectively. The effective tax rate for the fourth quarter of 2021 was 14.2%, compared with 19.6% and 37.2% for the preceding quarter and the fourth quarter of 2020, respectively. The effective tax rate represents certain estimates by the Company regarding the tax obligations and benefits applicable to it in each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and Non-GAAP Net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the Company’s shareholders for the fourth quarter of 2021 totaled RMB5,694.2 million (US$893.5 million), compared with RMB3,181.8 million and RMB975.7 million for the preceding quarter and the fourth quarter of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income attributable to the Company’s shareholders for the fourth quarter of 2021 totaled RMB6,595.6 million (US$1,035.0 million), compared with RMB3,857.8 million and RMB1,597.9 million for the preceding quarter and the fourth quarter of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NetEase reported basic net income of US$0.27 per share (US$1.36 per ADS) for the fourth quarter of 2021, compared with US$0.15 per share (US$0.75 per ADS) and US$0.05 (US$0.23 per ADS) for the preceding quarter and the fourth quarter of 2020,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NetEase reported non-GAAP basic net income of US$0.32 per share (US$1.58 per ADS) for the fourth quarter of 2021, compared with US$0.18 per share (US$0.91 per ADS) and US$0.08 per share (US$0.37 per ADS) for the preceding quarter and the fourth quarter of 2020,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Fiscal Year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fiscal year 2021 were RMB87,606.0 million (US$13,747.3 million), compared with RMB73,667.1 million for fiscal year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from online game services were RMB62,806.5 million (US$9,855.7 million) for fiscal year 2021, compared with RMB54,608.7 million for fiscal year 2020. Net revenues from mobile games accounted for approximately 70.4% of net revenues from online game services for fiscal year 2021, compared with 71.9% for fiscal year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Net revenues from Youdao were RMB5,354.4 million (US$840.2 million) for fiscal year 2021, compared with RMB3,167.5 million for fiscal year 2020.</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revenues from Cloud Music were RMB6,997.6 million (US$1,098.1 million) for fiscal year 2021, compared with RMB4,895.7 million for fiscal year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revenues from innovative businesses and others were RMB12,447.6 million (US$1,953.3 million) for fiscal year 2021, compared with RMB10,995.2 million for fiscal year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fiscal year 2021 was RMB46,970.8 million (US$7,370.7 million), compared with RMB38,983.4 million for fiscal year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year-over-year increase in online game services gross profit was primarily due to increased net revenues resulting from the launch of new games during the year such as </w:t>
      </w:r>
      <w:r>
        <w:rPr>
          <w:rFonts w:ascii="Arial" w:cs="Arial" w:eastAsia="Arial" w:hAnsi="Arial"/>
          <w:sz w:val="18"/>
          <w:szCs w:val="18"/>
          <w:i w:val="1"/>
          <w:iCs w:val="1"/>
          <w:color w:val="auto"/>
        </w:rPr>
        <w:t>Revelation</w:t>
      </w:r>
      <w:r>
        <w:rPr>
          <w:rFonts w:ascii="Arial" w:cs="Arial" w:eastAsia="Arial" w:hAnsi="Arial"/>
          <w:sz w:val="18"/>
          <w:szCs w:val="18"/>
          <w:color w:val="auto"/>
        </w:rPr>
        <w:t xml:space="preserve"> mobile game, </w:t>
      </w:r>
      <w:r>
        <w:rPr>
          <w:rFonts w:ascii="Arial" w:cs="Arial" w:eastAsia="Arial" w:hAnsi="Arial"/>
          <w:sz w:val="18"/>
          <w:szCs w:val="18"/>
          <w:i w:val="1"/>
          <w:iCs w:val="1"/>
          <w:color w:val="auto"/>
        </w:rPr>
        <w:t>Naraka: Bladepoint</w:t>
      </w:r>
      <w:r>
        <w:rPr>
          <w:rFonts w:ascii="Arial" w:cs="Arial" w:eastAsia="Arial" w:hAnsi="Arial"/>
          <w:sz w:val="18"/>
          <w:szCs w:val="18"/>
          <w:color w:val="auto"/>
        </w:rPr>
        <w:t xml:space="preserve"> and </w:t>
      </w:r>
      <w:r>
        <w:rPr>
          <w:rFonts w:ascii="Arial" w:cs="Arial" w:eastAsia="Arial" w:hAnsi="Arial"/>
          <w:sz w:val="18"/>
          <w:szCs w:val="18"/>
          <w:i w:val="1"/>
          <w:iCs w:val="1"/>
          <w:color w:val="auto"/>
        </w:rPr>
        <w:t>Harry Potter: Magic Awakened</w:t>
      </w:r>
      <w:r>
        <w:rPr>
          <w:rFonts w:ascii="Arial" w:cs="Arial" w:eastAsia="Arial" w:hAnsi="Arial"/>
          <w:sz w:val="18"/>
          <w:szCs w:val="18"/>
          <w:color w:val="auto"/>
        </w:rPr>
        <w:t xml:space="preserve">, as well as from certain existing games such as the </w:t>
      </w:r>
      <w:r>
        <w:rPr>
          <w:rFonts w:ascii="Arial" w:cs="Arial" w:eastAsia="Arial" w:hAnsi="Arial"/>
          <w:sz w:val="18"/>
          <w:szCs w:val="18"/>
          <w:i w:val="1"/>
          <w:iCs w:val="1"/>
          <w:color w:val="auto"/>
        </w:rPr>
        <w:t>Fantasy Westward Journey</w:t>
      </w:r>
      <w:r>
        <w:rPr>
          <w:rFonts w:ascii="Arial" w:cs="Arial" w:eastAsia="Arial" w:hAnsi="Arial"/>
          <w:sz w:val="18"/>
          <w:szCs w:val="18"/>
          <w:color w:val="auto"/>
        </w:rPr>
        <w:t xml:space="preserve"> series and </w:t>
      </w:r>
      <w:r>
        <w:rPr>
          <w:rFonts w:ascii="Arial" w:cs="Arial" w:eastAsia="Arial" w:hAnsi="Arial"/>
          <w:sz w:val="18"/>
          <w:szCs w:val="18"/>
          <w:i w:val="1"/>
          <w:iCs w:val="1"/>
          <w:color w:val="auto"/>
        </w:rPr>
        <w:t>Sky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Youdao gross profit was primarily attributable to increased gross profit from its learning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Cloud Music gross profit was primarily attributable to increased net revenues as well as improved cost control.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slight year-over-year decrease in innovative businesses and others gross profit was primarily due to decreased gross profit from advertising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for fiscal year 2021 were RMB30,553.7 million (US$4,794.5 million), compared with RMB24,445.0 million for fiscal year 2020. The year-over-year increase was primarily due to increased marketing expenditures especially related to online game services, as well as higher research and development investments and staff-related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(expenses) consisted of investment income, interest income, exchange losses and others. The year-over-year increase in net other income was mainly due to a reduction in unrealized exchange losses recorded as well as higher investment income arising from fair value changes of equity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 net income tax charge of RMB4,128.3 million (US$647.8 million) for fiscal year 2021, compared with RMB3,041.8 million for fiscal year 2020. The effective tax rate was 19.6% for fiscal year 2021, compared with 19.8% for fiscal year 2020. The slightly lower effective tax rate for fiscal year 2021 was mainly due to reduced unrealized exchange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and Non-GAAP Net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the Company’s shareholders for fiscal year 2021 totaled RMB16,856.8 million (US$2,645.2 million), compared with RMB12,062.8 million for fiscal year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income attributable to the Company’s shareholders for fiscal year 2021 totaled RMB19,761.9 million (US$3,101.1 million), compared with RMB14,706.0 million for fiscal year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NetEase reported basic net income of US$0.80 per share (US$3.98 per ADS) for fiscal year 2021, compared with US$0.57 per share (US$2.86 per ADS) for fiscal year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NetEase reported non-GAAP basic net income of US$0.93 per share (US$4.66 per ADS) for fiscal year 2021, compared with US$0.70 per share (US$3.49 per ADS) for fiscal year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Quarterly Dividend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board of directors has approved a dividend of US$0.0810 per share (US$0.4050 per ADS) for the fourth quarter of 2021, to holders of ordinary shares and holders of ADSs as of the close of business on March 11, 2022, Beijing/Hong Kong Time and New York Time, respectively, payable in U.S. dollars. For holders of ordinary shares, in order to qualify for the dividend, all valid documents for the transfer of shares accompanied by the relevant share certificates must be lodged for registration with the Company’s Hong Kong branch share registrar, Computershare Hong Kong Investor Services Limited, at Shops 1712-1716, 17th Floor, Hopewell Centre, 183 Queen’s Road East, Wanchai, Hong Kong no later than 4:30 p.m. on March 11, 2022 (Beijing/ Hong Kong Time). The payment date is expected to be on March 22, 2022 for holders of ordinary shares and on or around March 25, 2022 for holders of ADSs.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NetEase paid a dividend of US$0.0450 per share (US$0.2250 per ADS) for the third quarter of 2021 in December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the Company’s policy is to set quarterly dividends at an amount equivalent to approximately 20%-30% of the Company’s anticipated net income after tax in each fiscal quarter. Future declarations of dividends and the establishment of future record and payment dates are subject to the final determination of NetEase’s board of directors and will be based upon the Company’s operations and earnings, cash flow, financial condition and other relevant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Company’s total cash and cash equivalents, current and non-current time deposits and short-term investments balance totaled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RMB103.4 billion (US$16.2 billion), compared with RMB100.1 billion as of December 31, 2020. Cash flow generated from operating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RMB24.9 billion (US$3.9 billion) for fiscal year 2021, compared to RMB24.9 billion for fiscal year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Youdao’s Disposal of Academic After-School Tutoring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Youdao has ceased offering after-school tutoring services for academic subjects under China’s compulsory education system and completed the disposal of this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Change in Segment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in the fourth quarter of 2021, the Company changed its segment disclosure to separately report the results of its Cloud Music business, generated from its majority-controlled subsidiary Cloud Village which completed its initial public offering and listing on the Hong Kong Stock Exchange in December 2021. As a result, the Company now reports segments as online game services, Youdao, Cloud Music and innovative businesses and others. This change in segment reporting aligns with the manner, in which the Company’s chief operating decision maker (“CODM”) currently receives and uses financial information to allocate resources and evaluate the performance of reporting segments. The Company retrospectively revised prior period segment information to conform to current periods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 Purchase Program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2021, the Company announced that its board of directors had approved a share repurchase program of up to US$2.0 billion of the Company’s outstanding ADSs and ordinary shares in open market transactions for a period not to exceed 24 months beginning on March 2, 2021. On August 31, 2021, the Company announced that its board of directors had approved an amendment to such program to increase the total authorized repurchase amount to US$3.0 billion. As of December 31, 2021, approximately 18.5 million ADSs had been repurchased under this program for a total cost of US$1.8 billion.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2021, the Company announced that its board of directors had approved a share purchase program of up to US$50.0 million of Youdao’s outstanding ADSs for a period not to exceed 36 months beginning on September 2, 2021. Under the terms of this program, NetEase may purchase Youdao’s ADSs in open-market transactions on the New York Stock Exchange. As of December 31, 2021, approximately 0.6 million ADSs had been purchased under this program for a total cost of US$8.2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to which NetEase repurchases its ADSs and its ordinary shares or purchases Youdao’s ADSs will depend upon a variety of factors, including market conditions. These programs may be suspended or discontinued at any time.</w:t>
      </w:r>
    </w:p>
    <w:p>
      <w:pPr>
        <w:spacing w:after="0" w:line="170" w:lineRule="exact"/>
        <w:rPr>
          <w:sz w:val="20"/>
          <w:szCs w:val="20"/>
          <w:color w:val="auto"/>
        </w:rPr>
      </w:pPr>
    </w:p>
    <w:p>
      <w:pPr>
        <w:ind w:firstLine="8"/>
        <w:spacing w:after="0" w:line="277" w:lineRule="auto"/>
        <w:tabs>
          <w:tab w:leader="none" w:pos="2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United States dollar (US$) amounts disclosed in this announcement are presented solely for the convenience of the reader. The percentages stated are calculated based on RMB.</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NetEase’s management team will host a teleconference call with simultaneous webcast at 7:00 a.m. New York Time on Thursday, February 24, 2022 (Beijing/Hong Kong Time: 8:00 p.m., Thursday, February 24, 2022). NetEase’s management will be on the call to discuss the quarterly results and answer questions.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Interested parties may participate in the conference call by dialing 1-646-828-8073 and providing conference ID: 6712767, 15 minutes prior to the initiation of the call. A replay of the call will be available by dialing 1-719-457-0820 and entering passcode 6712767#. The replay will be available through March 9,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This call will be webcast live and the replay will be available for 12 months. Both will be available on NetEase’s Investor Relations website at </w:t>
      </w:r>
      <w:r>
        <w:rPr>
          <w:rFonts w:ascii="Arial" w:cs="Arial" w:eastAsia="Arial" w:hAnsi="Arial"/>
          <w:sz w:val="18"/>
          <w:szCs w:val="18"/>
          <w:u w:val="single" w:color="auto"/>
          <w:color w:val="auto"/>
        </w:rPr>
        <w:t>http://ir.netease.com/.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NetEase,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leading internet technology company based in China, NetEase, Inc. (NASDAQ: NTES and HKEX: 9999, “NetEase”) provides premium online services centered around innovative and diverse content, community, communication and commerce. NetEase develops and operates some of China’s most popular mobile and PC games. In more recent years, NetEase has expanded into international markets including Japan and North America. In addition to its self-developed game content, NetEase partners with other leading game developers, such as Blizzard Entertainment and Mojang AB (a Microsoft subsidiary), to operate globally renowned games in China. NetEase’s other innovative service offerings include the majority-controlled subsidiaries </w:t>
      </w:r>
      <w:r>
        <w:rPr>
          <w:rFonts w:ascii="Arial" w:cs="Arial" w:eastAsia="Arial" w:hAnsi="Arial"/>
          <w:sz w:val="18"/>
          <w:szCs w:val="18"/>
          <w:i w:val="1"/>
          <w:iCs w:val="1"/>
          <w:color w:val="auto"/>
        </w:rPr>
        <w:t>Youdao</w:t>
      </w:r>
      <w:r>
        <w:rPr>
          <w:rFonts w:ascii="Arial" w:cs="Arial" w:eastAsia="Arial" w:hAnsi="Arial"/>
          <w:sz w:val="18"/>
          <w:szCs w:val="18"/>
          <w:color w:val="auto"/>
        </w:rPr>
        <w:t xml:space="preserve"> (NYSE: DAO), China’s leading intelligent learning company, and Cloud Village (HKEX: 9899), also known as </w:t>
      </w:r>
      <w:r>
        <w:rPr>
          <w:rFonts w:ascii="Arial" w:cs="Arial" w:eastAsia="Arial" w:hAnsi="Arial"/>
          <w:sz w:val="18"/>
          <w:szCs w:val="18"/>
          <w:i w:val="1"/>
          <w:iCs w:val="1"/>
          <w:color w:val="auto"/>
        </w:rPr>
        <w:t>NetEase Cloud Music</w:t>
      </w:r>
      <w:r>
        <w:rPr>
          <w:rFonts w:ascii="Arial" w:cs="Arial" w:eastAsia="Arial" w:hAnsi="Arial"/>
          <w:sz w:val="18"/>
          <w:szCs w:val="18"/>
          <w:color w:val="auto"/>
        </w:rPr>
        <w:t xml:space="preserve">, China’s leading online music content community, as well as </w:t>
      </w:r>
      <w:r>
        <w:rPr>
          <w:rFonts w:ascii="Arial" w:cs="Arial" w:eastAsia="Arial" w:hAnsi="Arial"/>
          <w:sz w:val="18"/>
          <w:szCs w:val="18"/>
          <w:i w:val="1"/>
          <w:iCs w:val="1"/>
          <w:color w:val="auto"/>
        </w:rPr>
        <w:t>Yanxuan</w:t>
      </w:r>
      <w:r>
        <w:rPr>
          <w:rFonts w:ascii="Arial" w:cs="Arial" w:eastAsia="Arial" w:hAnsi="Arial"/>
          <w:sz w:val="18"/>
          <w:szCs w:val="18"/>
          <w:color w:val="auto"/>
        </w:rPr>
        <w:t xml:space="preserve">, NetEase’s private label e-commerce platform. For more information, please visit: </w:t>
      </w:r>
      <w:r>
        <w:rPr>
          <w:rFonts w:ascii="Arial" w:cs="Arial" w:eastAsia="Arial" w:hAnsi="Arial"/>
          <w:sz w:val="18"/>
          <w:szCs w:val="18"/>
          <w:u w:val="single" w:color="auto"/>
          <w:color w:val="auto"/>
        </w:rPr>
        <w:t>http://ir.netease.com/.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announcement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In addition, statements that are not historical facts, including statements about NetEase’s strategies and business plans, its expectations regarding the growth of its business and its revenue and the quotations from management in this announcement are or contain forward-looking statements. NetEase may also make forward-looking statements in its periodic reports to the U.S. Securities and Exchange Commission (the “SEC”), in announcements made on the website of The Stock Exchange of Hong Kong Limited (the “Hong Kong Stock Exchange”), in press releases and other written materials and in oral statements made by its officers, directors or employees to third parties. The accuracy of these statements may be impacted by a number of business risks and uncertainties that could cause actual results to differ materially from those projected or anticipated, including risks related to: the risk that the online game market will not continue to grow or that NetEase will not be able to maintain its position in that market in China or globally; the risk that COVID-19 or other health risks in China or globally could adversely affect the Company’s operations or financial results; risks associated with NetEase’s business and operating strategies and its ability to implement such strategies; NetEase’s ability to develop and manage its operations and business; competition for, among other things, capital, technology and skilled personnel; potential changes in government regulation that could adversely affect the industry and geographical markets in which NetEase operates, including, among others, initiatives to enhance supervision of companies listed on an overseas stock exchange and tighten scrutiny over data privacy and data security, as well as the risk that NetEase’s ADSs could be barred from trading in the United States as a result of the Holding Foreign Companies Accountable Act and the rules promulgated thereunder; the risk that NetEase may not be able to continuously develop new and creative online services or that NetEase will not be able to set, or follow in a timely manner, trends in the market; competition in NetEase’s existing and potential markets; and the risk that fluctuations in the value of the Renminbi with respect to other currencies could adversely affect NetEase’s business and financial results. Further information regarding these and other risks is included in NetEase’s filings with the SEC and announcements on the website of the Hong Kong Stock Exchange. NetEase does not undertake any obligation to update this forward-looking information, except as required under the applicable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NetEase considers and uses non-GAAP financial measures, such as non-GAAP net income attributable to the Company’s shareholders and non-GAAP basic and diluted net income per share and per ADS, as supplemental metrics in reviewing and assessing its operating performance and formulating its business plan. The presentation of non-GAAP financial measures is not intended to be considered in isolation or as a substitute for the financial information prepared and presented in accordance with accounting principles generally accepted in the United States of America (“U.S. GAAP”).</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NetEase defines non-GAAP net income attributable to the Company’s shareholders as net income attributable to the Company’s shareholders excluding share-based compensation expenses. Non-GAAP net income attributable to the Company’s shareholders enables NetEase’s management to assess its operating results without considering the impact of share-based compensation expenses. NetEase believes that these non-GAAP financial measures provide useful information to investors in understanding and evaluating the Company’s current operating performance and prospects in the same manner as management does, if they so choose. NetEase also believes that the use of this non-GAAP financial measure facilitates investors’ assessment of its operating performance.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financial measures are not defined under U.S. GAAP and are not presented in accordance with U.S. GAAP. Non-GAAP financial measures have limitations as analytical tools. One of the key limitations of using non-GAAP net income attributable to the Company’s shareholders is that it does not reflect all items of income / expense that affect our operations. Share-based compensation expenses have been and may continue to be incurred in NetEase’s business and are not reflected in the presentation of non-GAAP net income attributable to the Company’s shareholders. In addition, the non-GAAP financial measures NetEase uses may differ from the non-GAAP measures used by other companies, including peer companies, and therefore their comparability may be limited.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NetEase compensates for these limitations by reconciling non-GAAP net income attributable to the Company’s shareholders to the nearest U.S. GAAP performance measure, all of which should be considered when evaluating the Company’s performance. See “Unaudited Reconciliation of GAAP and Non-GAAP Results” at the end of this announcement. NetEase encourages you to review its financial information in its entirety and not rely on a single financial measure.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December 31,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RMB</w:t>
            </w:r>
          </w:p>
        </w:tc>
        <w:tc>
          <w:tcPr>
            <w:tcW w:w="2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RMB</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USD (Note 1)</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9,117,219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14,498,157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2,275,077</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71,079,327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70,754,846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11,102,979</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3,051,386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2,876,628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451,406</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4,576,445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5,507,988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864,324</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591,508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964,733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151,388</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Prepayments and other current assets, net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6,076,543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6,235,857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978,541</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13,273,026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12,281,548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1,927,243</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Assets held for sale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65,589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107,831,043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113,120,254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17,751,036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Property, equipment and software, net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4,549,943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5,433,858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852,691</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use right, net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4,178,257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4,108,090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644,649</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1,086,759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1,297,954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203,677</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5,823,840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913,888</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17,593,117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23,857,510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3,743,763</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Assets held for sale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34,043,539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40,523,670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141,874,582</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153,643,924</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24,110,084</w:t>
            </w:r>
          </w:p>
        </w:tc>
        <w:tc>
          <w:tcPr>
            <w:tcW w:w="100" w:type="dxa"/>
            <w:vAlign w:val="bottom"/>
            <w:tcBorders>
              <w:bottom w:val="single" w:sz="8" w:color="CCEEFF"/>
            </w:tcBorders>
          </w:tcPr>
          <w:p>
            <w:pPr>
              <w:spacing w:after="0"/>
              <w:rPr>
                <w:sz w:val="22"/>
                <w:szCs w:val="22"/>
                <w:color w:val="auto"/>
              </w:rPr>
            </w:pPr>
          </w:p>
        </w:tc>
      </w:tr>
      <w:tr>
        <w:trPr>
          <w:trHeight w:val="197"/>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Liabilities, Redeemable Noncontrolling Interests and Shareholders’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1,134,413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985,059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154,577</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Salary and welfare payables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3,538,732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4,133,254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648,598</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4,282,835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4,537,050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711,962</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loans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19,504,696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19,352,313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3,036,800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10,398,872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12,132,743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1,903,892</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 and other payables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7,337,672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9,360,907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1,468,931</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Liabilites held for sale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546,271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46,743,491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50,501,326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713,439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1,345,874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211,197</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loan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1,275,140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200,097</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623,728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1,097,708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172,254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1,337,167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3,718,722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48,080,658</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54,220,048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8,508,308</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10,796,120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145,238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22,791</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NetEase, Inc.’s shareholders’ equity</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82,126,798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95,328,080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14,959,056</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871,006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3,950,558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619,929</w:t>
            </w: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82,997,804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99,278,638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15,578,985</w:t>
            </w:r>
          </w:p>
        </w:tc>
        <w:tc>
          <w:tcPr>
            <w:tcW w:w="100" w:type="dxa"/>
            <w:vAlign w:val="bottom"/>
            <w:tcBorders>
              <w:bottom w:val="single" w:sz="8" w:color="CCEEFF"/>
            </w:tcBorders>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redeemable noncontrolling interests and shareholders’ equity</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141,874,582</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153,643,924</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24,110,084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right="5120"/>
        <w:spacing w:after="0" w:line="260" w:lineRule="auto"/>
        <w:rPr>
          <w:sz w:val="20"/>
          <w:szCs w:val="20"/>
          <w:color w:val="auto"/>
        </w:rPr>
      </w:pPr>
      <w:r>
        <w:rPr>
          <w:rFonts w:ascii="Arial" w:cs="Arial" w:eastAsia="Arial" w:hAnsi="Arial"/>
          <w:sz w:val="18"/>
          <w:szCs w:val="18"/>
          <w:b w:val="1"/>
          <w:bCs w:val="1"/>
          <w:color w:val="auto"/>
        </w:rPr>
        <w:t>UNAUDITED CONDENSED CONSOLIDATED STATEMENTS OF INCOME (in thousands, except per share data or per ADS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320" w:type="dxa"/>
            <w:vAlign w:val="bottom"/>
            <w:gridSpan w:val="2"/>
          </w:tcPr>
          <w:p>
            <w:pPr>
              <w:jc w:val="center"/>
              <w:ind w:right="139"/>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2"/>
          </w:tcPr>
          <w:p>
            <w:pPr>
              <w:jc w:val="center"/>
              <w:ind w:right="139"/>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340" w:type="dxa"/>
            <w:vAlign w:val="bottom"/>
            <w:gridSpan w:val="2"/>
          </w:tcPr>
          <w:p>
            <w:pPr>
              <w:jc w:val="center"/>
              <w:ind w:right="1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1120" w:type="dxa"/>
            <w:vAlign w:val="bottom"/>
            <w:gridSpan w:val="2"/>
          </w:tcPr>
          <w:p>
            <w:pPr>
              <w:jc w:val="center"/>
              <w:ind w:right="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940" w:type="dxa"/>
            <w:vAlign w:val="bottom"/>
            <w:gridSpan w:val="2"/>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0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2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13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19,761,738</w:t>
            </w:r>
          </w:p>
        </w:tc>
        <w:tc>
          <w:tcPr>
            <w:tcW w:w="13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22,190,749</w:t>
            </w:r>
          </w:p>
        </w:tc>
        <w:tc>
          <w:tcPr>
            <w:tcW w:w="13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24,373,565</w:t>
            </w:r>
          </w:p>
        </w:tc>
        <w:tc>
          <w:tcPr>
            <w:tcW w:w="13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3,824,744</w:t>
            </w:r>
          </w:p>
        </w:tc>
        <w:tc>
          <w:tcPr>
            <w:tcW w:w="11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73,667,133</w:t>
            </w:r>
          </w:p>
        </w:tc>
        <w:tc>
          <w:tcPr>
            <w:tcW w:w="108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87,606,026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13,747,297</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b w:val="1"/>
                <w:bCs w:val="1"/>
                <w:color w:val="auto"/>
              </w:rPr>
              <w:t>Cost of revenues</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(9,833,976)</w:t>
            </w:r>
          </w:p>
        </w:tc>
        <w:tc>
          <w:tcPr>
            <w:tcW w:w="1340" w:type="dxa"/>
            <w:vAlign w:val="bottom"/>
            <w:gridSpan w:val="2"/>
          </w:tcPr>
          <w:p>
            <w:pPr>
              <w:jc w:val="right"/>
              <w:ind w:right="99"/>
              <w:spacing w:after="0"/>
              <w:rPr>
                <w:sz w:val="20"/>
                <w:szCs w:val="20"/>
                <w:color w:val="auto"/>
              </w:rPr>
            </w:pPr>
            <w:r>
              <w:rPr>
                <w:rFonts w:ascii="Arial" w:cs="Arial" w:eastAsia="Arial" w:hAnsi="Arial"/>
                <w:sz w:val="14"/>
                <w:szCs w:val="14"/>
                <w:color w:val="auto"/>
              </w:rPr>
              <w:t>(10,379,981)</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(11,455,785)</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(1,797,662)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(34,683,731)</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(40,635,225)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(6,376,553)</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Gross profit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9,927,762</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11,810,768</w:t>
            </w:r>
          </w:p>
        </w:tc>
        <w:tc>
          <w:tcPr>
            <w:tcW w:w="1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12,917,780</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2,027,082</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38,983,402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46,970,801</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7,370,744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13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(3,076,499)</w:t>
            </w:r>
          </w:p>
        </w:tc>
        <w:tc>
          <w:tcPr>
            <w:tcW w:w="13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(3,134,030)</w:t>
            </w:r>
          </w:p>
        </w:tc>
        <w:tc>
          <w:tcPr>
            <w:tcW w:w="13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(3,300,032)</w:t>
            </w:r>
          </w:p>
        </w:tc>
        <w:tc>
          <w:tcPr>
            <w:tcW w:w="13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(517,847)</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(10,703,788)</w:t>
            </w: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(12,214,191)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(1,916,673)</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3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(809,956)</w:t>
            </w:r>
          </w:p>
        </w:tc>
        <w:tc>
          <w:tcPr>
            <w:tcW w:w="13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(1,140,296)</w:t>
            </w:r>
          </w:p>
        </w:tc>
        <w:tc>
          <w:tcPr>
            <w:tcW w:w="13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(1,161,876)</w:t>
            </w:r>
          </w:p>
        </w:tc>
        <w:tc>
          <w:tcPr>
            <w:tcW w:w="13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(182,324)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(3,371,827)</w:t>
            </w:r>
          </w:p>
        </w:tc>
        <w:tc>
          <w:tcPr>
            <w:tcW w:w="1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(4,263,549)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(669,044)</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Research and development expenses</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(3,029,376)</w:t>
            </w:r>
          </w:p>
        </w:tc>
        <w:tc>
          <w:tcPr>
            <w:tcW w:w="1340" w:type="dxa"/>
            <w:vAlign w:val="bottom"/>
            <w:gridSpan w:val="2"/>
          </w:tcPr>
          <w:p>
            <w:pPr>
              <w:jc w:val="right"/>
              <w:ind w:right="99"/>
              <w:spacing w:after="0"/>
              <w:rPr>
                <w:sz w:val="20"/>
                <w:szCs w:val="20"/>
                <w:color w:val="auto"/>
              </w:rPr>
            </w:pPr>
            <w:r>
              <w:rPr>
                <w:rFonts w:ascii="Arial" w:cs="Arial" w:eastAsia="Arial" w:hAnsi="Arial"/>
                <w:sz w:val="14"/>
                <w:szCs w:val="14"/>
                <w:color w:val="auto"/>
              </w:rPr>
              <w:t>(3,761,239)</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(3,847,704)</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(603,789)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(10,369,382)</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(14,075,991)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(2,208,830)</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(6,915,831</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(8,035,565</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(8,309,612</w:t>
            </w:r>
          </w:p>
        </w:tc>
        <w:tc>
          <w:tcPr>
            <w:tcW w:w="20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84"/>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(1,303,960</w:t>
            </w:r>
          </w:p>
        </w:tc>
        <w:tc>
          <w:tcPr>
            <w:tcW w:w="20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84"/>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(24,444,997</w:t>
            </w:r>
          </w:p>
        </w:tc>
        <w:tc>
          <w:tcPr>
            <w:tcW w:w="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(30,553,731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(4,794,547</w:t>
            </w:r>
          </w:p>
        </w:tc>
        <w:tc>
          <w:tcPr>
            <w:tcW w:w="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80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profit</w:t>
            </w: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3,011,931</w:t>
            </w:r>
          </w:p>
        </w:tc>
        <w:tc>
          <w:tcPr>
            <w:tcW w:w="18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3,775,203</w:t>
            </w:r>
          </w:p>
        </w:tc>
        <w:tc>
          <w:tcPr>
            <w:tcW w:w="1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4,608,168</w:t>
            </w:r>
          </w:p>
        </w:tc>
        <w:tc>
          <w:tcPr>
            <w:tcW w:w="2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723,122</w:t>
            </w:r>
          </w:p>
        </w:tc>
        <w:tc>
          <w:tcPr>
            <w:tcW w:w="2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14,538,405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16,417,070</w:t>
            </w: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2,576,197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Other income/ (expenses):</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(loss)/ income, net</w:t>
            </w:r>
          </w:p>
        </w:tc>
        <w:tc>
          <w:tcPr>
            <w:tcW w:w="13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(271,866)</w:t>
            </w:r>
          </w:p>
        </w:tc>
        <w:tc>
          <w:tcPr>
            <w:tcW w:w="13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(264,611)</w:t>
            </w:r>
          </w:p>
        </w:tc>
        <w:tc>
          <w:tcPr>
            <w:tcW w:w="13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1,627,642</w:t>
            </w:r>
          </w:p>
        </w:tc>
        <w:tc>
          <w:tcPr>
            <w:tcW w:w="13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255,413</w:t>
            </w:r>
          </w:p>
        </w:tc>
        <w:tc>
          <w:tcPr>
            <w:tcW w:w="11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1,610,045</w:t>
            </w:r>
          </w:p>
        </w:tc>
        <w:tc>
          <w:tcPr>
            <w:tcW w:w="108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2,947,721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462,562</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Interest income, net</w:t>
            </w:r>
          </w:p>
        </w:tc>
        <w:tc>
          <w:tcPr>
            <w:tcW w:w="13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410,001</w:t>
            </w:r>
          </w:p>
        </w:tc>
        <w:tc>
          <w:tcPr>
            <w:tcW w:w="13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349,550</w:t>
            </w:r>
          </w:p>
        </w:tc>
        <w:tc>
          <w:tcPr>
            <w:tcW w:w="13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395,029</w:t>
            </w:r>
          </w:p>
        </w:tc>
        <w:tc>
          <w:tcPr>
            <w:tcW w:w="13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61,989</w:t>
            </w:r>
          </w:p>
        </w:tc>
        <w:tc>
          <w:tcPr>
            <w:tcW w:w="11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1,598,618</w:t>
            </w:r>
          </w:p>
        </w:tc>
        <w:tc>
          <w:tcPr>
            <w:tcW w:w="108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1,519,714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238,476</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(losses)/ gains, net</w:t>
            </w:r>
          </w:p>
        </w:tc>
        <w:tc>
          <w:tcPr>
            <w:tcW w:w="13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(1,801,891)</w:t>
            </w:r>
          </w:p>
        </w:tc>
        <w:tc>
          <w:tcPr>
            <w:tcW w:w="13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153,310</w:t>
            </w:r>
          </w:p>
        </w:tc>
        <w:tc>
          <w:tcPr>
            <w:tcW w:w="13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(331,390)</w:t>
            </w:r>
          </w:p>
        </w:tc>
        <w:tc>
          <w:tcPr>
            <w:tcW w:w="13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(52,003)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(3,112,152)</w:t>
            </w:r>
          </w:p>
        </w:tc>
        <w:tc>
          <w:tcPr>
            <w:tcW w:w="1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(490,481)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(76,967)</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Other, net</w:t>
            </w:r>
          </w:p>
        </w:tc>
        <w:tc>
          <w:tcPr>
            <w:tcW w:w="1320" w:type="dxa"/>
            <w:vAlign w:val="bottom"/>
            <w:gridSpan w:val="2"/>
          </w:tcPr>
          <w:p>
            <w:pPr>
              <w:jc w:val="right"/>
              <w:ind w:right="139"/>
              <w:spacing w:after="0"/>
              <w:rPr>
                <w:sz w:val="20"/>
                <w:szCs w:val="20"/>
                <w:color w:val="auto"/>
              </w:rPr>
            </w:pPr>
            <w:r>
              <w:rPr>
                <w:rFonts w:ascii="Arial" w:cs="Arial" w:eastAsia="Arial" w:hAnsi="Arial"/>
                <w:sz w:val="14"/>
                <w:szCs w:val="14"/>
                <w:color w:val="auto"/>
              </w:rPr>
              <w:t>139,321</w:t>
            </w:r>
          </w:p>
        </w:tc>
        <w:tc>
          <w:tcPr>
            <w:tcW w:w="1340" w:type="dxa"/>
            <w:vAlign w:val="bottom"/>
            <w:gridSpan w:val="2"/>
          </w:tcPr>
          <w:p>
            <w:pPr>
              <w:jc w:val="right"/>
              <w:ind w:right="139"/>
              <w:spacing w:after="0"/>
              <w:rPr>
                <w:sz w:val="20"/>
                <w:szCs w:val="20"/>
                <w:color w:val="auto"/>
              </w:rPr>
            </w:pPr>
            <w:r>
              <w:rPr>
                <w:rFonts w:ascii="Arial" w:cs="Arial" w:eastAsia="Arial" w:hAnsi="Arial"/>
                <w:sz w:val="14"/>
                <w:szCs w:val="14"/>
                <w:color w:val="auto"/>
              </w:rPr>
              <w:t>117,636</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297,244</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46,644</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737,168</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710,435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111,482</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before tax</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1,487,496</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4,131,088</w:t>
            </w:r>
          </w:p>
        </w:tc>
        <w:tc>
          <w:tcPr>
            <w:tcW w:w="1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6,596,693</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1,035,165</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15,372,084</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21,104,459</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3,311,750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Income tax</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(552,661)</w:t>
            </w:r>
          </w:p>
        </w:tc>
        <w:tc>
          <w:tcPr>
            <w:tcW w:w="1340" w:type="dxa"/>
            <w:vAlign w:val="bottom"/>
            <w:gridSpan w:val="2"/>
          </w:tcPr>
          <w:p>
            <w:pPr>
              <w:jc w:val="right"/>
              <w:ind w:right="99"/>
              <w:spacing w:after="0"/>
              <w:rPr>
                <w:sz w:val="20"/>
                <w:szCs w:val="20"/>
                <w:color w:val="auto"/>
              </w:rPr>
            </w:pPr>
            <w:r>
              <w:rPr>
                <w:rFonts w:ascii="Arial" w:cs="Arial" w:eastAsia="Arial" w:hAnsi="Arial"/>
                <w:sz w:val="14"/>
                <w:szCs w:val="14"/>
                <w:color w:val="auto"/>
              </w:rPr>
              <w:t>(807,648)</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(933,985)</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(146,563)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(3,041,849)</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(4,128,269)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(647,815)</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934,835</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3,323,440</w:t>
            </w:r>
          </w:p>
        </w:tc>
        <w:tc>
          <w:tcPr>
            <w:tcW w:w="1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5,662,708</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888,602</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12,330,235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16,976,190</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2,663,935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and deemed dividends in</w:t>
            </w: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connection with repurchase of redeemable</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(131,604)</w:t>
            </w:r>
          </w:p>
        </w:tc>
        <w:tc>
          <w:tcPr>
            <w:tcW w:w="13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(147,825)</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(99,914)</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(15,678)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(787,029)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(536,981)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(84,265)</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Net loss attributable to noncontrolling</w:t>
            </w: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140" w:type="dxa"/>
            <w:vAlign w:val="bottom"/>
          </w:tcPr>
          <w:p>
            <w:pPr>
              <w:jc w:val="right"/>
              <w:spacing w:after="0"/>
              <w:rPr>
                <w:sz w:val="20"/>
                <w:szCs w:val="20"/>
                <w:color w:val="auto"/>
              </w:rPr>
            </w:pPr>
            <w:r>
              <w:rPr>
                <w:rFonts w:ascii="Arial" w:cs="Arial" w:eastAsia="Arial" w:hAnsi="Arial"/>
                <w:sz w:val="14"/>
                <w:szCs w:val="14"/>
                <w:color w:val="auto"/>
              </w:rPr>
              <w:t>172,471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6,167</w:t>
            </w:r>
          </w:p>
        </w:tc>
        <w:tc>
          <w:tcPr>
            <w:tcW w:w="18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131,360</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20,613</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519,548</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417,633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65,536</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income attributable to the Company’s</w:t>
            </w: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shd w:val="clear" w:color="auto" w:fill="CCEEFF"/>
          </w:tcPr>
          <w:p>
            <w:pPr>
              <w:spacing w:after="0"/>
              <w:rPr>
                <w:sz w:val="9"/>
                <w:szCs w:val="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975,702</w:t>
            </w:r>
          </w:p>
        </w:tc>
        <w:tc>
          <w:tcPr>
            <w:tcW w:w="180" w:type="dxa"/>
            <w:vAlign w:val="bottom"/>
            <w:vMerge w:val="restart"/>
            <w:shd w:val="clear" w:color="auto" w:fill="CCEEFF"/>
          </w:tcPr>
          <w:p>
            <w:pPr>
              <w:spacing w:after="0"/>
              <w:rPr>
                <w:sz w:val="9"/>
                <w:szCs w:val="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3,181,782</w:t>
            </w:r>
          </w:p>
        </w:tc>
        <w:tc>
          <w:tcPr>
            <w:tcW w:w="180" w:type="dxa"/>
            <w:vAlign w:val="bottom"/>
            <w:vMerge w:val="restart"/>
            <w:shd w:val="clear" w:color="auto" w:fill="CCEEFF"/>
          </w:tcPr>
          <w:p>
            <w:pPr>
              <w:spacing w:after="0"/>
              <w:rPr>
                <w:sz w:val="9"/>
                <w:szCs w:val="9"/>
                <w:color w:val="auto"/>
              </w:rPr>
            </w:pPr>
          </w:p>
        </w:tc>
        <w:tc>
          <w:tcPr>
            <w:tcW w:w="13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5,694,154</w:t>
            </w:r>
          </w:p>
        </w:tc>
        <w:tc>
          <w:tcPr>
            <w:tcW w:w="13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893,537</w:t>
            </w:r>
          </w:p>
        </w:tc>
        <w:tc>
          <w:tcPr>
            <w:tcW w:w="11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12,062,754</w:t>
            </w:r>
          </w:p>
        </w:tc>
        <w:tc>
          <w:tcPr>
            <w:tcW w:w="1080" w:type="dxa"/>
            <w:vAlign w:val="bottom"/>
            <w:gridSpan w:val="3"/>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16,856,842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2,645,206</w:t>
            </w: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ind w:left="180"/>
              <w:spacing w:after="0" w:line="158" w:lineRule="exact"/>
              <w:rPr>
                <w:sz w:val="20"/>
                <w:szCs w:val="20"/>
                <w:color w:val="auto"/>
              </w:rPr>
            </w:pPr>
            <w:r>
              <w:rPr>
                <w:rFonts w:ascii="Arial" w:cs="Arial" w:eastAsia="Arial" w:hAnsi="Arial"/>
                <w:sz w:val="14"/>
                <w:szCs w:val="14"/>
                <w:b w:val="1"/>
                <w:bCs w:val="1"/>
                <w:color w:val="auto"/>
              </w:rPr>
              <w:t>shareholders</w:t>
            </w:r>
          </w:p>
        </w:tc>
        <w:tc>
          <w:tcPr>
            <w:tcW w:w="114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080" w:type="dxa"/>
            <w:vAlign w:val="bottom"/>
            <w:gridSpan w:val="3"/>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per share *</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Basic</w:t>
            </w:r>
          </w:p>
        </w:tc>
        <w:tc>
          <w:tcPr>
            <w:tcW w:w="1320" w:type="dxa"/>
            <w:vAlign w:val="bottom"/>
            <w:gridSpan w:val="2"/>
          </w:tcPr>
          <w:p>
            <w:pPr>
              <w:jc w:val="right"/>
              <w:ind w:right="139"/>
              <w:spacing w:after="0"/>
              <w:rPr>
                <w:sz w:val="20"/>
                <w:szCs w:val="20"/>
                <w:color w:val="auto"/>
              </w:rPr>
            </w:pPr>
            <w:r>
              <w:rPr>
                <w:rFonts w:ascii="Arial" w:cs="Arial" w:eastAsia="Arial" w:hAnsi="Arial"/>
                <w:sz w:val="14"/>
                <w:szCs w:val="14"/>
                <w:color w:val="auto"/>
              </w:rPr>
              <w:t>0.29</w:t>
            </w:r>
          </w:p>
        </w:tc>
        <w:tc>
          <w:tcPr>
            <w:tcW w:w="1340" w:type="dxa"/>
            <w:vAlign w:val="bottom"/>
            <w:gridSpan w:val="2"/>
          </w:tcPr>
          <w:p>
            <w:pPr>
              <w:jc w:val="right"/>
              <w:ind w:right="139"/>
              <w:spacing w:after="0"/>
              <w:rPr>
                <w:sz w:val="20"/>
                <w:szCs w:val="20"/>
                <w:color w:val="auto"/>
              </w:rPr>
            </w:pPr>
            <w:r>
              <w:rPr>
                <w:rFonts w:ascii="Arial" w:cs="Arial" w:eastAsia="Arial" w:hAnsi="Arial"/>
                <w:sz w:val="14"/>
                <w:szCs w:val="14"/>
                <w:color w:val="auto"/>
              </w:rPr>
              <w:t>0.96</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1.74</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0.27</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3.65</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5.07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0.29</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0.95</w:t>
            </w:r>
          </w:p>
        </w:tc>
        <w:tc>
          <w:tcPr>
            <w:tcW w:w="1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0.27</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per ADS *</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Basic</w:t>
            </w:r>
          </w:p>
        </w:tc>
        <w:tc>
          <w:tcPr>
            <w:tcW w:w="1320" w:type="dxa"/>
            <w:vAlign w:val="bottom"/>
            <w:gridSpan w:val="2"/>
          </w:tcPr>
          <w:p>
            <w:pPr>
              <w:jc w:val="right"/>
              <w:ind w:right="139"/>
              <w:spacing w:after="0"/>
              <w:rPr>
                <w:sz w:val="20"/>
                <w:szCs w:val="20"/>
                <w:color w:val="auto"/>
              </w:rPr>
            </w:pPr>
            <w:r>
              <w:rPr>
                <w:rFonts w:ascii="Arial" w:cs="Arial" w:eastAsia="Arial" w:hAnsi="Arial"/>
                <w:sz w:val="14"/>
                <w:szCs w:val="14"/>
                <w:color w:val="auto"/>
              </w:rPr>
              <w:t>1.45</w:t>
            </w:r>
          </w:p>
        </w:tc>
        <w:tc>
          <w:tcPr>
            <w:tcW w:w="1340" w:type="dxa"/>
            <w:vAlign w:val="bottom"/>
            <w:gridSpan w:val="2"/>
          </w:tcPr>
          <w:p>
            <w:pPr>
              <w:jc w:val="right"/>
              <w:ind w:right="139"/>
              <w:spacing w:after="0"/>
              <w:rPr>
                <w:sz w:val="20"/>
                <w:szCs w:val="20"/>
                <w:color w:val="auto"/>
              </w:rPr>
            </w:pPr>
            <w:r>
              <w:rPr>
                <w:rFonts w:ascii="Arial" w:cs="Arial" w:eastAsia="Arial" w:hAnsi="Arial"/>
                <w:sz w:val="14"/>
                <w:szCs w:val="14"/>
                <w:color w:val="auto"/>
              </w:rPr>
              <w:t>4.78</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8.68</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1.36</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18.25</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25.34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w:t>
            </w:r>
          </w:p>
        </w:tc>
        <w:tc>
          <w:tcPr>
            <w:tcW w:w="1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8.57</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25.03</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Weighted average number of ordinary</w:t>
            </w: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93"/>
              </w:rPr>
              <w:t>shares used in calculating net income per</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share *</w:t>
            </w: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Basic</w:t>
            </w:r>
          </w:p>
        </w:tc>
        <w:tc>
          <w:tcPr>
            <w:tcW w:w="1320" w:type="dxa"/>
            <w:vAlign w:val="bottom"/>
            <w:gridSpan w:val="2"/>
          </w:tcPr>
          <w:p>
            <w:pPr>
              <w:jc w:val="right"/>
              <w:ind w:right="139"/>
              <w:spacing w:after="0"/>
              <w:rPr>
                <w:sz w:val="20"/>
                <w:szCs w:val="20"/>
                <w:color w:val="auto"/>
              </w:rPr>
            </w:pPr>
            <w:r>
              <w:rPr>
                <w:rFonts w:ascii="Arial" w:cs="Arial" w:eastAsia="Arial" w:hAnsi="Arial"/>
                <w:sz w:val="14"/>
                <w:szCs w:val="14"/>
                <w:color w:val="auto"/>
              </w:rPr>
              <w:t>3,362,793</w:t>
            </w:r>
          </w:p>
        </w:tc>
        <w:tc>
          <w:tcPr>
            <w:tcW w:w="1340" w:type="dxa"/>
            <w:vAlign w:val="bottom"/>
            <w:gridSpan w:val="2"/>
          </w:tcPr>
          <w:p>
            <w:pPr>
              <w:jc w:val="right"/>
              <w:ind w:right="139"/>
              <w:spacing w:after="0"/>
              <w:rPr>
                <w:sz w:val="20"/>
                <w:szCs w:val="20"/>
                <w:color w:val="auto"/>
              </w:rPr>
            </w:pPr>
            <w:r>
              <w:rPr>
                <w:rFonts w:ascii="Arial" w:cs="Arial" w:eastAsia="Arial" w:hAnsi="Arial"/>
                <w:sz w:val="14"/>
                <w:szCs w:val="14"/>
                <w:color w:val="auto"/>
              </w:rPr>
              <w:t>3,325,892</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3,281,172</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3,281,172</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3,305,448</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3,325,864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3,325,864</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3,411,169</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3,361,727</w:t>
            </w:r>
          </w:p>
        </w:tc>
        <w:tc>
          <w:tcPr>
            <w:tcW w:w="1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3,323,004</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3,323,004</w:t>
            </w: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3,349,759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3,367,478</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3,367,478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Each ADS represents five ordinary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right="470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3860" w:type="dxa"/>
            <w:vAlign w:val="bottom"/>
          </w:tcPr>
          <w:p>
            <w:pPr>
              <w:spacing w:after="0"/>
              <w:rPr>
                <w:sz w:val="11"/>
                <w:szCs w:val="11"/>
                <w:color w:val="auto"/>
              </w:rPr>
            </w:pPr>
          </w:p>
        </w:tc>
        <w:tc>
          <w:tcPr>
            <w:tcW w:w="10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1080" w:type="dxa"/>
            <w:vAlign w:val="bottom"/>
            <w:gridSpan w:val="2"/>
          </w:tcPr>
          <w:p>
            <w:pPr>
              <w:jc w:val="center"/>
              <w:ind w:right="15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r>
      <w:tr>
        <w:trPr>
          <w:trHeight w:val="171"/>
        </w:trPr>
        <w:tc>
          <w:tcPr>
            <w:tcW w:w="38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2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80" w:type="dxa"/>
            <w:vAlign w:val="bottom"/>
          </w:tcPr>
          <w:p>
            <w:pPr>
              <w:spacing w:after="0"/>
              <w:rPr>
                <w:sz w:val="12"/>
                <w:szCs w:val="12"/>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934,835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3,323,440</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5,662,708</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888,602</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12,330,235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16,976,190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2,663,935</w:t>
            </w:r>
          </w:p>
        </w:tc>
        <w:tc>
          <w:tcPr>
            <w:tcW w:w="80" w:type="dxa"/>
            <w:vAlign w:val="bottom"/>
          </w:tcPr>
          <w:p>
            <w:pPr>
              <w:spacing w:after="0"/>
              <w:rPr>
                <w:sz w:val="12"/>
                <w:szCs w:val="12"/>
                <w:color w:val="auto"/>
              </w:rPr>
            </w:pPr>
          </w:p>
        </w:tc>
      </w:tr>
      <w:tr>
        <w:trPr>
          <w:trHeight w:val="130"/>
        </w:trPr>
        <w:tc>
          <w:tcPr>
            <w:tcW w:w="38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7"/>
              </w:rPr>
              <w:t>Adjustments to reconcile net income to net cash provided by</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activities:</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962,526</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805,485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836,042</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131,193</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3,457,782</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3,275,727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514,033</w:t>
            </w:r>
          </w:p>
        </w:tc>
        <w:tc>
          <w:tcPr>
            <w:tcW w:w="80" w:type="dxa"/>
            <w:vAlign w:val="bottom"/>
          </w:tcPr>
          <w:p>
            <w:pPr>
              <w:spacing w:after="0"/>
              <w:rPr>
                <w:sz w:val="12"/>
                <w:szCs w:val="12"/>
                <w:color w:val="auto"/>
              </w:rPr>
            </w:pPr>
          </w:p>
        </w:tc>
      </w:tr>
      <w:tr>
        <w:trPr>
          <w:trHeight w:val="148"/>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Fair value changes of equity security investments</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559,104</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1,194,338</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(984,901)</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(154,552)</w:t>
            </w:r>
          </w:p>
        </w:tc>
        <w:tc>
          <w:tcPr>
            <w:tcW w:w="10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(720,565)</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(471,880)</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(74,048)</w:t>
            </w: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w w:val="96"/>
              </w:rPr>
              <w:t>Impairment losses of investments and other long-term assets</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51,795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26,055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69,572</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10,917</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58,395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100,424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15,759</w:t>
            </w:r>
          </w:p>
        </w:tc>
        <w:tc>
          <w:tcPr>
            <w:tcW w:w="80" w:type="dxa"/>
            <w:vAlign w:val="bottom"/>
          </w:tcPr>
          <w:p>
            <w:pPr>
              <w:spacing w:after="0"/>
              <w:rPr>
                <w:sz w:val="12"/>
                <w:szCs w:val="12"/>
                <w:color w:val="auto"/>
              </w:rPr>
            </w:pPr>
          </w:p>
        </w:tc>
      </w:tr>
      <w:tr>
        <w:trPr>
          <w:trHeight w:val="148"/>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Fair value changes of short-term investments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(118,945)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(184,564)</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(166,513)</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(26,129)</w:t>
            </w:r>
          </w:p>
        </w:tc>
        <w:tc>
          <w:tcPr>
            <w:tcW w:w="10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(580,732)</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(639,757)</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(100,392)</w:t>
            </w: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Share-based compensation cost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628,979</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688,226</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1,002,899</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157,377</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2,663,489</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3,041,492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477,276</w:t>
            </w:r>
          </w:p>
        </w:tc>
        <w:tc>
          <w:tcPr>
            <w:tcW w:w="80" w:type="dxa"/>
            <w:vAlign w:val="bottom"/>
          </w:tcPr>
          <w:p>
            <w:pPr>
              <w:spacing w:after="0"/>
              <w:rPr>
                <w:sz w:val="12"/>
                <w:szCs w:val="12"/>
                <w:color w:val="auto"/>
              </w:rPr>
            </w:pP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(Reversal of)/ allowance for expected credit losses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(5,888)</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212,010</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12,932</w:t>
            </w:r>
          </w:p>
        </w:tc>
        <w:tc>
          <w:tcPr>
            <w:tcW w:w="10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2,029</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40,600</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265,930</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41,730</w:t>
            </w:r>
          </w:p>
        </w:tc>
        <w:tc>
          <w:tcPr>
            <w:tcW w:w="80" w:type="dxa"/>
            <w:vAlign w:val="bottom"/>
            <w:shd w:val="clear" w:color="auto" w:fill="CCEEFF"/>
          </w:tcPr>
          <w:p>
            <w:pPr>
              <w:spacing w:after="0"/>
              <w:rPr>
                <w:sz w:val="12"/>
                <w:szCs w:val="12"/>
                <w:color w:val="auto"/>
              </w:rPr>
            </w:pP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Losses on disposal of property, equipment and software</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2,730</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4,008</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48,779</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7,654</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6,482</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54,052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8,482</w:t>
            </w:r>
          </w:p>
        </w:tc>
        <w:tc>
          <w:tcPr>
            <w:tcW w:w="80" w:type="dxa"/>
            <w:vAlign w:val="bottom"/>
          </w:tcPr>
          <w:p>
            <w:pPr>
              <w:spacing w:after="0"/>
              <w:rPr>
                <w:sz w:val="12"/>
                <w:szCs w:val="12"/>
                <w:color w:val="auto"/>
              </w:rPr>
            </w:pPr>
          </w:p>
        </w:tc>
      </w:tr>
      <w:tr>
        <w:trPr>
          <w:trHeight w:val="148"/>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Unrealized exchange losses/ (gains)</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1,796,532</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(157,292)</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347,235</w:t>
            </w:r>
          </w:p>
        </w:tc>
        <w:tc>
          <w:tcPr>
            <w:tcW w:w="10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54,489</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3,102,492</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488,604</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76,673</w:t>
            </w:r>
          </w:p>
        </w:tc>
        <w:tc>
          <w:tcPr>
            <w:tcW w:w="80" w:type="dxa"/>
            <w:vAlign w:val="bottom"/>
            <w:shd w:val="clear" w:color="auto" w:fill="CCEEFF"/>
          </w:tcPr>
          <w:p>
            <w:pPr>
              <w:spacing w:after="0"/>
              <w:rPr>
                <w:sz w:val="12"/>
                <w:szCs w:val="12"/>
                <w:color w:val="auto"/>
              </w:rPr>
            </w:pPr>
          </w:p>
        </w:tc>
      </w:tr>
      <w:tr>
        <w:trPr>
          <w:trHeight w:val="130"/>
        </w:trPr>
        <w:tc>
          <w:tcPr>
            <w:tcW w:w="3860" w:type="dxa"/>
            <w:vAlign w:val="bottom"/>
          </w:tcPr>
          <w:p>
            <w:pPr>
              <w:ind w:left="180"/>
              <w:spacing w:after="0" w:line="130" w:lineRule="exact"/>
              <w:rPr>
                <w:sz w:val="20"/>
                <w:szCs w:val="20"/>
                <w:color w:val="auto"/>
              </w:rPr>
            </w:pPr>
            <w:r>
              <w:rPr>
                <w:rFonts w:ascii="Arial" w:cs="Arial" w:eastAsia="Arial" w:hAnsi="Arial"/>
                <w:sz w:val="14"/>
                <w:szCs w:val="14"/>
                <w:color w:val="auto"/>
              </w:rPr>
              <w:t>Losses/ (gains) on disposal of long-term investments,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business and subsidiaries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178</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(13,091)</w:t>
            </w: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(2,054)</w:t>
            </w: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(27,063)</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(186,920)</w:t>
            </w:r>
          </w:p>
        </w:tc>
        <w:tc>
          <w:tcPr>
            <w:tcW w:w="960" w:type="dxa"/>
            <w:vAlign w:val="bottom"/>
            <w:gridSpan w:val="2"/>
          </w:tcPr>
          <w:p>
            <w:pPr>
              <w:jc w:val="right"/>
              <w:ind w:right="55"/>
              <w:spacing w:after="0"/>
              <w:rPr>
                <w:sz w:val="20"/>
                <w:szCs w:val="20"/>
                <w:color w:val="auto"/>
              </w:rPr>
            </w:pPr>
            <w:r>
              <w:rPr>
                <w:rFonts w:ascii="Arial" w:cs="Arial" w:eastAsia="Arial" w:hAnsi="Arial"/>
                <w:sz w:val="14"/>
                <w:szCs w:val="14"/>
                <w:color w:val="auto"/>
              </w:rPr>
              <w:t>(29,332)</w:t>
            </w: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Deferred income taxes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(74,041)</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307,994</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(431,015)</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(67,636)</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88,179</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407,948</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64,016</w:t>
            </w:r>
          </w:p>
        </w:tc>
        <w:tc>
          <w:tcPr>
            <w:tcW w:w="80" w:type="dxa"/>
            <w:vAlign w:val="bottom"/>
            <w:shd w:val="clear" w:color="auto" w:fill="CCEEFF"/>
          </w:tcPr>
          <w:p>
            <w:pPr>
              <w:spacing w:after="0"/>
              <w:rPr>
                <w:sz w:val="12"/>
                <w:szCs w:val="12"/>
                <w:color w:val="auto"/>
              </w:rPr>
            </w:pPr>
          </w:p>
        </w:tc>
      </w:tr>
      <w:tr>
        <w:trPr>
          <w:trHeight w:val="130"/>
        </w:trPr>
        <w:tc>
          <w:tcPr>
            <w:tcW w:w="3860" w:type="dxa"/>
            <w:vAlign w:val="bottom"/>
          </w:tcPr>
          <w:p>
            <w:pPr>
              <w:ind w:left="180"/>
              <w:spacing w:after="0" w:line="130" w:lineRule="exact"/>
              <w:rPr>
                <w:sz w:val="20"/>
                <w:szCs w:val="20"/>
                <w:color w:val="auto"/>
              </w:rPr>
            </w:pPr>
            <w:r>
              <w:rPr>
                <w:rFonts w:ascii="Arial" w:cs="Arial" w:eastAsia="Arial" w:hAnsi="Arial"/>
                <w:sz w:val="14"/>
                <w:szCs w:val="14"/>
                <w:color w:val="auto"/>
                <w:w w:val="98"/>
              </w:rPr>
              <w:t>Share of results on equity method investees and revaluation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results from previously held equity interest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(216,528)</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(730,363)</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(448,053)</w:t>
            </w: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(70,309)</w:t>
            </w: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(302,602)</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(1,573,068)</w:t>
            </w:r>
          </w:p>
        </w:tc>
        <w:tc>
          <w:tcPr>
            <w:tcW w:w="960" w:type="dxa"/>
            <w:vAlign w:val="bottom"/>
            <w:gridSpan w:val="2"/>
          </w:tcPr>
          <w:p>
            <w:pPr>
              <w:jc w:val="right"/>
              <w:ind w:right="55"/>
              <w:spacing w:after="0"/>
              <w:rPr>
                <w:sz w:val="20"/>
                <w:szCs w:val="20"/>
                <w:color w:val="auto"/>
              </w:rPr>
            </w:pPr>
            <w:r>
              <w:rPr>
                <w:rFonts w:ascii="Arial" w:cs="Arial" w:eastAsia="Arial" w:hAnsi="Arial"/>
                <w:sz w:val="14"/>
                <w:szCs w:val="14"/>
                <w:color w:val="auto"/>
              </w:rPr>
              <w:t>(246,849)</w:t>
            </w:r>
          </w:p>
        </w:tc>
      </w:tr>
      <w:tr>
        <w:trPr>
          <w:trHeight w:val="148"/>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355,495</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(1,178,290)</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(97,064)</w:t>
            </w:r>
          </w:p>
        </w:tc>
        <w:tc>
          <w:tcPr>
            <w:tcW w:w="10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(15,231)</w:t>
            </w:r>
          </w:p>
        </w:tc>
        <w:tc>
          <w:tcPr>
            <w:tcW w:w="10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(530,413)</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(1,186,586)</w:t>
            </w:r>
          </w:p>
        </w:tc>
        <w:tc>
          <w:tcPr>
            <w:tcW w:w="960" w:type="dxa"/>
            <w:vAlign w:val="bottom"/>
            <w:gridSpan w:val="2"/>
          </w:tcPr>
          <w:p>
            <w:pPr>
              <w:jc w:val="right"/>
              <w:ind w:right="55"/>
              <w:spacing w:after="0" w:line="149" w:lineRule="exact"/>
              <w:rPr>
                <w:sz w:val="20"/>
                <w:szCs w:val="20"/>
                <w:color w:val="auto"/>
              </w:rPr>
            </w:pPr>
            <w:r>
              <w:rPr>
                <w:rFonts w:ascii="Arial" w:cs="Arial" w:eastAsia="Arial" w:hAnsi="Arial"/>
                <w:sz w:val="14"/>
                <w:szCs w:val="14"/>
                <w:color w:val="auto"/>
              </w:rPr>
              <w:t>(186,201)</w:t>
            </w:r>
          </w:p>
        </w:tc>
      </w:tr>
      <w:tr>
        <w:trPr>
          <w:trHeight w:val="148"/>
        </w:trPr>
        <w:tc>
          <w:tcPr>
            <w:tcW w:w="3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Inventories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(96,499)</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(154,072)</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73,588</w:t>
            </w:r>
          </w:p>
        </w:tc>
        <w:tc>
          <w:tcPr>
            <w:tcW w:w="10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11,548</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29,699</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(343,587)</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(53,916)</w:t>
            </w:r>
          </w:p>
        </w:tc>
      </w:tr>
      <w:tr>
        <w:trPr>
          <w:trHeight w:val="149"/>
        </w:trPr>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Prepayments and other assets</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791,254</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(38,490)</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870,684</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136,629</w:t>
            </w:r>
          </w:p>
        </w:tc>
        <w:tc>
          <w:tcPr>
            <w:tcW w:w="10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(13,554)</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640,349</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100,485</w:t>
            </w:r>
          </w:p>
        </w:tc>
        <w:tc>
          <w:tcPr>
            <w:tcW w:w="80" w:type="dxa"/>
            <w:vAlign w:val="bottom"/>
          </w:tcPr>
          <w:p>
            <w:pPr>
              <w:spacing w:after="0"/>
              <w:rPr>
                <w:sz w:val="12"/>
                <w:szCs w:val="12"/>
                <w:color w:val="auto"/>
              </w:rPr>
            </w:pPr>
          </w:p>
        </w:tc>
      </w:tr>
      <w:tr>
        <w:trPr>
          <w:trHeight w:val="148"/>
        </w:trPr>
        <w:tc>
          <w:tcPr>
            <w:tcW w:w="3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136,213</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172,696</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(89,207)</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(13,999)</w:t>
            </w:r>
          </w:p>
        </w:tc>
        <w:tc>
          <w:tcPr>
            <w:tcW w:w="10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(86,352)</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(155,262)</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(24,364)</w:t>
            </w:r>
          </w:p>
        </w:tc>
      </w:tr>
      <w:tr>
        <w:trPr>
          <w:trHeight w:val="148"/>
        </w:trPr>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Salary and welfare payables</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1,382,442</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(647,029)</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1,521,743</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238,795</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528,927</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505,334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79,298</w:t>
            </w:r>
          </w:p>
        </w:tc>
        <w:tc>
          <w:tcPr>
            <w:tcW w:w="80" w:type="dxa"/>
            <w:vAlign w:val="bottom"/>
          </w:tcPr>
          <w:p>
            <w:pPr>
              <w:spacing w:after="0"/>
              <w:rPr>
                <w:sz w:val="12"/>
                <w:szCs w:val="12"/>
                <w:color w:val="auto"/>
              </w:rPr>
            </w:pPr>
          </w:p>
        </w:tc>
      </w:tr>
      <w:tr>
        <w:trPr>
          <w:trHeight w:val="148"/>
        </w:trPr>
        <w:tc>
          <w:tcPr>
            <w:tcW w:w="3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Taxes payable</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220,244</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(434,893)</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528,725</w:t>
            </w:r>
          </w:p>
        </w:tc>
        <w:tc>
          <w:tcPr>
            <w:tcW w:w="10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82,968</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1,126,648</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255,060</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40,024</w:t>
            </w:r>
          </w:p>
        </w:tc>
        <w:tc>
          <w:tcPr>
            <w:tcW w:w="80" w:type="dxa"/>
            <w:vAlign w:val="bottom"/>
            <w:shd w:val="clear" w:color="auto" w:fill="CCEEFF"/>
          </w:tcPr>
          <w:p>
            <w:pPr>
              <w:spacing w:after="0"/>
              <w:rPr>
                <w:sz w:val="12"/>
                <w:szCs w:val="12"/>
                <w:color w:val="auto"/>
              </w:rPr>
            </w:pPr>
          </w:p>
        </w:tc>
      </w:tr>
      <w:tr>
        <w:trPr>
          <w:trHeight w:val="148"/>
        </w:trPr>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Deferred revenue</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568,704</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2,154,751</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(1,162,982)</w:t>
            </w:r>
          </w:p>
        </w:tc>
        <w:tc>
          <w:tcPr>
            <w:tcW w:w="10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(182,497)</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2,342,916</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1,351,261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212,042</w:t>
            </w:r>
          </w:p>
        </w:tc>
        <w:tc>
          <w:tcPr>
            <w:tcW w:w="80" w:type="dxa"/>
            <w:vAlign w:val="bottom"/>
          </w:tcPr>
          <w:p>
            <w:pPr>
              <w:spacing w:after="0"/>
              <w:rPr>
                <w:sz w:val="12"/>
                <w:szCs w:val="12"/>
                <w:color w:val="auto"/>
              </w:rPr>
            </w:pPr>
          </w:p>
        </w:tc>
      </w:tr>
      <w:tr>
        <w:trPr>
          <w:trHeight w:val="162"/>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liabilities and other payables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335,117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928,647</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786,517</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123,422</w:t>
            </w:r>
          </w:p>
        </w:tc>
        <w:tc>
          <w:tcPr>
            <w:tcW w:w="10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1,373,608</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2,121,416</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332,896</w:t>
            </w:r>
          </w:p>
        </w:tc>
        <w:tc>
          <w:tcPr>
            <w:tcW w:w="80" w:type="dxa"/>
            <w:vAlign w:val="bottom"/>
            <w:shd w:val="clear" w:color="auto" w:fill="CCEEFF"/>
          </w:tcPr>
          <w:p>
            <w:pPr>
              <w:spacing w:after="0"/>
              <w:rPr>
                <w:sz w:val="14"/>
                <w:szCs w:val="14"/>
                <w:color w:val="auto"/>
              </w:rPr>
            </w:pPr>
          </w:p>
        </w:tc>
      </w:tr>
      <w:tr>
        <w:trPr>
          <w:trHeight w:val="142"/>
        </w:trPr>
        <w:tc>
          <w:tcPr>
            <w:tcW w:w="386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8,214,247</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6,292,656</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8,368,598</w:t>
            </w:r>
          </w:p>
        </w:tc>
        <w:tc>
          <w:tcPr>
            <w:tcW w:w="2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1,313,216</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24,888,171</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24,926,727</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3,911,547</w:t>
            </w:r>
          </w:p>
        </w:tc>
        <w:tc>
          <w:tcPr>
            <w:tcW w:w="80" w:type="dxa"/>
            <w:vAlign w:val="bottom"/>
            <w:tcBorders>
              <w:bottom w:val="single" w:sz="8" w:color="CCEEFF"/>
            </w:tcBorders>
          </w:tcPr>
          <w:p>
            <w:pPr>
              <w:spacing w:after="0"/>
              <w:rPr>
                <w:sz w:val="12"/>
                <w:szCs w:val="12"/>
                <w:color w:val="auto"/>
              </w:rPr>
            </w:pPr>
          </w:p>
        </w:tc>
      </w:tr>
      <w:tr>
        <w:trPr>
          <w:trHeight w:val="142"/>
        </w:trPr>
        <w:tc>
          <w:tcPr>
            <w:tcW w:w="3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Purchase of property, equipment and software</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(303,347)</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(407,688)</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(442,524)</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(69,442)</w:t>
            </w:r>
          </w:p>
        </w:tc>
        <w:tc>
          <w:tcPr>
            <w:tcW w:w="10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(1,055,572)</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(1,601,830)</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(251,362)</w:t>
            </w: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Proceeds from sale of property, equipment and software</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7,895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11,030</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56,517</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8,869</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17,540</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71,524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11,224</w:t>
            </w:r>
          </w:p>
        </w:tc>
        <w:tc>
          <w:tcPr>
            <w:tcW w:w="80" w:type="dxa"/>
            <w:vAlign w:val="bottom"/>
          </w:tcPr>
          <w:p>
            <w:pPr>
              <w:spacing w:after="0"/>
              <w:rPr>
                <w:sz w:val="12"/>
                <w:szCs w:val="12"/>
                <w:color w:val="auto"/>
              </w:rPr>
            </w:pP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Purchase of intangible assets, content and licensed copyrights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(333,507)</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(218,168)</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(297,142)</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(46,628)</w:t>
            </w:r>
          </w:p>
        </w:tc>
        <w:tc>
          <w:tcPr>
            <w:tcW w:w="10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(2,234,915)</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(1,508,179)</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(236,666)</w:t>
            </w:r>
          </w:p>
        </w:tc>
      </w:tr>
      <w:tr>
        <w:trPr>
          <w:trHeight w:val="130"/>
        </w:trPr>
        <w:tc>
          <w:tcPr>
            <w:tcW w:w="3860" w:type="dxa"/>
            <w:vAlign w:val="bottom"/>
          </w:tcPr>
          <w:p>
            <w:pPr>
              <w:ind w:left="180"/>
              <w:spacing w:after="0" w:line="130" w:lineRule="exact"/>
              <w:rPr>
                <w:sz w:val="20"/>
                <w:szCs w:val="20"/>
                <w:color w:val="auto"/>
              </w:rPr>
            </w:pPr>
            <w:r>
              <w:rPr>
                <w:rFonts w:ascii="Arial" w:cs="Arial" w:eastAsia="Arial" w:hAnsi="Arial"/>
                <w:sz w:val="14"/>
                <w:szCs w:val="14"/>
                <w:color w:val="auto"/>
              </w:rPr>
              <w:t>Net change in short-term investments with terms of three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months or less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(2,257,404)</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167,978</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(1,474,371)</w:t>
            </w: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(231,361)</w:t>
            </w: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(1,655,930)</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3,694,890</w:t>
            </w:r>
          </w:p>
        </w:tc>
        <w:tc>
          <w:tcPr>
            <w:tcW w:w="880" w:type="dxa"/>
            <w:vAlign w:val="bottom"/>
          </w:tcPr>
          <w:p>
            <w:pPr>
              <w:jc w:val="right"/>
              <w:spacing w:after="0"/>
              <w:rPr>
                <w:sz w:val="20"/>
                <w:szCs w:val="20"/>
                <w:color w:val="auto"/>
              </w:rPr>
            </w:pPr>
            <w:r>
              <w:rPr>
                <w:rFonts w:ascii="Arial" w:cs="Arial" w:eastAsia="Arial" w:hAnsi="Arial"/>
                <w:sz w:val="14"/>
                <w:szCs w:val="14"/>
                <w:color w:val="auto"/>
              </w:rPr>
              <w:t>579,809</w:t>
            </w:r>
          </w:p>
        </w:tc>
        <w:tc>
          <w:tcPr>
            <w:tcW w:w="80" w:type="dxa"/>
            <w:vAlign w:val="bottom"/>
          </w:tcPr>
          <w:p>
            <w:pPr>
              <w:spacing w:after="0"/>
              <w:rPr>
                <w:sz w:val="14"/>
                <w:szCs w:val="14"/>
                <w:color w:val="auto"/>
              </w:rPr>
            </w:pPr>
          </w:p>
        </w:tc>
      </w:tr>
      <w:tr>
        <w:trPr>
          <w:trHeight w:val="130"/>
        </w:trPr>
        <w:tc>
          <w:tcPr>
            <w:tcW w:w="38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Purchase of short-term investments with terms over three</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months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(2,200,000)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(630,000)</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(4,300,000)</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(674,764)</w:t>
            </w: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(19,905,000)</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(15,285,000)</w:t>
            </w:r>
          </w:p>
        </w:tc>
        <w:tc>
          <w:tcPr>
            <w:tcW w:w="96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(2,398,550)</w:t>
            </w:r>
          </w:p>
        </w:tc>
      </w:tr>
      <w:tr>
        <w:trPr>
          <w:trHeight w:val="130"/>
        </w:trPr>
        <w:tc>
          <w:tcPr>
            <w:tcW w:w="3860" w:type="dxa"/>
            <w:vAlign w:val="bottom"/>
          </w:tcPr>
          <w:p>
            <w:pPr>
              <w:ind w:left="180"/>
              <w:spacing w:after="0" w:line="130" w:lineRule="exact"/>
              <w:rPr>
                <w:sz w:val="20"/>
                <w:szCs w:val="20"/>
                <w:color w:val="auto"/>
              </w:rPr>
            </w:pPr>
            <w:r>
              <w:rPr>
                <w:rFonts w:ascii="Arial" w:cs="Arial" w:eastAsia="Arial" w:hAnsi="Arial"/>
                <w:sz w:val="14"/>
                <w:szCs w:val="14"/>
                <w:color w:val="auto"/>
              </w:rPr>
              <w:t>Proceeds from maturities of short-term investments with</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terms over three months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3,597,659</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6,251,750</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3,313,543</w:t>
            </w:r>
          </w:p>
        </w:tc>
        <w:tc>
          <w:tcPr>
            <w:tcW w:w="1060" w:type="dxa"/>
            <w:vAlign w:val="bottom"/>
            <w:gridSpan w:val="2"/>
          </w:tcPr>
          <w:p>
            <w:pPr>
              <w:jc w:val="right"/>
              <w:ind w:right="159"/>
              <w:spacing w:after="0"/>
              <w:rPr>
                <w:sz w:val="20"/>
                <w:szCs w:val="20"/>
                <w:color w:val="auto"/>
              </w:rPr>
            </w:pPr>
            <w:r>
              <w:rPr>
                <w:rFonts w:ascii="Arial" w:cs="Arial" w:eastAsia="Arial" w:hAnsi="Arial"/>
                <w:sz w:val="14"/>
                <w:szCs w:val="14"/>
                <w:color w:val="auto"/>
              </w:rPr>
              <w:t>519,967</w:t>
            </w:r>
          </w:p>
        </w:tc>
        <w:tc>
          <w:tcPr>
            <w:tcW w:w="1080" w:type="dxa"/>
            <w:vAlign w:val="bottom"/>
            <w:gridSpan w:val="2"/>
          </w:tcPr>
          <w:p>
            <w:pPr>
              <w:jc w:val="right"/>
              <w:ind w:right="179"/>
              <w:spacing w:after="0"/>
              <w:rPr>
                <w:sz w:val="20"/>
                <w:szCs w:val="20"/>
                <w:color w:val="auto"/>
              </w:rPr>
            </w:pPr>
            <w:r>
              <w:rPr>
                <w:rFonts w:ascii="Arial" w:cs="Arial" w:eastAsia="Arial" w:hAnsi="Arial"/>
                <w:sz w:val="14"/>
                <w:szCs w:val="14"/>
                <w:color w:val="auto"/>
              </w:rPr>
              <w:t>24,126,210</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13,235,845</w:t>
            </w:r>
          </w:p>
        </w:tc>
        <w:tc>
          <w:tcPr>
            <w:tcW w:w="880" w:type="dxa"/>
            <w:vAlign w:val="bottom"/>
          </w:tcPr>
          <w:p>
            <w:pPr>
              <w:jc w:val="right"/>
              <w:spacing w:after="0"/>
              <w:rPr>
                <w:sz w:val="20"/>
                <w:szCs w:val="20"/>
                <w:color w:val="auto"/>
              </w:rPr>
            </w:pPr>
            <w:r>
              <w:rPr>
                <w:rFonts w:ascii="Arial" w:cs="Arial" w:eastAsia="Arial" w:hAnsi="Arial"/>
                <w:sz w:val="14"/>
                <w:szCs w:val="14"/>
                <w:color w:val="auto"/>
              </w:rPr>
              <w:t>2,076,993</w:t>
            </w:r>
          </w:p>
        </w:tc>
        <w:tc>
          <w:tcPr>
            <w:tcW w:w="80" w:type="dxa"/>
            <w:vAlign w:val="bottom"/>
          </w:tcPr>
          <w:p>
            <w:pPr>
              <w:spacing w:after="0"/>
              <w:rPr>
                <w:sz w:val="14"/>
                <w:szCs w:val="14"/>
                <w:color w:val="auto"/>
              </w:rPr>
            </w:pPr>
          </w:p>
        </w:tc>
      </w:tr>
      <w:tr>
        <w:trPr>
          <w:trHeight w:val="130"/>
        </w:trPr>
        <w:tc>
          <w:tcPr>
            <w:tcW w:w="38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Investment in long-term investments and acquisition of</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subsidiaries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(1,034,392)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(586,124)</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(2,020,029)</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(316,987)</w:t>
            </w: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(2,407,692)</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(6,541,567)</w:t>
            </w:r>
          </w:p>
        </w:tc>
        <w:tc>
          <w:tcPr>
            <w:tcW w:w="96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(1,026,515)</w:t>
            </w:r>
          </w:p>
        </w:tc>
      </w:tr>
      <w:tr>
        <w:trPr>
          <w:trHeight w:val="130"/>
        </w:trPr>
        <w:tc>
          <w:tcPr>
            <w:tcW w:w="3860" w:type="dxa"/>
            <w:vAlign w:val="bottom"/>
          </w:tcPr>
          <w:p>
            <w:pPr>
              <w:ind w:left="180"/>
              <w:spacing w:after="0" w:line="130" w:lineRule="exact"/>
              <w:rPr>
                <w:sz w:val="20"/>
                <w:szCs w:val="20"/>
                <w:color w:val="auto"/>
              </w:rPr>
            </w:pPr>
            <w:r>
              <w:rPr>
                <w:rFonts w:ascii="Arial" w:cs="Arial" w:eastAsia="Arial" w:hAnsi="Arial"/>
                <w:sz w:val="14"/>
                <w:szCs w:val="14"/>
                <w:color w:val="auto"/>
                <w:w w:val="95"/>
              </w:rPr>
              <w:t>Proceeds from disposal of long-term investments, businesses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and subsidiaries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93,926</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33,731</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616,542</w:t>
            </w:r>
          </w:p>
        </w:tc>
        <w:tc>
          <w:tcPr>
            <w:tcW w:w="1060" w:type="dxa"/>
            <w:vAlign w:val="bottom"/>
            <w:gridSpan w:val="2"/>
          </w:tcPr>
          <w:p>
            <w:pPr>
              <w:jc w:val="right"/>
              <w:ind w:right="159"/>
              <w:spacing w:after="0"/>
              <w:rPr>
                <w:sz w:val="20"/>
                <w:szCs w:val="20"/>
                <w:color w:val="auto"/>
              </w:rPr>
            </w:pPr>
            <w:r>
              <w:rPr>
                <w:rFonts w:ascii="Arial" w:cs="Arial" w:eastAsia="Arial" w:hAnsi="Arial"/>
                <w:sz w:val="14"/>
                <w:szCs w:val="14"/>
                <w:color w:val="auto"/>
              </w:rPr>
              <w:t>96,749</w:t>
            </w:r>
          </w:p>
        </w:tc>
        <w:tc>
          <w:tcPr>
            <w:tcW w:w="1080" w:type="dxa"/>
            <w:vAlign w:val="bottom"/>
            <w:gridSpan w:val="2"/>
          </w:tcPr>
          <w:p>
            <w:pPr>
              <w:jc w:val="right"/>
              <w:ind w:right="179"/>
              <w:spacing w:after="0"/>
              <w:rPr>
                <w:sz w:val="20"/>
                <w:szCs w:val="20"/>
                <w:color w:val="auto"/>
              </w:rPr>
            </w:pPr>
            <w:r>
              <w:rPr>
                <w:rFonts w:ascii="Arial" w:cs="Arial" w:eastAsia="Arial" w:hAnsi="Arial"/>
                <w:sz w:val="14"/>
                <w:szCs w:val="14"/>
                <w:color w:val="auto"/>
              </w:rPr>
              <w:t>722,076</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1,115,457</w:t>
            </w:r>
          </w:p>
        </w:tc>
        <w:tc>
          <w:tcPr>
            <w:tcW w:w="880" w:type="dxa"/>
            <w:vAlign w:val="bottom"/>
          </w:tcPr>
          <w:p>
            <w:pPr>
              <w:jc w:val="right"/>
              <w:spacing w:after="0"/>
              <w:rPr>
                <w:sz w:val="20"/>
                <w:szCs w:val="20"/>
                <w:color w:val="auto"/>
              </w:rPr>
            </w:pPr>
            <w:r>
              <w:rPr>
                <w:rFonts w:ascii="Arial" w:cs="Arial" w:eastAsia="Arial" w:hAnsi="Arial"/>
                <w:sz w:val="14"/>
                <w:szCs w:val="14"/>
                <w:color w:val="auto"/>
              </w:rPr>
              <w:t>175,039</w:t>
            </w:r>
          </w:p>
        </w:tc>
        <w:tc>
          <w:tcPr>
            <w:tcW w:w="80" w:type="dxa"/>
            <w:vAlign w:val="bottom"/>
          </w:tcPr>
          <w:p>
            <w:pPr>
              <w:spacing w:after="0"/>
              <w:rPr>
                <w:sz w:val="14"/>
                <w:szCs w:val="14"/>
                <w:color w:val="auto"/>
              </w:rPr>
            </w:pP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Placement/rollover of matured time deposits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(14,720,632)</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(11,723,614)</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(26,628,133)</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(4,178,535)</w:t>
            </w:r>
          </w:p>
        </w:tc>
        <w:tc>
          <w:tcPr>
            <w:tcW w:w="10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(91,518,767)</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(81,298,080)</w:t>
            </w:r>
          </w:p>
        </w:tc>
        <w:tc>
          <w:tcPr>
            <w:tcW w:w="960" w:type="dxa"/>
            <w:vAlign w:val="bottom"/>
            <w:gridSpan w:val="2"/>
            <w:shd w:val="clear" w:color="auto" w:fill="CCEEFF"/>
          </w:tcPr>
          <w:p>
            <w:pPr>
              <w:jc w:val="right"/>
              <w:ind w:right="55"/>
              <w:spacing w:after="0" w:line="149" w:lineRule="exact"/>
              <w:rPr>
                <w:sz w:val="20"/>
                <w:szCs w:val="20"/>
                <w:color w:val="auto"/>
              </w:rPr>
            </w:pPr>
            <w:r>
              <w:rPr>
                <w:rFonts w:ascii="Arial" w:cs="Arial" w:eastAsia="Arial" w:hAnsi="Arial"/>
                <w:sz w:val="14"/>
                <w:szCs w:val="14"/>
                <w:color w:val="auto"/>
              </w:rPr>
              <w:t>(12,757,443)</w:t>
            </w: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Proceeds from maturities of time deposits</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18,246,875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28,328,155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15,707,821</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2,464,900</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64,880,317</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81,307,297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12,758,889</w:t>
            </w:r>
          </w:p>
        </w:tc>
        <w:tc>
          <w:tcPr>
            <w:tcW w:w="80" w:type="dxa"/>
            <w:vAlign w:val="bottom"/>
          </w:tcPr>
          <w:p>
            <w:pPr>
              <w:spacing w:after="0"/>
              <w:rPr>
                <w:sz w:val="12"/>
                <w:szCs w:val="12"/>
                <w:color w:val="auto"/>
              </w:rPr>
            </w:pP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other long-term assets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(52,092)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(69,429)</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(99,692)</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(15,644)</w:t>
            </w: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(160,674)</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(268,651)</w:t>
            </w:r>
          </w:p>
        </w:tc>
        <w:tc>
          <w:tcPr>
            <w:tcW w:w="96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(42,157)</w:t>
            </w:r>
          </w:p>
        </w:tc>
      </w:tr>
      <w:tr>
        <w:trPr>
          <w:trHeight w:val="142"/>
        </w:trPr>
        <w:tc>
          <w:tcPr>
            <w:tcW w:w="3860" w:type="dxa"/>
            <w:vAlign w:val="bottom"/>
          </w:tcPr>
          <w:p>
            <w:pPr>
              <w:ind w:left="180"/>
              <w:spacing w:after="0" w:line="142" w:lineRule="exact"/>
              <w:rPr>
                <w:sz w:val="20"/>
                <w:szCs w:val="20"/>
                <w:color w:val="auto"/>
              </w:rPr>
            </w:pPr>
            <w:r>
              <w:rPr>
                <w:rFonts w:ascii="Arial" w:cs="Arial" w:eastAsia="Arial" w:hAnsi="Arial"/>
                <w:sz w:val="14"/>
                <w:szCs w:val="14"/>
                <w:color w:val="auto"/>
              </w:rPr>
              <w:t>Net cash provided by/(used in) investing activities</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1,044,981</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21,157,621</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(15,567,468</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(2,442,876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(29,192,407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(7,078,294</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(1,110,739</w:t>
            </w:r>
          </w:p>
        </w:tc>
        <w:tc>
          <w:tcPr>
            <w:tcW w:w="80" w:type="dxa"/>
            <w:vAlign w:val="bottom"/>
          </w:tcPr>
          <w:p>
            <w:pPr>
              <w:jc w:val="right"/>
              <w:ind w:right="55"/>
              <w:spacing w:after="0"/>
              <w:rPr>
                <w:sz w:val="20"/>
                <w:szCs w:val="20"/>
                <w:color w:val="auto"/>
              </w:rPr>
            </w:pPr>
            <w:r>
              <w:rPr>
                <w:rFonts w:ascii="Arial" w:cs="Arial" w:eastAsia="Arial" w:hAnsi="Arial"/>
                <w:sz w:val="1"/>
                <w:szCs w:val="1"/>
                <w:color w:val="auto"/>
                <w:w w:val="4294967281"/>
              </w:rPr>
              <w:t>)</w:t>
            </w: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860" w:type="dxa"/>
            <w:vAlign w:val="bottom"/>
          </w:tcPr>
          <w:p>
            <w:pPr>
              <w:spacing w:after="0"/>
              <w:rPr>
                <w:sz w:val="11"/>
                <w:szCs w:val="11"/>
                <w:color w:val="auto"/>
              </w:rPr>
            </w:pPr>
          </w:p>
        </w:tc>
        <w:tc>
          <w:tcPr>
            <w:tcW w:w="106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179"/>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r>
      <w:tr>
        <w:trPr>
          <w:trHeight w:val="171"/>
        </w:trPr>
        <w:tc>
          <w:tcPr>
            <w:tcW w:w="38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2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100" w:type="dxa"/>
            <w:vAlign w:val="bottom"/>
          </w:tcPr>
          <w:p>
            <w:pPr>
              <w:spacing w:after="0"/>
              <w:rPr>
                <w:sz w:val="12"/>
                <w:szCs w:val="12"/>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Proceed of bank loan with terms over three months</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607,043</w:t>
            </w:r>
          </w:p>
        </w:tc>
        <w:tc>
          <w:tcPr>
            <w:tcW w:w="11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612,885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2,277,171</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357,338</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1,136,495</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4,447,586</w:t>
            </w:r>
          </w:p>
        </w:tc>
        <w:tc>
          <w:tcPr>
            <w:tcW w:w="9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697,923</w:t>
            </w:r>
          </w:p>
        </w:tc>
      </w:tr>
      <w:tr>
        <w:trPr>
          <w:trHeight w:val="148"/>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Payment of bank loan with terms over three months</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(361,973)</w:t>
            </w:r>
          </w:p>
        </w:tc>
        <w:tc>
          <w:tcPr>
            <w:tcW w:w="11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(235,284)</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(1,311,823)</w:t>
            </w: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(205,854)</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(818,539)</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(2,297,135)</w:t>
            </w:r>
          </w:p>
        </w:tc>
        <w:tc>
          <w:tcPr>
            <w:tcW w:w="9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(360,471)</w:t>
            </w:r>
          </w:p>
        </w:tc>
      </w:tr>
      <w:tr>
        <w:trPr>
          <w:trHeight w:val="149"/>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w w:val="96"/>
              </w:rPr>
              <w:t>Net changes in bank loans with terms of three months or less</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(2,152,677)</w:t>
            </w:r>
          </w:p>
        </w:tc>
        <w:tc>
          <w:tcPr>
            <w:tcW w:w="11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(7,967,910)</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425,020</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66,695</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3,723,109</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(442,207)</w:t>
            </w:r>
          </w:p>
        </w:tc>
        <w:tc>
          <w:tcPr>
            <w:tcW w:w="9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(69,392)</w:t>
            </w:r>
          </w:p>
        </w:tc>
      </w:tr>
      <w:tr>
        <w:trPr>
          <w:trHeight w:val="130"/>
        </w:trPr>
        <w:tc>
          <w:tcPr>
            <w:tcW w:w="38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8"/>
              </w:rPr>
              <w:t>(Paid for)/ net amounts received from NetEase's issuance of</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shares in Hong Kong</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(171,440)</w:t>
            </w:r>
          </w:p>
        </w:tc>
        <w:tc>
          <w:tcPr>
            <w:tcW w:w="11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21,911,815</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(13,800)</w:t>
            </w:r>
          </w:p>
        </w:tc>
        <w:tc>
          <w:tcPr>
            <w:tcW w:w="9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(2,165)</w:t>
            </w:r>
          </w:p>
        </w:tc>
      </w:tr>
      <w:tr>
        <w:trPr>
          <w:trHeight w:val="130"/>
        </w:trPr>
        <w:tc>
          <w:tcPr>
            <w:tcW w:w="3860" w:type="dxa"/>
            <w:vAlign w:val="bottom"/>
          </w:tcPr>
          <w:p>
            <w:pPr>
              <w:ind w:left="180"/>
              <w:spacing w:after="0" w:line="130" w:lineRule="exact"/>
              <w:rPr>
                <w:sz w:val="20"/>
                <w:szCs w:val="20"/>
                <w:color w:val="auto"/>
              </w:rPr>
            </w:pPr>
            <w:r>
              <w:rPr>
                <w:rFonts w:ascii="Arial" w:cs="Arial" w:eastAsia="Arial" w:hAnsi="Arial"/>
                <w:sz w:val="14"/>
                <w:szCs w:val="14"/>
                <w:color w:val="auto"/>
              </w:rPr>
              <w:t>Capital contribution from/ (repurchase of) noncontrolling</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interests and redeemable noncontrolling interests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shareholders, net</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10,609</w:t>
            </w:r>
          </w:p>
        </w:tc>
        <w:tc>
          <w:tcPr>
            <w:tcW w:w="1100" w:type="dxa"/>
            <w:vAlign w:val="bottom"/>
            <w:gridSpan w:val="2"/>
          </w:tcPr>
          <w:p>
            <w:pPr>
              <w:jc w:val="right"/>
              <w:ind w:right="179"/>
              <w:spacing w:after="0"/>
              <w:rPr>
                <w:sz w:val="20"/>
                <w:szCs w:val="20"/>
                <w:color w:val="auto"/>
              </w:rPr>
            </w:pPr>
            <w:r>
              <w:rPr>
                <w:rFonts w:ascii="Arial" w:cs="Arial" w:eastAsia="Arial" w:hAnsi="Arial"/>
                <w:sz w:val="14"/>
                <w:szCs w:val="14"/>
                <w:color w:val="auto"/>
              </w:rPr>
              <w:t>34,800</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1,320,122</w:t>
            </w:r>
          </w:p>
        </w:tc>
        <w:tc>
          <w:tcPr>
            <w:tcW w:w="1060" w:type="dxa"/>
            <w:vAlign w:val="bottom"/>
            <w:gridSpan w:val="2"/>
          </w:tcPr>
          <w:p>
            <w:pPr>
              <w:jc w:val="right"/>
              <w:ind w:right="159"/>
              <w:spacing w:after="0"/>
              <w:rPr>
                <w:sz w:val="20"/>
                <w:szCs w:val="20"/>
                <w:color w:val="auto"/>
              </w:rPr>
            </w:pPr>
            <w:r>
              <w:rPr>
                <w:rFonts w:ascii="Arial" w:cs="Arial" w:eastAsia="Arial" w:hAnsi="Arial"/>
                <w:sz w:val="14"/>
                <w:szCs w:val="14"/>
                <w:color w:val="auto"/>
              </w:rPr>
              <w:t>207,156</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(268,343)</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2,870,147</w:t>
            </w: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450,389</w:t>
            </w:r>
          </w:p>
        </w:tc>
      </w:tr>
      <w:tr>
        <w:trPr>
          <w:trHeight w:val="130"/>
        </w:trPr>
        <w:tc>
          <w:tcPr>
            <w:tcW w:w="38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Cash paid for repurchase of NetEase's ADSs/ purchase of</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subsidiaries' ADSs and shares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(3,445,930)</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(6,310,841)</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(2,112,256)</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(331,459)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(11,490,988)</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(12,910,533)</w:t>
            </w:r>
          </w:p>
        </w:tc>
        <w:tc>
          <w:tcPr>
            <w:tcW w:w="9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(2,025,944)</w:t>
            </w: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Dividends paid to noncontrolling shareholders</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(731,250)</w:t>
            </w:r>
          </w:p>
        </w:tc>
        <w:tc>
          <w:tcPr>
            <w:tcW w:w="10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(114,749)</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(731,250)</w:t>
            </w:r>
          </w:p>
        </w:tc>
        <w:tc>
          <w:tcPr>
            <w:tcW w:w="9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(114,749)</w:t>
            </w: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to NetEase's shareholders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(861,211)</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(1,028,116)</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(940,540)</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(147,591)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(4,280,462)</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(3,508,377)</w:t>
            </w:r>
          </w:p>
        </w:tc>
        <w:tc>
          <w:tcPr>
            <w:tcW w:w="9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(550,541)</w:t>
            </w:r>
          </w:p>
        </w:tc>
      </w:tr>
      <w:tr>
        <w:trPr>
          <w:trHeight w:val="142"/>
        </w:trPr>
        <w:tc>
          <w:tcPr>
            <w:tcW w:w="386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(6,375,579</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(14,894,466</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(1,073,556</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(168,464</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9,913,087</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(12,585,569</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(1,974,950</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r>
      <w:tr>
        <w:trPr>
          <w:trHeight w:val="142"/>
        </w:trPr>
        <w:tc>
          <w:tcPr>
            <w:tcW w:w="3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3860" w:type="dxa"/>
            <w:vAlign w:val="bottom"/>
          </w:tcPr>
          <w:p>
            <w:pPr>
              <w:spacing w:after="0" w:line="130" w:lineRule="exact"/>
              <w:rPr>
                <w:sz w:val="20"/>
                <w:szCs w:val="20"/>
                <w:color w:val="auto"/>
              </w:rPr>
            </w:pPr>
            <w:r>
              <w:rPr>
                <w:rFonts w:ascii="Arial" w:cs="Arial" w:eastAsia="Arial" w:hAnsi="Arial"/>
                <w:sz w:val="14"/>
                <w:szCs w:val="14"/>
                <w:color w:val="auto"/>
                <w:w w:val="97"/>
              </w:rPr>
              <w:t>Effect of exchange rate changes on cash, cash equivalents and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860" w:type="dxa"/>
            <w:vAlign w:val="bottom"/>
          </w:tcPr>
          <w:p>
            <w:pPr>
              <w:ind w:left="180"/>
              <w:spacing w:after="0"/>
              <w:rPr>
                <w:sz w:val="20"/>
                <w:szCs w:val="20"/>
                <w:color w:val="auto"/>
              </w:rPr>
            </w:pPr>
            <w:r>
              <w:rPr>
                <w:rFonts w:ascii="Arial" w:cs="Arial" w:eastAsia="Arial" w:hAnsi="Arial"/>
                <w:sz w:val="14"/>
                <w:szCs w:val="14"/>
                <w:color w:val="auto"/>
              </w:rPr>
              <w:t>restricted cash held in foreign currencies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(67,229)</w:t>
            </w:r>
          </w:p>
        </w:tc>
        <w:tc>
          <w:tcPr>
            <w:tcW w:w="1100" w:type="dxa"/>
            <w:vAlign w:val="bottom"/>
            <w:gridSpan w:val="2"/>
          </w:tcPr>
          <w:p>
            <w:pPr>
              <w:jc w:val="right"/>
              <w:ind w:right="179"/>
              <w:spacing w:after="0"/>
              <w:rPr>
                <w:sz w:val="20"/>
                <w:szCs w:val="20"/>
                <w:color w:val="auto"/>
              </w:rPr>
            </w:pPr>
            <w:r>
              <w:rPr>
                <w:rFonts w:ascii="Arial" w:cs="Arial" w:eastAsia="Arial" w:hAnsi="Arial"/>
                <w:sz w:val="14"/>
                <w:szCs w:val="14"/>
                <w:color w:val="auto"/>
              </w:rPr>
              <w:t>14,435</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(80,670)</w:t>
            </w:r>
          </w:p>
        </w:tc>
        <w:tc>
          <w:tcPr>
            <w:tcW w:w="1060" w:type="dxa"/>
            <w:vAlign w:val="bottom"/>
            <w:gridSpan w:val="2"/>
          </w:tcPr>
          <w:p>
            <w:pPr>
              <w:jc w:val="right"/>
              <w:ind w:right="119"/>
              <w:spacing w:after="0"/>
              <w:rPr>
                <w:sz w:val="20"/>
                <w:szCs w:val="20"/>
                <w:color w:val="auto"/>
              </w:rPr>
            </w:pPr>
            <w:r>
              <w:rPr>
                <w:rFonts w:ascii="Arial" w:cs="Arial" w:eastAsia="Arial" w:hAnsi="Arial"/>
                <w:sz w:val="14"/>
                <w:szCs w:val="14"/>
                <w:color w:val="auto"/>
              </w:rPr>
              <w:t>(12,659)</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161,894</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(55,354)</w:t>
            </w:r>
          </w:p>
        </w:tc>
        <w:tc>
          <w:tcPr>
            <w:tcW w:w="960" w:type="dxa"/>
            <w:vAlign w:val="bottom"/>
            <w:gridSpan w:val="2"/>
          </w:tcPr>
          <w:p>
            <w:pPr>
              <w:jc w:val="right"/>
              <w:ind w:right="19"/>
              <w:spacing w:after="0"/>
              <w:rPr>
                <w:sz w:val="20"/>
                <w:szCs w:val="20"/>
                <w:color w:val="auto"/>
              </w:rPr>
            </w:pPr>
            <w:r>
              <w:rPr>
                <w:rFonts w:ascii="Arial" w:cs="Arial" w:eastAsia="Arial" w:hAnsi="Arial"/>
                <w:sz w:val="14"/>
                <w:szCs w:val="14"/>
                <w:color w:val="auto"/>
              </w:rPr>
              <w:t>(8,686)</w:t>
            </w:r>
          </w:p>
        </w:tc>
      </w:tr>
      <w:tr>
        <w:trPr>
          <w:trHeight w:val="130"/>
        </w:trPr>
        <w:tc>
          <w:tcPr>
            <w:tcW w:w="3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Net increase/ (decrease) in cash, cash equivalents and restricted</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2,816,420</w:t>
            </w:r>
          </w:p>
        </w:tc>
        <w:tc>
          <w:tcPr>
            <w:tcW w:w="11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12,570,246</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(8,353,096)</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(1,310,783)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5,770,745</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5,207,510</w:t>
            </w: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817,172</w:t>
            </w:r>
          </w:p>
        </w:tc>
      </w:tr>
      <w:tr>
        <w:trPr>
          <w:trHeight w:val="126"/>
        </w:trPr>
        <w:tc>
          <w:tcPr>
            <w:tcW w:w="3860" w:type="dxa"/>
            <w:vAlign w:val="bottom"/>
          </w:tcPr>
          <w:p>
            <w:pPr>
              <w:spacing w:after="0" w:line="126" w:lineRule="exact"/>
              <w:rPr>
                <w:sz w:val="20"/>
                <w:szCs w:val="20"/>
                <w:color w:val="auto"/>
              </w:rPr>
            </w:pPr>
            <w:r>
              <w:rPr>
                <w:rFonts w:ascii="Arial" w:cs="Arial" w:eastAsia="Arial" w:hAnsi="Arial"/>
                <w:sz w:val="14"/>
                <w:szCs w:val="14"/>
                <w:b w:val="1"/>
                <w:bCs w:val="1"/>
                <w:color w:val="auto"/>
                <w:w w:val="95"/>
              </w:rPr>
              <w:t>Cash, cash equivalents and restricted cash, at the beginning</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5"/>
        </w:trPr>
        <w:tc>
          <w:tcPr>
            <w:tcW w:w="3860" w:type="dxa"/>
            <w:vAlign w:val="bottom"/>
          </w:tcPr>
          <w:p>
            <w:pPr>
              <w:ind w:left="180"/>
              <w:spacing w:after="0"/>
              <w:rPr>
                <w:sz w:val="20"/>
                <w:szCs w:val="20"/>
                <w:color w:val="auto"/>
              </w:rPr>
            </w:pPr>
            <w:r>
              <w:rPr>
                <w:rFonts w:ascii="Arial" w:cs="Arial" w:eastAsia="Arial" w:hAnsi="Arial"/>
                <w:sz w:val="14"/>
                <w:szCs w:val="14"/>
                <w:b w:val="1"/>
                <w:bCs w:val="1"/>
                <w:color w:val="auto"/>
              </w:rPr>
              <w:t>of the period</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9,352,185</w:t>
            </w:r>
          </w:p>
        </w:tc>
        <w:tc>
          <w:tcPr>
            <w:tcW w:w="1100" w:type="dxa"/>
            <w:vAlign w:val="bottom"/>
            <w:gridSpan w:val="2"/>
          </w:tcPr>
          <w:p>
            <w:pPr>
              <w:jc w:val="right"/>
              <w:ind w:right="179"/>
              <w:spacing w:after="0"/>
              <w:rPr>
                <w:sz w:val="20"/>
                <w:szCs w:val="20"/>
                <w:color w:val="auto"/>
              </w:rPr>
            </w:pPr>
            <w:r>
              <w:rPr>
                <w:rFonts w:ascii="Arial" w:cs="Arial" w:eastAsia="Arial" w:hAnsi="Arial"/>
                <w:sz w:val="14"/>
                <w:szCs w:val="14"/>
                <w:color w:val="auto"/>
              </w:rPr>
              <w:t>13,158,965</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25,729,211</w:t>
            </w:r>
          </w:p>
        </w:tc>
        <w:tc>
          <w:tcPr>
            <w:tcW w:w="1060" w:type="dxa"/>
            <w:vAlign w:val="bottom"/>
            <w:gridSpan w:val="2"/>
          </w:tcPr>
          <w:p>
            <w:pPr>
              <w:jc w:val="right"/>
              <w:ind w:right="159"/>
              <w:spacing w:after="0"/>
              <w:rPr>
                <w:sz w:val="20"/>
                <w:szCs w:val="20"/>
                <w:color w:val="auto"/>
              </w:rPr>
            </w:pPr>
            <w:r>
              <w:rPr>
                <w:rFonts w:ascii="Arial" w:cs="Arial" w:eastAsia="Arial" w:hAnsi="Arial"/>
                <w:sz w:val="14"/>
                <w:szCs w:val="14"/>
                <w:color w:val="auto"/>
              </w:rPr>
              <w:t>4,037,475</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6,397,860</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12,168,605</w:t>
            </w: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1,909,520</w:t>
            </w:r>
          </w:p>
        </w:tc>
      </w:tr>
      <w:tr>
        <w:trPr>
          <w:trHeight w:val="106"/>
        </w:trPr>
        <w:tc>
          <w:tcPr>
            <w:tcW w:w="38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cash equivalents and restricted cash, at end of the</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98"/>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period</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12,168,605</w:t>
            </w:r>
          </w:p>
        </w:tc>
        <w:tc>
          <w:tcPr>
            <w:tcW w:w="11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25,729,211</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17,376,115</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2,726,692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12,168,605</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17,376,115</w:t>
            </w: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2,726,692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29"/>
        </w:trPr>
        <w:tc>
          <w:tcPr>
            <w:tcW w:w="3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860" w:type="dxa"/>
            <w:vAlign w:val="bottom"/>
          </w:tcPr>
          <w:p>
            <w:pPr>
              <w:ind w:left="180"/>
              <w:spacing w:after="0" w:line="149" w:lineRule="exact"/>
              <w:rPr>
                <w:sz w:val="20"/>
                <w:szCs w:val="20"/>
                <w:color w:val="auto"/>
              </w:rPr>
            </w:pPr>
            <w:r>
              <w:rPr>
                <w:rFonts w:ascii="Arial" w:cs="Arial" w:eastAsia="Arial" w:hAnsi="Arial"/>
                <w:sz w:val="14"/>
                <w:szCs w:val="14"/>
                <w:color w:val="auto"/>
              </w:rPr>
              <w:t>Cash paid for income tax, net</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347,389</w:t>
            </w:r>
          </w:p>
        </w:tc>
        <w:tc>
          <w:tcPr>
            <w:tcW w:w="11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898,112</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858,304</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134,687</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2,046,119</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3,547,299</w:t>
            </w:r>
          </w:p>
        </w:tc>
        <w:tc>
          <w:tcPr>
            <w:tcW w:w="9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556,649</w:t>
            </w: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for interest expense</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46,177</w:t>
            </w:r>
          </w:p>
        </w:tc>
        <w:tc>
          <w:tcPr>
            <w:tcW w:w="11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52,765</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42,879</w:t>
            </w:r>
          </w:p>
        </w:tc>
        <w:tc>
          <w:tcPr>
            <w:tcW w:w="10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6,729</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246,051</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187,628</w:t>
            </w:r>
          </w:p>
        </w:tc>
        <w:tc>
          <w:tcPr>
            <w:tcW w:w="9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29,443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SEGMENT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w w:val="98"/>
              </w:rPr>
              <w:t>Year Ended</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400" w:type="dxa"/>
            <w:vAlign w:val="bottom"/>
          </w:tcPr>
          <w:p>
            <w:pPr>
              <w:spacing w:after="0"/>
              <w:rPr>
                <w:sz w:val="11"/>
                <w:szCs w:val="11"/>
                <w:color w:val="auto"/>
              </w:rPr>
            </w:pPr>
          </w:p>
        </w:tc>
        <w:tc>
          <w:tcPr>
            <w:tcW w:w="1180" w:type="dxa"/>
            <w:vAlign w:val="bottom"/>
            <w:gridSpan w:val="2"/>
          </w:tcPr>
          <w:p>
            <w:pPr>
              <w:jc w:val="center"/>
              <w:ind w:right="22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ind w:right="168"/>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2"/>
          </w:tcPr>
          <w:p>
            <w:pPr>
              <w:jc w:val="center"/>
              <w:ind w:right="16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1"/>
                <w:szCs w:val="11"/>
                <w:color w:val="auto"/>
              </w:rPr>
            </w:pPr>
          </w:p>
        </w:tc>
        <w:tc>
          <w:tcPr>
            <w:tcW w:w="1160" w:type="dxa"/>
            <w:vAlign w:val="bottom"/>
            <w:gridSpan w:val="2"/>
          </w:tcPr>
          <w:p>
            <w:pPr>
              <w:jc w:val="center"/>
              <w:ind w:right="2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ind w:right="15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gridSpan w:val="2"/>
          </w:tcPr>
          <w:p>
            <w:pPr>
              <w:spacing w:after="0"/>
              <w:rPr>
                <w:sz w:val="11"/>
                <w:szCs w:val="11"/>
                <w:color w:val="auto"/>
              </w:rPr>
            </w:pPr>
          </w:p>
        </w:tc>
      </w:tr>
      <w:tr>
        <w:trPr>
          <w:trHeight w:val="171"/>
        </w:trPr>
        <w:tc>
          <w:tcPr>
            <w:tcW w:w="34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3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w w:val="95"/>
              </w:rPr>
              <w:t>USD (Note 1)</w:t>
            </w:r>
          </w:p>
        </w:tc>
        <w:tc>
          <w:tcPr>
            <w:tcW w:w="2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120" w:type="dxa"/>
            <w:vAlign w:val="bottom"/>
            <w:gridSpan w:val="2"/>
          </w:tcPr>
          <w:p>
            <w:pPr>
              <w:spacing w:after="0"/>
              <w:rPr>
                <w:sz w:val="12"/>
                <w:szCs w:val="1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Online game services</w:t>
            </w:r>
          </w:p>
        </w:tc>
        <w:tc>
          <w:tcPr>
            <w:tcW w:w="11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13,400,182</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15,899,070</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17,397,517</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2,730,050</w:t>
            </w:r>
          </w:p>
        </w:tc>
        <w:tc>
          <w:tcPr>
            <w:tcW w:w="11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54,608,717</w:t>
            </w: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62,806,453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9,855,703</w:t>
            </w:r>
          </w:p>
        </w:tc>
        <w:tc>
          <w:tcPr>
            <w:tcW w:w="100" w:type="dxa"/>
            <w:vAlign w:val="bottom"/>
          </w:tcPr>
          <w:p>
            <w:pPr>
              <w:spacing w:after="0"/>
              <w:rPr>
                <w:sz w:val="12"/>
                <w:szCs w:val="1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Youdao</w:t>
            </w:r>
          </w:p>
        </w:tc>
        <w:tc>
          <w:tcPr>
            <w:tcW w:w="11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1,106,796</w:t>
            </w:r>
          </w:p>
        </w:tc>
        <w:tc>
          <w:tcPr>
            <w:tcW w:w="11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1,387,292</w:t>
            </w:r>
          </w:p>
        </w:tc>
        <w:tc>
          <w:tcPr>
            <w:tcW w:w="11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1,333,791</w:t>
            </w:r>
          </w:p>
        </w:tc>
        <w:tc>
          <w:tcPr>
            <w:tcW w:w="11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209,301</w:t>
            </w:r>
          </w:p>
        </w:tc>
        <w:tc>
          <w:tcPr>
            <w:tcW w:w="11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3,167,515</w:t>
            </w: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5,354,357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840,215</w:t>
            </w:r>
          </w:p>
        </w:tc>
        <w:tc>
          <w:tcPr>
            <w:tcW w:w="100" w:type="dxa"/>
            <w:vAlign w:val="bottom"/>
            <w:shd w:val="clear" w:color="auto" w:fill="CCEEFF"/>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Cloud Music</w:t>
            </w:r>
          </w:p>
        </w:tc>
        <w:tc>
          <w:tcPr>
            <w:tcW w:w="11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1,524,509</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1,924,683</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1,889,265</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296,467</w:t>
            </w:r>
          </w:p>
        </w:tc>
        <w:tc>
          <w:tcPr>
            <w:tcW w:w="11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4,895,731</w:t>
            </w: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6,997,622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1,098,080</w:t>
            </w:r>
          </w:p>
        </w:tc>
        <w:tc>
          <w:tcPr>
            <w:tcW w:w="100" w:type="dxa"/>
            <w:vAlign w:val="bottom"/>
          </w:tcPr>
          <w:p>
            <w:pPr>
              <w:spacing w:after="0"/>
              <w:rPr>
                <w:sz w:val="12"/>
                <w:szCs w:val="12"/>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Innovative businesses and others</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3,730,251</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2,979,704</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3,752,992</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588,926</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10,995,170</w:t>
            </w:r>
          </w:p>
        </w:tc>
        <w:tc>
          <w:tcPr>
            <w:tcW w:w="11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12,447,594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1,953,299</w:t>
            </w:r>
          </w:p>
        </w:tc>
        <w:tc>
          <w:tcPr>
            <w:tcW w:w="100" w:type="dxa"/>
            <w:vAlign w:val="bottom"/>
            <w:shd w:val="clear" w:color="auto" w:fill="CCEEFF"/>
          </w:tcPr>
          <w:p>
            <w:pPr>
              <w:spacing w:after="0"/>
              <w:rPr>
                <w:sz w:val="14"/>
                <w:szCs w:val="14"/>
                <w:color w:val="auto"/>
              </w:rPr>
            </w:pPr>
          </w:p>
        </w:tc>
      </w:tr>
      <w:tr>
        <w:trPr>
          <w:trHeight w:val="142"/>
        </w:trPr>
        <w:tc>
          <w:tcPr>
            <w:tcW w:w="34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net revenues</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19,761,738</w:t>
            </w:r>
          </w:p>
        </w:tc>
        <w:tc>
          <w:tcPr>
            <w:tcW w:w="3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22,190,749</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24,373,565</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3,824,744</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73,667,133</w:t>
            </w:r>
          </w:p>
        </w:tc>
        <w:tc>
          <w:tcPr>
            <w:tcW w:w="2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87,606,026</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13,747,297</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2"/>
        </w:trPr>
        <w:tc>
          <w:tcPr>
            <w:tcW w:w="3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Online game services</w:t>
            </w:r>
          </w:p>
        </w:tc>
        <w:tc>
          <w:tcPr>
            <w:tcW w:w="11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(4,942,484)</w:t>
            </w: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(5,637,027)</w:t>
            </w: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(6,239,410)</w:t>
            </w: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(979,100)</w:t>
            </w:r>
          </w:p>
        </w:tc>
        <w:tc>
          <w:tcPr>
            <w:tcW w:w="11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(19,847,846)</w:t>
            </w:r>
          </w:p>
        </w:tc>
        <w:tc>
          <w:tcPr>
            <w:tcW w:w="11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(22,101,116)</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(3,468,147)</w:t>
            </w: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Youdao</w:t>
            </w:r>
          </w:p>
        </w:tc>
        <w:tc>
          <w:tcPr>
            <w:tcW w:w="11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(581,327)</w:t>
            </w: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(601,741)</w:t>
            </w: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(657,329)</w:t>
            </w: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(103,149)</w:t>
            </w:r>
          </w:p>
        </w:tc>
        <w:tc>
          <w:tcPr>
            <w:tcW w:w="11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(1,713,229)</w:t>
            </w:r>
          </w:p>
        </w:tc>
        <w:tc>
          <w:tcPr>
            <w:tcW w:w="11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(2,448,146)</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(384,168)</w:t>
            </w: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Cloud Music</w:t>
            </w:r>
          </w:p>
        </w:tc>
        <w:tc>
          <w:tcPr>
            <w:tcW w:w="11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(1,632,497)</w:t>
            </w: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(1,881,859)</w:t>
            </w: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(1,812,036)</w:t>
            </w: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(284,348)</w:t>
            </w:r>
          </w:p>
        </w:tc>
        <w:tc>
          <w:tcPr>
            <w:tcW w:w="11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(5,491,066)</w:t>
            </w:r>
          </w:p>
        </w:tc>
        <w:tc>
          <w:tcPr>
            <w:tcW w:w="11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(6,854,948)</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(1,075,691)</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Innovative businesses and others</w:t>
            </w: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(2,677,668)</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(2,259,354)</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(2,747,010)</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(431,065)</w:t>
            </w:r>
          </w:p>
        </w:tc>
        <w:tc>
          <w:tcPr>
            <w:tcW w:w="1160" w:type="dxa"/>
            <w:vAlign w:val="bottom"/>
            <w:gridSpan w:val="2"/>
          </w:tcPr>
          <w:p>
            <w:pPr>
              <w:jc w:val="right"/>
              <w:ind w:right="148"/>
              <w:spacing w:after="0"/>
              <w:rPr>
                <w:sz w:val="20"/>
                <w:szCs w:val="20"/>
                <w:color w:val="auto"/>
              </w:rPr>
            </w:pPr>
            <w:r>
              <w:rPr>
                <w:rFonts w:ascii="Arial" w:cs="Arial" w:eastAsia="Arial" w:hAnsi="Arial"/>
                <w:sz w:val="14"/>
                <w:szCs w:val="14"/>
                <w:color w:val="auto"/>
              </w:rPr>
              <w:t>(7,631,590)</w:t>
            </w: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(9,231,015)</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(1,448,547)</w:t>
            </w: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cost of revenues</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(9,833,976</w:t>
            </w:r>
          </w:p>
        </w:tc>
        <w:tc>
          <w:tcPr>
            <w:tcW w:w="300" w:type="dxa"/>
            <w:vAlign w:val="bottom"/>
            <w:tcBorders>
              <w:top w:val="single" w:sz="8" w:color="CCEEFF"/>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(10,379,981</w:t>
            </w:r>
          </w:p>
        </w:tc>
        <w:tc>
          <w:tcPr>
            <w:tcW w:w="24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(11,455,785</w:t>
            </w:r>
          </w:p>
        </w:tc>
        <w:tc>
          <w:tcPr>
            <w:tcW w:w="24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(1,797,662</w:t>
            </w:r>
          </w:p>
        </w:tc>
        <w:tc>
          <w:tcPr>
            <w:tcW w:w="24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(34,683,731</w:t>
            </w:r>
          </w:p>
        </w:tc>
        <w:tc>
          <w:tcPr>
            <w:tcW w:w="280" w:type="dxa"/>
            <w:vAlign w:val="bottom"/>
            <w:tcBorders>
              <w:top w:val="single" w:sz="8" w:color="CCEEF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(40,635,225</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(6,376,553</w:t>
            </w:r>
          </w:p>
        </w:tc>
        <w:tc>
          <w:tcPr>
            <w:tcW w:w="1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r>
      <w:tr>
        <w:trPr>
          <w:trHeight w:val="142"/>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Gross profit:</w:t>
            </w: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Online game services</w:t>
            </w:r>
          </w:p>
        </w:tc>
        <w:tc>
          <w:tcPr>
            <w:tcW w:w="11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8,457,698</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10,262,043</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11,158,107</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1,750,950</w:t>
            </w:r>
          </w:p>
        </w:tc>
        <w:tc>
          <w:tcPr>
            <w:tcW w:w="11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34,760,871</w:t>
            </w: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40,705,337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6,387,556</w:t>
            </w:r>
          </w:p>
        </w:tc>
        <w:tc>
          <w:tcPr>
            <w:tcW w:w="100" w:type="dxa"/>
            <w:vAlign w:val="bottom"/>
          </w:tcPr>
          <w:p>
            <w:pPr>
              <w:spacing w:after="0"/>
              <w:rPr>
                <w:sz w:val="12"/>
                <w:szCs w:val="1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Youdao</w:t>
            </w:r>
          </w:p>
        </w:tc>
        <w:tc>
          <w:tcPr>
            <w:tcW w:w="11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525,469</w:t>
            </w:r>
          </w:p>
        </w:tc>
        <w:tc>
          <w:tcPr>
            <w:tcW w:w="11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785,551</w:t>
            </w:r>
          </w:p>
        </w:tc>
        <w:tc>
          <w:tcPr>
            <w:tcW w:w="11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676,462</w:t>
            </w:r>
          </w:p>
        </w:tc>
        <w:tc>
          <w:tcPr>
            <w:tcW w:w="11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106,152</w:t>
            </w:r>
          </w:p>
        </w:tc>
        <w:tc>
          <w:tcPr>
            <w:tcW w:w="11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1,454,286</w:t>
            </w: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2,906,211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456,047</w:t>
            </w:r>
          </w:p>
        </w:tc>
        <w:tc>
          <w:tcPr>
            <w:tcW w:w="100" w:type="dxa"/>
            <w:vAlign w:val="bottom"/>
            <w:shd w:val="clear" w:color="auto" w:fill="CCEEFF"/>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Cloud Music</w:t>
            </w:r>
          </w:p>
        </w:tc>
        <w:tc>
          <w:tcPr>
            <w:tcW w:w="11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(107,988)</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42,824</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77,229</w:t>
            </w: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12,119</w:t>
            </w:r>
          </w:p>
        </w:tc>
        <w:tc>
          <w:tcPr>
            <w:tcW w:w="11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(595,335)</w:t>
            </w: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142,674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22,389</w:t>
            </w:r>
          </w:p>
        </w:tc>
        <w:tc>
          <w:tcPr>
            <w:tcW w:w="100" w:type="dxa"/>
            <w:vAlign w:val="bottom"/>
          </w:tcPr>
          <w:p>
            <w:pPr>
              <w:spacing w:after="0"/>
              <w:rPr>
                <w:sz w:val="12"/>
                <w:szCs w:val="12"/>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Innovative businesses and others</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1,052,583</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720,350</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1,005,982</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157,861</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3,363,580</w:t>
            </w:r>
          </w:p>
        </w:tc>
        <w:tc>
          <w:tcPr>
            <w:tcW w:w="11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3,216,579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504,752</w:t>
            </w:r>
          </w:p>
        </w:tc>
        <w:tc>
          <w:tcPr>
            <w:tcW w:w="100" w:type="dxa"/>
            <w:vAlign w:val="bottom"/>
            <w:shd w:val="clear" w:color="auto" w:fill="CCEEFF"/>
          </w:tcPr>
          <w:p>
            <w:pPr>
              <w:spacing w:after="0"/>
              <w:rPr>
                <w:sz w:val="14"/>
                <w:szCs w:val="14"/>
                <w:color w:val="auto"/>
              </w:rPr>
            </w:pP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color w:val="auto"/>
              </w:rPr>
              <w:t>Total gross profit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9,927,762</w:t>
            </w:r>
          </w:p>
        </w:tc>
        <w:tc>
          <w:tcPr>
            <w:tcW w:w="3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11,810,768</w:t>
            </w:r>
          </w:p>
        </w:tc>
        <w:tc>
          <w:tcPr>
            <w:tcW w:w="2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12,917,780</w:t>
            </w:r>
          </w:p>
        </w:tc>
        <w:tc>
          <w:tcPr>
            <w:tcW w:w="2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2,027,082</w:t>
            </w:r>
          </w:p>
        </w:tc>
        <w:tc>
          <w:tcPr>
            <w:tcW w:w="2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38,983,402</w:t>
            </w:r>
          </w:p>
        </w:tc>
        <w:tc>
          <w:tcPr>
            <w:tcW w:w="2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46,970,801</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7,370,744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20"/>
                <w:szCs w:val="20"/>
                <w:color w:val="auto"/>
              </w:rPr>
            </w:pPr>
            <w:r>
              <w:rPr>
                <w:rFonts w:ascii="Arial" w:cs="Arial" w:eastAsia="Arial" w:hAnsi="Arial"/>
                <w:sz w:val="14"/>
                <w:szCs w:val="14"/>
                <w:b w:val="1"/>
                <w:bCs w:val="1"/>
                <w:color w:val="auto"/>
              </w:rPr>
              <w:t>Gross profit margin:</w:t>
            </w: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Online game services</w:t>
            </w:r>
          </w:p>
        </w:tc>
        <w:tc>
          <w:tcPr>
            <w:tcW w:w="18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63.1%</w:t>
            </w:r>
          </w:p>
        </w:tc>
        <w:tc>
          <w:tcPr>
            <w:tcW w:w="11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64.5%</w:t>
            </w:r>
          </w:p>
        </w:tc>
        <w:tc>
          <w:tcPr>
            <w:tcW w:w="11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64.1%</w:t>
            </w:r>
          </w:p>
        </w:tc>
        <w:tc>
          <w:tcPr>
            <w:tcW w:w="11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64.1%</w:t>
            </w:r>
          </w:p>
        </w:tc>
        <w:tc>
          <w:tcPr>
            <w:tcW w:w="118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63.7%</w:t>
            </w:r>
          </w:p>
        </w:tc>
        <w:tc>
          <w:tcPr>
            <w:tcW w:w="114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64.8%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Youdao</w:t>
            </w:r>
          </w:p>
        </w:tc>
        <w:tc>
          <w:tcPr>
            <w:tcW w:w="188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47.5%</w:t>
            </w:r>
          </w:p>
        </w:tc>
        <w:tc>
          <w:tcPr>
            <w:tcW w:w="11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56.6%</w:t>
            </w:r>
          </w:p>
        </w:tc>
        <w:tc>
          <w:tcPr>
            <w:tcW w:w="11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50.7%</w:t>
            </w:r>
          </w:p>
        </w:tc>
        <w:tc>
          <w:tcPr>
            <w:tcW w:w="11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50.7%</w:t>
            </w:r>
          </w:p>
        </w:tc>
        <w:tc>
          <w:tcPr>
            <w:tcW w:w="118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45.9%</w:t>
            </w:r>
          </w:p>
        </w:tc>
        <w:tc>
          <w:tcPr>
            <w:tcW w:w="114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54.3%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r>
      <w:tr>
        <w:trPr>
          <w:trHeight w:val="148"/>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Cloud Music</w:t>
            </w:r>
          </w:p>
        </w:tc>
        <w:tc>
          <w:tcPr>
            <w:tcW w:w="18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(7.1)%</w:t>
            </w:r>
          </w:p>
        </w:tc>
        <w:tc>
          <w:tcPr>
            <w:tcW w:w="11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2.2%</w:t>
            </w:r>
          </w:p>
        </w:tc>
        <w:tc>
          <w:tcPr>
            <w:tcW w:w="11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4.1%</w:t>
            </w:r>
          </w:p>
        </w:tc>
        <w:tc>
          <w:tcPr>
            <w:tcW w:w="11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4.1%</w:t>
            </w:r>
          </w:p>
        </w:tc>
        <w:tc>
          <w:tcPr>
            <w:tcW w:w="118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(12.2)%</w:t>
            </w:r>
          </w:p>
        </w:tc>
        <w:tc>
          <w:tcPr>
            <w:tcW w:w="114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r>
      <w:tr>
        <w:trPr>
          <w:trHeight w:val="182"/>
        </w:trPr>
        <w:tc>
          <w:tcPr>
            <w:tcW w:w="2960" w:type="dxa"/>
            <w:vAlign w:val="bottom"/>
          </w:tcPr>
          <w:p>
            <w:pPr>
              <w:spacing w:after="0"/>
              <w:rPr>
                <w:sz w:val="20"/>
                <w:szCs w:val="20"/>
                <w:color w:val="auto"/>
              </w:rPr>
            </w:pPr>
            <w:r>
              <w:rPr>
                <w:rFonts w:ascii="Arial" w:cs="Arial" w:eastAsia="Arial" w:hAnsi="Arial"/>
                <w:sz w:val="14"/>
                <w:szCs w:val="14"/>
                <w:color w:val="auto"/>
              </w:rPr>
              <w:t>Innovative businesses and others</w:t>
            </w:r>
          </w:p>
        </w:tc>
        <w:tc>
          <w:tcPr>
            <w:tcW w:w="1880" w:type="dxa"/>
            <w:vAlign w:val="bottom"/>
          </w:tcPr>
          <w:p>
            <w:pPr>
              <w:jc w:val="right"/>
              <w:ind w:right="368"/>
              <w:spacing w:after="0"/>
              <w:rPr>
                <w:sz w:val="20"/>
                <w:szCs w:val="20"/>
                <w:color w:val="auto"/>
              </w:rPr>
            </w:pPr>
            <w:r>
              <w:rPr>
                <w:rFonts w:ascii="Arial" w:cs="Arial" w:eastAsia="Arial" w:hAnsi="Arial"/>
                <w:sz w:val="14"/>
                <w:szCs w:val="14"/>
                <w:color w:val="auto"/>
              </w:rPr>
              <w:t>28.2%</w:t>
            </w: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24.2%</w:t>
            </w: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26.8%</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26.8%</w:t>
            </w: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30.6%</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25.8%</w:t>
            </w:r>
          </w:p>
        </w:tc>
        <w:tc>
          <w:tcPr>
            <w:tcW w:w="740" w:type="dxa"/>
            <w:vAlign w:val="bottom"/>
          </w:tcPr>
          <w:p>
            <w:pPr>
              <w:jc w:val="right"/>
              <w:spacing w:after="0"/>
              <w:rPr>
                <w:sz w:val="20"/>
                <w:szCs w:val="20"/>
                <w:color w:val="auto"/>
              </w:rPr>
            </w:pPr>
            <w:r>
              <w:rPr>
                <w:rFonts w:ascii="Arial" w:cs="Arial" w:eastAsia="Arial" w:hAnsi="Arial"/>
                <w:sz w:val="14"/>
                <w:szCs w:val="14"/>
                <w:color w:val="auto"/>
              </w:rPr>
              <w:t>25.8%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Financial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Note 1: The conversion of Renminbi (RMB) into United States dollars (USD) is based on the noon buying rate of USD1.00 = RMB6.3726 on the last trading day of December 2021 (December 30, 2021) as set forth in the H.10 statistical release of the U.S. Federal Reserve Board. No representation is made that the RMB amounts could have been, or could be, converted into US$ at that rate on December 30, 2021, or at any other certain date.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2: Share-based compensation cost reported in the Company’s unaudited condensed consolidated statements of comprehensive income is set out as follows in RMB and USD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500" w:type="dxa"/>
            <w:vAlign w:val="bottom"/>
          </w:tcPr>
          <w:p>
            <w:pPr>
              <w:spacing w:after="0"/>
              <w:rPr>
                <w:sz w:val="10"/>
                <w:szCs w:val="10"/>
                <w:color w:val="auto"/>
              </w:rPr>
            </w:pP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30,</w:t>
            </w: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35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w w:val="95"/>
              </w:rPr>
              <w:t>USD (Note 1)</w:t>
            </w:r>
          </w:p>
        </w:tc>
        <w:tc>
          <w:tcPr>
            <w:tcW w:w="2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100" w:type="dxa"/>
            <w:vAlign w:val="bottom"/>
          </w:tcPr>
          <w:p>
            <w:pPr>
              <w:spacing w:after="0"/>
              <w:rPr>
                <w:sz w:val="12"/>
                <w:szCs w:val="12"/>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cost included in:</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Cost of revenues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181,871</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180,669</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267,424</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41,965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794,855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833,389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130,777</w:t>
            </w: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 Selling and marketing expenses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24,892</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29,289</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38,657</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6,066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102,300</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118,611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18,613</w:t>
            </w: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General and administrative expenses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214,730</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258,805</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358,595</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56,271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929,013</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1,105,547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173,484</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 Research and development expenses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207,486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219,463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338,223</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53,075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837,321</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983,945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154,402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Note 3: The unaudited financial information disclosed in this press release is preliminary. The audit of the financial statements and related notes to be included in the Company’s annual report to shareholders for the year ended December 31, 2021 is still in progress. In addition, because an audit of the Company’s internal controls over financial reporting in connection with section 404 of the Sarbanes-Oxley Act of 2002 has not yet been completed, the Company makes no representation as to the effectiveness of those internal controls as of the end of fiscal year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to the financial statements may be identified when the audit work is completed, which could result in significant differences between the Company’s audited financial statements and this preliminary unaudited financial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4: The financial information prepared and presented in this announcement might be different from those published and to be published by NetEase’s listed subsidiaries to meet the disclosure requirements under U.S. GAAP or different accounting standards requirement.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Note 5: The unaudited reconciliation on GAAP and non-GAAP results is set out as follows in RMB and USD (in thousands, except per share data or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ADS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w w:val="95"/>
              </w:rPr>
              <w:t>USD (Note 1)</w:t>
            </w:r>
          </w:p>
        </w:tc>
        <w:tc>
          <w:tcPr>
            <w:tcW w:w="2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w w:val="97"/>
              </w:rPr>
              <w:t>USD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the Company’s shareholders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975,702</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3,181,782</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5,694,154</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893,537</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12,062,754</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16,856,842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2,645,206</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Add: Share-based compensation</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622,185</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675,999</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901,421</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141,453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2,643,287</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2,905,065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455,868</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line="130" w:lineRule="exact"/>
              <w:rPr>
                <w:sz w:val="20"/>
                <w:szCs w:val="20"/>
                <w:color w:val="auto"/>
              </w:rPr>
            </w:pPr>
            <w:r>
              <w:rPr>
                <w:rFonts w:ascii="Arial" w:cs="Arial" w:eastAsia="Arial" w:hAnsi="Arial"/>
                <w:sz w:val="14"/>
                <w:szCs w:val="14"/>
                <w:color w:val="auto"/>
              </w:rPr>
              <w:t>Non-GAAP net income attributable to the Company’s</w:t>
            </w: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00" w:type="dxa"/>
            <w:vAlign w:val="bottom"/>
            <w:vMerge w:val="continue"/>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1,597,887</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3,857,781</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6,595,575</w:t>
            </w: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1,034,990</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14,706,041</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19,761,907</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3,101,074</w:t>
            </w: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ind w:left="180"/>
              <w:spacing w:after="0" w:line="154" w:lineRule="exact"/>
              <w:rPr>
                <w:sz w:val="20"/>
                <w:szCs w:val="20"/>
                <w:color w:val="auto"/>
              </w:rPr>
            </w:pPr>
            <w:r>
              <w:rPr>
                <w:rFonts w:ascii="Arial" w:cs="Arial" w:eastAsia="Arial" w:hAnsi="Arial"/>
                <w:sz w:val="14"/>
                <w:szCs w:val="14"/>
                <w:color w:val="auto"/>
              </w:rPr>
              <w:t>shareholders</w:t>
            </w:r>
          </w:p>
        </w:tc>
        <w:tc>
          <w:tcPr>
            <w:tcW w:w="116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Non-GAAP net income per share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0.48</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0.47</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0.31</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5.87</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Non-GAAP net income per ADS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2.38</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5.80</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10.05</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22.25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5.74</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21.95</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Each ADS represents five ordinary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announcement.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2022-02-24T05:18:32Z</dcterms:created>
  <dcterms:modified xsi:type="dcterms:W3CDTF">2022-02-24T05:18:32Z</dcterms:modified>
</cp:coreProperties>
</file>