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month of February 2006</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NETEASE.COM,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227965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2/F, Tower B</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Keeven International Research &amp; Development Centre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 43 West Road North Third Ring Road, Haidian District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Beijing, People’s Republic of China 100086</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71" w:lineRule="exact"/>
        <w:rPr>
          <w:sz w:val="24"/>
          <w:szCs w:val="24"/>
          <w:color w:val="auto"/>
        </w:rPr>
      </w:pPr>
    </w:p>
    <w:p>
      <w:pPr>
        <w:ind w:left="920"/>
        <w:spacing w:after="0"/>
        <w:tabs>
          <w:tab w:leader="none" w:pos="1920" w:val="left"/>
          <w:tab w:leader="none" w:pos="2580" w:val="left"/>
        </w:tabs>
        <w:rPr>
          <w:sz w:val="20"/>
          <w:szCs w:val="20"/>
          <w:color w:val="auto"/>
        </w:rPr>
      </w:pPr>
      <w:r>
        <w:rPr>
          <w:rFonts w:ascii="Arial" w:cs="Arial" w:eastAsia="Arial" w:hAnsi="Arial"/>
          <w:sz w:val="18"/>
          <w:szCs w:val="18"/>
          <w:color w:val="auto"/>
        </w:rPr>
        <w:t>Form 20-F</w:t>
        <w:tab/>
        <w:t>X</w:t>
      </w:r>
      <w:r>
        <w:rPr>
          <w:sz w:val="20"/>
          <w:szCs w:val="20"/>
          <w:color w:val="auto"/>
        </w:rPr>
        <w:tab/>
      </w:r>
      <w:r>
        <w:rPr>
          <w:rFonts w:ascii="Arial" w:cs="Arial" w:eastAsia="Arial" w:hAnsi="Arial"/>
          <w:sz w:val="15"/>
          <w:szCs w:val="15"/>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1120775</wp:posOffset>
            </wp:positionH>
            <wp:positionV relativeFrom="paragraph">
              <wp:posOffset>-13970</wp:posOffset>
            </wp:positionV>
            <wp:extent cx="303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30"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-13970</wp:posOffset>
            </wp:positionV>
            <wp:extent cx="334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5541010</wp:posOffset>
            </wp:positionH>
            <wp:positionV relativeFrom="paragraph">
              <wp:posOffset>-13970</wp:posOffset>
            </wp:positionV>
            <wp:extent cx="3346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5541010</wp:posOffset>
            </wp:positionH>
            <wp:positionV relativeFrom="paragraph">
              <wp:posOffset>-13970</wp:posOffset>
            </wp:positionV>
            <wp:extent cx="334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32" w:lineRule="exact"/>
        <w:rPr>
          <w:sz w:val="24"/>
          <w:szCs w:val="24"/>
          <w:color w:val="auto"/>
        </w:rPr>
      </w:pPr>
    </w:p>
    <w:p>
      <w:pPr>
        <w:ind w:left="920"/>
        <w:spacing w:after="0"/>
        <w:tabs>
          <w:tab w:leader="none" w:pos="2120" w:val="left"/>
          <w:tab w:leader="none" w:pos="26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-13970</wp:posOffset>
            </wp:positionV>
            <wp:extent cx="334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-13970</wp:posOffset>
            </wp:positionV>
            <wp:extent cx="303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w:t>
      </w:r>
    </w:p>
    <w:p>
      <w:pPr>
        <w:spacing w:after="0" w:line="171" w:lineRule="exact"/>
        <w:rPr>
          <w:sz w:val="24"/>
          <w:szCs w:val="24"/>
          <w:color w:val="auto"/>
        </w:rPr>
      </w:pPr>
    </w:p>
    <w:p>
      <w:pPr>
        <w:ind w:left="920"/>
        <w:spacing w:after="0"/>
        <w:tabs>
          <w:tab w:leader="none" w:pos="14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N.A.</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The index of exhibits may be found at Page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NETEASE.COM,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6-K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80" w:type="dxa"/>
            <w:vAlign w:val="bottom"/>
            <w:gridSpan w:val="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Signature</w:t>
              </w:r>
            </w:hyperlink>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380" w:type="dxa"/>
            <w:vAlign w:val="bottom"/>
            <w:gridSpan w:val="3"/>
            <w:vMerge w:val="continue"/>
          </w:tcPr>
          <w:p>
            <w:pPr>
              <w:spacing w:after="0"/>
              <w:rPr>
                <w:sz w:val="14"/>
                <w:szCs w:val="14"/>
                <w:color w:val="auto"/>
              </w:rPr>
            </w:pPr>
          </w:p>
        </w:tc>
        <w:tc>
          <w:tcPr>
            <w:tcW w:w="10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Page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3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Regarding Earnings Results for the Fourth Quarter and Year Ended 2005 dated February 24, 2006</w:t>
              </w:r>
            </w:hyperlink>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720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NETEASE.COM,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Denny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Denny Lee</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2006</w:t>
      </w:r>
    </w:p>
    <w:p>
      <w:pPr>
        <w:sectPr>
          <w:pgSz w:w="11900" w:h="16838" w:orient="portrait"/>
          <w:cols w:equalWidth="0" w:num="1">
            <w:col w:w="10500"/>
          </w:cols>
          <w:pgMar w:left="240" w:top="459" w:right="11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28651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for Media and Investors: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Brandi Piacente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brandi@corp.netease.com</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 (+1) 212-481-2050</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Olive Wang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NetEase.com,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ir@service.netease.com</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 (+8610) 8518-0163 ext. 8243</w:t>
      </w:r>
    </w:p>
    <w:p>
      <w:pPr>
        <w:spacing w:after="0" w:line="15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NetEase.com Reports Fourth Quarter and Fiscal Year 2005</w:t>
      </w:r>
    </w:p>
    <w:p>
      <w:pPr>
        <w:spacing w:after="0" w:line="17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Unaudited Financial Results</w:t>
      </w:r>
    </w:p>
    <w:p>
      <w:pPr>
        <w:spacing w:after="0" w:line="177"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Record Peak Concurrent Users in the Fourth Quarter for Fantasy Westward Journey and Westward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Journey Online II; Fantasy Westward Journey Achieves Record Usage of Over One Million Peak Concurrent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Users in December 2005</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(Beijing – February 24, 2006) – NetEase.com, Inc. (NASDAQ: NTES), one of China’s leading Internet and online game providers, today announced its unaudited financial results for the fourth quarter and fiscal year ended December 31,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Fourth Quarter 2005</w:t>
      </w:r>
    </w:p>
    <w:p>
      <w:pPr>
        <w:spacing w:after="0" w:line="96"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revenues increased by 5.3% to RMB487.3 million (US$60.4 million);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Online game revenues were better than the Company’s guidance and increased 7.6% to RMB400.9 million (US$49.7 million);</w:t>
      </w:r>
    </w:p>
    <w:p>
      <w:pPr>
        <w:spacing w:after="0" w:line="90" w:lineRule="exact"/>
        <w:rPr>
          <w:rFonts w:ascii="Arial" w:cs="Arial" w:eastAsia="Arial" w:hAnsi="Arial"/>
          <w:sz w:val="18"/>
          <w:szCs w:val="18"/>
          <w:color w:val="auto"/>
        </w:rPr>
      </w:pPr>
    </w:p>
    <w:p>
      <w:pPr>
        <w:ind w:left="340" w:right="220"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profit for the quarter grew 7.0% to RMB276.7 million (US$34.3 million), equivalent to US$1.05 (basic) and US$0.96 (diluted) earnings per American Depositary Share;</w:t>
      </w:r>
    </w:p>
    <w:p>
      <w:pPr>
        <w:spacing w:after="0" w:line="50" w:lineRule="exact"/>
        <w:rPr>
          <w:rFonts w:ascii="Arial" w:cs="Arial" w:eastAsia="Arial" w:hAnsi="Arial"/>
          <w:sz w:val="18"/>
          <w:szCs w:val="18"/>
          <w:color w:val="auto"/>
        </w:rPr>
      </w:pPr>
    </w:p>
    <w:p>
      <w:pPr>
        <w:ind w:left="340" w:right="660"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Fantasy Westward Journey and Westward Journey Online II reported record peak concurrent user numbers of approximately 1,043,000 and 554,000, respectively, for the fourth quarter; and</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Fantasy Westward Journey reached a record high of over one million peak concurrent users in December 2005.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Fiscal Year 2005</w:t>
      </w:r>
    </w:p>
    <w:p>
      <w:pPr>
        <w:spacing w:after="0" w:line="96"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revenues grew 76.8% to RMB1,694.4 million (US$210.0 million);</w:t>
      </w:r>
    </w:p>
    <w:p>
      <w:pPr>
        <w:spacing w:after="0" w:line="90" w:lineRule="exact"/>
        <w:rPr>
          <w:rFonts w:ascii="Arial" w:cs="Arial" w:eastAsia="Arial" w:hAnsi="Arial"/>
          <w:sz w:val="18"/>
          <w:szCs w:val="18"/>
          <w:color w:val="auto"/>
        </w:rPr>
      </w:pPr>
    </w:p>
    <w:p>
      <w:pPr>
        <w:ind w:left="340" w:right="460" w:hanging="332"/>
        <w:spacing w:after="0" w:line="26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Online game revenues grew 119.3% to RMB1,379.5 million (US$170.9 million) on the continued strength and leading positions of in-house developed games, Fantasy Westward Journey and Westward Journey Online II; and</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8651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right="160" w:hanging="332"/>
        <w:spacing w:after="0" w:line="26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profit for the year grew 111.1% to RMB932.0 million (US$115.5 million), equivalent to US$3.58 (basic) and US$3.27 (diluted) earnings per American Depositary Share.</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William Ding, Chief Executive Officer and Director of NetEase said, “In 2006, we remain focused on continuing our momentum with our current MMORPG games, Fantasy Westward Journey and Westward Journey Online II. Additionally, we look forward to the launch of our two new major game titles, Datang, our first 2.5D release, and Tianxia, our first 3D release. We are pleased that we have been able to maintain leadership through our innovative game philosophy and the cultivation of our large and loyal customer base. We are also very pleased that our highly popular Chinese websites continue to enable us to leverage our marketing efforts and help us drive top line growth. Our ability to maintain a leading position in the rapidly growing online game market gives us confidence that NetEase has the right people, technology and strategies to extend our leadership and set the trends that will help shape the online game market in China.”</w:t>
      </w:r>
    </w:p>
    <w:p>
      <w:pPr>
        <w:spacing w:after="0" w:line="12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For the fourth quarter ended December 31, 2005, total revenues were RMB487.3 million (US$60.4 million), a 5.3% increase over RMB462.6 million (US$57.2 million) for the preceding quarter and a 75.3% increase over total revenues of RMB277.9 million (US$33.6 million) for the corresponding period in 2004.</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fiscal year 2005, the Company reported total revenues of RMB1,694.4 million (US$210.0 million), a 76.8% increase over total revenues of RMB958.3 million (US$115.8 million) for the fiscal year 2004.</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Online game revenues for the quarter were better than the Company previously forecasted and increased 7.6% quarter-over-quarter and 92.5% year-over-year to RMB400.9 million (US$49.7 million), which was driven by the continued growth in popularity of Fantasy Westward Journey and Westward Journey Online II, as reflected by the record peak concurrent user levels during the fourth quarter. For the fiscal year 2005, online game revenues totaled RMB1,379.5 million (US$170.9 million), up 119.3% from RMB628.9 million (US$76.0 million) in fiscal year 2004.</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Revenues from advertising services were also better than the Company’s guidance for the fourth quarter and decreased by 5.9% to RMB69.1 million (US$8.6 million) over the preceding quarter’s RMB73.4 million (US$9.1 million). This represents an increase of 54.6% over RMB44.7 million (US$5.4 million) for the corresponding period a year ago. The quarter-over-quarter decrease was mainly due to seasonal impact, as certain advertisers decreased their spending during the winter season.</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fiscal year 2005, NetEase’s advertising services revenues totaled RMB241.2 million (US$29.9 million), up 41.0% from RMB171.1million (US$20.7 million) in fiscal year 2004. This year-on-year increase resulted mainly from an increase in the number of advertisers on the NetEase websites and increased spending by advertisers, which in turn was driven primarily by an overall expansion of the online advertising market in China and our focus on enhancing the content and attractiveness of the NetEase websites.</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Revenues from wireless value-added services and others in the fourth quarter increased by 4.4% to RMB17.2 million (US$2.1 million) in the fourth quarter over the preceding quarter’s RMB16.5 million (US$2.0 million).</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8651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fiscal year 2005, NetEase’s wireless value-added services and others revenues totaled RMB73.7 million (US$9.1 million), down 53.4% from RMB158.3 million (US$19.1 million) in fiscal year 2004 due mainly to increased competition in the wireless value-added services market and the Company’s reduced focus on this business area.</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Chief Operating Officer Michael Tong commented, “Fiscal 2005 was a year of execution and investment. We have a strong title line up that we have invested in to maintain our long-term leadership position in the online game market. NetEase continues to experience significant growth in the popularity of its in-house developed games and maintain its reputation of being the leading developer of online games in China. Our team has been working hard on our 2006 game pipeline with several new games to be launched within this year, including Datang, Tianxia and a diverse platform of casual games.”</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Gross profit in the fourth quarter totaled RMB386.2 million (US$47.9 million), a 4.1% increase over the previous quarter’s RMB370.9 million (US$45.8 million) and a 86.2% increase over RMB207.4 million (US$25.1 million) for the corresponding period a year ago.</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fiscal year 2005, gross profit totaled RMB1,337.1 million (US$165.7 million), representing a 85.8% increase over RMB719.8 million (US$87.0 million) for the fiscal year 2004.</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margins for online games remained relatively stable at 89.4% in the fourth quarter compared with 89.7% in the prior quarter. Gross margins for advertising services declined to 62.9% in the fourth quarter from 68.1% in the prior quarter due to a seasonal decline in advertising services revenue in the fourth quarter while costs remained relatively stable. Gross margins for wireless value-added services and others decreased to minus 1.3% in the fourth quarter from 11.3% in the prior quarter mainly due to the higher costs associated with the Company’s free services such as free email services which are included in this business segment.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 for the fourth quarter were RMB94.9 million (US$11.8 million), a 0.2% increase from the previous quarter’s RMB94.7 million</w:t>
      </w:r>
    </w:p>
    <w:p>
      <w:pPr>
        <w:spacing w:after="0" w:line="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(US$11.7 million) and a 23.2% increase from RMB77.1 million (US$9.3 million) in the corresponding period a year ago. The slight quarter-over-quarter increase in total operating expenses was mainly attributed to special year-end bonuses granted to the Company’s online game development team in recognition of the success of such team during the past year, which was substantially offset by lower marketing expenses. The lower marketing expenses resulted from the discontinuation of certain outdoor advertising and an overall reduction in the number of Company-sponsored marketing events.</w:t>
      </w:r>
    </w:p>
    <w:p>
      <w:pPr>
        <w:spacing w:after="0" w:line="1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fiscal year 2005, total operating expenses were RMB360.3 million (US$44.6 million), a 32.3% increase from the prior year’s RMB272.3 million (US$32.9 million).</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July 2005, the Chinese government announced that it is pegging the exchange rate of the Chinese Renminbi against a number of currencies, rather than just the US dollar. This change in policy has resulted in a slight appreciation in the value of the Renminbi against the US dollar. Although the Company generates substantially all of its revenues in Renminbi which has become more valuable in US dollar terms, the Company translates its monetary assets and liabilities which are denominated in currencies other than Renminbi into Renminbi as of each accounting period end, in accordance with applicable accounting standards. As a result of this foreign currency translation, the Company reported a RMB1.9 million (US$0.2 million) exchange loss in the fourth quarter.</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8651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profit for the fourth quarter totaled RMB276.7 million (US$34.3 million), a 7.0% increase over the previous quarter’s RMB258.6 million (US$32.0 million) and a 112.6% increase over net profit of RMB130.2 million (US$15.7 million) for the corresponding period in 2004. The Company reported basic and diluted earnings per American Depositary Share of US$1.05 and US$0.96 for the quarter ended December 31, 2005, respectively, compared with US$0.98 and US$0.89, respectively, for the previous quarter.</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fiscal year 2005, net profit totaled RMB932.0 million (US$115.5 million), a 111.1% increase from the prior year’s RMB441.4 million (US$53.3 million). The Company reported basic and diluted earnings per American Depositary Share of US$3.58 and US$3.27 for the year ended December 31, 2005, respectively, compared with US$1.70 and US$1.57, respectively, for fiscal year 2004.</w:t>
      </w:r>
    </w:p>
    <w:p>
      <w:pPr>
        <w:spacing w:after="0" w:line="140"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color w:val="auto"/>
        </w:rPr>
        <w:t>As of December 31, 2005, the Company’s total cash and time deposit balance was RMB3.4 billion (US$418.5 million), a 6.3% increase from the previous quarter’s RMB3.2 billion (US$392.4 million). Cash flow generated from operating activities was approximately RMB220.3 million (US$27.3 million) and RMB1,104.8 million (US$136.9 million) during the quarter and year ended December 31, 2005, respectively.</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Denny Lee, NetEase’s Chief Financial Officer, added, “NetEase has a strong track record of delivering solid financial and operational results to its shareholders. Our primary goal in 2005 was to maintain a high standard for our internal controls in order to support our growth. We achieved better than expected growth in 2005 which was driven by providing the innovative and cutting edge products to our end users needed to achieve the high rate of customer acquisition growth and loyalty we experienced throughout the year. When you combine this with our policy of maintaining a tight control on expenses, we are able to achieve winning results for our shareholders.”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Conference Call</w:t>
      </w:r>
    </w:p>
    <w:p>
      <w:pPr>
        <w:spacing w:after="0" w:line="9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NetEase’s management team will host a conference call on February 23, 2006 at 8:00 p.m. Eastern Standard Time, corresponding with February 24, 2006 at 9:00 a.m. Beijing/Hong Kong time, to present an overview of NetEase’s financial and operational performance. Interested parties may participate in the conference call by dialing 800-238-9007 (international: 719-457-2622), 10-15 minutes prior to the initiation of the call. A replay of the call will be available by dialing 888-203-1112 (international 719-457-0820), and entering access code 1036470. The replay will be available through March 9, 2006 at midnight Eastern Time.</w:t>
      </w:r>
    </w:p>
    <w:p>
      <w:pPr>
        <w:spacing w:after="0" w:line="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This call is being webcast live and archived; and will be available on NetEase’s investor relations section on the corporate website at </w:t>
      </w:r>
      <w:r>
        <w:rPr>
          <w:rFonts w:ascii="Arial" w:cs="Arial" w:eastAsia="Arial" w:hAnsi="Arial"/>
          <w:sz w:val="18"/>
          <w:szCs w:val="18"/>
          <w:u w:val="single" w:color="auto"/>
          <w:color w:val="auto"/>
        </w:rPr>
        <w:t>http://corp.netease.com</w:t>
      </w:r>
      <w:r>
        <w:rPr>
          <w:rFonts w:ascii="Arial" w:cs="Arial" w:eastAsia="Arial" w:hAnsi="Arial"/>
          <w:sz w:val="18"/>
          <w:szCs w:val="18"/>
          <w:color w:val="auto"/>
        </w:rPr>
        <w:t xml:space="preserve"> for 90 days.</w:t>
      </w:r>
    </w:p>
    <w:p>
      <w:pPr>
        <w:spacing w:after="0" w:line="172" w:lineRule="exact"/>
        <w:rPr>
          <w:sz w:val="20"/>
          <w:szCs w:val="20"/>
          <w:color w:val="auto"/>
        </w:rPr>
      </w:pPr>
    </w:p>
    <w:p>
      <w:pPr>
        <w:ind w:left="460" w:right="1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Note: The conversion of Renminbi (RMB) into U.S. dollars in this release is based on the exchange rate of US$1 = RMB8.0702. The percentages stated in this press release are calculated based on RMB.**</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About NetEase</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NetEase.com, Inc. is a leading China-based Internet technology company that pioneered the development of applications, services and other technologies for the Internet in China. Our online communities and personalized premium services have established a large and stable user base for the NetEase websites which are operated by our affiliate. The NetEase websites had more than 786 million average daily page views for the month of December 2005, making us one of the most popular destinations in China and on the World</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8651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Wide Web. In particular, NetEase provides online game services to Internet users through the licensing or in-house development of massively multi-player online role-playing games, including Westward Journey Online II, Fantasy Westward Journey and Fly for Fun.</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NetEase also offers online advertising on its websites which enables advertisers to reach our substantial user base. In addition, NetEase has paid listings on its search engine and web directory and classified ads services, as well as an online mall, which provides opportunities for e-commerce and traditional businesses to establish their own storefront on the Internet. NetEase also offers wireless value-added services such as news and information content, matchmaking services, music and photos from the Web which are sent over SMS, MMS, WAP, IVR and Color Ring-back Tone technologies.</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Other community services which the NetEase websites offer include instant messaging, online personal ads, matchmaking, alumni clubs, personal home pages and community forums. NetEase is also the largest provider of free e-mail services in China. Furthermore, the NetEase websites provide more than 17 channels of content. NetEase aggregates news content on world events, sports, science and technology, and financial markets, as well as entertainment content such as cartoons, games, astrology and jokes, from over one hundred international and domestic content providers.</w:t>
      </w:r>
    </w:p>
    <w:p>
      <w:pPr>
        <w:spacing w:after="0" w:line="113"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 the risk that the online game market will not continue to grow or that NetEase will not be able to maintain its leading position in that market, which could occur if, for example, its new online games do not become as popular as management anticipates; the risk of changes in Chinese government regulation of the online game market that limit future growth of NetEase’s revenue or causes revenue to decline; the risk that NetEase may not be able to continuously develop new and creative online services or that it will not be able to set, or follow in a timely manner, trends in the market; the risk that the Internet advertising market in China will not continue to grow and will remain subject to intense competition; the risk that NetEase will not be able to control its expenses in future periods; the impact of the outbreak of severe acute respiratory syndrome, or SARS, in China and risks related to any possible recurrence of SARS or another public health problem in China; competition in NetEase’s existing and potential markets; governmental uncertainties (including possible changes in the effective tax rates applicable to NetEase and its subsidiaries and affiliates), general competition and price pressures in the marketplace; the risk that security, reliability and confidentiality concerns may impede broad use of the Internet and e-commerce and other services; the risk that fluctuations in the value of the Renminbi with respect to other currencies could adversely affect our business and financial results; and other risks outlined in NetEase’s filings with the Securities and Exchange Commission. NetEase does not undertake any obligation to update this forward-looking information, except as required under applicable law.</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8651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NETEASE.COM,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1"/>
                <w:szCs w:val="11"/>
                <w:color w:val="auto"/>
              </w:rPr>
            </w:pPr>
          </w:p>
        </w:tc>
        <w:tc>
          <w:tcPr>
            <w:tcW w:w="12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rPr>
              <w:t>RMB</w:t>
            </w: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USD (Note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(Audited)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2,123,891,537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1,685,744,081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208,885,044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Time Deposit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1,691,976,255</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209,657,289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Held-to-maturity investments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165,532,000</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56,304,762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69,631,541</w:t>
            </w:r>
          </w:p>
        </w:tc>
        <w:tc>
          <w:tcPr>
            <w:tcW w:w="1000" w:type="dxa"/>
            <w:vAlign w:val="bottom"/>
          </w:tcPr>
          <w:p>
            <w:pPr>
              <w:jc w:val="right"/>
              <w:spacing w:after="0"/>
              <w:rPr>
                <w:sz w:val="20"/>
                <w:szCs w:val="20"/>
                <w:color w:val="auto"/>
              </w:rPr>
            </w:pPr>
            <w:r>
              <w:rPr>
                <w:rFonts w:ascii="Arial" w:cs="Arial" w:eastAsia="Arial" w:hAnsi="Arial"/>
                <w:sz w:val="18"/>
                <w:szCs w:val="18"/>
                <w:color w:val="auto"/>
              </w:rPr>
              <w:t>8,628,230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Prepayments and other current assets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20,722,068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30,021,448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19,929,499</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2,366,450,367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3,497,302,824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433,360,118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60" w:type="dxa"/>
            <w:vAlign w:val="bottom"/>
            <w:gridSpan w:val="2"/>
          </w:tcPr>
          <w:p>
            <w:pPr>
              <w:spacing w:after="0"/>
              <w:rPr>
                <w:sz w:val="20"/>
                <w:szCs w:val="20"/>
                <w:color w:val="auto"/>
              </w:rPr>
            </w:pPr>
            <w:r>
              <w:rPr>
                <w:rFonts w:ascii="Arial" w:cs="Arial" w:eastAsia="Arial" w:hAnsi="Arial"/>
                <w:sz w:val="18"/>
                <w:szCs w:val="18"/>
                <w:color w:val="auto"/>
              </w:rPr>
              <w:t>Non-current rental deposit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2,140,394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1,341,162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166,187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77,303,013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126,341,533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15,655,316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Deferred assets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4,246,624</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2,450,140,398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3,624,985,519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449,181,621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19,344,096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28,848,690</w:t>
            </w:r>
          </w:p>
        </w:tc>
        <w:tc>
          <w:tcPr>
            <w:tcW w:w="1000" w:type="dxa"/>
            <w:vAlign w:val="bottom"/>
          </w:tcPr>
          <w:p>
            <w:pPr>
              <w:jc w:val="right"/>
              <w:spacing w:after="0"/>
              <w:rPr>
                <w:sz w:val="20"/>
                <w:szCs w:val="20"/>
                <w:color w:val="auto"/>
              </w:rPr>
            </w:pPr>
            <w:r>
              <w:rPr>
                <w:rFonts w:ascii="Arial" w:cs="Arial" w:eastAsia="Arial" w:hAnsi="Arial"/>
                <w:sz w:val="18"/>
                <w:szCs w:val="18"/>
                <w:color w:val="auto"/>
              </w:rPr>
              <w:t>3,574,718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Salary and welfare payable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36,283,138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46,438,269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44,009,342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83,828,862</w:t>
            </w:r>
          </w:p>
        </w:tc>
        <w:tc>
          <w:tcPr>
            <w:tcW w:w="1000" w:type="dxa"/>
            <w:vAlign w:val="bottom"/>
          </w:tcPr>
          <w:p>
            <w:pPr>
              <w:jc w:val="right"/>
              <w:spacing w:after="0"/>
              <w:rPr>
                <w:sz w:val="20"/>
                <w:szCs w:val="20"/>
                <w:color w:val="auto"/>
              </w:rPr>
            </w:pPr>
            <w:r>
              <w:rPr>
                <w:rFonts w:ascii="Arial" w:cs="Arial" w:eastAsia="Arial" w:hAnsi="Arial"/>
                <w:sz w:val="18"/>
                <w:szCs w:val="18"/>
                <w:color w:val="auto"/>
              </w:rPr>
              <w:t>10,387,458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134,896,863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231,670,971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28,706,968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3,940,854</w:t>
            </w:r>
          </w:p>
        </w:tc>
        <w:tc>
          <w:tcPr>
            <w:tcW w:w="1000" w:type="dxa"/>
            <w:vAlign w:val="bottom"/>
          </w:tcPr>
          <w:p>
            <w:pPr>
              <w:jc w:val="right"/>
              <w:spacing w:after="0"/>
              <w:rPr>
                <w:sz w:val="20"/>
                <w:szCs w:val="20"/>
                <w:color w:val="auto"/>
              </w:rPr>
            </w:pPr>
            <w:r>
              <w:rPr>
                <w:rFonts w:ascii="Arial" w:cs="Arial" w:eastAsia="Arial" w:hAnsi="Arial"/>
                <w:sz w:val="18"/>
                <w:szCs w:val="18"/>
                <w:color w:val="auto"/>
              </w:rPr>
              <w:t>488,321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22,961,861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20,751,404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vMerge w:val="continue"/>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257,495,300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415,479,050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51,483,118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Long-term payable: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839,399,578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818,413,108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101,411,750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gridSpan w:val="2"/>
            <w:vMerge w:val="continue"/>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1,096,894,878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1,233,892,158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152,894,868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w w:val="92"/>
              </w:rPr>
              <w:t>Ordinary shares, US$0.0001 par value: 1,000,300,000,000 shares authorized, 3,184,167,189 shares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w w:val="89"/>
              </w:rPr>
              <w:t>issued and outstanding as of December 31, 2004, and 3,263,526,525 shares issued and outstanding</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as of December 31, 2005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2,635,419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2,700,407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334,615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1,023,954,160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1,129,733,009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139,988,229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Statutory reserve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90,882,108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135,238,835</w:t>
            </w:r>
          </w:p>
        </w:tc>
        <w:tc>
          <w:tcPr>
            <w:tcW w:w="1000" w:type="dxa"/>
            <w:vAlign w:val="bottom"/>
          </w:tcPr>
          <w:p>
            <w:pPr>
              <w:jc w:val="right"/>
              <w:spacing w:after="0"/>
              <w:rPr>
                <w:sz w:val="20"/>
                <w:szCs w:val="20"/>
                <w:color w:val="auto"/>
              </w:rPr>
            </w:pPr>
            <w:r>
              <w:rPr>
                <w:rFonts w:ascii="Arial" w:cs="Arial" w:eastAsia="Arial" w:hAnsi="Arial"/>
                <w:sz w:val="18"/>
                <w:szCs w:val="18"/>
                <w:color w:val="auto"/>
              </w:rPr>
              <w:t>16,757,804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(13,835)</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210,838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210,838</w:t>
            </w:r>
          </w:p>
        </w:tc>
        <w:tc>
          <w:tcPr>
            <w:tcW w:w="1000" w:type="dxa"/>
            <w:vAlign w:val="bottom"/>
          </w:tcPr>
          <w:p>
            <w:pPr>
              <w:jc w:val="right"/>
              <w:spacing w:after="0"/>
              <w:rPr>
                <w:sz w:val="20"/>
                <w:szCs w:val="20"/>
                <w:color w:val="auto"/>
              </w:rPr>
            </w:pPr>
            <w:r>
              <w:rPr>
                <w:rFonts w:ascii="Arial" w:cs="Arial" w:eastAsia="Arial" w:hAnsi="Arial"/>
                <w:sz w:val="18"/>
                <w:szCs w:val="18"/>
                <w:color w:val="auto"/>
              </w:rPr>
              <w:t>26,125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235,576,830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1,123,210,272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139,179,980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Total shareholders’ equity</w:t>
            </w: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2"/>
            <w:vMerge w:val="continue"/>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1,353,245,520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2,391,093,361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296,286,753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2,450,140,398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3,624,985,519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449,181,621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 is an integral part of this press release.</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8651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NETEASE.COM,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16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1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1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1"/>
                <w:szCs w:val="11"/>
                <w:color w:val="auto"/>
              </w:rPr>
            </w:pPr>
          </w:p>
        </w:tc>
        <w:tc>
          <w:tcPr>
            <w:tcW w:w="116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16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rPr>
              <w:t>RMB</w:t>
            </w:r>
          </w:p>
        </w:tc>
        <w:tc>
          <w:tcPr>
            <w:tcW w:w="11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rPr>
              <w:t>RMB</w:t>
            </w:r>
          </w:p>
        </w:tc>
        <w:tc>
          <w:tcPr>
            <w:tcW w:w="11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USD(Note 1)</w:t>
            </w: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11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rPr>
              <w:t>RMB</w:t>
            </w:r>
          </w:p>
        </w:tc>
        <w:tc>
          <w:tcPr>
            <w:tcW w:w="10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0"/>
              </w:rPr>
              <w:t>USD(Note 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(Audited)</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(Unaudited)</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(Unaudited)</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(Audited)</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(Unaudited)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Online game services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208,255,497</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372,681,557</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400,942,544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49,681,860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628,936,223</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1,379,475,803</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170,934,525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 services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44,685,971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73,395,974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69,087,777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8,560,851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171,054,305</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241,200,444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29,887,790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Wireless value-added services and</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640"/>
              <w:spacing w:after="0"/>
              <w:rPr>
                <w:sz w:val="20"/>
                <w:szCs w:val="20"/>
                <w:color w:val="auto"/>
              </w:rPr>
            </w:pPr>
            <w:r>
              <w:rPr>
                <w:rFonts w:ascii="Arial" w:cs="Arial" w:eastAsia="Arial" w:hAnsi="Arial"/>
                <w:sz w:val="18"/>
                <w:szCs w:val="18"/>
                <w:color w:val="auto"/>
              </w:rPr>
              <w:t>others</w:t>
            </w:r>
          </w:p>
        </w:tc>
        <w:tc>
          <w:tcPr>
            <w:tcW w:w="1000" w:type="dxa"/>
            <w:vAlign w:val="bottom"/>
          </w:tcPr>
          <w:p>
            <w:pPr>
              <w:jc w:val="right"/>
              <w:spacing w:after="0"/>
              <w:rPr>
                <w:sz w:val="20"/>
                <w:szCs w:val="20"/>
                <w:color w:val="auto"/>
              </w:rPr>
            </w:pPr>
            <w:r>
              <w:rPr>
                <w:rFonts w:ascii="Arial" w:cs="Arial" w:eastAsia="Arial" w:hAnsi="Arial"/>
                <w:sz w:val="18"/>
                <w:szCs w:val="18"/>
                <w:color w:val="auto"/>
              </w:rPr>
              <w:t>24,939,955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16,513,205</w:t>
            </w:r>
          </w:p>
        </w:tc>
        <w:tc>
          <w:tcPr>
            <w:tcW w:w="1000" w:type="dxa"/>
            <w:vAlign w:val="bottom"/>
          </w:tcPr>
          <w:p>
            <w:pPr>
              <w:jc w:val="right"/>
              <w:spacing w:after="0"/>
              <w:rPr>
                <w:sz w:val="20"/>
                <w:szCs w:val="20"/>
                <w:color w:val="auto"/>
              </w:rPr>
            </w:pPr>
            <w:r>
              <w:rPr>
                <w:rFonts w:ascii="Arial" w:cs="Arial" w:eastAsia="Arial" w:hAnsi="Arial"/>
                <w:sz w:val="18"/>
                <w:szCs w:val="18"/>
                <w:color w:val="auto"/>
              </w:rPr>
              <w:t>17,232,471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2,135,321</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158,310,317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73,742,136</w:t>
            </w:r>
          </w:p>
        </w:tc>
        <w:tc>
          <w:tcPr>
            <w:tcW w:w="1020" w:type="dxa"/>
            <w:vAlign w:val="bottom"/>
          </w:tcPr>
          <w:p>
            <w:pPr>
              <w:jc w:val="right"/>
              <w:spacing w:after="0"/>
              <w:rPr>
                <w:sz w:val="20"/>
                <w:szCs w:val="20"/>
                <w:color w:val="auto"/>
              </w:rPr>
            </w:pPr>
            <w:r>
              <w:rPr>
                <w:rFonts w:ascii="Arial" w:cs="Arial" w:eastAsia="Arial" w:hAnsi="Arial"/>
                <w:sz w:val="18"/>
                <w:szCs w:val="18"/>
                <w:color w:val="auto"/>
              </w:rPr>
              <w:t>9,137,585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277,881,423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462,590,736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487,262,792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60,378,032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958,300,845</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1,694,418,383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209,959,900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Business taxes</w:t>
            </w: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80" w:type="dxa"/>
            <w:vAlign w:val="bottom"/>
            <w:gridSpan w:val="2"/>
            <w:vMerge w:val="continue"/>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(16,163,775)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(19,146,596)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(19,738,004)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(2,445,788)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(54,703,018)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(82,054,902)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(10,167,642)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261,717,648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443,444,140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467,524,788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57,932,244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903,597,827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1,612,363,481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199,792,258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revenues</w:t>
            </w: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80" w:type="dxa"/>
            <w:vAlign w:val="bottom"/>
            <w:gridSpan w:val="2"/>
            <w:vMerge w:val="continue"/>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(54,340,040)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(72,530,177)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(81,312,339)</w:t>
            </w:r>
          </w:p>
        </w:tc>
        <w:tc>
          <w:tcPr>
            <w:tcW w:w="3480" w:type="dxa"/>
            <w:vAlign w:val="bottom"/>
            <w:gridSpan w:val="6"/>
          </w:tcPr>
          <w:p>
            <w:pPr>
              <w:jc w:val="right"/>
              <w:ind w:right="100"/>
              <w:spacing w:after="0"/>
              <w:rPr>
                <w:sz w:val="20"/>
                <w:szCs w:val="20"/>
                <w:color w:val="auto"/>
              </w:rPr>
            </w:pPr>
            <w:r>
              <w:rPr>
                <w:rFonts w:ascii="Arial" w:cs="Arial" w:eastAsia="Arial" w:hAnsi="Arial"/>
                <w:sz w:val="18"/>
                <w:szCs w:val="18"/>
                <w:color w:val="auto"/>
                <w:w w:val="97"/>
              </w:rPr>
              <w:t>(10,075,629)  (183,803,395)  (275,236,973)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(34,105,347)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207,377,608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370,913,963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386,212,449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47,856,615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719,794,432</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1,337,126,508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165,686,911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(41,587,393)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(45,833,299)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(37,979,095)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(4,706,091)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(152,842,334)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(152,192,422)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w w:val="98"/>
              </w:rPr>
              <w:t>General and administrative expenses</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(25,327,931)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(31,565,291)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(32,179,955)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(3,987,504)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(101,631,070)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(117,942,605)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(14,614,583)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Research and development expenses</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(10,163,099)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(17,349,717)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(24,774,299)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(3,069,849)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(34,362,806)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(90,170,092)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(11,173,216)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Insurance claims settlement for the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640"/>
              <w:spacing w:after="0"/>
              <w:rPr>
                <w:sz w:val="20"/>
                <w:szCs w:val="20"/>
                <w:color w:val="auto"/>
              </w:rPr>
            </w:pPr>
            <w:r>
              <w:rPr>
                <w:rFonts w:ascii="Arial" w:cs="Arial" w:eastAsia="Arial" w:hAnsi="Arial"/>
                <w:sz w:val="18"/>
                <w:szCs w:val="18"/>
                <w:color w:val="auto"/>
              </w:rPr>
              <w:t>now-settled class action litigation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16,553,200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(77,078,423)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(94,748,307)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(94,933,349)</w:t>
            </w:r>
          </w:p>
        </w:tc>
        <w:tc>
          <w:tcPr>
            <w:tcW w:w="34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97"/>
              </w:rPr>
              <w:t>(11,763,444)  (272,283,010)  (360,305,119)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(44,646,368)</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Operating profit</w:t>
            </w: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80" w:type="dxa"/>
            <w:vAlign w:val="bottom"/>
            <w:gridSpan w:val="2"/>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130,299,185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276,165,656</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291,279,100</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36,093,171</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447,511,422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976,821,389</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121,040,543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698,746</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332,510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3,522,169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1,301,975</w:t>
            </w:r>
          </w:p>
        </w:tc>
        <w:tc>
          <w:tcPr>
            <w:tcW w:w="1020" w:type="dxa"/>
            <w:vAlign w:val="bottom"/>
          </w:tcPr>
          <w:p>
            <w:pPr>
              <w:jc w:val="right"/>
              <w:spacing w:after="0"/>
              <w:rPr>
                <w:sz w:val="20"/>
                <w:szCs w:val="20"/>
                <w:color w:val="auto"/>
              </w:rPr>
            </w:pPr>
            <w:r>
              <w:rPr>
                <w:rFonts w:ascii="Arial" w:cs="Arial" w:eastAsia="Arial" w:hAnsi="Arial"/>
                <w:sz w:val="18"/>
                <w:szCs w:val="18"/>
                <w:color w:val="auto"/>
              </w:rPr>
              <w:t>161,331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7,838,669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15,027,087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20,411,335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2,529,223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22,333,511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58,070,148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(1,065,217)</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(3,877,129)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(344,859)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(45,372)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(6,320,579)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(2,481,486)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(307,488)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504,428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(8,901,462)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(1,103,004)</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Profit before tax</w:t>
            </w: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80" w:type="dxa"/>
            <w:vAlign w:val="bottom"/>
            <w:gridSpan w:val="2"/>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137,726,011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285,204,674</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309,208,949</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38,314,906</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469,994,401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1,026,947,191</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127,251,765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(7,570,603)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(26,562,308)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(32,537,941)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(4,031,864)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(28,576,719)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(94,957,022)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(11,766,378)</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Net profit</w:t>
            </w: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80" w:type="dxa"/>
            <w:vAlign w:val="bottom"/>
            <w:gridSpan w:val="2"/>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130,155,408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258,642,366</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276,671,008</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34,283,042</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441,420,682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931,990,169</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115,485,387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Earnings per ADS, basic</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2"/>
            <w:vMerge w:val="continue"/>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7.90</w:t>
            </w:r>
          </w:p>
        </w:tc>
        <w:tc>
          <w:tcPr>
            <w:tcW w:w="1000" w:type="dxa"/>
            <w:vAlign w:val="bottom"/>
          </w:tcPr>
          <w:p>
            <w:pPr>
              <w:jc w:val="right"/>
              <w:spacing w:after="0"/>
              <w:rPr>
                <w:sz w:val="20"/>
                <w:szCs w:val="20"/>
                <w:color w:val="auto"/>
              </w:rPr>
            </w:pPr>
            <w:r>
              <w:rPr>
                <w:rFonts w:ascii="Arial" w:cs="Arial" w:eastAsia="Arial" w:hAnsi="Arial"/>
                <w:sz w:val="18"/>
                <w:szCs w:val="18"/>
                <w:color w:val="auto"/>
              </w:rPr>
              <w:t>8.48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14.10</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28.89</w:t>
            </w:r>
          </w:p>
        </w:tc>
        <w:tc>
          <w:tcPr>
            <w:tcW w:w="1020" w:type="dxa"/>
            <w:vAlign w:val="bottom"/>
          </w:tcPr>
          <w:p>
            <w:pPr>
              <w:jc w:val="right"/>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diluted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Earnings per ADS, diluted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2"/>
            <w:vMerge w:val="continue"/>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7.17</w:t>
            </w:r>
          </w:p>
        </w:tc>
        <w:tc>
          <w:tcPr>
            <w:tcW w:w="1000" w:type="dxa"/>
            <w:vAlign w:val="bottom"/>
          </w:tcPr>
          <w:p>
            <w:pPr>
              <w:jc w:val="right"/>
              <w:spacing w:after="0"/>
              <w:rPr>
                <w:sz w:val="20"/>
                <w:szCs w:val="20"/>
                <w:color w:val="auto"/>
              </w:rPr>
            </w:pPr>
            <w:r>
              <w:rPr>
                <w:rFonts w:ascii="Arial" w:cs="Arial" w:eastAsia="Arial" w:hAnsi="Arial"/>
                <w:sz w:val="18"/>
                <w:szCs w:val="18"/>
                <w:color w:val="auto"/>
              </w:rPr>
              <w:t>7.78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12.98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26.37</w:t>
            </w: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Weighted average number of ordinary shares</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basic</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3,176,762,632</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3,273,814,404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3,263,094,061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3,263,094,061</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3,157,841,781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3,225,684,510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3,225,684,510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ADS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38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outstanding, basic</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31,767,626</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32,738,144</w:t>
            </w:r>
          </w:p>
        </w:tc>
        <w:tc>
          <w:tcPr>
            <w:tcW w:w="1000" w:type="dxa"/>
            <w:vAlign w:val="bottom"/>
          </w:tcPr>
          <w:p>
            <w:pPr>
              <w:jc w:val="right"/>
              <w:spacing w:after="0"/>
              <w:rPr>
                <w:sz w:val="20"/>
                <w:szCs w:val="20"/>
                <w:color w:val="auto"/>
              </w:rPr>
            </w:pPr>
            <w:r>
              <w:rPr>
                <w:rFonts w:ascii="Arial" w:cs="Arial" w:eastAsia="Arial" w:hAnsi="Arial"/>
                <w:sz w:val="18"/>
                <w:szCs w:val="18"/>
                <w:color w:val="auto"/>
              </w:rPr>
              <w:t>32,630,941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32,630,941</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31,578,418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32,256,845</w:t>
            </w:r>
          </w:p>
        </w:tc>
        <w:tc>
          <w:tcPr>
            <w:tcW w:w="1020" w:type="dxa"/>
            <w:vAlign w:val="bottom"/>
          </w:tcPr>
          <w:p>
            <w:pPr>
              <w:jc w:val="right"/>
              <w:spacing w:after="0"/>
              <w:rPr>
                <w:sz w:val="20"/>
                <w:szCs w:val="20"/>
                <w:color w:val="auto"/>
              </w:rPr>
            </w:pPr>
            <w:r>
              <w:rPr>
                <w:rFonts w:ascii="Arial" w:cs="Arial" w:eastAsia="Arial" w:hAnsi="Arial"/>
                <w:sz w:val="18"/>
                <w:szCs w:val="18"/>
                <w:color w:val="auto"/>
              </w:rPr>
              <w:t>32,256,845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Weighted average number of ordinary shares</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diluted</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3,538,848,713</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3,633,097,331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3,580,605,698</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3,580,605,698</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3,491,430,437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3,565,412,019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3,565,412,019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ADS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38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outstanding, diluted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35,388,487</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36,330,973</w:t>
            </w:r>
          </w:p>
        </w:tc>
        <w:tc>
          <w:tcPr>
            <w:tcW w:w="1000" w:type="dxa"/>
            <w:vAlign w:val="bottom"/>
          </w:tcPr>
          <w:p>
            <w:pPr>
              <w:jc w:val="right"/>
              <w:spacing w:after="0"/>
              <w:rPr>
                <w:sz w:val="20"/>
                <w:szCs w:val="20"/>
                <w:color w:val="auto"/>
              </w:rPr>
            </w:pPr>
            <w:r>
              <w:rPr>
                <w:rFonts w:ascii="Arial" w:cs="Arial" w:eastAsia="Arial" w:hAnsi="Arial"/>
                <w:sz w:val="18"/>
                <w:szCs w:val="18"/>
                <w:color w:val="auto"/>
              </w:rPr>
              <w:t>35,806,057</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35,806,057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34,914,304</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35,654,120</w:t>
            </w:r>
          </w:p>
        </w:tc>
        <w:tc>
          <w:tcPr>
            <w:tcW w:w="1020" w:type="dxa"/>
            <w:vAlign w:val="bottom"/>
          </w:tcPr>
          <w:p>
            <w:pPr>
              <w:jc w:val="right"/>
              <w:spacing w:after="0"/>
              <w:rPr>
                <w:sz w:val="20"/>
                <w:szCs w:val="20"/>
                <w:color w:val="auto"/>
              </w:rPr>
            </w:pPr>
            <w:r>
              <w:rPr>
                <w:rFonts w:ascii="Arial" w:cs="Arial" w:eastAsia="Arial" w:hAnsi="Arial"/>
                <w:sz w:val="18"/>
                <w:szCs w:val="18"/>
                <w:color w:val="auto"/>
              </w:rPr>
              <w:t>35,654,120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 is an integral part of this press release.</w:t>
      </w:r>
    </w:p>
    <w:p>
      <w:pPr>
        <w:sectPr>
          <w:pgSz w:w="11900" w:h="16838" w:orient="portrait"/>
          <w:cols w:equalWidth="0" w:num="1">
            <w:col w:w="11420"/>
          </w:cols>
          <w:pgMar w:left="240" w:top="459" w:right="239" w:bottom="1440" w:gutter="0" w:footer="0" w:header="0"/>
        </w:sectPr>
      </w:pPr>
    </w:p>
    <w:bookmarkStart w:id="10" w:name="page11"/>
    <w:bookmarkEnd w:id="10"/>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8651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NETEASE.COM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3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1"/>
                <w:szCs w:val="11"/>
                <w:color w:val="auto"/>
              </w:rPr>
            </w:pPr>
          </w:p>
        </w:tc>
        <w:tc>
          <w:tcPr>
            <w:tcW w:w="12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3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1"/>
                <w:szCs w:val="11"/>
                <w:color w:val="auto"/>
              </w:rPr>
            </w:pPr>
          </w:p>
        </w:tc>
        <w:tc>
          <w:tcPr>
            <w:tcW w:w="13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rPr>
              <w:t>RMB</w:t>
            </w:r>
          </w:p>
        </w:tc>
        <w:tc>
          <w:tcPr>
            <w:tcW w:w="12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rPr>
              <w:t>RMB</w:t>
            </w:r>
          </w:p>
        </w:tc>
        <w:tc>
          <w:tcPr>
            <w:tcW w:w="11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USD(Note 1)</w:t>
            </w: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1"/>
                <w:szCs w:val="11"/>
                <w:color w:val="auto"/>
              </w:rPr>
            </w:pPr>
          </w:p>
        </w:tc>
        <w:tc>
          <w:tcPr>
            <w:tcW w:w="13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3"/>
              </w:rPr>
              <w:t>RMB</w:t>
            </w:r>
          </w:p>
        </w:tc>
        <w:tc>
          <w:tcPr>
            <w:tcW w:w="11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USD(Note 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(Audited)</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(Unaudited)</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(Audited)</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activities:</w:t>
            </w: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Net profit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130,155,408</w:t>
            </w:r>
          </w:p>
        </w:tc>
        <w:tc>
          <w:tcPr>
            <w:tcW w:w="1140" w:type="dxa"/>
            <w:vAlign w:val="bottom"/>
          </w:tcPr>
          <w:p>
            <w:pPr>
              <w:jc w:val="right"/>
              <w:spacing w:after="0"/>
              <w:rPr>
                <w:sz w:val="20"/>
                <w:szCs w:val="20"/>
                <w:color w:val="auto"/>
              </w:rPr>
            </w:pPr>
            <w:r>
              <w:rPr>
                <w:rFonts w:ascii="Arial" w:cs="Arial" w:eastAsia="Arial" w:hAnsi="Arial"/>
                <w:sz w:val="18"/>
                <w:szCs w:val="18"/>
                <w:color w:val="auto"/>
              </w:rPr>
              <w:t>258,642,366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276,671,008</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34,283,042</w:t>
            </w:r>
          </w:p>
        </w:tc>
        <w:tc>
          <w:tcPr>
            <w:tcW w:w="1080" w:type="dxa"/>
            <w:vAlign w:val="bottom"/>
          </w:tcPr>
          <w:p>
            <w:pPr>
              <w:jc w:val="right"/>
              <w:spacing w:after="0"/>
              <w:rPr>
                <w:sz w:val="20"/>
                <w:szCs w:val="20"/>
                <w:color w:val="auto"/>
              </w:rPr>
            </w:pPr>
            <w:r>
              <w:rPr>
                <w:rFonts w:ascii="Arial" w:cs="Arial" w:eastAsia="Arial" w:hAnsi="Arial"/>
                <w:sz w:val="18"/>
                <w:szCs w:val="18"/>
                <w:color w:val="auto"/>
              </w:rPr>
              <w:t>441,420,682</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931,990,169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115,485,387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for:</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6,206,159</w:t>
            </w:r>
          </w:p>
        </w:tc>
        <w:tc>
          <w:tcPr>
            <w:tcW w:w="1140" w:type="dxa"/>
            <w:vAlign w:val="bottom"/>
          </w:tcPr>
          <w:p>
            <w:pPr>
              <w:jc w:val="right"/>
              <w:spacing w:after="0"/>
              <w:rPr>
                <w:sz w:val="20"/>
                <w:szCs w:val="20"/>
                <w:color w:val="auto"/>
              </w:rPr>
            </w:pPr>
            <w:r>
              <w:rPr>
                <w:rFonts w:ascii="Arial" w:cs="Arial" w:eastAsia="Arial" w:hAnsi="Arial"/>
                <w:sz w:val="18"/>
                <w:szCs w:val="18"/>
                <w:color w:val="auto"/>
              </w:rPr>
              <w:t>12,102,757</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11,889,502</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1,473,260</w:t>
            </w:r>
          </w:p>
        </w:tc>
        <w:tc>
          <w:tcPr>
            <w:tcW w:w="1080" w:type="dxa"/>
            <w:vAlign w:val="bottom"/>
          </w:tcPr>
          <w:p>
            <w:pPr>
              <w:jc w:val="right"/>
              <w:spacing w:after="0"/>
              <w:rPr>
                <w:sz w:val="20"/>
                <w:szCs w:val="20"/>
                <w:color w:val="auto"/>
              </w:rPr>
            </w:pPr>
            <w:r>
              <w:rPr>
                <w:rFonts w:ascii="Arial" w:cs="Arial" w:eastAsia="Arial" w:hAnsi="Arial"/>
                <w:sz w:val="18"/>
                <w:szCs w:val="18"/>
                <w:color w:val="auto"/>
              </w:rPr>
              <w:t>26,452,040</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40,904,585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5,068,596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 compensation cost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13,835</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13,835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Provision for doubtful debts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3,997,127</w:t>
            </w:r>
          </w:p>
        </w:tc>
        <w:tc>
          <w:tcPr>
            <w:tcW w:w="1140" w:type="dxa"/>
            <w:vAlign w:val="bottom"/>
          </w:tcPr>
          <w:p>
            <w:pPr>
              <w:jc w:val="right"/>
              <w:spacing w:after="0"/>
              <w:rPr>
                <w:sz w:val="20"/>
                <w:szCs w:val="20"/>
                <w:color w:val="auto"/>
              </w:rPr>
            </w:pPr>
            <w:r>
              <w:rPr>
                <w:rFonts w:ascii="Arial" w:cs="Arial" w:eastAsia="Arial" w:hAnsi="Arial"/>
                <w:sz w:val="18"/>
                <w:szCs w:val="18"/>
                <w:color w:val="auto"/>
              </w:rPr>
              <w:t>779,723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1,538,472</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190,636</w:t>
            </w:r>
          </w:p>
        </w:tc>
        <w:tc>
          <w:tcPr>
            <w:tcW w:w="1080" w:type="dxa"/>
            <w:vAlign w:val="bottom"/>
          </w:tcPr>
          <w:p>
            <w:pPr>
              <w:jc w:val="right"/>
              <w:spacing w:after="0"/>
              <w:rPr>
                <w:sz w:val="20"/>
                <w:szCs w:val="20"/>
                <w:color w:val="auto"/>
              </w:rPr>
            </w:pPr>
            <w:r>
              <w:rPr>
                <w:rFonts w:ascii="Arial" w:cs="Arial" w:eastAsia="Arial" w:hAnsi="Arial"/>
                <w:sz w:val="18"/>
                <w:szCs w:val="18"/>
                <w:color w:val="auto"/>
              </w:rPr>
              <w:t>7,953,883</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3,561,765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441,348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Amortization of issuance cost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Zero Coupon</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Convertible Subordinated</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1,959,981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1,920,528</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1,915,050</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237,299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7,840,069</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7,755,532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Exchange Losses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6,440,261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1,920,572</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237,982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8,360,833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1,036,013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31,301,560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(897,282)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3,985,536</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493,858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7,568,165</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(16,888,544)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(2,092,705)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(Increase) Decrease in</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640"/>
              <w:spacing w:after="0"/>
              <w:rPr>
                <w:sz w:val="20"/>
                <w:szCs w:val="20"/>
                <w:color w:val="auto"/>
              </w:rPr>
            </w:pPr>
            <w:r>
              <w:rPr>
                <w:rFonts w:ascii="Arial" w:cs="Arial" w:eastAsia="Arial" w:hAnsi="Arial"/>
                <w:sz w:val="18"/>
                <w:szCs w:val="18"/>
                <w:color w:val="auto"/>
              </w:rPr>
              <w:t>prepayments and other</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ind w:left="640"/>
              <w:spacing w:after="0"/>
              <w:rPr>
                <w:sz w:val="20"/>
                <w:szCs w:val="20"/>
                <w:color w:val="auto"/>
              </w:rPr>
            </w:pPr>
            <w:r>
              <w:rPr>
                <w:rFonts w:ascii="Arial" w:cs="Arial" w:eastAsia="Arial" w:hAnsi="Arial"/>
                <w:sz w:val="18"/>
                <w:szCs w:val="18"/>
                <w:color w:val="auto"/>
              </w:rPr>
              <w:t>current assets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5,721,790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(1,544,647)</w:t>
            </w:r>
          </w:p>
        </w:tc>
        <w:tc>
          <w:tcPr>
            <w:tcW w:w="1080" w:type="dxa"/>
            <w:vAlign w:val="bottom"/>
          </w:tcPr>
          <w:p>
            <w:pPr>
              <w:jc w:val="right"/>
              <w:spacing w:after="0"/>
              <w:rPr>
                <w:sz w:val="20"/>
                <w:szCs w:val="20"/>
                <w:color w:val="auto"/>
              </w:rPr>
            </w:pPr>
            <w:r>
              <w:rPr>
                <w:rFonts w:ascii="Arial" w:cs="Arial" w:eastAsia="Arial" w:hAnsi="Arial"/>
                <w:sz w:val="18"/>
                <w:szCs w:val="18"/>
                <w:color w:val="auto"/>
              </w:rPr>
              <w:t>707,740</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87,699</w:t>
            </w:r>
          </w:p>
        </w:tc>
        <w:tc>
          <w:tcPr>
            <w:tcW w:w="1080" w:type="dxa"/>
            <w:vAlign w:val="bottom"/>
          </w:tcPr>
          <w:p>
            <w:pPr>
              <w:jc w:val="right"/>
              <w:spacing w:after="0"/>
              <w:rPr>
                <w:sz w:val="20"/>
                <w:szCs w:val="20"/>
                <w:color w:val="auto"/>
              </w:rPr>
            </w:pPr>
            <w:r>
              <w:rPr>
                <w:rFonts w:ascii="Arial" w:cs="Arial" w:eastAsia="Arial" w:hAnsi="Arial"/>
                <w:sz w:val="18"/>
                <w:szCs w:val="18"/>
                <w:color w:val="auto"/>
              </w:rPr>
              <w:t>423,383</w:t>
            </w:r>
          </w:p>
        </w:tc>
        <w:tc>
          <w:tcPr>
            <w:tcW w:w="1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(13,134,958)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(1,627,587)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deferred assets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389,060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326,670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(Increase) Decrease in</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ind w:left="640"/>
              <w:spacing w:after="0"/>
              <w:rPr>
                <w:sz w:val="20"/>
                <w:szCs w:val="20"/>
                <w:color w:val="auto"/>
              </w:rPr>
            </w:pPr>
            <w:r>
              <w:rPr>
                <w:rFonts w:ascii="Arial" w:cs="Arial" w:eastAsia="Arial" w:hAnsi="Arial"/>
                <w:sz w:val="18"/>
                <w:szCs w:val="18"/>
                <w:color w:val="auto"/>
              </w:rPr>
              <w:t>deferred tax assets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3,205,911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(3,639,677)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(548,886)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(68,013)</w:t>
            </w:r>
          </w:p>
        </w:tc>
        <w:tc>
          <w:tcPr>
            <w:tcW w:w="1080" w:type="dxa"/>
            <w:vAlign w:val="bottom"/>
          </w:tcPr>
          <w:p>
            <w:pPr>
              <w:jc w:val="right"/>
              <w:spacing w:after="0"/>
              <w:rPr>
                <w:sz w:val="20"/>
                <w:szCs w:val="20"/>
                <w:color w:val="auto"/>
              </w:rPr>
            </w:pPr>
            <w:r>
              <w:rPr>
                <w:rFonts w:ascii="Arial" w:cs="Arial" w:eastAsia="Arial" w:hAnsi="Arial"/>
                <w:sz w:val="18"/>
                <w:szCs w:val="18"/>
                <w:color w:val="auto"/>
              </w:rPr>
              <w:t>9,669,543</w:t>
            </w:r>
          </w:p>
        </w:tc>
        <w:tc>
          <w:tcPr>
            <w:tcW w:w="1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(19,929,499)</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(2,469,517)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accounts payable and other</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liabilities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1,643,750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90,683,363</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(99,633,134)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(12,345,806)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6,009,418</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12,823,517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w w:val="99"/>
              </w:rPr>
              <w:t>Increase in deferred revenue</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2,497,165</w:t>
            </w:r>
          </w:p>
        </w:tc>
        <w:tc>
          <w:tcPr>
            <w:tcW w:w="1140" w:type="dxa"/>
            <w:vAlign w:val="bottom"/>
          </w:tcPr>
          <w:p>
            <w:pPr>
              <w:jc w:val="right"/>
              <w:spacing w:after="0"/>
              <w:rPr>
                <w:sz w:val="20"/>
                <w:szCs w:val="20"/>
                <w:color w:val="auto"/>
              </w:rPr>
            </w:pPr>
            <w:r>
              <w:rPr>
                <w:rFonts w:ascii="Arial" w:cs="Arial" w:eastAsia="Arial" w:hAnsi="Arial"/>
                <w:sz w:val="18"/>
                <w:szCs w:val="18"/>
                <w:color w:val="auto"/>
              </w:rPr>
              <w:t>51,810,565</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407,992</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50,555</w:t>
            </w:r>
          </w:p>
        </w:tc>
        <w:tc>
          <w:tcPr>
            <w:tcW w:w="1080" w:type="dxa"/>
            <w:vAlign w:val="bottom"/>
          </w:tcPr>
          <w:p>
            <w:pPr>
              <w:jc w:val="right"/>
              <w:spacing w:after="0"/>
              <w:rPr>
                <w:sz w:val="20"/>
                <w:szCs w:val="20"/>
                <w:color w:val="auto"/>
              </w:rPr>
            </w:pPr>
            <w:r>
              <w:rPr>
                <w:rFonts w:ascii="Arial" w:cs="Arial" w:eastAsia="Arial" w:hAnsi="Arial"/>
                <w:sz w:val="18"/>
                <w:szCs w:val="18"/>
                <w:color w:val="auto"/>
              </w:rPr>
              <w:t>77,169,729</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96,774,108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11,991,538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Increase (Decrease) in salary</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welfare payable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11,664,996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(3,604,027)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17,020,247</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2,109,024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14,103,693</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10,355,713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Increase in taxes payable</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5,365,040</w:t>
            </w:r>
          </w:p>
        </w:tc>
        <w:tc>
          <w:tcPr>
            <w:tcW w:w="1140" w:type="dxa"/>
            <w:vAlign w:val="bottom"/>
          </w:tcPr>
          <w:p>
            <w:pPr>
              <w:jc w:val="right"/>
              <w:spacing w:after="0"/>
              <w:rPr>
                <w:sz w:val="20"/>
                <w:szCs w:val="20"/>
                <w:color w:val="auto"/>
              </w:rPr>
            </w:pPr>
            <w:r>
              <w:rPr>
                <w:rFonts w:ascii="Arial" w:cs="Arial" w:eastAsia="Arial" w:hAnsi="Arial"/>
                <w:sz w:val="18"/>
                <w:szCs w:val="18"/>
                <w:color w:val="auto"/>
              </w:rPr>
              <w:t>10,311,127</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1,642,269</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203,498</w:t>
            </w:r>
          </w:p>
        </w:tc>
        <w:tc>
          <w:tcPr>
            <w:tcW w:w="1080" w:type="dxa"/>
            <w:vAlign w:val="bottom"/>
          </w:tcPr>
          <w:p>
            <w:pPr>
              <w:jc w:val="right"/>
              <w:spacing w:after="0"/>
              <w:rPr>
                <w:sz w:val="20"/>
                <w:szCs w:val="20"/>
                <w:color w:val="auto"/>
              </w:rPr>
            </w:pPr>
            <w:r>
              <w:rPr>
                <w:rFonts w:ascii="Arial" w:cs="Arial" w:eastAsia="Arial" w:hAnsi="Arial"/>
                <w:sz w:val="18"/>
                <w:szCs w:val="18"/>
                <w:color w:val="auto"/>
              </w:rPr>
              <w:t>5,466,691</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39,819,520</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4,934,143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deferred tax</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liabilities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3,940,854</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488,321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3,940,854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488,321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w w:val="90"/>
              </w:rPr>
              <w:t>Increase (Decrease) in accrued</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720" w:type="dxa"/>
            <w:vAlign w:val="bottom"/>
          </w:tcPr>
          <w:p>
            <w:pPr>
              <w:ind w:left="640"/>
              <w:spacing w:after="0"/>
              <w:rPr>
                <w:sz w:val="20"/>
                <w:szCs w:val="20"/>
                <w:color w:val="auto"/>
              </w:rPr>
            </w:pPr>
            <w:r>
              <w:rPr>
                <w:rFonts w:ascii="Arial" w:cs="Arial" w:eastAsia="Arial" w:hAnsi="Arial"/>
                <w:sz w:val="18"/>
                <w:szCs w:val="18"/>
                <w:color w:val="auto"/>
              </w:rPr>
              <w:t>liabilities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(751,413)</w:t>
            </w:r>
          </w:p>
        </w:tc>
        <w:tc>
          <w:tcPr>
            <w:tcW w:w="1140" w:type="dxa"/>
            <w:vAlign w:val="bottom"/>
          </w:tcPr>
          <w:p>
            <w:pPr>
              <w:jc w:val="right"/>
              <w:spacing w:after="0"/>
              <w:rPr>
                <w:sz w:val="20"/>
                <w:szCs w:val="20"/>
                <w:color w:val="auto"/>
              </w:rPr>
            </w:pPr>
            <w:r>
              <w:rPr>
                <w:rFonts w:ascii="Arial" w:cs="Arial" w:eastAsia="Arial" w:hAnsi="Arial"/>
                <w:sz w:val="18"/>
                <w:szCs w:val="18"/>
                <w:color w:val="auto"/>
              </w:rPr>
              <w:t>1,530,214</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(1,147,966)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(142,248)</w:t>
            </w:r>
          </w:p>
        </w:tc>
        <w:tc>
          <w:tcPr>
            <w:tcW w:w="1080" w:type="dxa"/>
            <w:vAlign w:val="bottom"/>
          </w:tcPr>
          <w:p>
            <w:pPr>
              <w:jc w:val="right"/>
              <w:spacing w:after="0"/>
              <w:rPr>
                <w:sz w:val="20"/>
                <w:szCs w:val="20"/>
                <w:color w:val="auto"/>
              </w:rPr>
            </w:pPr>
            <w:r>
              <w:rPr>
                <w:rFonts w:ascii="Arial" w:cs="Arial" w:eastAsia="Arial" w:hAnsi="Arial"/>
                <w:sz w:val="18"/>
                <w:szCs w:val="18"/>
                <w:color w:val="auto"/>
              </w:rPr>
              <w:t>10,021,222</w:t>
            </w:r>
          </w:p>
        </w:tc>
        <w:tc>
          <w:tcPr>
            <w:tcW w:w="18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(1,884,669)</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(233,534)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w:t>
            </w: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Activities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202,981,309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424,924,331</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220,309,256</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27,299,107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614,153,858</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1,104,789,431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136,897,405</w:t>
            </w:r>
          </w:p>
        </w:tc>
        <w:tc>
          <w:tcPr>
            <w:tcW w:w="0" w:type="dxa"/>
            <w:vAlign w:val="bottom"/>
          </w:tcPr>
          <w:p>
            <w:pPr>
              <w:spacing w:after="0"/>
              <w:rPr>
                <w:sz w:val="1"/>
                <w:szCs w:val="1"/>
                <w:color w:val="auto"/>
              </w:rPr>
            </w:pPr>
          </w:p>
        </w:tc>
      </w:tr>
      <w:tr>
        <w:trPr>
          <w:trHeight w:val="209"/>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w:t>
            </w: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8"/>
                <w:szCs w:val="18"/>
                <w:b w:val="1"/>
                <w:bCs w:val="1"/>
                <w:color w:val="auto"/>
              </w:rPr>
              <w:t>activities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held-to-maturity</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82,929,919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82,766,000</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166,561,546</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165,532,000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20,511,511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Purchase of property,</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ind w:left="640"/>
              <w:spacing w:after="0"/>
              <w:rPr>
                <w:sz w:val="20"/>
                <w:szCs w:val="20"/>
                <w:color w:val="auto"/>
              </w:rPr>
            </w:pPr>
            <w:r>
              <w:rPr>
                <w:rFonts w:ascii="Arial" w:cs="Arial" w:eastAsia="Arial" w:hAnsi="Arial"/>
                <w:sz w:val="18"/>
                <w:szCs w:val="18"/>
                <w:color w:val="auto"/>
              </w:rPr>
              <w:t>equipment and software</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(9,464,912)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(31,957,739)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(14,900,930)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(1,846,414)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(60,142,252)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(92,608,975)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(11,475,425)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time deposit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(1,432,524,938)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(259,946,675)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(32,210,686)</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(1,692,471,613)</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(209,718,670)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Decrease in non-current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720" w:type="dxa"/>
            <w:vAlign w:val="bottom"/>
          </w:tcPr>
          <w:p>
            <w:pPr>
              <w:ind w:left="640"/>
              <w:spacing w:after="0"/>
              <w:rPr>
                <w:sz w:val="20"/>
                <w:szCs w:val="20"/>
                <w:color w:val="auto"/>
              </w:rPr>
            </w:pPr>
            <w:r>
              <w:rPr>
                <w:rFonts w:ascii="Arial" w:cs="Arial" w:eastAsia="Arial" w:hAnsi="Arial"/>
                <w:sz w:val="18"/>
                <w:szCs w:val="18"/>
                <w:color w:val="auto"/>
              </w:rPr>
              <w:t>deposit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(271,324)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(348,143)</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(584,810)</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799,232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99,035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Net cash (used in) provided by</w:t>
            </w: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investing activities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73,193,683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(1,382,064,820)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(274,847,605)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(34,057,100)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105,834,484</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(1,618,749,356)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(200,583,549)</w:t>
            </w:r>
          </w:p>
        </w:tc>
        <w:tc>
          <w:tcPr>
            <w:tcW w:w="0" w:type="dxa"/>
            <w:vAlign w:val="bottom"/>
          </w:tcPr>
          <w:p>
            <w:pPr>
              <w:spacing w:after="0"/>
              <w:rPr>
                <w:sz w:val="1"/>
                <w:szCs w:val="1"/>
                <w:color w:val="auto"/>
              </w:rPr>
            </w:pPr>
          </w:p>
        </w:tc>
      </w:tr>
      <w:tr>
        <w:trPr>
          <w:trHeight w:val="209"/>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w:t>
            </w: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8"/>
                <w:szCs w:val="18"/>
                <w:b w:val="1"/>
                <w:bCs w:val="1"/>
                <w:color w:val="auto"/>
              </w:rPr>
              <w:t>activities: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 from employees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exercising stock options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7,232,657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83,972,844</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1,431,465</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177,377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30,745,083</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105,843,837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13,115,392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w w:val="99"/>
              </w:rPr>
              <w:t>Increase (Decrease) in other</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720" w:type="dxa"/>
            <w:vAlign w:val="bottom"/>
          </w:tcPr>
          <w:p>
            <w:pPr>
              <w:ind w:left="640"/>
              <w:spacing w:after="0"/>
              <w:rPr>
                <w:sz w:val="20"/>
                <w:szCs w:val="20"/>
                <w:color w:val="auto"/>
              </w:rPr>
            </w:pPr>
            <w:r>
              <w:rPr>
                <w:rFonts w:ascii="Arial" w:cs="Arial" w:eastAsia="Arial" w:hAnsi="Arial"/>
                <w:sz w:val="18"/>
                <w:szCs w:val="18"/>
                <w:color w:val="auto"/>
              </w:rPr>
              <w:t>long-term payable</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(38,575)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(199,979)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(24,780)</w:t>
            </w:r>
          </w:p>
        </w:tc>
        <w:tc>
          <w:tcPr>
            <w:tcW w:w="1080" w:type="dxa"/>
            <w:vAlign w:val="bottom"/>
          </w:tcPr>
          <w:p>
            <w:pPr>
              <w:jc w:val="right"/>
              <w:spacing w:after="0"/>
              <w:rPr>
                <w:sz w:val="20"/>
                <w:szCs w:val="20"/>
                <w:color w:val="auto"/>
              </w:rPr>
            </w:pPr>
            <w:r>
              <w:rPr>
                <w:rFonts w:ascii="Arial" w:cs="Arial" w:eastAsia="Arial" w:hAnsi="Arial"/>
                <w:sz w:val="18"/>
                <w:szCs w:val="18"/>
                <w:color w:val="auto"/>
              </w:rPr>
              <w:t>1,298,129</w:t>
            </w:r>
          </w:p>
        </w:tc>
        <w:tc>
          <w:tcPr>
            <w:tcW w:w="18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(346,471)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(42,932)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w:t>
            </w: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financing activities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7,232,657</w:t>
            </w:r>
          </w:p>
        </w:tc>
        <w:tc>
          <w:tcPr>
            <w:tcW w:w="1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83,934,269</w:t>
            </w:r>
          </w:p>
        </w:tc>
        <w:tc>
          <w:tcPr>
            <w:tcW w:w="1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1,231,486</w:t>
            </w:r>
          </w:p>
        </w:tc>
        <w:tc>
          <w:tcPr>
            <w:tcW w:w="1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152,597</w:t>
            </w:r>
          </w:p>
        </w:tc>
        <w:tc>
          <w:tcPr>
            <w:tcW w:w="1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32,043,212</w:t>
            </w:r>
          </w:p>
        </w:tc>
        <w:tc>
          <w:tcPr>
            <w:tcW w:w="1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105,497,366</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13,072,460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283,407,649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(873,206,220)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(53,306,863)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(6,605,396)</w:t>
            </w:r>
          </w:p>
        </w:tc>
        <w:tc>
          <w:tcPr>
            <w:tcW w:w="1080" w:type="dxa"/>
            <w:vAlign w:val="bottom"/>
          </w:tcPr>
          <w:p>
            <w:pPr>
              <w:jc w:val="right"/>
              <w:spacing w:after="0"/>
              <w:rPr>
                <w:sz w:val="20"/>
                <w:szCs w:val="20"/>
                <w:color w:val="auto"/>
              </w:rPr>
            </w:pPr>
            <w:r>
              <w:rPr>
                <w:rFonts w:ascii="Arial" w:cs="Arial" w:eastAsia="Arial" w:hAnsi="Arial"/>
                <w:sz w:val="18"/>
                <w:szCs w:val="18"/>
                <w:color w:val="auto"/>
              </w:rPr>
              <w:t>752,031,554</w:t>
            </w:r>
          </w:p>
        </w:tc>
        <w:tc>
          <w:tcPr>
            <w:tcW w:w="1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(408,462,559)</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(50,613,684)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exchange rate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changes on cash held in</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currencies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(25,455,455)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(4,229,442)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(524,081)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(29,684,897)</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(3,678,335)</w:t>
            </w:r>
          </w:p>
        </w:tc>
        <w:tc>
          <w:tcPr>
            <w:tcW w:w="0" w:type="dxa"/>
            <w:vAlign w:val="bottom"/>
          </w:tcPr>
          <w:p>
            <w:pPr>
              <w:spacing w:after="0"/>
              <w:rPr>
                <w:sz w:val="1"/>
                <w:szCs w:val="1"/>
                <w:color w:val="auto"/>
              </w:rPr>
            </w:pP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Cash, beginning of the</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b w:val="1"/>
                <w:bCs w:val="1"/>
                <w:color w:val="auto"/>
              </w:rPr>
              <w:t>year/quarter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1,840,483,888</w:t>
            </w: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2,641,942,061</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1,743,280,386</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216,014,521</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1,371,859,983</w:t>
            </w:r>
          </w:p>
        </w:tc>
        <w:tc>
          <w:tcPr>
            <w:tcW w:w="18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2,123,891,537</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263,177,063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the year/quarter</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2,123,891,537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1,743,280,386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1,685,744,081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208,885,044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2,123,891,537</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1,685,744,081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208,885,044</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Supplemental disclosures of cash</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41" w:orient="portrait"/>
          <w:cols w:equalWidth="0" w:num="1">
            <w:col w:w="11420"/>
          </w:cols>
          <w:pgMar w:left="240" w:top="459"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ind w:left="220"/>
              <w:spacing w:after="0"/>
              <w:rPr>
                <w:sz w:val="20"/>
                <w:szCs w:val="20"/>
                <w:color w:val="auto"/>
              </w:rPr>
            </w:pPr>
            <w:r>
              <w:rPr>
                <w:rFonts w:ascii="Arial" w:cs="Arial" w:eastAsia="Arial" w:hAnsi="Arial"/>
                <w:sz w:val="18"/>
                <w:szCs w:val="18"/>
                <w:b w:val="1"/>
                <w:bCs w:val="1"/>
                <w:color w:val="auto"/>
              </w:rPr>
              <w:t>flow information:</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during the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year/quarter for income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taxes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5,778,940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21,241,734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25,963,450</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3,217,200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24,374,799</w:t>
            </w: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67,993,005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8,425,195</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440"/>
              <w:spacing w:after="0"/>
              <w:rPr>
                <w:sz w:val="20"/>
                <w:szCs w:val="20"/>
                <w:color w:val="auto"/>
              </w:rPr>
            </w:pPr>
            <w:r>
              <w:rPr>
                <w:rFonts w:ascii="Arial" w:cs="Arial" w:eastAsia="Arial" w:hAnsi="Arial"/>
                <w:sz w:val="18"/>
                <w:szCs w:val="18"/>
                <w:color w:val="auto"/>
              </w:rPr>
              <w:t>Cash paid during the</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4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660"/>
              <w:spacing w:after="0"/>
              <w:rPr>
                <w:sz w:val="20"/>
                <w:szCs w:val="20"/>
                <w:color w:val="auto"/>
              </w:rPr>
            </w:pPr>
            <w:r>
              <w:rPr>
                <w:rFonts w:ascii="Arial" w:cs="Arial" w:eastAsia="Arial" w:hAnsi="Arial"/>
                <w:sz w:val="18"/>
                <w:szCs w:val="18"/>
                <w:color w:val="auto"/>
              </w:rPr>
              <w:t>year/quarter for interest</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3,230,173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400,259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Supplemental schedule of non-</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cash investing and financing</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activities:</w:t>
            </w: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Net Exchange Loss</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6,440,261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1,920,572</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237,982</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8,360,833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1,036,013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4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Compensation costs, arising</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from transfer of ordinary</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shares and issuance of</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 options in the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Company to senior</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management personnel and</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2"/>
              </w:rPr>
              <w:t>some non-employees of the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Company</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55,340</w:t>
            </w: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13,835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 is an integral part of this press release.</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8651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NETEASE.COM,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Quarter Ended</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1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1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1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1"/>
                <w:szCs w:val="11"/>
                <w:color w:val="auto"/>
              </w:rPr>
            </w:pPr>
          </w:p>
        </w:tc>
        <w:tc>
          <w:tcPr>
            <w:tcW w:w="11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2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USD (Note 1)</w:t>
            </w:r>
          </w:p>
        </w:tc>
        <w:tc>
          <w:tcPr>
            <w:tcW w:w="18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RMB</w:t>
            </w:r>
          </w:p>
        </w:tc>
        <w:tc>
          <w:tcPr>
            <w:tcW w:w="18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USD (Note 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(Audited)</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(Audited)</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Online game services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208,255,497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372,681,557</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400,942,544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49,681,860</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628,936,223</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1,379,475,803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170,934,525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44,685,971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73,395,974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69,087,777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8,560,851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171,054,305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241,200,444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29,887,790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Wireless value-added services and others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24,939,955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16,513,205</w:t>
            </w:r>
          </w:p>
        </w:tc>
        <w:tc>
          <w:tcPr>
            <w:tcW w:w="940" w:type="dxa"/>
            <w:vAlign w:val="bottom"/>
          </w:tcPr>
          <w:p>
            <w:pPr>
              <w:jc w:val="right"/>
              <w:spacing w:after="0"/>
              <w:rPr>
                <w:sz w:val="20"/>
                <w:szCs w:val="20"/>
                <w:color w:val="auto"/>
              </w:rPr>
            </w:pPr>
            <w:r>
              <w:rPr>
                <w:rFonts w:ascii="Arial" w:cs="Arial" w:eastAsia="Arial" w:hAnsi="Arial"/>
                <w:sz w:val="18"/>
                <w:szCs w:val="18"/>
                <w:color w:val="auto"/>
              </w:rPr>
              <w:t>17,232,471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2,135,321</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158,310,317</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73,742,136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9,137,585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277,881,423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462,590,736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487,262,792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60,378,032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958,300,845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1,694,418,383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209,959,900</w:t>
            </w:r>
          </w:p>
        </w:tc>
        <w:tc>
          <w:tcPr>
            <w:tcW w:w="0" w:type="dxa"/>
            <w:vAlign w:val="bottom"/>
          </w:tcPr>
          <w:p>
            <w:pPr>
              <w:spacing w:after="0"/>
              <w:rPr>
                <w:sz w:val="1"/>
                <w:szCs w:val="1"/>
                <w:color w:val="auto"/>
              </w:rPr>
            </w:pPr>
          </w:p>
        </w:tc>
      </w:tr>
      <w:tr>
        <w:trPr>
          <w:trHeight w:val="221"/>
        </w:trPr>
        <w:tc>
          <w:tcPr>
            <w:tcW w:w="3540" w:type="dxa"/>
            <w:vAlign w:val="bottom"/>
            <w:gridSpan w:val="2"/>
          </w:tcPr>
          <w:p>
            <w:pPr>
              <w:spacing w:after="0"/>
              <w:rPr>
                <w:sz w:val="20"/>
                <w:szCs w:val="20"/>
                <w:color w:val="auto"/>
              </w:rPr>
            </w:pPr>
            <w:r>
              <w:rPr>
                <w:rFonts w:ascii="Arial" w:cs="Arial" w:eastAsia="Arial" w:hAnsi="Arial"/>
                <w:sz w:val="18"/>
                <w:szCs w:val="18"/>
                <w:color w:val="auto"/>
              </w:rPr>
              <w:t>Business taxes:</w:t>
            </w:r>
          </w:p>
        </w:tc>
        <w:tc>
          <w:tcPr>
            <w:tcW w:w="9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Online game services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(11,454,052)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(12,298,491)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(13,231,104)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(1,639,501)</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(34,591,492)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(58,851,439)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Advertising services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(3,798,308)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(6,238,658)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(5,872,461)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(727,672)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(14,539,615)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(20,502,038)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(2,540,462)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Wireless value-added services and others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(911,415)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(609,447)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(634,439)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(78,615)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(5,571,911)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(2,701,425)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(334,741)</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Total business taxes</w:t>
            </w: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gridSpan w:val="2"/>
            <w:vMerge w:val="continue"/>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(16,163,775)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(19,146,596)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(19,738,004)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(2,445,788)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(54,703,018)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(82,054,902)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(10,167,642)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Online game services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196,801,445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360,383,066</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387,711,440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48,042,359</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594,344,731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1,320,624,364</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163,642,086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40,887,663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67,157,316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63,215,316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7,833,179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156,514,690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220,698,406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27,347,328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Wireless value-added services and others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24,028,540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15,903,758</w:t>
            </w:r>
          </w:p>
        </w:tc>
        <w:tc>
          <w:tcPr>
            <w:tcW w:w="940" w:type="dxa"/>
            <w:vAlign w:val="bottom"/>
          </w:tcPr>
          <w:p>
            <w:pPr>
              <w:jc w:val="right"/>
              <w:spacing w:after="0"/>
              <w:rPr>
                <w:sz w:val="20"/>
                <w:szCs w:val="20"/>
                <w:color w:val="auto"/>
              </w:rPr>
            </w:pPr>
            <w:r>
              <w:rPr>
                <w:rFonts w:ascii="Arial" w:cs="Arial" w:eastAsia="Arial" w:hAnsi="Arial"/>
                <w:sz w:val="18"/>
                <w:szCs w:val="18"/>
                <w:color w:val="auto"/>
              </w:rPr>
              <w:t>16,598,032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2,056,706</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152,738,406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71,040,711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8,802,844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261,717,648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443,444,140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467,524,788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57,932,244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903,597,827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1,612,363,481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199,792,258</w:t>
            </w:r>
          </w:p>
        </w:tc>
        <w:tc>
          <w:tcPr>
            <w:tcW w:w="0" w:type="dxa"/>
            <w:vAlign w:val="bottom"/>
          </w:tcPr>
          <w:p>
            <w:pPr>
              <w:spacing w:after="0"/>
              <w:rPr>
                <w:sz w:val="1"/>
                <w:szCs w:val="1"/>
                <w:color w:val="auto"/>
              </w:rPr>
            </w:pPr>
          </w:p>
        </w:tc>
      </w:tr>
      <w:tr>
        <w:trPr>
          <w:trHeight w:val="221"/>
        </w:trPr>
        <w:tc>
          <w:tcPr>
            <w:tcW w:w="35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9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Online game services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(23,010,912)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(37,028,524)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(41,052,587)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(5,086,936)</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(74,629,515)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(137,301,493)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(17,013,394)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Advertising services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(14,118,654)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(21,393,626)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(23,450,822)</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(2,905,854)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(54,056,435)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(78,589,395)</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(9,738,221)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Wireless value-added and others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(17,210,474)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(14,108,027)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(16,808,930)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(2,082,839)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(55,117,445)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(59,346,085)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(7,353,732)</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revenues</w:t>
            </w: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gridSpan w:val="2"/>
            <w:vMerge w:val="continue"/>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(54,340,040)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(72,530,177)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(81,312,339)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(10,075,629)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(183,803,395)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(275,236,973)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(34,105,347)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Gross profit/(loss):</w:t>
            </w: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Online game services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173,790,533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323,354,542</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346,658,853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42,955,423</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519,715,216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1,183,322,871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146,628,692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26,769,009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45,763,690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39,764,494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4,927,325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102,458,255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142,109,011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17,609,107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Wireless value-added services and others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6,818,066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1,795,731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(210,898)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(26,133)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97,620,961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11,694,626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1,449,112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207,377,608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370,913,963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386,212,449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47,856,615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719,794,432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1,337,126,508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165,686,911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 is an integral part of this press release.</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8651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NETEASE.COM,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INFORMATION</w:t>
      </w:r>
    </w:p>
    <w:p>
      <w:pPr>
        <w:spacing w:after="0" w:line="205" w:lineRule="exact"/>
        <w:rPr>
          <w:sz w:val="20"/>
          <w:szCs w:val="20"/>
          <w:color w:val="auto"/>
        </w:rPr>
      </w:pPr>
    </w:p>
    <w:p>
      <w:pPr>
        <w:ind w:left="800" w:hanging="796"/>
        <w:spacing w:after="0" w:line="332" w:lineRule="auto"/>
        <w:tabs>
          <w:tab w:leader="none" w:pos="780" w:val="left"/>
        </w:tabs>
        <w:rPr>
          <w:sz w:val="20"/>
          <w:szCs w:val="20"/>
          <w:color w:val="auto"/>
        </w:rPr>
      </w:pPr>
      <w:r>
        <w:rPr>
          <w:rFonts w:ascii="Arial" w:cs="Arial" w:eastAsia="Arial" w:hAnsi="Arial"/>
          <w:sz w:val="18"/>
          <w:szCs w:val="18"/>
          <w:color w:val="auto"/>
        </w:rPr>
        <w:t>Note 1:</w:t>
      </w:r>
      <w:r>
        <w:rPr>
          <w:sz w:val="20"/>
          <w:szCs w:val="20"/>
          <w:color w:val="auto"/>
        </w:rPr>
        <w:tab/>
      </w:r>
      <w:r>
        <w:rPr>
          <w:rFonts w:ascii="Arial" w:cs="Arial" w:eastAsia="Arial" w:hAnsi="Arial"/>
          <w:sz w:val="16"/>
          <w:szCs w:val="16"/>
          <w:color w:val="auto"/>
        </w:rPr>
        <w:t>The conversion of Renminbi (RMB) into United States dollars (USD) is based on the noon buying rate of USD1.00 = RMB8.0702 on December 31, 2005 in The City of New York for cable transfers of Renminbi as certified for customs purposes by the Federal Reserve Bank of New York.</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2019-12-12T03:46:46Z</dcterms:created>
  <dcterms:modified xsi:type="dcterms:W3CDTF">2019-12-12T03:46:46Z</dcterms:modified>
</cp:coreProperties>
</file>