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May 2011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NETEASE.COM,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26/F, SP Tower 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25" w:lineRule="exact"/>
        <w:rPr>
          <w:sz w:val="24"/>
          <w:szCs w:val="24"/>
          <w:color w:val="auto"/>
        </w:rPr>
      </w:pPr>
    </w:p>
    <w:p>
      <w:pPr>
        <w:ind w:right="780"/>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70" w:lineRule="exact"/>
        <w:rPr>
          <w:sz w:val="24"/>
          <w:szCs w:val="24"/>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NETEASE.COM,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gridSpan w:val="2"/>
            <w:vMerge w:val="restart"/>
          </w:tcPr>
          <w:p>
            <w:pPr>
              <w:spacing w:after="0"/>
              <w:rPr>
                <w:sz w:val="20"/>
                <w:szCs w:val="20"/>
                <w:color w:val="auto"/>
              </w:rPr>
            </w:pPr>
            <w:r>
              <w:rPr>
                <w:rFonts w:ascii="Arial" w:cs="Arial" w:eastAsia="Arial" w:hAnsi="Arial"/>
                <w:sz w:val="18"/>
                <w:szCs w:val="18"/>
                <w:color w:val="auto"/>
              </w:rPr>
              <w:t>Signature</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Page 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0280" w:type="dxa"/>
            <w:vAlign w:val="bottom"/>
            <w:gridSpan w:val="2"/>
          </w:tcPr>
          <w:p>
            <w:pPr>
              <w:spacing w:after="0"/>
              <w:rPr>
                <w:sz w:val="20"/>
                <w:szCs w:val="20"/>
                <w:color w:val="auto"/>
              </w:rPr>
            </w:pPr>
            <w:r>
              <w:rPr>
                <w:rFonts w:ascii="Arial" w:cs="Arial" w:eastAsia="Arial" w:hAnsi="Arial"/>
                <w:sz w:val="18"/>
                <w:szCs w:val="18"/>
                <w:color w:val="auto"/>
              </w:rPr>
              <w:t>Press Release Regarding Earnings Results for the First Quarter of 2011, dated May 19, 2011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69"/>
        </w:trPr>
        <w:tc>
          <w:tcPr>
            <w:tcW w:w="666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6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60"/>
          </w:cols>
          <w:pgMar w:left="240" w:top="544" w:right="199" w:bottom="0" w:gutter="0" w:footer="0" w:header="0"/>
        </w:sectPr>
      </w:pPr>
    </w:p>
    <w:bookmarkStart w:id="1" w:name="page2"/>
    <w:bookmarkEnd w:id="1"/>
    <w:p>
      <w:pPr>
        <w:ind w:left="5720"/>
        <w:spacing w:after="0"/>
        <w:rPr>
          <w:sz w:val="20"/>
          <w:szCs w:val="20"/>
          <w:color w:val="auto"/>
        </w:rPr>
      </w:pPr>
      <w:r>
        <w:rPr>
          <w:rFonts w:ascii="Arial" w:cs="Arial" w:eastAsia="Arial" w:hAnsi="Arial"/>
          <w:sz w:val="18"/>
          <w:szCs w:val="18"/>
          <w:color w:val="auto"/>
        </w:rPr>
        <w:t>NETEASE.COM,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Onward Choi</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Acting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19,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5222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Media and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brandi@corp.netease.com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212-481-2050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 Jia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NetEase.com,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liddyli@corp.netease.com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(+8610) 8255-8208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NetEase.com Reports First Quarter 2011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(Beijing — May 19, 2011) — NetEase.com, Inc. (NASDAQ: NTES), one of China’s leading Internet and online game services providers, today announced its unaudited financial results for the first quarter ended March 31, 2011.</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William Ding, Chief Executive Officer and Director of NetEase, stated, “For the first quarter, total revenues from online games increased by approximately 28% year-over-year, driven by higher revenue contributions from our self-developed games, namely Heroes of Tang Dynasty, Fantasy Westward Journey, Westward Journey Online II and Tianxia II, along with continued revenue growth from World of Warcraft®, a game licensed from Blizzard Entertainment. Online game revenue decreased by 3% quarter-over-quarter mainly due to seasonality. Fantasy Westward Journey and Westward Journey Online II continued to perform well due to well-received promotional campaigns during the first quarter, along with favorable response to the latest expansion pack for Fantasy Westward Journey released in January 2011. As a game in its eighth year of commercial operation, we were tremendously pleased with Westward Journey Online II’s new record quarterly revenue in the current quarter as well as a new record number of peak concurrent users, resulting from players’ positive response to the promotional activities held during the recent Labor Day holidays in China. We plan to keep working hard to make the game a continued success. Our newer games Heroes of Tang Dynasty and Tianxia II also continued to show solid growth. Moreover, we concluded the open beta test for Blizzard Entertainment’s StarCraft® II in China during the first quarter and commenced commercial operation on April 6, 2011. StarCraft II holds the record for fastest-selling strategy game of all time, and we are delighted to bring this exciting gaming experience to Chinese players.”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new expansion pack for Tianxia II was released in April 2011, and we plan to launch an advanced version for this game in the third quarter of 2011. In addition, we are currently on schedule to release the next expansion packs for Heroes of Tang Dynasty and Westward Journey Online II during the second quarter of 2011 and the next expansion pack for Legend of Westward Journey and Westward Journey: Genesis during the third quarter of 2011. In view of the outstanding user statistics performance during the limited closed beta testing for Ghost in the first quarter, we started the unlimited closed beta testing for this game in April and also plan to launch its next new expansion pack in the second half of 2011. Next, I would like to talk about our new 2.5D turn-based MMORPG, Legend of Fairy which has just entered limited closed beta testing in early May. In this game, players can enjoy 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exciting and adventurous journey in a European-styled fantasyland. Unlike traditional online games, this new game allows players to freely</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change characters, skills and attributes, allowing for evolving combat experiences as the game progresses. We plan to proceed with its unlimited closed beta in the second half of 2011.”</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Mr. Ding continued, “Advertising services revenue grew 39% year-over-year due to increasing demand for advertising services, particularly from the automobile and Internet services sectors. The quarter-over-quarter revenue decline of approximately 46% from our strong fourth quarter 2010 reflects typical industry seasonality and the non-recurring impact from our 2010 Asian Games sponsorship. During the first quarter of 2011, we were pleased to launch our newly developed mobile news application software for smart-phones, which instantly became a top app download. We remain committed to addressing advertisers’ growing demand by offering unique content innovation, service integration and new product development.”</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Mr. Ding concluded, “We regret to announce that Mr. Zhonghui Zhan has resigned from his position as the Company’s Chief Operating Officer effective May 15, 2011 for personal reasons. Zhonghui has been a valuable member of our management team and has made significant contributions to our business over the years. He first joined NetEase in 1999, holding various positions culminating in Co-Chief Operating Officer in May 2006 and Chief Operating Officer in March 2009. I am personally grateful to him for his leadership, expertise and dedication.”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revenues for the first quarter of 2011 were RMB1.5 billion (US$234.9 million), compared to RMB1.7 billion and RMB1.2 billion for the preceding quarter and the first quarter of 2010,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from online games were RMB1.4 billion (US$211.6 million) for the first quarter of 2011, compared to RMB1.4 billion and RMB1.1 billion for the preceding quarter and the first quarter of 2010, respectively.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Revenues from advertising services were RMB126.8 million (US$19.4 million) for the first quarter of 2011, compared to RMB233.7 million and RMB91.5 million for the preceding quarter and the first quarter of 2010, respectively.</w:t>
      </w:r>
    </w:p>
    <w:p>
      <w:pPr>
        <w:sectPr>
          <w:pgSz w:w="11900" w:h="16838" w:orient="portrait"/>
          <w:cols w:equalWidth="0" w:num="1">
            <w:col w:w="11420"/>
          </w:cols>
          <w:pgMar w:left="240" w:top="121" w:right="239" w:bottom="0" w:gutter="0" w:footer="0" w:header="0"/>
        </w:sectPr>
      </w:pPr>
    </w:p>
    <w:bookmarkStart w:id="3" w:name="page4"/>
    <w:bookmarkEnd w:id="3"/>
    <w:p>
      <w:pPr>
        <w:spacing w:after="0" w:line="7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Revenues from wireless value-added services and others (“WVAS and others”) were RMB25.7 million (US$3.9 million) for the first quarter of 2011, compared to RMB23.3 million and RMB18.1 million for the preceding quarter and the first quarter of 2010,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Gross profit for the first quarter of 2011 was RMB985.0 million (US$150.4 million), compared to RMB1.1 billion and RMB772.4 million for the preceding quarter and the first quarter of 2010, respectively. The quarter-over-quarter decrease in gross profit was primarily due to the decrease in revenues from advertising services and online games, partially offset by decreases in information costs and incentive compensation, resulting from decreased advertising services revenue. The quarter-over-quarter decrease in advertising services revenue was primarily due to seasonality and the non-recurring advertising revenue from our 2010 Asian Games sponsorship. The slight quarter-over-quarter decrease in online game revenue was primarily due to reduced revenue from World of Warcraft, a licensed game from Blizzard Entertainment, resulting from seasonality and a reduced level of promotional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activities during the first quarter of 2011.</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year-over-year increase in gross profit was primarily attributable to increased revenues from both the online games and advertising businesses, partially offset by increased cost of revenues from the online games business. The year-over-year increase in online games revenue was primarily driven by increased revenues from the Company’s various self-developed games as well as increased revenue from World of Warcraft. Revenue from self-developed games increased primarily as a result of various expansion packs and promotional activities in the first quarter of 2011, as well as the commercial launch of Heroes of Tang Dynasty in April 2010. The year-over-year increase in revenue from World of Warcraft was mainly due to the release of the Wrath of the Lich King™ expansion pack in August 2010. The year-over-year increase in cost of revenue for the online games business was mainly due to increased royalties and consultancy fees related to World of Warcraft operations and increased staff-related costs, resulting from increased headcount in the current quarter.</w:t>
      </w:r>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year-over-year increase in advertising services revenue was primarily due to continued rising demand for advertising services, primarily from the automobile and Internet services sectors.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 (Loss) Margin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margin for the online game business for the first quarter of 2011 was 70.0%, compared to 71.8% and 71.9% for the preceding quarter and the first quarter of 2010, respectively.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profit margin for the advertising business for the first quarter of 2011 was 33.4%, compared to 53.5% and 16.9% for the preceding quarter and the first quarter of 2010, respectively. The quarter-over-quarter decrease in gross profit margin was mainly due to the significant decline in advertising service revenue, partially offset by lower cost of revenue in the current quarter for reasons explained above. The year-over-year increase in gross profit margin was primarily due to increased advertising service revenue, partially offset by increased revenue sharing costs and staff-related costs, resulting from increased headcount during the first quarter of 2011.</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loss margin for the WVAS and others business for the first quarter of 2011 was 21.6%, compared to 19.7% and 35.9% for the preceding quarter and the first quarter of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Total operating expenses for the first quarter of 2011 were RMB292.0 million (US$44.6 million), compared to RMB320.7 million and RMB217.4 million for the preceding quarter and the first quarter of 2010, respectively. The quarter-over-quarter decrease in operating expenses was primarily due to reduced selling and marketing expenses, resulting from reduced marketing promotional activities for certain self-developed games and World of Warcraft. The year-over-year increase in operating expenses was primarily due to increased selling and marketing expenses related to Westward Journey Online II, Heroes of Tang Dynasty and Ghost, and increased staff-related costs, resulting primarily from increased headcount in the general administration and research and development areas. In addition, share-compensation costs grew by RMB20.4 million year-over-year, resulting mainly from restricted share unit awards first granted by the Company in June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Profit</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profit for the first quarter of 2011 totaled RMB737.4 million (US$112.6 million), compared to RMB712.5 million and RMB452.3 million for the preceding quarter and the first quarter of 2010, respectively. During the first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of 2011, the Company reported a net foreign exchange gain of RMB25.3 million (US$3.9 million), compared to net foreign exchange losses of RMB36.4 million and RMB39.5 million for the preceding quarter and the first quarter of 2010, respectively.</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quarter-over-quarter and year-over-year foreign exchange gains/losses were mainly due to the translation gains/losses arising from the Company’s Euro-denominated bank deposit balances as of March 31, 2011 as the exchange rate of the Euro against the RMB fluctuated over the periods. NetEase reported basic and diluted earnings per American depositary share (“ADS”) of US$0.86 each for the first quarter of 2011. The Company reported basic and diluted earnings per ADS of US$0.84 and US$0.83 for the preceding quarter and US$0.53 each for the first quarter of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recorded a net income tax charge of RMB37.2 million (US$5.7 million) for the first quarter of 2011, compared to RMB83.2 million and RMB94.5 million for the preceding quarter and for the first quarter of 2010, respectively. The effective tax rate for the first quarter of 2011 was 4.8% as compared to 10.3% for the preceding quarter and 17.4% for the first quarter of 2010.</w:t>
      </w:r>
    </w:p>
    <w:p>
      <w:pPr>
        <w:sectPr>
          <w:pgSz w:w="11900" w:h="16918" w:orient="portrait"/>
          <w:cols w:equalWidth="0" w:num="1">
            <w:col w:w="11420"/>
          </w:cols>
          <w:pgMar w:left="240" w:top="341" w:right="239" w:bottom="0" w:gutter="0" w:footer="0" w:header="0"/>
        </w:sectPr>
      </w:pPr>
    </w:p>
    <w:bookmarkStart w:id="4" w:name="page5"/>
    <w:bookmarkEnd w:id="4"/>
    <w:p>
      <w:pPr>
        <w:spacing w:after="0" w:line="4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various principal subsidiaries’ enjoyed the preferential enterprise income tax rate of 15% as High and New Technology Enterprises from 2008 to 2010. These subsidiaries are currently in the process of applying to renew the New and High Technology Enterprises qualification and expect to be able to retain this qualification for 2011 to 2013 as the qualification criteria remain unchanged. Accordingly, this preferential tax rate has been applied for these subsidiaries in the Company’s estimated annual effective tax rate for 2011, though the Company cautions that it cannot be certain such applications will be approved. The quarter-over-quarter decrease in effective tax rate was mainly due to the recognition of a tax benefit of approximately RMB47.1 million (US$7.2 million) related to fiscal year 2010 upon receiving the Key Software Enterprises status during the first quarter of 2011. The year-over-year decrease in effective tax rate was mainly due to the above-mentioned tax benefit. In addition, one of the Company’s other subsidiaries was recognized as a Software Enterprise in the fourth quarter of 2010 resulting in tax-exempt status for 2010 and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2011, the Company’s total cash and time deposit balance was RMB10.4 billion (US$1.6 billion), compared to RMB9.5 billion, as of December 31, 2010. Cash flow generated from operating activities was RMB969.3 million (US$148.0 million) for the first quarter of 2011, compared to RMB901.5 million and RMB676.5 million for the preceding quarter and the first quarter of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741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91" w:lineRule="exact"/>
        <w:rPr>
          <w:sz w:val="20"/>
          <w:szCs w:val="20"/>
          <w:color w:val="auto"/>
        </w:rPr>
      </w:pPr>
    </w:p>
    <w:p>
      <w:pPr>
        <w:ind w:right="20" w:firstLine="8"/>
        <w:spacing w:after="0" w:line="302"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United States dollar (US$) amounts disclosed in this press release are presented solely for the convenience of the reader. Translations of amounts from RMB into United States dollars for the convenience of the reader were calculated at the noon buying rate of US$1.00 = RMB6.5483 on March 31, 2011 as set forth in the H.10 statistical release of the U.S. Federal Reserve Board. No representation is made that the RMB amounts could have been, or could be, converted into US$ at that rate on March 31, 2011, or at any other certain date. The percentages stated are calculated based on RMB.</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Financial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financial information disclosed in this press release is preliminary. The audit of the financial statements and related notes to be included in the Company’s annual report on Form 20-F for the year ended December 31, 2010 is still in process. In addition, because an audit of the Company’s internal controls over financial reporting in connection with section 404 of the Sarbanes-Oxley Act of 2002 has not yet been completed, the Company makes no representation as to the effectiveness of those internal controls as of the end of fiscal year 2010.</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Adjustments to the financial statements may be identified when the audit work is completed, which could result in significant differences between the Company’s audited financial statements and this preliminary unaudited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NetEase’s management team will host a teleconference call with simultaneous webcast at 9:00 p.m. Eastern Time on Wednesday, May 18, 2011 (Beijing/Hong Kong Time: 9:00 a.m., Thursday, May 19, 2011). NetEase’s management will be on the call to discuss the quarterly results and answer questions.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Interested parties may participate in the conference call by dialing 1-877-941-1427 (international: 1-480-629-9664), 10-15 minutes prior to the initiation of the call. A replay of the call will be available by dialing 800-406-7325 (international 303-590-3030), and entering passcode 4435523#. The replay will be available through June 1, 2011.</w:t>
      </w:r>
    </w:p>
    <w:p>
      <w:pPr>
        <w:spacing w:after="0" w:line="181" w:lineRule="exact"/>
        <w:rPr>
          <w:sz w:val="20"/>
          <w:szCs w:val="20"/>
          <w:color w:val="auto"/>
        </w:rPr>
      </w:pPr>
    </w:p>
    <w:p>
      <w:pPr>
        <w:ind w:right="1640"/>
        <w:spacing w:after="0" w:line="277" w:lineRule="auto"/>
        <w:rPr>
          <w:sz w:val="20"/>
          <w:szCs w:val="20"/>
          <w:color w:val="auto"/>
        </w:rPr>
      </w:pPr>
      <w:r>
        <w:rPr>
          <w:rFonts w:ascii="Arial" w:cs="Arial" w:eastAsia="Arial" w:hAnsi="Arial"/>
          <w:sz w:val="18"/>
          <w:szCs w:val="18"/>
          <w:color w:val="auto"/>
        </w:rPr>
        <w:t>This call will be webcast live and the replay will be available for 12 months. Both will be available on NetEase’s corporate web site at http://corp.netease.com, Investor Info: Earnings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NetEase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NetEase.com, Inc. is a leading China-based Internet technology company that pioneered the development of applications, services and other technologies for the Internet in China. NetEase’s online communities and personalized premium services have established a large and stable user base for the NetEase websites which are operated by its affiliates. In particular, NetEase provides online game services to Internet users through the in-house development or licensing of massively multi-player online role-playing games, including Fantasy Westward Journey, Westward Journey Online II, Westward Journey Online III, Tianxia II, Heroes of Tang Dynasty and Datang, as well as the licensed game, Blizzard Entertainment’s World of Warcraft and StarCraft II.</w:t>
      </w:r>
    </w:p>
    <w:p>
      <w:pPr>
        <w:spacing w:after="0" w:line="1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NetEase also offers online advertising on its websites which enables advertisers to reach its substantial user base. In addition, NetEase has paid listings on its search engine and web directory and classified advertising services, as well as an online mall, which provides opportunities for e-commerce and traditional businesses to establish their own storefront on the Internet. NetEase also offers wireless value-added services such as news and information content, matchmaking services, music and photos from the Web which are sent over SMS, MMS, WAP, IVR and Color Ring-back Tone technologies.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community services which the NetEase websites offer include instant messaging, online personal</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advertisements, matchmaking, alumni clubs and community forums. The Company believes that it is also the largest provider of free email services in China. Furthermore, the NetEase websites provide various channels of content. NetEase aggregates news content on world events, sports, science and technology, and financial markets, as well as entertainment content such as cartoons, games, astrology and jokes, from over one hundred international and domestic content providers.</w:t>
      </w:r>
    </w:p>
    <w:p>
      <w:pPr>
        <w:spacing w:after="0" w:line="187" w:lineRule="exact"/>
        <w:rPr>
          <w:sz w:val="20"/>
          <w:szCs w:val="20"/>
          <w:color w:val="auto"/>
        </w:rPr>
      </w:pPr>
    </w:p>
    <w:p>
      <w:pPr>
        <w:jc w:val="center"/>
        <w:ind w:right="-59"/>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ectPr>
          <w:pgSz w:w="11900" w:h="16883" w:orient="portrait"/>
          <w:cols w:equalWidth="0" w:num="1">
            <w:col w:w="11360"/>
          </w:cols>
          <w:pgMar w:left="240" w:top="341" w:right="299" w:bottom="0" w:gutter="0" w:footer="0" w:header="0"/>
        </w:sectPr>
      </w:pPr>
    </w:p>
    <w:bookmarkStart w:id="5" w:name="page6"/>
    <w:bookmarkEnd w:id="5"/>
    <w:p>
      <w:pPr>
        <w:ind w:right="40"/>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 the risk that the online game market will not continue to grow or that NetEase will not be able to maintain its leading position in that market, which could occur if, for example, its new online games such as Ghost and Legend of Fairy or expansion packs and other improvements to its existing games, including its planned expansion packs for Heroes of Tang Dynasty, Westward Journey Online II and Westward Journey: Genesis, do not become as popular as management anticipates; the ability of NetEase to effectively market its games and other services and achieve a positive return on its marketing expenditures; the risk that Shanghai EaseNet will not be able to continue operating World of Warcraft, StarCraft II or other games licensed by it for a period of time or permanently due to possible governmental actions; the risk that Shanghai EaseNet or NetEase will be subject to penalties or operating restrictions imposed by governmental authorities in the PRC resulting from the operations of their online games, including suspension of their Internet service or other penalties; the risk that changes in Chinese government regulation of the online game market may limit future growth of NetEase’s revenue or cause revenue to decline; uncertainty regarding the effectiveness of marketing programs for NetEase’s online advertising business and online games business in China; the risk that NetEase may not be able to continuously develop new and creative online services; the risk that NetEase will not be able to control its expenses in future periods; competition in NetEase’s existing and potential markets; governmental uncertainties (including possible changes in the effective tax rates applicable to NetEase and its subsidiaries and affiliates and the ability of NetEase to receive and maintain approvals of the preferential tax treatments and general competition and price pressures in the marketplace); the risk that fluctuations in the value of the Renminbi with respect to other currencies could adversely affect NetEase’s business and financial results; and other risks outlined in NetEase’s filings with the Securities and Exchange Commission. NetEase does not undertake any obligation to update this forward-looking information, except as required under the applicable law.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w:t>
            </w:r>
          </w:p>
        </w:tc>
        <w:tc>
          <w:tcPr>
            <w:tcW w:w="1380" w:type="dxa"/>
            <w:vAlign w:val="bottom"/>
          </w:tcPr>
          <w:p>
            <w:pPr>
              <w:jc w:val="right"/>
              <w:spacing w:after="0"/>
              <w:rPr>
                <w:sz w:val="20"/>
                <w:szCs w:val="20"/>
                <w:color w:val="auto"/>
              </w:rPr>
            </w:pPr>
            <w:r>
              <w:rPr>
                <w:rFonts w:ascii="Arial" w:cs="Arial" w:eastAsia="Arial" w:hAnsi="Arial"/>
                <w:sz w:val="18"/>
                <w:szCs w:val="18"/>
                <w:color w:val="auto"/>
              </w:rPr>
              <w:t>1,285,137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1,669,597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8,193,972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8,689,695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140,599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140,761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256,335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181,098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678,793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719,845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72,059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80,268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10,626,895</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11,481,264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software,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755,778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765,933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Land use right,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12,046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11,982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right,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144,637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127,817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1,530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45,776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959,767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960,510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11,586,662</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12,441,774</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130,558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107,854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welfare payables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181,973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117,039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289,332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294,399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773,952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865,059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452,412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490,300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1,828,227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1,874,651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long-term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33,342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27,671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payable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1,863,024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1,904,559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290,848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NetEase.com, Inc.’s equity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9,740,811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10,557,202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9,723,638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10,537,215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1,609,153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11,586,662</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12,441,774</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press release.</w:t>
      </w:r>
    </w:p>
    <w:p>
      <w:pPr>
        <w:sectPr>
          <w:pgSz w:w="11900" w:h="16838" w:orient="portrait"/>
          <w:cols w:equalWidth="0" w:num="1">
            <w:col w:w="11420"/>
          </w:cols>
          <w:pgMar w:left="240" w:top="341" w:right="239" w:bottom="0" w:gutter="0" w:footer="0" w:header="0"/>
        </w:sectPr>
      </w:pPr>
    </w:p>
    <w:bookmarkStart w:id="6" w:name="page7"/>
    <w:bookmarkEnd w:id="6"/>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7"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b w:val="1"/>
          <w:bCs w:val="1"/>
          <w:color w:val="auto"/>
        </w:rPr>
        <w:t>UNAUDITED CONDENSED CONSOLIDATED STATEMENTS OF OPERATIONS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9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center"/>
              <w:ind w:right="233"/>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 (Note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(Revised, Note 3)</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Online game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1,085,322</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1,422,408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1,385,643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91,548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233,701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126,828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18,060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23,301</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25,680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revenues</w:t>
            </w:r>
          </w:p>
        </w:tc>
        <w:tc>
          <w:tcPr>
            <w:tcW w:w="1360" w:type="dxa"/>
            <w:vAlign w:val="bottom"/>
          </w:tcPr>
          <w:p>
            <w:pPr>
              <w:jc w:val="right"/>
              <w:spacing w:after="0"/>
              <w:rPr>
                <w:sz w:val="20"/>
                <w:szCs w:val="20"/>
                <w:color w:val="auto"/>
              </w:rPr>
            </w:pPr>
            <w:r>
              <w:rPr>
                <w:rFonts w:ascii="Arial" w:cs="Arial" w:eastAsia="Arial" w:hAnsi="Arial"/>
                <w:sz w:val="18"/>
                <w:szCs w:val="18"/>
                <w:color w:val="auto"/>
              </w:rPr>
              <w:t>1,194,930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1,679,410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1,538,151</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234,893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Business taxes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(30,442)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(45,671)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1,164,488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1,633,739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1,499,951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(392,040)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(520,325)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(514,990)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772,448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1,113,414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984,961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(107,678)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(180,789)</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(130,345)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(39,191)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(53,805)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(63,332)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(70,566)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(86,151)</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(98,306)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(217,435)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(320,745)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(291,983)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555,013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792,669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692,978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30,785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41,173</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51,363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(losses)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(39,480)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(2,750)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6,358</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 before tax</w:t>
            </w:r>
          </w:p>
        </w:tc>
        <w:tc>
          <w:tcPr>
            <w:tcW w:w="1360" w:type="dxa"/>
            <w:vAlign w:val="bottom"/>
          </w:tcPr>
          <w:p>
            <w:pPr>
              <w:jc w:val="right"/>
              <w:spacing w:after="0"/>
              <w:rPr>
                <w:sz w:val="20"/>
                <w:szCs w:val="20"/>
                <w:color w:val="auto"/>
              </w:rPr>
            </w:pPr>
            <w:r>
              <w:rPr>
                <w:rFonts w:ascii="Arial" w:cs="Arial" w:eastAsia="Arial" w:hAnsi="Arial"/>
                <w:sz w:val="18"/>
                <w:szCs w:val="18"/>
                <w:color w:val="auto"/>
              </w:rPr>
              <w:t>543,644</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803,844</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771,781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117,860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(94,515)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(83,182)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after tax</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449,129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720,662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734,573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360" w:type="dxa"/>
            <w:vAlign w:val="bottom"/>
          </w:tcPr>
          <w:p>
            <w:pPr>
              <w:jc w:val="right"/>
              <w:spacing w:after="0"/>
              <w:rPr>
                <w:sz w:val="20"/>
                <w:szCs w:val="20"/>
                <w:color w:val="auto"/>
              </w:rPr>
            </w:pPr>
            <w:r>
              <w:rPr>
                <w:rFonts w:ascii="Arial" w:cs="Arial" w:eastAsia="Arial" w:hAnsi="Arial"/>
                <w:sz w:val="18"/>
                <w:szCs w:val="18"/>
                <w:color w:val="auto"/>
              </w:rPr>
              <w:t>3,129</w:t>
            </w: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(8,139)</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2,814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the NetEase.com, Inc.’s</w:t>
            </w: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vMerge w:val="continue"/>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452,258</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712,523</w:t>
            </w:r>
          </w:p>
        </w:tc>
        <w:tc>
          <w:tcPr>
            <w:tcW w:w="28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737,387</w:t>
            </w:r>
          </w:p>
        </w:tc>
        <w:tc>
          <w:tcPr>
            <w:tcW w:w="1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112,608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3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Earnings per ADS, basic</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w:t>
            </w:r>
          </w:p>
        </w:tc>
        <w:tc>
          <w:tcPr>
            <w:tcW w:w="300" w:type="dxa"/>
            <w:vAlign w:val="bottom"/>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w:t>
            </w:r>
          </w:p>
        </w:tc>
        <w:tc>
          <w:tcPr>
            <w:tcW w:w="28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w:t>
            </w:r>
          </w:p>
        </w:tc>
        <w:tc>
          <w:tcPr>
            <w:tcW w:w="280" w:type="dxa"/>
            <w:vAlign w:val="bottom"/>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share, diluted</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Earnings per ADS, 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3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7"/>
              </w:rPr>
              <w:t>Weighted average number of ordinary shares outstanding, basic</w:t>
            </w:r>
          </w:p>
        </w:tc>
        <w:tc>
          <w:tcPr>
            <w:tcW w:w="1360" w:type="dxa"/>
            <w:vAlign w:val="bottom"/>
          </w:tcPr>
          <w:p>
            <w:pPr>
              <w:jc w:val="right"/>
              <w:spacing w:after="0"/>
              <w:rPr>
                <w:sz w:val="20"/>
                <w:szCs w:val="20"/>
                <w:color w:val="auto"/>
              </w:rPr>
            </w:pPr>
            <w:r>
              <w:rPr>
                <w:rFonts w:ascii="Arial" w:cs="Arial" w:eastAsia="Arial" w:hAnsi="Arial"/>
                <w:sz w:val="18"/>
                <w:szCs w:val="18"/>
                <w:color w:val="auto"/>
              </w:rPr>
              <w:t>3,239,858</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3,251,764</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3,255,764</w:t>
            </w:r>
          </w:p>
        </w:tc>
        <w:tc>
          <w:tcPr>
            <w:tcW w:w="28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3,255,764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basic</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129,594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130,071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130,231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130,231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ordinary shares outstanding,</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3,259,490</w:t>
            </w:r>
          </w:p>
        </w:tc>
        <w:tc>
          <w:tcPr>
            <w:tcW w:w="3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3,265,856</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3,273,909</w:t>
            </w:r>
          </w:p>
        </w:tc>
        <w:tc>
          <w:tcPr>
            <w:tcW w:w="280" w:type="dxa"/>
            <w:vAlign w:val="bottom"/>
          </w:tcPr>
          <w:p>
            <w:pPr>
              <w:spacing w:after="0"/>
              <w:rPr>
                <w:sz w:val="13"/>
                <w:szCs w:val="13"/>
                <w:color w:val="auto"/>
              </w:rPr>
            </w:pP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3,273,909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diluted</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130,380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130,634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130,956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w w:val="94"/>
              </w:rPr>
              <w:t>The accompanying notes are an integral part of this press release.</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514"/>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010101"/>
            </w:tcBorders>
            <w:gridSpan w:val="2"/>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NETEASE.COM, INC.</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9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33"/>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449,129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720,662</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734,573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profit to net cash provided by</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-1812290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-1812290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58,839</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57,526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65,706</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38,238</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Allowance for (reversal of) provision for doubtful debts</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(9,361)</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property,equipment and software</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10,538</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Unrealized exchange losses/(gains)</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50,301</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33,960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(31,077)</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(8,401)</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Net equity share of losses (gains) from associated companies</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48,843</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(75,353)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75,613</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110,172</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26,335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54,987</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8,397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(104,933)</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(18,560)</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Salary and welfare payables</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(40,940)</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88,448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(64,934)</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(20,875)</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(30,719)</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73,145</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7,297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91,107</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13,913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33,730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63,976</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676,530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901,510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969,315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148,025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equipment and software</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(60,135)</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(141,157)</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w w:val="97"/>
              </w:rPr>
              <w:t>Proceeds from sale of property, equipment and software</w:t>
            </w:r>
          </w:p>
        </w:tc>
        <w:tc>
          <w:tcPr>
            <w:tcW w:w="240" w:type="dxa"/>
            <w:vAlign w:val="bottom"/>
          </w:tcPr>
          <w:p>
            <w:pPr>
              <w:spacing w:after="0"/>
              <w:rPr>
                <w:sz w:val="18"/>
                <w:szCs w:val="18"/>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 from/(to) restricted cash</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91,864</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(108,600)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w w:val="99"/>
              </w:rPr>
              <w:t>Net change in time deposits with terms of three months</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(76,782)</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487,580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231,682</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35,380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Placement/rollover of matured time deposits</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(2,771,650)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(4,390,645)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(2,863,899)</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(437,350)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Uplift of matured time deposits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2,540,391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2,799,112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2,157,008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329,400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other assets</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(5,844)</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(278,289)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(1,277,377)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(622,209)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(95,018)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 from non-controlling interests</w:t>
            </w: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Proceeds from employees exercising stock options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30,252</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other long-term payable</w:t>
            </w: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30,242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rPr>
              <w:t>Effect of exchange rate changes on cash held in foreign</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currencies</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(3,123)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7,112</w:t>
            </w:r>
          </w:p>
        </w:tc>
        <w:tc>
          <w:tcPr>
            <w:tcW w:w="160" w:type="dxa"/>
            <w:vAlign w:val="bottom"/>
          </w:tcPr>
          <w:p>
            <w:pPr>
              <w:spacing w:after="0"/>
              <w:rPr>
                <w:sz w:val="20"/>
                <w:szCs w:val="20"/>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increase in cash</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(378,973)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384,460</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beginning of the period</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1,041,290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1,664,110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1,285,137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196,255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1,443,105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1,285,137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1,669,597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Cash paid for income tax, net of tax refund</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62,264</w:t>
            </w:r>
          </w:p>
        </w:tc>
        <w:tc>
          <w:tcPr>
            <w:tcW w:w="18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31,177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91,682</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Fixed asset purchases financed by accounts payable and</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39,625</w:t>
            </w:r>
          </w:p>
        </w:tc>
        <w:tc>
          <w:tcPr>
            <w:tcW w:w="1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146,523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64,347</w:t>
            </w:r>
          </w:p>
        </w:tc>
        <w:tc>
          <w:tcPr>
            <w:tcW w:w="1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color w:val="auto"/>
                <w:w w:val="89"/>
              </w:rPr>
              <w:t>The accompanying notes are an integral part of this press release.</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gridSpan w:val="2"/>
          </w:tcPr>
          <w:p>
            <w:pPr>
              <w:jc w:val="right"/>
              <w:ind w:right="355"/>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NETEASE.COM, INC.</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UNAUDITED SEGMENT INFORMATION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8"/>
              </w:rPr>
              <w:t>Quarter Ended</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4"/>
          </w:tcPr>
          <w:p>
            <w:pPr>
              <w:jc w:val="center"/>
              <w:ind w:right="700"/>
              <w:spacing w:after="0" w:line="119" w:lineRule="exact"/>
              <w:rPr>
                <w:sz w:val="20"/>
                <w:szCs w:val="20"/>
                <w:color w:val="auto"/>
              </w:rPr>
            </w:pPr>
            <w:r>
              <w:rPr>
                <w:rFonts w:ascii="Arial" w:cs="Arial" w:eastAsia="Arial" w:hAnsi="Arial"/>
                <w:sz w:val="13"/>
                <w:szCs w:val="13"/>
                <w:b w:val="1"/>
                <w:bCs w:val="1"/>
                <w:color w:val="auto"/>
              </w:rPr>
              <w:t>March 31,</w:t>
            </w:r>
          </w:p>
        </w:tc>
        <w:tc>
          <w:tcPr>
            <w:tcW w:w="1800" w:type="dxa"/>
            <w:vAlign w:val="bottom"/>
            <w:gridSpan w:val="5"/>
          </w:tcPr>
          <w:p>
            <w:pPr>
              <w:jc w:val="center"/>
              <w:ind w:right="8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8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March 31,</w:t>
            </w:r>
          </w:p>
        </w:tc>
        <w:tc>
          <w:tcPr>
            <w:tcW w:w="1200" w:type="dxa"/>
            <w:vAlign w:val="bottom"/>
          </w:tcPr>
          <w:p>
            <w:pPr>
              <w:jc w:val="center"/>
              <w:ind w:right="91"/>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92"/>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c>
          <w:tcPr>
            <w:tcW w:w="1020" w:type="dxa"/>
            <w:vAlign w:val="bottom"/>
          </w:tcPr>
          <w:p>
            <w:pPr>
              <w:jc w:val="center"/>
              <w:ind w:right="231"/>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91"/>
              <w:spacing w:after="0" w:line="119" w:lineRule="exact"/>
              <w:rPr>
                <w:sz w:val="20"/>
                <w:szCs w:val="20"/>
                <w:color w:val="auto"/>
              </w:rPr>
            </w:pPr>
            <w:r>
              <w:rPr>
                <w:rFonts w:ascii="Arial" w:cs="Arial" w:eastAsia="Arial" w:hAnsi="Arial"/>
                <w:sz w:val="13"/>
                <w:szCs w:val="13"/>
                <w:b w:val="1"/>
                <w:bCs w:val="1"/>
                <w:color w:val="auto"/>
              </w:rPr>
              <w:t>USD (Note 1)</w:t>
            </w:r>
          </w:p>
        </w:tc>
        <w:tc>
          <w:tcPr>
            <w:tcW w:w="2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(Revised, Note 3)</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1,085,322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1,422,408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1,385,643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211,603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91,548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19,368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18,060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1,194,930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1,679,410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taxes: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(21,108)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business taxes</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-2968625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-2968625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1440" w:type="dxa"/>
            <w:vAlign w:val="bottom"/>
          </w:tcPr>
          <w:p>
            <w:pPr>
              <w:jc w:val="right"/>
              <w:spacing w:after="0"/>
              <w:rPr>
                <w:sz w:val="20"/>
                <w:szCs w:val="20"/>
                <w:color w:val="auto"/>
              </w:rPr>
            </w:pPr>
            <w:r>
              <w:rPr>
                <w:rFonts w:ascii="Arial" w:cs="Arial" w:eastAsia="Arial" w:hAnsi="Arial"/>
                <w:sz w:val="18"/>
                <w:szCs w:val="18"/>
                <w:color w:val="auto"/>
              </w:rPr>
              <w:t>1,064,214</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1,399,636</w:t>
            </w:r>
          </w:p>
        </w:tc>
        <w:tc>
          <w:tcPr>
            <w:tcW w:w="2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1,360,251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211,372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114,630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17,705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22,731</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25,070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1,164,488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1,633,739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1,499,951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229,059</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(299,337)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(394,764)</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(408,201)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(68,637)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(98,354)</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(76,316)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(24,066)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(27,207)</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(30,473)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(520,325)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(514,990)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764,877</w:t>
            </w:r>
          </w:p>
        </w:tc>
        <w:tc>
          <w:tcPr>
            <w:tcW w:w="1360" w:type="dxa"/>
            <w:vAlign w:val="bottom"/>
          </w:tcPr>
          <w:p>
            <w:pPr>
              <w:jc w:val="right"/>
              <w:spacing w:after="0"/>
              <w:rPr>
                <w:sz w:val="20"/>
                <w:szCs w:val="20"/>
                <w:color w:val="auto"/>
              </w:rPr>
            </w:pPr>
            <w:r>
              <w:rPr>
                <w:rFonts w:ascii="Arial" w:cs="Arial" w:eastAsia="Arial" w:hAnsi="Arial"/>
                <w:sz w:val="18"/>
                <w:szCs w:val="18"/>
                <w:color w:val="auto"/>
              </w:rPr>
              <w:t>1,004,872</w:t>
            </w:r>
          </w:p>
        </w:tc>
        <w:tc>
          <w:tcPr>
            <w:tcW w:w="2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952,050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113,018</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(6,361)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(4,476)</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(5,403)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 margin: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Online game services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FINANCIAL INFORMATION</w:t>
      </w:r>
    </w:p>
    <w:p>
      <w:pPr>
        <w:spacing w:after="0" w:line="229" w:lineRule="exact"/>
        <w:rPr>
          <w:sz w:val="20"/>
          <w:szCs w:val="20"/>
          <w:color w:val="auto"/>
        </w:rPr>
      </w:pPr>
    </w:p>
    <w:p>
      <w:pPr>
        <w:ind w:left="620" w:right="380" w:hanging="608"/>
        <w:spacing w:after="0" w:line="277" w:lineRule="auto"/>
        <w:rPr>
          <w:sz w:val="20"/>
          <w:szCs w:val="20"/>
          <w:color w:val="auto"/>
        </w:rPr>
      </w:pPr>
      <w:r>
        <w:rPr>
          <w:rFonts w:ascii="Arial" w:cs="Arial" w:eastAsia="Arial" w:hAnsi="Arial"/>
          <w:sz w:val="18"/>
          <w:szCs w:val="18"/>
          <w:color w:val="auto"/>
        </w:rPr>
        <w:t>Note 1: The conversion of Renminbi (RMB) into United States dollars (USD) is based on the noon buying rate of USD1.00 = RMB6.5483 on March 31, 2011 as set forth in the H.10 statistical release of the U.S. Federal Reserve Board.</w:t>
      </w:r>
    </w:p>
    <w:p>
      <w:pPr>
        <w:spacing w:after="0" w:line="170" w:lineRule="exact"/>
        <w:rPr>
          <w:sz w:val="20"/>
          <w:szCs w:val="20"/>
          <w:color w:val="auto"/>
        </w:rPr>
      </w:pPr>
    </w:p>
    <w:p>
      <w:pPr>
        <w:ind w:left="620" w:right="600" w:hanging="608"/>
        <w:spacing w:after="0" w:line="277" w:lineRule="auto"/>
        <w:rPr>
          <w:sz w:val="20"/>
          <w:szCs w:val="20"/>
          <w:color w:val="auto"/>
        </w:rPr>
      </w:pPr>
      <w:r>
        <w:rPr>
          <w:rFonts w:ascii="Arial" w:cs="Arial" w:eastAsia="Arial" w:hAnsi="Arial"/>
          <w:sz w:val="18"/>
          <w:szCs w:val="18"/>
          <w:color w:val="auto"/>
        </w:rPr>
        <w:t>Note 2: Share-based compensation cost reported in the Company’s unaudited condensed consolidated statements of operations is set out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9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ind w:right="238"/>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included in: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1,670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8,081</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13,602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 Selling and marketing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1,869</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3,255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General and administrative expenses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 Research and development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6,643</w:t>
            </w: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10,144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bl>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Note 3: In the fourth quarter of 2010, management of the Company decided to allocate facility costs comprising of office and staff quarter rentals and management fees, building amortization and miscellaneous utility costs previously recorded under general and administration to the respective functions based on headcount under cost of revenue, selling and marketing, research and development and general and administration. The change was implemented to better reflect staff-related operating cost. Reclassifications have been made to cost of revenue and operating expense amounts in the condensed consolidated statements of operations and segment information for the relevant prior period in order to conform to the current period’s presentation. There is no change to the condensed consolidated balance sheets and the condensed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2019-12-10T20:27:52Z</dcterms:created>
  <dcterms:modified xsi:type="dcterms:W3CDTF">2019-12-10T20:27:52Z</dcterms:modified>
</cp:coreProperties>
</file>