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165100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43"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(Rule 13d-102)</w:t>
      </w:r>
    </w:p>
    <w:p>
      <w:pPr>
        <w:spacing w:after="0" w:line="138" w:lineRule="exact"/>
        <w:rPr>
          <w:sz w:val="24"/>
          <w:szCs w:val="24"/>
          <w:color w:val="auto"/>
        </w:rPr>
      </w:pPr>
    </w:p>
    <w:p>
      <w:pPr>
        <w:ind w:left="2780"/>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RULES 13d-1(b), (c) AND (d) AND AMENDMENTS THERETO FILED PURSUANT TO RULE 13d-2(b)</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170180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Netease.com,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Issuer)</w:t>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Ordinary Shares, par value $.0001 per share</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64110W102000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July 6, 2000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1680" w:hanging="339"/>
        <w:spacing w:after="0"/>
        <w:tabs>
          <w:tab w:leader="none" w:pos="1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7" w:lineRule="exact"/>
        <w:rPr>
          <w:rFonts w:ascii="MS PGothic" w:cs="MS PGothic" w:eastAsia="MS PGothic" w:hAnsi="MS PGothic"/>
          <w:sz w:val="18"/>
          <w:szCs w:val="18"/>
          <w:color w:val="auto"/>
        </w:rPr>
      </w:pPr>
    </w:p>
    <w:p>
      <w:pPr>
        <w:ind w:left="1680" w:hanging="339"/>
        <w:spacing w:after="0"/>
        <w:tabs>
          <w:tab w:leader="none" w:pos="1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8" w:lineRule="exact"/>
        <w:rPr>
          <w:sz w:val="24"/>
          <w:szCs w:val="24"/>
          <w:color w:val="auto"/>
        </w:rPr>
      </w:pPr>
    </w:p>
    <w:p>
      <w:pPr>
        <w:ind w:left="1720" w:hanging="379"/>
        <w:spacing w:after="0"/>
        <w:tabs>
          <w:tab w:leader="none" w:pos="17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7" w:lineRule="exact"/>
        <w:rPr>
          <w:rFonts w:ascii="MS PGothic" w:cs="MS PGothic" w:eastAsia="MS PGothic" w:hAnsi="MS PGothic"/>
          <w:sz w:val="18"/>
          <w:szCs w:val="18"/>
          <w:color w:val="auto"/>
        </w:rPr>
      </w:pPr>
    </w:p>
    <w:p>
      <w:pPr>
        <w:ind w:firstLine="45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firstLine="456"/>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1" w:name="page2"/>
    <w:bookmarkEnd w:id="1"/>
    <w:p>
      <w:pPr>
        <w:ind w:left="860" w:right="3519" w:hanging="413"/>
        <w:spacing w:after="0" w:line="447"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t xml:space="preserve">Name of Reporting Persons/S.S. or I.R.S. Identification Nos. of Above Persons </w:t>
      </w:r>
      <w:r>
        <w:rPr>
          <w:rFonts w:ascii="Arial" w:cs="Arial" w:eastAsia="Arial" w:hAnsi="Arial"/>
          <w:sz w:val="18"/>
          <w:szCs w:val="18"/>
          <w:color w:val="auto"/>
        </w:rPr>
        <w:t>Best Alliance Profits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p>
      <w:pPr>
        <w:ind w:left="440"/>
        <w:spacing w:after="0" w:line="207" w:lineRule="exact"/>
        <w:tabs>
          <w:tab w:leader="none" w:pos="840" w:val="left"/>
          <w:tab w:leader="none" w:pos="4960" w:val="left"/>
          <w:tab w:leader="none" w:pos="538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b w:val="1"/>
          <w:bCs w:val="1"/>
          <w:color w:val="auto"/>
        </w:rPr>
        <w:t>Check the Appropriate Box if a Member of a Group</w:t>
      </w:r>
      <w:r>
        <w:rPr>
          <w:sz w:val="20"/>
          <w:szCs w:val="20"/>
          <w:color w:val="auto"/>
        </w:rPr>
        <w:tab/>
      </w:r>
      <w:r>
        <w:rPr>
          <w:rFonts w:ascii="Arial" w:cs="Arial" w:eastAsia="Arial" w:hAnsi="Arial"/>
          <w:sz w:val="18"/>
          <w:szCs w:val="18"/>
          <w:color w:val="auto"/>
        </w:rPr>
        <w:t>(a)</w:t>
      </w:r>
      <w:r>
        <w:rPr>
          <w:sz w:val="20"/>
          <w:szCs w:val="20"/>
          <w:color w:val="auto"/>
        </w:rPr>
        <w:tab/>
      </w:r>
      <w:r>
        <w:rPr>
          <w:rFonts w:ascii="MS PGothic" w:cs="MS PGothic" w:eastAsia="MS PGothic" w:hAnsi="MS PGothic"/>
          <w:sz w:val="14"/>
          <w:szCs w:val="14"/>
          <w:color w:val="auto"/>
        </w:rPr>
        <w:t>☐</w:t>
      </w:r>
    </w:p>
    <w:p>
      <w:pPr>
        <w:spacing w:after="0" w:line="158" w:lineRule="exact"/>
        <w:rPr>
          <w:sz w:val="20"/>
          <w:szCs w:val="20"/>
          <w:color w:val="auto"/>
        </w:rPr>
      </w:pPr>
    </w:p>
    <w:p>
      <w:pPr>
        <w:ind w:left="1800" w:hanging="414"/>
        <w:spacing w:after="0" w:line="207" w:lineRule="exact"/>
        <w:tabs>
          <w:tab w:leader="none" w:pos="180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860" w:hanging="413"/>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60" w:right="6639" w:hanging="413"/>
        <w:spacing w:after="0" w:line="339" w:lineRule="auto"/>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Citizenship or Place of Organization </w:t>
      </w:r>
      <w:r>
        <w:rPr>
          <w:rFonts w:ascii="Arial" w:cs="Arial" w:eastAsia="Arial" w:hAnsi="Arial"/>
          <w:sz w:val="16"/>
          <w:szCs w:val="16"/>
          <w:color w:val="auto"/>
        </w:rPr>
        <w:t>British Virgin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12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tbl>
      <w:tblPr>
        <w:tblLayout w:type="fixed"/>
        <w:tblInd w:w="780" w:type="dxa"/>
        <w:tblCellMar>
          <w:top w:w="0" w:type="dxa"/>
          <w:left w:w="0" w:type="dxa"/>
          <w:bottom w:w="0" w:type="dxa"/>
          <w:right w:w="0" w:type="dxa"/>
        </w:tblCellMar>
      </w:tblPr>
      <w:tr>
        <w:trPr>
          <w:trHeight w:val="222"/>
        </w:trPr>
        <w:tc>
          <w:tcPr>
            <w:tcW w:w="1380" w:type="dxa"/>
            <w:vAlign w:val="bottom"/>
          </w:tcPr>
          <w:p>
            <w:pPr>
              <w:jc w:val="center"/>
              <w:ind w:right="532"/>
              <w:spacing w:after="0"/>
              <w:rPr>
                <w:sz w:val="20"/>
                <w:szCs w:val="20"/>
                <w:color w:val="auto"/>
              </w:rPr>
            </w:pPr>
            <w:r>
              <w:rPr>
                <w:rFonts w:ascii="Arial" w:cs="Arial" w:eastAsia="Arial" w:hAnsi="Arial"/>
                <w:sz w:val="18"/>
                <w:szCs w:val="18"/>
                <w:color w:val="auto"/>
                <w:w w:val="90"/>
              </w:rPr>
              <w:t>Number of</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1540" w:type="dxa"/>
            <w:vAlign w:val="bottom"/>
          </w:tcPr>
          <w:p>
            <w:pPr>
              <w:ind w:left="180"/>
              <w:spacing w:after="0"/>
              <w:rPr>
                <w:sz w:val="20"/>
                <w:szCs w:val="20"/>
                <w:color w:val="auto"/>
              </w:rPr>
            </w:pPr>
            <w:r>
              <w:rPr>
                <w:rFonts w:ascii="Arial" w:cs="Arial" w:eastAsia="Arial" w:hAnsi="Arial"/>
                <w:sz w:val="18"/>
                <w:szCs w:val="18"/>
                <w:b w:val="1"/>
                <w:bCs w:val="1"/>
                <w:color w:val="auto"/>
                <w:w w:val="84"/>
              </w:rPr>
              <w:t>Sole Voting Power</w:t>
            </w:r>
          </w:p>
        </w:tc>
      </w:tr>
      <w:tr>
        <w:trPr>
          <w:trHeight w:val="222"/>
        </w:trPr>
        <w:tc>
          <w:tcPr>
            <w:tcW w:w="1380" w:type="dxa"/>
            <w:vAlign w:val="bottom"/>
          </w:tcPr>
          <w:p>
            <w:pPr>
              <w:jc w:val="center"/>
              <w:ind w:right="532"/>
              <w:spacing w:after="0"/>
              <w:rPr>
                <w:sz w:val="20"/>
                <w:szCs w:val="20"/>
                <w:color w:val="auto"/>
              </w:rPr>
            </w:pPr>
            <w:r>
              <w:rPr>
                <w:rFonts w:ascii="Arial" w:cs="Arial" w:eastAsia="Arial" w:hAnsi="Arial"/>
                <w:sz w:val="18"/>
                <w:szCs w:val="18"/>
                <w:color w:val="auto"/>
                <w:w w:val="84"/>
              </w:rPr>
              <w:t>Shares</w:t>
            </w:r>
          </w:p>
        </w:tc>
        <w:tc>
          <w:tcPr>
            <w:tcW w:w="860" w:type="dxa"/>
            <w:vAlign w:val="bottom"/>
          </w:tcPr>
          <w:p>
            <w:pPr>
              <w:spacing w:after="0"/>
              <w:rPr>
                <w:sz w:val="19"/>
                <w:szCs w:val="19"/>
                <w:color w:val="auto"/>
              </w:rPr>
            </w:pPr>
          </w:p>
        </w:tc>
        <w:tc>
          <w:tcPr>
            <w:tcW w:w="1540" w:type="dxa"/>
            <w:vAlign w:val="bottom"/>
          </w:tcPr>
          <w:p>
            <w:pPr>
              <w:ind w:left="180"/>
              <w:spacing w:after="0"/>
              <w:rPr>
                <w:sz w:val="20"/>
                <w:szCs w:val="20"/>
                <w:color w:val="auto"/>
              </w:rPr>
            </w:pPr>
            <w:r>
              <w:rPr>
                <w:rFonts w:ascii="Arial" w:cs="Arial" w:eastAsia="Arial" w:hAnsi="Arial"/>
                <w:sz w:val="18"/>
                <w:szCs w:val="18"/>
                <w:color w:val="auto"/>
              </w:rPr>
              <w:t>256,055,600</w:t>
            </w:r>
          </w:p>
        </w:tc>
      </w:tr>
    </w:tbl>
    <w:p>
      <w:pPr>
        <w:jc w:val="center"/>
        <w:ind w:right="7919"/>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right="7919"/>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right="7919"/>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right="7919"/>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right="7919"/>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780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3200" w:right="5439" w:hanging="430"/>
        <w:spacing w:after="0" w:line="275" w:lineRule="auto"/>
        <w:tabs>
          <w:tab w:leader="none" w:pos="32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12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75" w:lineRule="exact"/>
        <w:rPr>
          <w:sz w:val="20"/>
          <w:szCs w:val="20"/>
          <w:color w:val="auto"/>
        </w:rPr>
      </w:pPr>
    </w:p>
    <w:p>
      <w:pPr>
        <w:ind w:left="3200" w:right="5319" w:hanging="430"/>
        <w:spacing w:after="0" w:line="275" w:lineRule="auto"/>
        <w:tabs>
          <w:tab w:leader="none" w:pos="32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256,055,600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12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3200" w:right="5099" w:hanging="430"/>
        <w:spacing w:after="0" w:line="275" w:lineRule="auto"/>
        <w:tabs>
          <w:tab w:leader="none" w:pos="32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860" w:right="4419" w:hanging="413"/>
        <w:spacing w:after="0" w:line="275"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256,055,600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ind w:left="360"/>
        <w:spacing w:after="0" w:line="207" w:lineRule="exact"/>
        <w:tabs>
          <w:tab w:leader="none" w:pos="840" w:val="left"/>
          <w:tab w:leader="none" w:pos="95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w:t>
      </w:r>
      <w:r>
        <w:rPr>
          <w:sz w:val="20"/>
          <w:szCs w:val="20"/>
          <w:color w:val="auto"/>
        </w:rPr>
        <w:tab/>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860" w:right="5579" w:hanging="494"/>
        <w:spacing w:after="0" w:line="297"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8.3%</w:t>
      </w:r>
      <w:r>
        <w:rPr>
          <w:rFonts w:ascii="Arial" w:cs="Arial" w:eastAsia="Arial" w:hAnsi="Arial"/>
          <w:sz w:val="22"/>
          <w:szCs w:val="22"/>
          <w:color w:val="auto"/>
          <w:vertAlign w:val="superscript"/>
        </w:rPr>
        <w:t>1</w:t>
      </w:r>
    </w:p>
    <w:p>
      <w:pPr>
        <w:spacing w:after="0" w:line="349" w:lineRule="exact"/>
        <w:rPr>
          <w:rFonts w:ascii="Arial" w:cs="Arial" w:eastAsia="Arial" w:hAnsi="Arial"/>
          <w:sz w:val="18"/>
          <w:szCs w:val="18"/>
          <w:color w:val="auto"/>
        </w:rPr>
      </w:pPr>
    </w:p>
    <w:p>
      <w:pPr>
        <w:ind w:left="860" w:hanging="501"/>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Type of Reporting Person</w:t>
      </w:r>
    </w:p>
    <w:p>
      <w:pPr>
        <w:spacing w:after="0" w:line="21"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1780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315595</wp:posOffset>
            </wp:positionV>
            <wp:extent cx="6000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As of September 30, 2002.</w:t>
      </w:r>
    </w:p>
    <w:p>
      <w:pPr>
        <w:spacing w:after="0" w:line="21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219"/>
          </w:cols>
          <w:pgMar w:left="240" w:top="652" w:right="1440" w:bottom="1440" w:gutter="0" w:footer="0" w:header="0"/>
        </w:sectPr>
      </w:pPr>
    </w:p>
    <w:bookmarkStart w:id="2" w:name="page3"/>
    <w:bookmarkEnd w:id="2"/>
    <w:p>
      <w:pPr>
        <w:ind w:left="501" w:right="3519" w:hanging="413"/>
        <w:spacing w:after="0" w:line="447" w:lineRule="auto"/>
        <w:tabs>
          <w:tab w:leader="none" w:pos="501"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t xml:space="preserve">Name of Reporting Persons/S.S. or I.R.S. Identification Nos. of Above Persons </w:t>
      </w:r>
      <w:r>
        <w:rPr>
          <w:rFonts w:ascii="Arial" w:cs="Arial" w:eastAsia="Arial" w:hAnsi="Arial"/>
          <w:sz w:val="18"/>
          <w:szCs w:val="18"/>
          <w:color w:val="auto"/>
        </w:rPr>
        <w:t>Newscorp Cayman International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51435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p>
      <w:pPr>
        <w:ind w:left="81"/>
        <w:spacing w:after="0" w:line="207" w:lineRule="exact"/>
        <w:tabs>
          <w:tab w:leader="none" w:pos="480" w:val="left"/>
          <w:tab w:leader="none" w:pos="4600" w:val="left"/>
          <w:tab w:leader="none" w:pos="502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b w:val="1"/>
          <w:bCs w:val="1"/>
          <w:color w:val="auto"/>
        </w:rPr>
        <w:t>Check the Appropriate Box if a Member of a Group</w:t>
      </w:r>
      <w:r>
        <w:rPr>
          <w:sz w:val="20"/>
          <w:szCs w:val="20"/>
          <w:color w:val="auto"/>
        </w:rPr>
        <w:tab/>
      </w:r>
      <w:r>
        <w:rPr>
          <w:rFonts w:ascii="Arial" w:cs="Arial" w:eastAsia="Arial" w:hAnsi="Arial"/>
          <w:sz w:val="18"/>
          <w:szCs w:val="18"/>
          <w:color w:val="auto"/>
        </w:rPr>
        <w:t>(a)</w:t>
      </w:r>
      <w:r>
        <w:rPr>
          <w:sz w:val="20"/>
          <w:szCs w:val="20"/>
          <w:color w:val="auto"/>
        </w:rPr>
        <w:tab/>
      </w:r>
      <w:r>
        <w:rPr>
          <w:rFonts w:ascii="MS PGothic" w:cs="MS PGothic" w:eastAsia="MS PGothic" w:hAnsi="MS PGothic"/>
          <w:sz w:val="14"/>
          <w:szCs w:val="14"/>
          <w:color w:val="auto"/>
        </w:rPr>
        <w:t>☐</w:t>
      </w:r>
    </w:p>
    <w:p>
      <w:pPr>
        <w:spacing w:after="0" w:line="158" w:lineRule="exact"/>
        <w:rPr>
          <w:sz w:val="20"/>
          <w:szCs w:val="20"/>
          <w:color w:val="auto"/>
        </w:rPr>
      </w:pPr>
    </w:p>
    <w:p>
      <w:pPr>
        <w:ind w:left="1441" w:hanging="414"/>
        <w:spacing w:after="0" w:line="207" w:lineRule="exact"/>
        <w:tabs>
          <w:tab w:leader="none" w:pos="1441"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194945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501" w:hanging="413"/>
        <w:spacing w:after="0"/>
        <w:tabs>
          <w:tab w:leader="none" w:pos="501"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177800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01" w:right="6639" w:hanging="413"/>
        <w:spacing w:after="0" w:line="339" w:lineRule="auto"/>
        <w:tabs>
          <w:tab w:leader="none" w:pos="501"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Citizenship or Place of Organization </w:t>
      </w:r>
      <w:r>
        <w:rPr>
          <w:rFonts w:ascii="Arial" w:cs="Arial" w:eastAsia="Arial" w:hAnsi="Arial"/>
          <w:sz w:val="16"/>
          <w:szCs w:val="16"/>
          <w:color w:val="auto"/>
        </w:rPr>
        <w:t>British Virgin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210820</wp:posOffset>
            </wp:positionV>
            <wp:extent cx="72123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tbl>
      <w:tblPr>
        <w:tblLayout w:type="fixed"/>
        <w:tblInd w:w="421" w:type="dxa"/>
        <w:tblCellMar>
          <w:top w:w="0" w:type="dxa"/>
          <w:left w:w="0" w:type="dxa"/>
          <w:bottom w:w="0" w:type="dxa"/>
          <w:right w:w="0" w:type="dxa"/>
        </w:tblCellMar>
      </w:tblPr>
      <w:tr>
        <w:trPr>
          <w:trHeight w:val="222"/>
        </w:trPr>
        <w:tc>
          <w:tcPr>
            <w:tcW w:w="1380" w:type="dxa"/>
            <w:vAlign w:val="bottom"/>
          </w:tcPr>
          <w:p>
            <w:pPr>
              <w:jc w:val="center"/>
              <w:ind w:right="532"/>
              <w:spacing w:after="0"/>
              <w:rPr>
                <w:sz w:val="20"/>
                <w:szCs w:val="20"/>
                <w:color w:val="auto"/>
              </w:rPr>
            </w:pPr>
            <w:r>
              <w:rPr>
                <w:rFonts w:ascii="Arial" w:cs="Arial" w:eastAsia="Arial" w:hAnsi="Arial"/>
                <w:sz w:val="18"/>
                <w:szCs w:val="18"/>
                <w:color w:val="auto"/>
                <w:w w:val="90"/>
              </w:rPr>
              <w:t>Number of</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1540" w:type="dxa"/>
            <w:vAlign w:val="bottom"/>
          </w:tcPr>
          <w:p>
            <w:pPr>
              <w:ind w:left="180"/>
              <w:spacing w:after="0"/>
              <w:rPr>
                <w:sz w:val="20"/>
                <w:szCs w:val="20"/>
                <w:color w:val="auto"/>
              </w:rPr>
            </w:pPr>
            <w:r>
              <w:rPr>
                <w:rFonts w:ascii="Arial" w:cs="Arial" w:eastAsia="Arial" w:hAnsi="Arial"/>
                <w:sz w:val="18"/>
                <w:szCs w:val="18"/>
                <w:b w:val="1"/>
                <w:bCs w:val="1"/>
                <w:color w:val="auto"/>
                <w:w w:val="84"/>
              </w:rPr>
              <w:t>Sole Voting Power</w:t>
            </w:r>
          </w:p>
        </w:tc>
      </w:tr>
      <w:tr>
        <w:trPr>
          <w:trHeight w:val="222"/>
        </w:trPr>
        <w:tc>
          <w:tcPr>
            <w:tcW w:w="1380" w:type="dxa"/>
            <w:vAlign w:val="bottom"/>
          </w:tcPr>
          <w:p>
            <w:pPr>
              <w:jc w:val="center"/>
              <w:ind w:right="532"/>
              <w:spacing w:after="0"/>
              <w:rPr>
                <w:sz w:val="20"/>
                <w:szCs w:val="20"/>
                <w:color w:val="auto"/>
              </w:rPr>
            </w:pPr>
            <w:r>
              <w:rPr>
                <w:rFonts w:ascii="Arial" w:cs="Arial" w:eastAsia="Arial" w:hAnsi="Arial"/>
                <w:sz w:val="18"/>
                <w:szCs w:val="18"/>
                <w:color w:val="auto"/>
                <w:w w:val="84"/>
              </w:rPr>
              <w:t>Shares</w:t>
            </w:r>
          </w:p>
        </w:tc>
        <w:tc>
          <w:tcPr>
            <w:tcW w:w="860" w:type="dxa"/>
            <w:vAlign w:val="bottom"/>
          </w:tcPr>
          <w:p>
            <w:pPr>
              <w:spacing w:after="0"/>
              <w:rPr>
                <w:sz w:val="19"/>
                <w:szCs w:val="19"/>
                <w:color w:val="auto"/>
              </w:rPr>
            </w:pPr>
          </w:p>
        </w:tc>
        <w:tc>
          <w:tcPr>
            <w:tcW w:w="1540" w:type="dxa"/>
            <w:vAlign w:val="bottom"/>
          </w:tcPr>
          <w:p>
            <w:pPr>
              <w:ind w:left="180"/>
              <w:spacing w:after="0"/>
              <w:rPr>
                <w:sz w:val="20"/>
                <w:szCs w:val="20"/>
                <w:color w:val="auto"/>
              </w:rPr>
            </w:pPr>
            <w:r>
              <w:rPr>
                <w:rFonts w:ascii="Arial" w:cs="Arial" w:eastAsia="Arial" w:hAnsi="Arial"/>
                <w:sz w:val="18"/>
                <w:szCs w:val="18"/>
                <w:color w:val="auto"/>
              </w:rPr>
              <w:t>256,055,600</w:t>
            </w:r>
          </w:p>
        </w:tc>
      </w:tr>
    </w:tbl>
    <w:p>
      <w:pPr>
        <w:jc w:val="center"/>
        <w:ind w:right="8258"/>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right="8258"/>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right="8258"/>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right="8258"/>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right="8258"/>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170180</wp:posOffset>
            </wp:positionV>
            <wp:extent cx="71780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841" w:right="5439" w:hanging="430"/>
        <w:spacing w:after="0" w:line="275" w:lineRule="auto"/>
        <w:tabs>
          <w:tab w:leader="none" w:pos="2841"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50800</wp:posOffset>
            </wp:positionV>
            <wp:extent cx="72123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75" w:lineRule="exact"/>
        <w:rPr>
          <w:sz w:val="20"/>
          <w:szCs w:val="20"/>
          <w:color w:val="auto"/>
        </w:rPr>
      </w:pPr>
    </w:p>
    <w:p>
      <w:pPr>
        <w:ind w:left="2841" w:right="5319" w:hanging="430"/>
        <w:spacing w:after="0" w:line="275" w:lineRule="auto"/>
        <w:tabs>
          <w:tab w:leader="none" w:pos="2841"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256,055,600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145415</wp:posOffset>
            </wp:positionV>
            <wp:extent cx="72123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841" w:right="5099" w:hanging="430"/>
        <w:spacing w:after="0" w:line="275" w:lineRule="auto"/>
        <w:tabs>
          <w:tab w:leader="none" w:pos="2841"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145415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501" w:right="4419" w:hanging="413"/>
        <w:spacing w:after="0" w:line="275" w:lineRule="auto"/>
        <w:tabs>
          <w:tab w:leader="none" w:pos="501"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256,055,600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145415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ind w:left="1"/>
        <w:spacing w:after="0" w:line="207" w:lineRule="exact"/>
        <w:tabs>
          <w:tab w:leader="none" w:pos="480" w:val="left"/>
          <w:tab w:leader="none" w:pos="928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237490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501" w:right="5579" w:hanging="494"/>
        <w:spacing w:after="0" w:line="297" w:lineRule="auto"/>
        <w:tabs>
          <w:tab w:leader="none" w:pos="501"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8.3%</w:t>
      </w:r>
      <w:r>
        <w:rPr>
          <w:rFonts w:ascii="Arial" w:cs="Arial" w:eastAsia="Arial" w:hAnsi="Arial"/>
          <w:sz w:val="22"/>
          <w:szCs w:val="22"/>
          <w:color w:val="auto"/>
          <w:vertAlign w:val="superscript"/>
        </w:rPr>
        <w:t>1</w:t>
      </w:r>
    </w:p>
    <w:p>
      <w:pPr>
        <w:spacing w:after="0" w:line="349" w:lineRule="exact"/>
        <w:rPr>
          <w:rFonts w:ascii="Arial" w:cs="Arial" w:eastAsia="Arial" w:hAnsi="Arial"/>
          <w:sz w:val="18"/>
          <w:szCs w:val="18"/>
          <w:color w:val="auto"/>
        </w:rPr>
      </w:pPr>
    </w:p>
    <w:p>
      <w:pPr>
        <w:ind w:left="501" w:hanging="501"/>
        <w:spacing w:after="0"/>
        <w:tabs>
          <w:tab w:leader="none" w:pos="501"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Type of Reporting Person</w:t>
      </w:r>
    </w:p>
    <w:p>
      <w:pPr>
        <w:spacing w:after="0" w:line="21" w:lineRule="exact"/>
        <w:rPr>
          <w:rFonts w:ascii="Arial" w:cs="Arial" w:eastAsia="Arial" w:hAnsi="Arial"/>
          <w:sz w:val="18"/>
          <w:szCs w:val="18"/>
          <w:color w:val="auto"/>
        </w:rPr>
      </w:pPr>
    </w:p>
    <w:p>
      <w:pPr>
        <w:ind w:left="501"/>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-412750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170180</wp:posOffset>
            </wp:positionV>
            <wp:extent cx="71780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5201"/>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9860"/>
          </w:cols>
          <w:pgMar w:left="599" w:top="652" w:right="1440" w:bottom="1440" w:gutter="0" w:footer="0" w:header="0"/>
        </w:sectPr>
      </w:pPr>
    </w:p>
    <w:bookmarkStart w:id="3" w:name="page4"/>
    <w:bookmarkEnd w:id="3"/>
    <w:p>
      <w:pPr>
        <w:ind w:left="501" w:right="3519" w:hanging="413"/>
        <w:spacing w:after="0" w:line="447" w:lineRule="auto"/>
        <w:tabs>
          <w:tab w:leader="none" w:pos="501"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t xml:space="preserve">Name of Reporting Persons/S.S. or I.R.S. Identification Nos. of Above Persons </w:t>
      </w:r>
      <w:r>
        <w:rPr>
          <w:rFonts w:ascii="Arial" w:cs="Arial" w:eastAsia="Arial" w:hAnsi="Arial"/>
          <w:sz w:val="18"/>
          <w:szCs w:val="18"/>
          <w:color w:val="auto"/>
        </w:rPr>
        <w:t>The News Corporation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51435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p>
      <w:pPr>
        <w:ind w:left="81"/>
        <w:spacing w:after="0" w:line="207" w:lineRule="exact"/>
        <w:tabs>
          <w:tab w:leader="none" w:pos="480" w:val="left"/>
          <w:tab w:leader="none" w:pos="4600" w:val="left"/>
          <w:tab w:leader="none" w:pos="502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b w:val="1"/>
          <w:bCs w:val="1"/>
          <w:color w:val="auto"/>
        </w:rPr>
        <w:t>Check the Appropriate Box if a Member of a Group</w:t>
      </w:r>
      <w:r>
        <w:rPr>
          <w:sz w:val="20"/>
          <w:szCs w:val="20"/>
          <w:color w:val="auto"/>
        </w:rPr>
        <w:tab/>
      </w:r>
      <w:r>
        <w:rPr>
          <w:rFonts w:ascii="Arial" w:cs="Arial" w:eastAsia="Arial" w:hAnsi="Arial"/>
          <w:sz w:val="18"/>
          <w:szCs w:val="18"/>
          <w:color w:val="auto"/>
        </w:rPr>
        <w:t>(a)</w:t>
      </w:r>
      <w:r>
        <w:rPr>
          <w:sz w:val="20"/>
          <w:szCs w:val="20"/>
          <w:color w:val="auto"/>
        </w:rPr>
        <w:tab/>
      </w:r>
      <w:r>
        <w:rPr>
          <w:rFonts w:ascii="MS PGothic" w:cs="MS PGothic" w:eastAsia="MS PGothic" w:hAnsi="MS PGothic"/>
          <w:sz w:val="14"/>
          <w:szCs w:val="14"/>
          <w:color w:val="auto"/>
        </w:rPr>
        <w:t>☐</w:t>
      </w:r>
    </w:p>
    <w:p>
      <w:pPr>
        <w:spacing w:after="0" w:line="158" w:lineRule="exact"/>
        <w:rPr>
          <w:sz w:val="20"/>
          <w:szCs w:val="20"/>
          <w:color w:val="auto"/>
        </w:rPr>
      </w:pPr>
    </w:p>
    <w:p>
      <w:pPr>
        <w:ind w:left="1441" w:hanging="414"/>
        <w:spacing w:after="0" w:line="207" w:lineRule="exact"/>
        <w:tabs>
          <w:tab w:leader="none" w:pos="1441" w:val="left"/>
        </w:tabs>
        <w:numPr>
          <w:ilvl w:val="0"/>
          <w:numId w:val="2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194945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501" w:hanging="413"/>
        <w:spacing w:after="0"/>
        <w:tabs>
          <w:tab w:leader="none" w:pos="501"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177800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01" w:right="6639" w:hanging="413"/>
        <w:spacing w:after="0" w:line="378" w:lineRule="auto"/>
        <w:tabs>
          <w:tab w:leader="none" w:pos="501" w:val="left"/>
        </w:tabs>
        <w:numPr>
          <w:ilvl w:val="0"/>
          <w:numId w:val="25"/>
        </w:numPr>
        <w:rPr>
          <w:rFonts w:ascii="Arial" w:cs="Arial" w:eastAsia="Arial" w:hAnsi="Arial"/>
          <w:sz w:val="15"/>
          <w:szCs w:val="15"/>
          <w:color w:val="auto"/>
        </w:rPr>
      </w:pPr>
      <w:r>
        <w:rPr>
          <w:rFonts w:ascii="Arial" w:cs="Arial" w:eastAsia="Arial" w:hAnsi="Arial"/>
          <w:sz w:val="15"/>
          <w:szCs w:val="15"/>
          <w:b w:val="1"/>
          <w:bCs w:val="1"/>
          <w:color w:val="auto"/>
        </w:rPr>
        <w:t xml:space="preserve">Citizenship or Place of Organization </w:t>
      </w:r>
      <w:r>
        <w:rPr>
          <w:rFonts w:ascii="Arial" w:cs="Arial" w:eastAsia="Arial" w:hAnsi="Arial"/>
          <w:sz w:val="15"/>
          <w:szCs w:val="15"/>
          <w:color w:val="auto"/>
        </w:rPr>
        <w:t>South Australia,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195580</wp:posOffset>
            </wp:positionV>
            <wp:extent cx="72123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421" w:type="dxa"/>
        <w:tblCellMar>
          <w:top w:w="0" w:type="dxa"/>
          <w:left w:w="0" w:type="dxa"/>
          <w:bottom w:w="0" w:type="dxa"/>
          <w:right w:w="0" w:type="dxa"/>
        </w:tblCellMar>
      </w:tblPr>
      <w:tr>
        <w:trPr>
          <w:trHeight w:val="222"/>
        </w:trPr>
        <w:tc>
          <w:tcPr>
            <w:tcW w:w="1380" w:type="dxa"/>
            <w:vAlign w:val="bottom"/>
          </w:tcPr>
          <w:p>
            <w:pPr>
              <w:jc w:val="center"/>
              <w:ind w:right="532"/>
              <w:spacing w:after="0"/>
              <w:rPr>
                <w:sz w:val="20"/>
                <w:szCs w:val="20"/>
                <w:color w:val="auto"/>
              </w:rPr>
            </w:pPr>
            <w:r>
              <w:rPr>
                <w:rFonts w:ascii="Arial" w:cs="Arial" w:eastAsia="Arial" w:hAnsi="Arial"/>
                <w:sz w:val="18"/>
                <w:szCs w:val="18"/>
                <w:color w:val="auto"/>
                <w:w w:val="90"/>
              </w:rPr>
              <w:t>Number of</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1540" w:type="dxa"/>
            <w:vAlign w:val="bottom"/>
          </w:tcPr>
          <w:p>
            <w:pPr>
              <w:ind w:left="180"/>
              <w:spacing w:after="0"/>
              <w:rPr>
                <w:sz w:val="20"/>
                <w:szCs w:val="20"/>
                <w:color w:val="auto"/>
              </w:rPr>
            </w:pPr>
            <w:r>
              <w:rPr>
                <w:rFonts w:ascii="Arial" w:cs="Arial" w:eastAsia="Arial" w:hAnsi="Arial"/>
                <w:sz w:val="18"/>
                <w:szCs w:val="18"/>
                <w:b w:val="1"/>
                <w:bCs w:val="1"/>
                <w:color w:val="auto"/>
                <w:w w:val="84"/>
              </w:rPr>
              <w:t>Sole Voting Power</w:t>
            </w:r>
          </w:p>
        </w:tc>
      </w:tr>
      <w:tr>
        <w:trPr>
          <w:trHeight w:val="222"/>
        </w:trPr>
        <w:tc>
          <w:tcPr>
            <w:tcW w:w="1380" w:type="dxa"/>
            <w:vAlign w:val="bottom"/>
          </w:tcPr>
          <w:p>
            <w:pPr>
              <w:jc w:val="center"/>
              <w:ind w:right="532"/>
              <w:spacing w:after="0"/>
              <w:rPr>
                <w:sz w:val="20"/>
                <w:szCs w:val="20"/>
                <w:color w:val="auto"/>
              </w:rPr>
            </w:pPr>
            <w:r>
              <w:rPr>
                <w:rFonts w:ascii="Arial" w:cs="Arial" w:eastAsia="Arial" w:hAnsi="Arial"/>
                <w:sz w:val="18"/>
                <w:szCs w:val="18"/>
                <w:color w:val="auto"/>
                <w:w w:val="84"/>
              </w:rPr>
              <w:t>Shares</w:t>
            </w:r>
          </w:p>
        </w:tc>
        <w:tc>
          <w:tcPr>
            <w:tcW w:w="860" w:type="dxa"/>
            <w:vAlign w:val="bottom"/>
          </w:tcPr>
          <w:p>
            <w:pPr>
              <w:spacing w:after="0"/>
              <w:rPr>
                <w:sz w:val="19"/>
                <w:szCs w:val="19"/>
                <w:color w:val="auto"/>
              </w:rPr>
            </w:pPr>
          </w:p>
        </w:tc>
        <w:tc>
          <w:tcPr>
            <w:tcW w:w="1540" w:type="dxa"/>
            <w:vAlign w:val="bottom"/>
          </w:tcPr>
          <w:p>
            <w:pPr>
              <w:ind w:left="180"/>
              <w:spacing w:after="0"/>
              <w:rPr>
                <w:sz w:val="20"/>
                <w:szCs w:val="20"/>
                <w:color w:val="auto"/>
              </w:rPr>
            </w:pPr>
            <w:r>
              <w:rPr>
                <w:rFonts w:ascii="Arial" w:cs="Arial" w:eastAsia="Arial" w:hAnsi="Arial"/>
                <w:sz w:val="18"/>
                <w:szCs w:val="18"/>
                <w:color w:val="auto"/>
              </w:rPr>
              <w:t>256,055,600</w:t>
            </w:r>
          </w:p>
        </w:tc>
      </w:tr>
    </w:tbl>
    <w:p>
      <w:pPr>
        <w:jc w:val="center"/>
        <w:ind w:right="8258"/>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right="8258"/>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right="8258"/>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right="8258"/>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right="8258"/>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170180</wp:posOffset>
            </wp:positionV>
            <wp:extent cx="71780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841" w:right="5439" w:hanging="430"/>
        <w:spacing w:after="0" w:line="275" w:lineRule="auto"/>
        <w:tabs>
          <w:tab w:leader="none" w:pos="2841"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50800</wp:posOffset>
            </wp:positionV>
            <wp:extent cx="72123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75" w:lineRule="exact"/>
        <w:rPr>
          <w:sz w:val="20"/>
          <w:szCs w:val="20"/>
          <w:color w:val="auto"/>
        </w:rPr>
      </w:pPr>
    </w:p>
    <w:p>
      <w:pPr>
        <w:ind w:left="2841" w:right="5319" w:hanging="430"/>
        <w:spacing w:after="0" w:line="275" w:lineRule="auto"/>
        <w:tabs>
          <w:tab w:leader="none" w:pos="2841"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256,055,600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145415</wp:posOffset>
            </wp:positionV>
            <wp:extent cx="72123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841" w:right="5099" w:hanging="430"/>
        <w:spacing w:after="0" w:line="275" w:lineRule="auto"/>
        <w:tabs>
          <w:tab w:leader="none" w:pos="2841"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145415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501" w:right="4419" w:hanging="413"/>
        <w:spacing w:after="0" w:line="275" w:lineRule="auto"/>
        <w:tabs>
          <w:tab w:leader="none" w:pos="501"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256,055,600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145415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ind w:left="1"/>
        <w:spacing w:after="0" w:line="207" w:lineRule="exact"/>
        <w:tabs>
          <w:tab w:leader="none" w:pos="480" w:val="left"/>
          <w:tab w:leader="none" w:pos="928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237490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501" w:right="5579" w:hanging="494"/>
        <w:spacing w:after="0" w:line="297" w:lineRule="auto"/>
        <w:tabs>
          <w:tab w:leader="none" w:pos="501"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8.3%</w:t>
      </w:r>
      <w:r>
        <w:rPr>
          <w:rFonts w:ascii="Arial" w:cs="Arial" w:eastAsia="Arial" w:hAnsi="Arial"/>
          <w:sz w:val="22"/>
          <w:szCs w:val="22"/>
          <w:color w:val="auto"/>
          <w:vertAlign w:val="superscript"/>
        </w:rPr>
        <w:t>1</w:t>
      </w:r>
    </w:p>
    <w:p>
      <w:pPr>
        <w:spacing w:after="0" w:line="349" w:lineRule="exact"/>
        <w:rPr>
          <w:rFonts w:ascii="Arial" w:cs="Arial" w:eastAsia="Arial" w:hAnsi="Arial"/>
          <w:sz w:val="18"/>
          <w:szCs w:val="18"/>
          <w:color w:val="auto"/>
        </w:rPr>
      </w:pPr>
    </w:p>
    <w:p>
      <w:pPr>
        <w:ind w:left="501" w:hanging="501"/>
        <w:spacing w:after="0"/>
        <w:tabs>
          <w:tab w:leader="none" w:pos="501"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Type of Reporting Person</w:t>
      </w:r>
    </w:p>
    <w:p>
      <w:pPr>
        <w:spacing w:after="0" w:line="21" w:lineRule="exact"/>
        <w:rPr>
          <w:rFonts w:ascii="Arial" w:cs="Arial" w:eastAsia="Arial" w:hAnsi="Arial"/>
          <w:sz w:val="18"/>
          <w:szCs w:val="18"/>
          <w:color w:val="auto"/>
        </w:rPr>
      </w:pPr>
    </w:p>
    <w:p>
      <w:pPr>
        <w:ind w:left="501"/>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-412750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170180</wp:posOffset>
            </wp:positionV>
            <wp:extent cx="71780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5201"/>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9860"/>
          </w:cols>
          <w:pgMar w:left="599" w:top="652" w:right="1440" w:bottom="1440" w:gutter="0" w:footer="0" w:header="0"/>
        </w:sectPr>
      </w:pPr>
    </w:p>
    <w:bookmarkStart w:id="4" w:name="page5"/>
    <w:bookmarkEnd w:id="4"/>
    <w:p>
      <w:pPr>
        <w:ind w:left="501" w:right="3519" w:hanging="413"/>
        <w:spacing w:after="0" w:line="447" w:lineRule="auto"/>
        <w:tabs>
          <w:tab w:leader="none" w:pos="501"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t xml:space="preserve">Name of Reporting Persons/S.S. or I.R.S. Identification Nos. of Above Persons </w:t>
      </w:r>
      <w:r>
        <w:rPr>
          <w:rFonts w:ascii="Arial" w:cs="Arial" w:eastAsia="Arial" w:hAnsi="Arial"/>
          <w:sz w:val="18"/>
          <w:szCs w:val="18"/>
          <w:color w:val="auto"/>
        </w:rPr>
        <w:t>K. Rupert Murdoch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51435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p>
      <w:pPr>
        <w:ind w:left="81"/>
        <w:spacing w:after="0" w:line="207" w:lineRule="exact"/>
        <w:tabs>
          <w:tab w:leader="none" w:pos="480" w:val="left"/>
          <w:tab w:leader="none" w:pos="4600" w:val="left"/>
          <w:tab w:leader="none" w:pos="502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b w:val="1"/>
          <w:bCs w:val="1"/>
          <w:color w:val="auto"/>
        </w:rPr>
        <w:t>Check the Appropriate Box if a Member of a Group</w:t>
      </w:r>
      <w:r>
        <w:rPr>
          <w:sz w:val="20"/>
          <w:szCs w:val="20"/>
          <w:color w:val="auto"/>
        </w:rPr>
        <w:tab/>
      </w:r>
      <w:r>
        <w:rPr>
          <w:rFonts w:ascii="Arial" w:cs="Arial" w:eastAsia="Arial" w:hAnsi="Arial"/>
          <w:sz w:val="18"/>
          <w:szCs w:val="18"/>
          <w:color w:val="auto"/>
        </w:rPr>
        <w:t>(a)</w:t>
      </w:r>
      <w:r>
        <w:rPr>
          <w:sz w:val="20"/>
          <w:szCs w:val="20"/>
          <w:color w:val="auto"/>
        </w:rPr>
        <w:tab/>
      </w:r>
      <w:r>
        <w:rPr>
          <w:rFonts w:ascii="MS PGothic" w:cs="MS PGothic" w:eastAsia="MS PGothic" w:hAnsi="MS PGothic"/>
          <w:sz w:val="14"/>
          <w:szCs w:val="14"/>
          <w:color w:val="auto"/>
        </w:rPr>
        <w:t>☐</w:t>
      </w:r>
    </w:p>
    <w:p>
      <w:pPr>
        <w:spacing w:after="0" w:line="158" w:lineRule="exact"/>
        <w:rPr>
          <w:sz w:val="20"/>
          <w:szCs w:val="20"/>
          <w:color w:val="auto"/>
        </w:rPr>
      </w:pPr>
    </w:p>
    <w:p>
      <w:pPr>
        <w:ind w:left="1441" w:hanging="414"/>
        <w:spacing w:after="0" w:line="207" w:lineRule="exact"/>
        <w:tabs>
          <w:tab w:leader="none" w:pos="1441"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194945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501" w:hanging="413"/>
        <w:spacing w:after="0"/>
        <w:tabs>
          <w:tab w:leader="none" w:pos="501"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177800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01" w:right="6639" w:hanging="413"/>
        <w:spacing w:after="0" w:line="378" w:lineRule="auto"/>
        <w:tabs>
          <w:tab w:leader="none" w:pos="501" w:val="left"/>
        </w:tabs>
        <w:numPr>
          <w:ilvl w:val="0"/>
          <w:numId w:val="34"/>
        </w:numPr>
        <w:rPr>
          <w:rFonts w:ascii="Arial" w:cs="Arial" w:eastAsia="Arial" w:hAnsi="Arial"/>
          <w:sz w:val="15"/>
          <w:szCs w:val="15"/>
          <w:color w:val="auto"/>
        </w:rPr>
      </w:pPr>
      <w:r>
        <w:rPr>
          <w:rFonts w:ascii="Arial" w:cs="Arial" w:eastAsia="Arial" w:hAnsi="Arial"/>
          <w:sz w:val="15"/>
          <w:szCs w:val="15"/>
          <w:b w:val="1"/>
          <w:bCs w:val="1"/>
          <w:color w:val="auto"/>
        </w:rPr>
        <w:t xml:space="preserve">Citizenship or Place of Organization </w:t>
      </w:r>
      <w:r>
        <w:rPr>
          <w:rFonts w:ascii="Arial" w:cs="Arial" w:eastAsia="Arial" w:hAnsi="Arial"/>
          <w:sz w:val="15"/>
          <w:szCs w:val="15"/>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195580</wp:posOffset>
            </wp:positionV>
            <wp:extent cx="72123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421" w:type="dxa"/>
        <w:tblCellMar>
          <w:top w:w="0" w:type="dxa"/>
          <w:left w:w="0" w:type="dxa"/>
          <w:bottom w:w="0" w:type="dxa"/>
          <w:right w:w="0" w:type="dxa"/>
        </w:tblCellMar>
      </w:tblPr>
      <w:tr>
        <w:trPr>
          <w:trHeight w:val="222"/>
        </w:trPr>
        <w:tc>
          <w:tcPr>
            <w:tcW w:w="1380" w:type="dxa"/>
            <w:vAlign w:val="bottom"/>
          </w:tcPr>
          <w:p>
            <w:pPr>
              <w:jc w:val="center"/>
              <w:ind w:right="532"/>
              <w:spacing w:after="0"/>
              <w:rPr>
                <w:sz w:val="20"/>
                <w:szCs w:val="20"/>
                <w:color w:val="auto"/>
              </w:rPr>
            </w:pPr>
            <w:r>
              <w:rPr>
                <w:rFonts w:ascii="Arial" w:cs="Arial" w:eastAsia="Arial" w:hAnsi="Arial"/>
                <w:sz w:val="18"/>
                <w:szCs w:val="18"/>
                <w:color w:val="auto"/>
                <w:w w:val="90"/>
              </w:rPr>
              <w:t>Number of</w:t>
            </w: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1540" w:type="dxa"/>
            <w:vAlign w:val="bottom"/>
          </w:tcPr>
          <w:p>
            <w:pPr>
              <w:ind w:left="180"/>
              <w:spacing w:after="0"/>
              <w:rPr>
                <w:sz w:val="20"/>
                <w:szCs w:val="20"/>
                <w:color w:val="auto"/>
              </w:rPr>
            </w:pPr>
            <w:r>
              <w:rPr>
                <w:rFonts w:ascii="Arial" w:cs="Arial" w:eastAsia="Arial" w:hAnsi="Arial"/>
                <w:sz w:val="18"/>
                <w:szCs w:val="18"/>
                <w:b w:val="1"/>
                <w:bCs w:val="1"/>
                <w:color w:val="auto"/>
                <w:w w:val="84"/>
              </w:rPr>
              <w:t>Sole Voting Power</w:t>
            </w:r>
          </w:p>
        </w:tc>
      </w:tr>
      <w:tr>
        <w:trPr>
          <w:trHeight w:val="222"/>
        </w:trPr>
        <w:tc>
          <w:tcPr>
            <w:tcW w:w="1380" w:type="dxa"/>
            <w:vAlign w:val="bottom"/>
          </w:tcPr>
          <w:p>
            <w:pPr>
              <w:jc w:val="center"/>
              <w:ind w:right="532"/>
              <w:spacing w:after="0"/>
              <w:rPr>
                <w:sz w:val="20"/>
                <w:szCs w:val="20"/>
                <w:color w:val="auto"/>
              </w:rPr>
            </w:pPr>
            <w:r>
              <w:rPr>
                <w:rFonts w:ascii="Arial" w:cs="Arial" w:eastAsia="Arial" w:hAnsi="Arial"/>
                <w:sz w:val="18"/>
                <w:szCs w:val="18"/>
                <w:color w:val="auto"/>
                <w:w w:val="84"/>
              </w:rPr>
              <w:t>Shares</w:t>
            </w:r>
          </w:p>
        </w:tc>
        <w:tc>
          <w:tcPr>
            <w:tcW w:w="860" w:type="dxa"/>
            <w:vAlign w:val="bottom"/>
          </w:tcPr>
          <w:p>
            <w:pPr>
              <w:spacing w:after="0"/>
              <w:rPr>
                <w:sz w:val="19"/>
                <w:szCs w:val="19"/>
                <w:color w:val="auto"/>
              </w:rPr>
            </w:pPr>
          </w:p>
        </w:tc>
        <w:tc>
          <w:tcPr>
            <w:tcW w:w="1540" w:type="dxa"/>
            <w:vAlign w:val="bottom"/>
          </w:tcPr>
          <w:p>
            <w:pPr>
              <w:ind w:left="180"/>
              <w:spacing w:after="0"/>
              <w:rPr>
                <w:sz w:val="20"/>
                <w:szCs w:val="20"/>
                <w:color w:val="auto"/>
              </w:rPr>
            </w:pPr>
            <w:r>
              <w:rPr>
                <w:rFonts w:ascii="Arial" w:cs="Arial" w:eastAsia="Arial" w:hAnsi="Arial"/>
                <w:sz w:val="18"/>
                <w:szCs w:val="18"/>
                <w:color w:val="auto"/>
              </w:rPr>
              <w:t>256,055,600</w:t>
            </w:r>
          </w:p>
        </w:tc>
      </w:tr>
    </w:tbl>
    <w:p>
      <w:pPr>
        <w:jc w:val="center"/>
        <w:ind w:right="8258"/>
        <w:spacing w:after="0"/>
        <w:rPr>
          <w:sz w:val="20"/>
          <w:szCs w:val="20"/>
          <w:color w:val="auto"/>
        </w:rPr>
      </w:pPr>
      <w:r>
        <w:rPr>
          <w:rFonts w:ascii="Arial" w:cs="Arial" w:eastAsia="Arial" w:hAnsi="Arial"/>
          <w:sz w:val="18"/>
          <w:szCs w:val="18"/>
          <w:color w:val="auto"/>
        </w:rPr>
        <w:t>Beneficially</w:t>
      </w:r>
    </w:p>
    <w:p>
      <w:pPr>
        <w:spacing w:after="0" w:line="9" w:lineRule="exact"/>
        <w:rPr>
          <w:sz w:val="20"/>
          <w:szCs w:val="20"/>
          <w:color w:val="auto"/>
        </w:rPr>
      </w:pPr>
    </w:p>
    <w:p>
      <w:pPr>
        <w:jc w:val="center"/>
        <w:ind w:right="8258"/>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right="8258"/>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right="8258"/>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right="8258"/>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170180</wp:posOffset>
            </wp:positionV>
            <wp:extent cx="71780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841" w:right="5439" w:hanging="430"/>
        <w:spacing w:after="0" w:line="275" w:lineRule="auto"/>
        <w:tabs>
          <w:tab w:leader="none" w:pos="2841"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50800</wp:posOffset>
            </wp:positionV>
            <wp:extent cx="72123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75" w:lineRule="exact"/>
        <w:rPr>
          <w:sz w:val="20"/>
          <w:szCs w:val="20"/>
          <w:color w:val="auto"/>
        </w:rPr>
      </w:pPr>
    </w:p>
    <w:p>
      <w:pPr>
        <w:ind w:left="2841" w:right="5319" w:hanging="430"/>
        <w:spacing w:after="0" w:line="275" w:lineRule="auto"/>
        <w:tabs>
          <w:tab w:leader="none" w:pos="2841"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256,055,600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145415</wp:posOffset>
            </wp:positionV>
            <wp:extent cx="72123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841" w:right="5099" w:hanging="430"/>
        <w:spacing w:after="0" w:line="275" w:lineRule="auto"/>
        <w:tabs>
          <w:tab w:leader="none" w:pos="2841"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145415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501" w:right="4419" w:hanging="413"/>
        <w:spacing w:after="0" w:line="275" w:lineRule="auto"/>
        <w:tabs>
          <w:tab w:leader="none" w:pos="501"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256,055,600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145415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ind w:left="1"/>
        <w:spacing w:after="0" w:line="207" w:lineRule="exact"/>
        <w:tabs>
          <w:tab w:leader="none" w:pos="480" w:val="left"/>
          <w:tab w:leader="none" w:pos="928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Check Box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237490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501" w:right="5579" w:hanging="494"/>
        <w:spacing w:after="0" w:line="297" w:lineRule="auto"/>
        <w:tabs>
          <w:tab w:leader="none" w:pos="501"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8.3%</w:t>
      </w:r>
      <w:r>
        <w:rPr>
          <w:rFonts w:ascii="Arial" w:cs="Arial" w:eastAsia="Arial" w:hAnsi="Arial"/>
          <w:sz w:val="22"/>
          <w:szCs w:val="22"/>
          <w:color w:val="auto"/>
          <w:vertAlign w:val="superscript"/>
        </w:rPr>
        <w:t>1</w:t>
      </w:r>
    </w:p>
    <w:p>
      <w:pPr>
        <w:spacing w:after="0" w:line="349" w:lineRule="exact"/>
        <w:rPr>
          <w:rFonts w:ascii="Arial" w:cs="Arial" w:eastAsia="Arial" w:hAnsi="Arial"/>
          <w:sz w:val="18"/>
          <w:szCs w:val="18"/>
          <w:color w:val="auto"/>
        </w:rPr>
      </w:pPr>
    </w:p>
    <w:p>
      <w:pPr>
        <w:ind w:left="501" w:hanging="501"/>
        <w:spacing w:after="0"/>
        <w:tabs>
          <w:tab w:leader="none" w:pos="501"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Type of Reporting Person</w:t>
      </w:r>
    </w:p>
    <w:p>
      <w:pPr>
        <w:spacing w:after="0" w:line="21" w:lineRule="exact"/>
        <w:rPr>
          <w:rFonts w:ascii="Arial" w:cs="Arial" w:eastAsia="Arial" w:hAnsi="Arial"/>
          <w:sz w:val="18"/>
          <w:szCs w:val="18"/>
          <w:color w:val="auto"/>
        </w:rPr>
      </w:pPr>
    </w:p>
    <w:p>
      <w:pPr>
        <w:ind w:left="501"/>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-412750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170180</wp:posOffset>
            </wp:positionV>
            <wp:extent cx="71780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5201"/>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9860"/>
          </w:cols>
          <w:pgMar w:left="599" w:top="652"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138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Name of Issuer:</w:t>
            </w:r>
          </w:p>
        </w:tc>
      </w:tr>
      <w:tr>
        <w:trPr>
          <w:trHeight w:val="324"/>
        </w:trPr>
        <w:tc>
          <w:tcPr>
            <w:tcW w:w="1380" w:type="dxa"/>
            <w:vAlign w:val="bottom"/>
          </w:tcPr>
          <w:p>
            <w:pPr>
              <w:spacing w:after="0"/>
              <w:rPr>
                <w:sz w:val="24"/>
                <w:szCs w:val="24"/>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Netease.com, Inc.</w:t>
            </w:r>
          </w:p>
        </w:tc>
      </w:tr>
      <w:tr>
        <w:trPr>
          <w:trHeight w:val="324"/>
        </w:trPr>
        <w:tc>
          <w:tcPr>
            <w:tcW w:w="138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318"/>
        </w:trPr>
        <w:tc>
          <w:tcPr>
            <w:tcW w:w="1380" w:type="dxa"/>
            <w:vAlign w:val="bottom"/>
          </w:tcPr>
          <w:p>
            <w:pPr>
              <w:spacing w:after="0"/>
              <w:rPr>
                <w:sz w:val="24"/>
                <w:szCs w:val="24"/>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Room 1901, Tower E3, The Towers, Oriental Plaza</w:t>
            </w:r>
          </w:p>
        </w:tc>
      </w:tr>
      <w:tr>
        <w:trPr>
          <w:trHeight w:val="216"/>
        </w:trPr>
        <w:tc>
          <w:tcPr>
            <w:tcW w:w="138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No. 1, East Chang An Avenue</w:t>
            </w:r>
          </w:p>
        </w:tc>
      </w:tr>
      <w:tr>
        <w:trPr>
          <w:trHeight w:val="216"/>
        </w:trPr>
        <w:tc>
          <w:tcPr>
            <w:tcW w:w="138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Dong Cheng District</w:t>
            </w:r>
          </w:p>
        </w:tc>
      </w:tr>
      <w:tr>
        <w:trPr>
          <w:trHeight w:val="216"/>
        </w:trPr>
        <w:tc>
          <w:tcPr>
            <w:tcW w:w="138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Beijing 100738</w:t>
            </w:r>
          </w:p>
        </w:tc>
      </w:tr>
      <w:tr>
        <w:trPr>
          <w:trHeight w:val="222"/>
        </w:trPr>
        <w:tc>
          <w:tcPr>
            <w:tcW w:w="138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People’s Republic of China</w:t>
            </w:r>
          </w:p>
        </w:tc>
      </w:tr>
      <w:tr>
        <w:trPr>
          <w:trHeight w:val="324"/>
        </w:trPr>
        <w:tc>
          <w:tcPr>
            <w:tcW w:w="138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Name of Person Filing:</w:t>
            </w:r>
          </w:p>
        </w:tc>
      </w:tr>
      <w:tr>
        <w:trPr>
          <w:trHeight w:val="324"/>
        </w:trPr>
        <w:tc>
          <w:tcPr>
            <w:tcW w:w="1380" w:type="dxa"/>
            <w:vAlign w:val="bottom"/>
          </w:tcPr>
          <w:p>
            <w:pPr>
              <w:spacing w:after="0"/>
              <w:rPr>
                <w:sz w:val="24"/>
                <w:szCs w:val="24"/>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Best Alliance Profits Limited</w:t>
            </w:r>
          </w:p>
        </w:tc>
      </w:tr>
      <w:tr>
        <w:trPr>
          <w:trHeight w:val="324"/>
        </w:trPr>
        <w:tc>
          <w:tcPr>
            <w:tcW w:w="1380" w:type="dxa"/>
            <w:vAlign w:val="bottom"/>
          </w:tcPr>
          <w:p>
            <w:pPr>
              <w:spacing w:after="0"/>
              <w:rPr>
                <w:sz w:val="24"/>
                <w:szCs w:val="24"/>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Newscorp Cayman International Limited</w:t>
            </w:r>
          </w:p>
        </w:tc>
      </w:tr>
      <w:tr>
        <w:trPr>
          <w:trHeight w:val="324"/>
        </w:trPr>
        <w:tc>
          <w:tcPr>
            <w:tcW w:w="1380" w:type="dxa"/>
            <w:vAlign w:val="bottom"/>
          </w:tcPr>
          <w:p>
            <w:pPr>
              <w:spacing w:after="0"/>
              <w:rPr>
                <w:sz w:val="24"/>
                <w:szCs w:val="24"/>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The News Corporation Limited</w:t>
            </w:r>
          </w:p>
        </w:tc>
      </w:tr>
      <w:tr>
        <w:trPr>
          <w:trHeight w:val="324"/>
        </w:trPr>
        <w:tc>
          <w:tcPr>
            <w:tcW w:w="1380" w:type="dxa"/>
            <w:vAlign w:val="bottom"/>
          </w:tcPr>
          <w:p>
            <w:pPr>
              <w:spacing w:after="0"/>
              <w:rPr>
                <w:sz w:val="24"/>
                <w:szCs w:val="24"/>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K. Rupert Murdoch</w:t>
            </w:r>
          </w:p>
        </w:tc>
      </w:tr>
      <w:tr>
        <w:trPr>
          <w:trHeight w:val="324"/>
        </w:trPr>
        <w:tc>
          <w:tcPr>
            <w:tcW w:w="1380" w:type="dxa"/>
            <w:vAlign w:val="bottom"/>
          </w:tcPr>
          <w:p>
            <w:pPr>
              <w:spacing w:after="0"/>
              <w:rPr>
                <w:sz w:val="24"/>
                <w:szCs w:val="24"/>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w w:val="88"/>
              </w:rPr>
              <w:t>The Joint Filing Agreement of the Reporting Persons is attached hereto as Exhibit 1.</w:t>
            </w:r>
          </w:p>
        </w:tc>
      </w:tr>
      <w:tr>
        <w:trPr>
          <w:trHeight w:val="286"/>
        </w:trPr>
        <w:tc>
          <w:tcPr>
            <w:tcW w:w="138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Address of Principal Office, or if None, Residence:</w:t>
            </w:r>
          </w:p>
        </w:tc>
      </w:tr>
      <w:tr>
        <w:trPr>
          <w:trHeight w:val="336"/>
        </w:trPr>
        <w:tc>
          <w:tcPr>
            <w:tcW w:w="1380" w:type="dxa"/>
            <w:vAlign w:val="bottom"/>
          </w:tcPr>
          <w:p>
            <w:pPr>
              <w:spacing w:after="0"/>
              <w:rPr>
                <w:sz w:val="24"/>
                <w:szCs w:val="24"/>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Best Alliance Profits Limited</w:t>
            </w:r>
          </w:p>
        </w:tc>
        <w:tc>
          <w:tcPr>
            <w:tcW w:w="216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P.O. Box 957</w:t>
            </w:r>
          </w:p>
        </w:tc>
      </w:tr>
      <w:tr>
        <w:trPr>
          <w:trHeight w:val="216"/>
        </w:trPr>
        <w:tc>
          <w:tcPr>
            <w:tcW w:w="138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Offshore Incorporations Centre</w:t>
            </w:r>
          </w:p>
        </w:tc>
      </w:tr>
      <w:tr>
        <w:trPr>
          <w:trHeight w:val="216"/>
        </w:trPr>
        <w:tc>
          <w:tcPr>
            <w:tcW w:w="138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Road Town, Tortola</w:t>
            </w:r>
          </w:p>
        </w:tc>
      </w:tr>
      <w:tr>
        <w:trPr>
          <w:trHeight w:val="222"/>
        </w:trPr>
        <w:tc>
          <w:tcPr>
            <w:tcW w:w="138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British Virgin Islands</w:t>
            </w:r>
          </w:p>
        </w:tc>
      </w:tr>
      <w:tr>
        <w:trPr>
          <w:trHeight w:val="318"/>
        </w:trPr>
        <w:tc>
          <w:tcPr>
            <w:tcW w:w="1380" w:type="dxa"/>
            <w:vAlign w:val="bottom"/>
          </w:tcPr>
          <w:p>
            <w:pPr>
              <w:spacing w:after="0"/>
              <w:rPr>
                <w:sz w:val="24"/>
                <w:szCs w:val="24"/>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Newscorp Cayman International Limited</w:t>
            </w:r>
          </w:p>
        </w:tc>
      </w:tr>
      <w:tr>
        <w:trPr>
          <w:trHeight w:val="216"/>
        </w:trPr>
        <w:tc>
          <w:tcPr>
            <w:tcW w:w="138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c/o Maples and Calder</w:t>
            </w:r>
          </w:p>
        </w:tc>
      </w:tr>
      <w:tr>
        <w:trPr>
          <w:trHeight w:val="216"/>
        </w:trPr>
        <w:tc>
          <w:tcPr>
            <w:tcW w:w="138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P.O. Box 309, Ugland House</w:t>
            </w:r>
          </w:p>
        </w:tc>
      </w:tr>
      <w:tr>
        <w:trPr>
          <w:trHeight w:val="216"/>
        </w:trPr>
        <w:tc>
          <w:tcPr>
            <w:tcW w:w="138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South Church Street</w:t>
            </w:r>
          </w:p>
        </w:tc>
      </w:tr>
      <w:tr>
        <w:trPr>
          <w:trHeight w:val="222"/>
        </w:trPr>
        <w:tc>
          <w:tcPr>
            <w:tcW w:w="138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Grand Cayman, Cayman Islands</w:t>
            </w:r>
          </w:p>
        </w:tc>
      </w:tr>
      <w:tr>
        <w:trPr>
          <w:trHeight w:val="318"/>
        </w:trPr>
        <w:tc>
          <w:tcPr>
            <w:tcW w:w="1380" w:type="dxa"/>
            <w:vAlign w:val="bottom"/>
          </w:tcPr>
          <w:p>
            <w:pPr>
              <w:spacing w:after="0"/>
              <w:rPr>
                <w:sz w:val="24"/>
                <w:szCs w:val="24"/>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The News Corporation Limited (“News Corporation”)</w:t>
            </w:r>
          </w:p>
        </w:tc>
      </w:tr>
      <w:tr>
        <w:trPr>
          <w:trHeight w:val="216"/>
        </w:trPr>
        <w:tc>
          <w:tcPr>
            <w:tcW w:w="138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2 Holt Street, Sydney</w:t>
            </w:r>
          </w:p>
        </w:tc>
      </w:tr>
      <w:tr>
        <w:trPr>
          <w:trHeight w:val="222"/>
        </w:trPr>
        <w:tc>
          <w:tcPr>
            <w:tcW w:w="138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New South Wales 2010, Australia</w:t>
            </w:r>
          </w:p>
        </w:tc>
      </w:tr>
      <w:tr>
        <w:trPr>
          <w:trHeight w:val="318"/>
        </w:trPr>
        <w:tc>
          <w:tcPr>
            <w:tcW w:w="1380" w:type="dxa"/>
            <w:vAlign w:val="bottom"/>
          </w:tcPr>
          <w:p>
            <w:pPr>
              <w:spacing w:after="0"/>
              <w:rPr>
                <w:sz w:val="24"/>
                <w:szCs w:val="24"/>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K. Rupert Murdoch</w:t>
            </w:r>
          </w:p>
        </w:tc>
      </w:tr>
      <w:tr>
        <w:trPr>
          <w:trHeight w:val="216"/>
        </w:trPr>
        <w:tc>
          <w:tcPr>
            <w:tcW w:w="138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1211 Avenue of the Americas</w:t>
            </w:r>
          </w:p>
        </w:tc>
      </w:tr>
      <w:tr>
        <w:trPr>
          <w:trHeight w:val="222"/>
        </w:trPr>
        <w:tc>
          <w:tcPr>
            <w:tcW w:w="138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New York, NY 10036</w:t>
            </w:r>
          </w:p>
        </w:tc>
      </w:tr>
      <w:tr>
        <w:trPr>
          <w:trHeight w:val="432"/>
        </w:trPr>
        <w:tc>
          <w:tcPr>
            <w:tcW w:w="1380" w:type="dxa"/>
            <w:vAlign w:val="bottom"/>
          </w:tcPr>
          <w:p>
            <w:pPr>
              <w:spacing w:after="0"/>
              <w:rPr>
                <w:sz w:val="24"/>
                <w:szCs w:val="24"/>
                <w:color w:val="auto"/>
              </w:rPr>
            </w:pPr>
          </w:p>
        </w:tc>
        <w:tc>
          <w:tcPr>
            <w:tcW w:w="5920" w:type="dxa"/>
            <w:vAlign w:val="bottom"/>
            <w:gridSpan w:val="2"/>
          </w:tcPr>
          <w:p>
            <w:pPr>
              <w:ind w:left="4180"/>
              <w:spacing w:after="0"/>
              <w:rPr>
                <w:sz w:val="20"/>
                <w:szCs w:val="20"/>
                <w:color w:val="auto"/>
              </w:rPr>
            </w:pPr>
            <w:r>
              <w:rPr>
                <w:rFonts w:ascii="Arial" w:cs="Arial" w:eastAsia="Arial" w:hAnsi="Arial"/>
                <w:sz w:val="18"/>
                <w:szCs w:val="18"/>
                <w:color w:val="auto"/>
              </w:rPr>
              <w:t>- 6 -</w:t>
            </w:r>
          </w:p>
        </w:tc>
      </w:tr>
    </w:tbl>
    <w:p>
      <w:pPr>
        <w:ind w:left="4180"/>
        <w:spacing w:after="0"/>
        <w:rPr>
          <w:sz w:val="20"/>
          <w:szCs w:val="20"/>
          <w:color w:val="auto"/>
        </w:rPr>
        <w:sectPr>
          <w:pgSz w:w="11900" w:h="16838" w:orient="portrait"/>
          <w:cols w:equalWidth="0" w:num="1">
            <w:col w:w="10219"/>
          </w:cols>
          <w:pgMar w:left="240" w:top="422"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48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7"/>
              </w:rPr>
              <w:t>Citizenship or Place of Incorporation for each Reporting Person:</w:t>
            </w:r>
          </w:p>
        </w:tc>
        <w:tc>
          <w:tcPr>
            <w:tcW w:w="920" w:type="dxa"/>
            <w:vAlign w:val="bottom"/>
          </w:tcPr>
          <w:p>
            <w:pPr>
              <w:spacing w:after="0"/>
              <w:rPr>
                <w:sz w:val="17"/>
                <w:szCs w:val="17"/>
                <w:color w:val="auto"/>
              </w:rPr>
            </w:pPr>
          </w:p>
        </w:tc>
      </w:tr>
      <w:tr>
        <w:trPr>
          <w:trHeight w:val="336"/>
        </w:trPr>
        <w:tc>
          <w:tcPr>
            <w:tcW w:w="1380" w:type="dxa"/>
            <w:vAlign w:val="bottom"/>
          </w:tcPr>
          <w:p>
            <w:pPr>
              <w:spacing w:after="0"/>
              <w:rPr>
                <w:sz w:val="24"/>
                <w:szCs w:val="24"/>
                <w:color w:val="auto"/>
              </w:rPr>
            </w:pPr>
          </w:p>
        </w:tc>
        <w:tc>
          <w:tcPr>
            <w:tcW w:w="5780" w:type="dxa"/>
            <w:vAlign w:val="bottom"/>
            <w:gridSpan w:val="4"/>
          </w:tcPr>
          <w:p>
            <w:pPr>
              <w:spacing w:after="0"/>
              <w:rPr>
                <w:sz w:val="20"/>
                <w:szCs w:val="20"/>
                <w:color w:val="auto"/>
              </w:rPr>
            </w:pPr>
            <w:r>
              <w:rPr>
                <w:rFonts w:ascii="Arial" w:cs="Arial" w:eastAsia="Arial" w:hAnsi="Arial"/>
                <w:sz w:val="18"/>
                <w:szCs w:val="18"/>
                <w:color w:val="auto"/>
                <w:w w:val="94"/>
              </w:rPr>
              <w:t>Best Alliance Profits Limited is a corporation incorporated in the British Virgin</w:t>
            </w:r>
          </w:p>
        </w:tc>
      </w:tr>
      <w:tr>
        <w:trPr>
          <w:trHeight w:val="222"/>
        </w:trPr>
        <w:tc>
          <w:tcPr>
            <w:tcW w:w="1380" w:type="dxa"/>
            <w:vAlign w:val="bottom"/>
          </w:tcPr>
          <w:p>
            <w:pPr>
              <w:spacing w:after="0"/>
              <w:rPr>
                <w:sz w:val="19"/>
                <w:szCs w:val="19"/>
                <w:color w:val="auto"/>
              </w:rPr>
            </w:pPr>
          </w:p>
        </w:tc>
        <w:tc>
          <w:tcPr>
            <w:tcW w:w="5780" w:type="dxa"/>
            <w:vAlign w:val="bottom"/>
            <w:gridSpan w:val="4"/>
          </w:tcPr>
          <w:p>
            <w:pPr>
              <w:spacing w:after="0"/>
              <w:rPr>
                <w:sz w:val="20"/>
                <w:szCs w:val="20"/>
                <w:color w:val="auto"/>
              </w:rPr>
            </w:pPr>
            <w:r>
              <w:rPr>
                <w:rFonts w:ascii="Arial" w:cs="Arial" w:eastAsia="Arial" w:hAnsi="Arial"/>
                <w:sz w:val="18"/>
                <w:szCs w:val="18"/>
                <w:color w:val="auto"/>
              </w:rPr>
              <w:t>Islands.</w:t>
            </w:r>
          </w:p>
        </w:tc>
      </w:tr>
      <w:tr>
        <w:trPr>
          <w:trHeight w:val="318"/>
        </w:trPr>
        <w:tc>
          <w:tcPr>
            <w:tcW w:w="1380" w:type="dxa"/>
            <w:vAlign w:val="bottom"/>
          </w:tcPr>
          <w:p>
            <w:pPr>
              <w:spacing w:after="0"/>
              <w:rPr>
                <w:sz w:val="24"/>
                <w:szCs w:val="24"/>
                <w:color w:val="auto"/>
              </w:rPr>
            </w:pPr>
          </w:p>
        </w:tc>
        <w:tc>
          <w:tcPr>
            <w:tcW w:w="5780" w:type="dxa"/>
            <w:vAlign w:val="bottom"/>
            <w:gridSpan w:val="4"/>
          </w:tcPr>
          <w:p>
            <w:pPr>
              <w:spacing w:after="0"/>
              <w:rPr>
                <w:sz w:val="20"/>
                <w:szCs w:val="20"/>
                <w:color w:val="auto"/>
              </w:rPr>
            </w:pPr>
            <w:r>
              <w:rPr>
                <w:rFonts w:ascii="Arial" w:cs="Arial" w:eastAsia="Arial" w:hAnsi="Arial"/>
                <w:sz w:val="18"/>
                <w:szCs w:val="18"/>
                <w:color w:val="auto"/>
                <w:w w:val="95"/>
              </w:rPr>
              <w:t>Newscorp Cayman International Limited is a corporation incorporated in the</w:t>
            </w:r>
          </w:p>
        </w:tc>
      </w:tr>
      <w:tr>
        <w:trPr>
          <w:trHeight w:val="222"/>
        </w:trPr>
        <w:tc>
          <w:tcPr>
            <w:tcW w:w="1380" w:type="dxa"/>
            <w:vAlign w:val="bottom"/>
          </w:tcPr>
          <w:p>
            <w:pPr>
              <w:spacing w:after="0"/>
              <w:rPr>
                <w:sz w:val="19"/>
                <w:szCs w:val="19"/>
                <w:color w:val="auto"/>
              </w:rPr>
            </w:pPr>
          </w:p>
        </w:tc>
        <w:tc>
          <w:tcPr>
            <w:tcW w:w="5780" w:type="dxa"/>
            <w:vAlign w:val="bottom"/>
            <w:gridSpan w:val="4"/>
          </w:tcPr>
          <w:p>
            <w:pPr>
              <w:spacing w:after="0"/>
              <w:rPr>
                <w:sz w:val="20"/>
                <w:szCs w:val="20"/>
                <w:color w:val="auto"/>
              </w:rPr>
            </w:pPr>
            <w:r>
              <w:rPr>
                <w:rFonts w:ascii="Arial" w:cs="Arial" w:eastAsia="Arial" w:hAnsi="Arial"/>
                <w:sz w:val="18"/>
                <w:szCs w:val="18"/>
                <w:color w:val="auto"/>
              </w:rPr>
              <w:t>Cayman Islands.</w:t>
            </w:r>
          </w:p>
        </w:tc>
      </w:tr>
      <w:tr>
        <w:trPr>
          <w:trHeight w:val="318"/>
        </w:trPr>
        <w:tc>
          <w:tcPr>
            <w:tcW w:w="1380" w:type="dxa"/>
            <w:vAlign w:val="bottom"/>
          </w:tcPr>
          <w:p>
            <w:pPr>
              <w:spacing w:after="0"/>
              <w:rPr>
                <w:sz w:val="24"/>
                <w:szCs w:val="24"/>
                <w:color w:val="auto"/>
              </w:rPr>
            </w:pPr>
          </w:p>
        </w:tc>
        <w:tc>
          <w:tcPr>
            <w:tcW w:w="5780" w:type="dxa"/>
            <w:vAlign w:val="bottom"/>
            <w:gridSpan w:val="4"/>
          </w:tcPr>
          <w:p>
            <w:pPr>
              <w:spacing w:after="0"/>
              <w:rPr>
                <w:sz w:val="20"/>
                <w:szCs w:val="20"/>
                <w:color w:val="auto"/>
              </w:rPr>
            </w:pPr>
            <w:r>
              <w:rPr>
                <w:rFonts w:ascii="Arial" w:cs="Arial" w:eastAsia="Arial" w:hAnsi="Arial"/>
                <w:sz w:val="18"/>
                <w:szCs w:val="18"/>
                <w:color w:val="auto"/>
                <w:w w:val="90"/>
              </w:rPr>
              <w:t>News Corporation is a corporation incorporated under the laws of and registered</w:t>
            </w:r>
          </w:p>
        </w:tc>
      </w:tr>
      <w:tr>
        <w:trPr>
          <w:trHeight w:val="222"/>
        </w:trPr>
        <w:tc>
          <w:tcPr>
            <w:tcW w:w="1380" w:type="dxa"/>
            <w:vAlign w:val="bottom"/>
          </w:tcPr>
          <w:p>
            <w:pPr>
              <w:spacing w:after="0"/>
              <w:rPr>
                <w:sz w:val="19"/>
                <w:szCs w:val="19"/>
                <w:color w:val="auto"/>
              </w:rPr>
            </w:pPr>
          </w:p>
        </w:tc>
        <w:tc>
          <w:tcPr>
            <w:tcW w:w="5780" w:type="dxa"/>
            <w:vAlign w:val="bottom"/>
            <w:gridSpan w:val="4"/>
          </w:tcPr>
          <w:p>
            <w:pPr>
              <w:spacing w:after="0"/>
              <w:rPr>
                <w:sz w:val="20"/>
                <w:szCs w:val="20"/>
                <w:color w:val="auto"/>
              </w:rPr>
            </w:pPr>
            <w:r>
              <w:rPr>
                <w:rFonts w:ascii="Arial" w:cs="Arial" w:eastAsia="Arial" w:hAnsi="Arial"/>
                <w:sz w:val="18"/>
                <w:szCs w:val="18"/>
                <w:color w:val="auto"/>
              </w:rPr>
              <w:t>in the Commonwealth of Australia.</w:t>
            </w:r>
          </w:p>
        </w:tc>
      </w:tr>
      <w:tr>
        <w:trPr>
          <w:trHeight w:val="324"/>
        </w:trPr>
        <w:tc>
          <w:tcPr>
            <w:tcW w:w="1380" w:type="dxa"/>
            <w:vAlign w:val="bottom"/>
          </w:tcPr>
          <w:p>
            <w:pPr>
              <w:spacing w:after="0"/>
              <w:rPr>
                <w:sz w:val="24"/>
                <w:szCs w:val="24"/>
                <w:color w:val="auto"/>
              </w:rPr>
            </w:pPr>
          </w:p>
        </w:tc>
        <w:tc>
          <w:tcPr>
            <w:tcW w:w="5780" w:type="dxa"/>
            <w:vAlign w:val="bottom"/>
            <w:gridSpan w:val="4"/>
          </w:tcPr>
          <w:p>
            <w:pPr>
              <w:spacing w:after="0"/>
              <w:rPr>
                <w:sz w:val="20"/>
                <w:szCs w:val="20"/>
                <w:color w:val="auto"/>
              </w:rPr>
            </w:pPr>
            <w:r>
              <w:rPr>
                <w:rFonts w:ascii="Arial" w:cs="Arial" w:eastAsia="Arial" w:hAnsi="Arial"/>
                <w:sz w:val="18"/>
                <w:szCs w:val="18"/>
                <w:color w:val="auto"/>
              </w:rPr>
              <w:t>Mr. Murdoch is a United States citizen.</w:t>
            </w:r>
          </w:p>
        </w:tc>
      </w:tr>
      <w:tr>
        <w:trPr>
          <w:trHeight w:val="324"/>
        </w:trPr>
        <w:tc>
          <w:tcPr>
            <w:tcW w:w="138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5780" w:type="dxa"/>
            <w:vAlign w:val="bottom"/>
            <w:gridSpan w:val="4"/>
          </w:tcPr>
          <w:p>
            <w:pPr>
              <w:spacing w:after="0"/>
              <w:rPr>
                <w:sz w:val="20"/>
                <w:szCs w:val="20"/>
                <w:color w:val="auto"/>
              </w:rPr>
            </w:pPr>
            <w:r>
              <w:rPr>
                <w:rFonts w:ascii="Arial" w:cs="Arial" w:eastAsia="Arial" w:hAnsi="Arial"/>
                <w:sz w:val="18"/>
                <w:szCs w:val="18"/>
                <w:b w:val="1"/>
                <w:bCs w:val="1"/>
                <w:color w:val="auto"/>
              </w:rPr>
              <w:t>Title of Class of Securities:</w:t>
            </w:r>
          </w:p>
        </w:tc>
      </w:tr>
      <w:tr>
        <w:trPr>
          <w:trHeight w:val="324"/>
        </w:trPr>
        <w:tc>
          <w:tcPr>
            <w:tcW w:w="1380" w:type="dxa"/>
            <w:vAlign w:val="bottom"/>
          </w:tcPr>
          <w:p>
            <w:pPr>
              <w:spacing w:after="0"/>
              <w:rPr>
                <w:sz w:val="24"/>
                <w:szCs w:val="24"/>
                <w:color w:val="auto"/>
              </w:rPr>
            </w:pPr>
          </w:p>
        </w:tc>
        <w:tc>
          <w:tcPr>
            <w:tcW w:w="5780" w:type="dxa"/>
            <w:vAlign w:val="bottom"/>
            <w:gridSpan w:val="4"/>
          </w:tcPr>
          <w:p>
            <w:pPr>
              <w:spacing w:after="0"/>
              <w:rPr>
                <w:sz w:val="20"/>
                <w:szCs w:val="20"/>
                <w:color w:val="auto"/>
              </w:rPr>
            </w:pPr>
            <w:r>
              <w:rPr>
                <w:rFonts w:ascii="Arial" w:cs="Arial" w:eastAsia="Arial" w:hAnsi="Arial"/>
                <w:sz w:val="18"/>
                <w:szCs w:val="18"/>
                <w:color w:val="auto"/>
              </w:rPr>
              <w:t>Ordinary Shares, par value $.0001 per share.</w:t>
            </w:r>
          </w:p>
        </w:tc>
      </w:tr>
      <w:tr>
        <w:trPr>
          <w:trHeight w:val="286"/>
        </w:trPr>
        <w:tc>
          <w:tcPr>
            <w:tcW w:w="138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5780" w:type="dxa"/>
            <w:vAlign w:val="bottom"/>
            <w:gridSpan w:val="4"/>
          </w:tcPr>
          <w:p>
            <w:pPr>
              <w:spacing w:after="0"/>
              <w:rPr>
                <w:sz w:val="20"/>
                <w:szCs w:val="20"/>
                <w:color w:val="auto"/>
              </w:rPr>
            </w:pPr>
            <w:r>
              <w:rPr>
                <w:rFonts w:ascii="Arial" w:cs="Arial" w:eastAsia="Arial" w:hAnsi="Arial"/>
                <w:sz w:val="18"/>
                <w:szCs w:val="18"/>
                <w:b w:val="1"/>
                <w:bCs w:val="1"/>
                <w:color w:val="auto"/>
              </w:rPr>
              <w:t>CUSIP Number:</w:t>
            </w:r>
          </w:p>
        </w:tc>
      </w:tr>
      <w:tr>
        <w:trPr>
          <w:trHeight w:val="343"/>
        </w:trPr>
        <w:tc>
          <w:tcPr>
            <w:tcW w:w="1380" w:type="dxa"/>
            <w:vAlign w:val="bottom"/>
          </w:tcPr>
          <w:p>
            <w:pPr>
              <w:spacing w:after="0"/>
              <w:rPr>
                <w:sz w:val="24"/>
                <w:szCs w:val="24"/>
                <w:color w:val="auto"/>
              </w:rPr>
            </w:pPr>
          </w:p>
        </w:tc>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64110W102000</w:t>
            </w:r>
          </w:p>
        </w:tc>
        <w:tc>
          <w:tcPr>
            <w:tcW w:w="4600" w:type="dxa"/>
            <w:vAlign w:val="bottom"/>
            <w:gridSpan w:val="3"/>
          </w:tcPr>
          <w:p>
            <w:pPr>
              <w:spacing w:after="0"/>
              <w:rPr>
                <w:sz w:val="24"/>
                <w:szCs w:val="24"/>
                <w:color w:val="auto"/>
              </w:rPr>
            </w:pPr>
          </w:p>
        </w:tc>
      </w:tr>
      <w:tr>
        <w:trPr>
          <w:trHeight w:val="286"/>
        </w:trPr>
        <w:tc>
          <w:tcPr>
            <w:tcW w:w="13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57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8"/>
              </w:rPr>
              <w:t>If This Statement is Filed Pursuant to Rule 13d-1(b) or 13d-2(b) or (c), Check</w:t>
            </w:r>
          </w:p>
        </w:tc>
      </w:tr>
      <w:tr>
        <w:trPr>
          <w:trHeight w:val="196"/>
        </w:trPr>
        <w:tc>
          <w:tcPr>
            <w:tcW w:w="1380" w:type="dxa"/>
            <w:vAlign w:val="bottom"/>
          </w:tcPr>
          <w:p>
            <w:pPr>
              <w:spacing w:after="0"/>
              <w:rPr>
                <w:sz w:val="17"/>
                <w:szCs w:val="17"/>
                <w:color w:val="auto"/>
              </w:rPr>
            </w:pPr>
          </w:p>
        </w:tc>
        <w:tc>
          <w:tcPr>
            <w:tcW w:w="578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Whether the Person Filing is a:</w:t>
            </w:r>
          </w:p>
        </w:tc>
      </w:tr>
      <w:tr>
        <w:trPr>
          <w:trHeight w:val="20"/>
        </w:trPr>
        <w:tc>
          <w:tcPr>
            <w:tcW w:w="13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380" w:hanging="550"/>
        <w:spacing w:after="0" w:line="207" w:lineRule="exact"/>
        <w:tabs>
          <w:tab w:leader="none" w:pos="1380" w:val="left"/>
        </w:tabs>
        <w:numPr>
          <w:ilvl w:val="0"/>
          <w:numId w:val="40"/>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5"/>
          <w:szCs w:val="15"/>
          <w:color w:val="auto"/>
        </w:rPr>
        <w:t>Broker or dealer registered under Section 15 of the Exchange Act.</w:t>
      </w:r>
    </w:p>
    <w:p>
      <w:pPr>
        <w:spacing w:after="0" w:line="55" w:lineRule="exact"/>
        <w:rPr>
          <w:rFonts w:ascii="Arial" w:cs="Arial" w:eastAsia="Arial" w:hAnsi="Arial"/>
          <w:sz w:val="18"/>
          <w:szCs w:val="18"/>
          <w:b w:val="1"/>
          <w:bCs w:val="1"/>
          <w:color w:val="auto"/>
        </w:rPr>
      </w:pPr>
    </w:p>
    <w:p>
      <w:pPr>
        <w:ind w:left="1380" w:hanging="560"/>
        <w:spacing w:after="0" w:line="207" w:lineRule="exact"/>
        <w:tabs>
          <w:tab w:leader="none" w:pos="1380" w:val="left"/>
        </w:tabs>
        <w:numPr>
          <w:ilvl w:val="0"/>
          <w:numId w:val="40"/>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5"/>
          <w:szCs w:val="15"/>
          <w:color w:val="auto"/>
        </w:rPr>
        <w:t>Bank as defined in Section 3(a)(6) of the Exchange Act.</w:t>
      </w:r>
    </w:p>
    <w:p>
      <w:pPr>
        <w:spacing w:after="0" w:line="9" w:lineRule="exact"/>
        <w:rPr>
          <w:rFonts w:ascii="Arial" w:cs="Arial" w:eastAsia="Arial" w:hAnsi="Arial"/>
          <w:sz w:val="18"/>
          <w:szCs w:val="18"/>
          <w:b w:val="1"/>
          <w:bCs w:val="1"/>
          <w:color w:val="auto"/>
        </w:rPr>
      </w:pPr>
    </w:p>
    <w:p>
      <w:pPr>
        <w:ind w:left="1380" w:hanging="540"/>
        <w:spacing w:after="0" w:line="207" w:lineRule="exact"/>
        <w:tabs>
          <w:tab w:leader="none" w:pos="1380" w:val="left"/>
        </w:tabs>
        <w:numPr>
          <w:ilvl w:val="0"/>
          <w:numId w:val="40"/>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5"/>
          <w:szCs w:val="15"/>
          <w:color w:val="auto"/>
        </w:rPr>
        <w:t>Insurance company as defined in Section 3(a)(19) of the Exchange Act.</w:t>
      </w:r>
    </w:p>
    <w:p>
      <w:pPr>
        <w:spacing w:after="0" w:line="9" w:lineRule="exact"/>
        <w:rPr>
          <w:rFonts w:ascii="Arial" w:cs="Arial" w:eastAsia="Arial" w:hAnsi="Arial"/>
          <w:sz w:val="18"/>
          <w:szCs w:val="18"/>
          <w:b w:val="1"/>
          <w:bCs w:val="1"/>
          <w:color w:val="auto"/>
        </w:rPr>
      </w:pPr>
    </w:p>
    <w:p>
      <w:pPr>
        <w:ind w:left="1900" w:right="3699" w:hanging="1080"/>
        <w:spacing w:after="0" w:line="213" w:lineRule="exact"/>
        <w:tabs>
          <w:tab w:leader="none" w:pos="1313" w:val="left"/>
        </w:tabs>
        <w:numPr>
          <w:ilvl w:val="0"/>
          <w:numId w:val="40"/>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Investment company registered under Section 8 of the Investment Company Act.</w:t>
      </w:r>
    </w:p>
    <w:p>
      <w:pPr>
        <w:ind w:left="1380" w:hanging="540"/>
        <w:spacing w:after="0" w:line="207" w:lineRule="exact"/>
        <w:tabs>
          <w:tab w:leader="none" w:pos="1380" w:val="left"/>
        </w:tabs>
        <w:numPr>
          <w:ilvl w:val="0"/>
          <w:numId w:val="40"/>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Rule 13d-1(b)(1)(ii)(E).</w:t>
      </w:r>
    </w:p>
    <w:p>
      <w:pPr>
        <w:spacing w:after="0" w:line="16" w:lineRule="exact"/>
        <w:rPr>
          <w:rFonts w:ascii="Arial" w:cs="Arial" w:eastAsia="Arial" w:hAnsi="Arial"/>
          <w:sz w:val="18"/>
          <w:szCs w:val="18"/>
          <w:b w:val="1"/>
          <w:bCs w:val="1"/>
          <w:color w:val="auto"/>
        </w:rPr>
      </w:pPr>
    </w:p>
    <w:p>
      <w:pPr>
        <w:ind w:left="1900" w:right="3339" w:hanging="1041"/>
        <w:spacing w:after="0" w:line="213" w:lineRule="exact"/>
        <w:tabs>
          <w:tab w:leader="none" w:pos="1313" w:val="left"/>
        </w:tabs>
        <w:numPr>
          <w:ilvl w:val="0"/>
          <w:numId w:val="40"/>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An employee benefit plan or endowment fund in accordance with Rule 13d-1(b)(1)(ii)(F).</w:t>
      </w:r>
    </w:p>
    <w:p>
      <w:pPr>
        <w:ind w:left="1900" w:right="3099" w:hanging="1070"/>
        <w:spacing w:after="0" w:line="216" w:lineRule="exact"/>
        <w:tabs>
          <w:tab w:leader="none" w:pos="1313" w:val="left"/>
        </w:tabs>
        <w:numPr>
          <w:ilvl w:val="0"/>
          <w:numId w:val="40"/>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A parent holding company or control person in accordance with Rule 13d-1(b)(1)(ii)(G).</w:t>
      </w:r>
    </w:p>
    <w:p>
      <w:pPr>
        <w:ind w:left="1900" w:right="3339" w:hanging="1080"/>
        <w:spacing w:after="0" w:line="216" w:lineRule="exact"/>
        <w:tabs>
          <w:tab w:leader="none" w:pos="1313" w:val="left"/>
        </w:tabs>
        <w:numPr>
          <w:ilvl w:val="0"/>
          <w:numId w:val="40"/>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A savings association as defined in Section 3(b) of the Federal Deposit Insurance Act.</w:t>
      </w:r>
    </w:p>
    <w:p>
      <w:pPr>
        <w:jc w:val="right"/>
        <w:ind w:left="1900" w:right="3599" w:hanging="1031"/>
        <w:spacing w:after="0" w:line="216" w:lineRule="exact"/>
        <w:tabs>
          <w:tab w:leader="none" w:pos="1313" w:val="left"/>
        </w:tabs>
        <w:numPr>
          <w:ilvl w:val="0"/>
          <w:numId w:val="40"/>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6"/>
          <w:szCs w:val="16"/>
          <w:color w:val="auto"/>
        </w:rPr>
        <w:t>A church plan that is excluded from the definition of an investment company under Section 3(c)(14) of the Investment Company Act.</w:t>
      </w:r>
    </w:p>
    <w:p>
      <w:pPr>
        <w:spacing w:after="0" w:line="1" w:lineRule="exact"/>
        <w:rPr>
          <w:rFonts w:ascii="Arial" w:cs="Arial" w:eastAsia="Arial" w:hAnsi="Arial"/>
          <w:sz w:val="18"/>
          <w:szCs w:val="18"/>
          <w:b w:val="1"/>
          <w:bCs w:val="1"/>
          <w:color w:val="auto"/>
        </w:rPr>
      </w:pPr>
    </w:p>
    <w:p>
      <w:pPr>
        <w:ind w:left="1380" w:hanging="521"/>
        <w:spacing w:after="0" w:line="207" w:lineRule="exact"/>
        <w:tabs>
          <w:tab w:leader="none" w:pos="1380" w:val="left"/>
        </w:tabs>
        <w:numPr>
          <w:ilvl w:val="0"/>
          <w:numId w:val="40"/>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Rule 13d-1(b)(1)(ii)(J).</w:t>
      </w:r>
    </w:p>
    <w:p>
      <w:pPr>
        <w:spacing w:after="0" w:line="78" w:lineRule="exact"/>
        <w:rPr>
          <w:rFonts w:ascii="Arial" w:cs="Arial" w:eastAsia="Arial" w:hAnsi="Arial"/>
          <w:sz w:val="18"/>
          <w:szCs w:val="18"/>
          <w:b w:val="1"/>
          <w:bCs w:val="1"/>
          <w:color w:val="auto"/>
        </w:rPr>
      </w:pPr>
    </w:p>
    <w:p>
      <w:pPr>
        <w:ind w:left="138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 xml:space="preserve">If this statement is filed pursuant to Rule 13d-1(c), check this box.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b w:val="1"/>
          <w:bCs w:val="1"/>
          <w:color w:val="auto"/>
        </w:rPr>
      </w:pPr>
    </w:p>
    <w:p>
      <w:pPr>
        <w:ind w:left="5680" w:hanging="112"/>
        <w:spacing w:after="0"/>
        <w:tabs>
          <w:tab w:leader="none" w:pos="56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219"/>
          </w:cols>
          <w:pgMar w:left="240" w:top="405" w:right="1440" w:bottom="1440" w:gutter="0" w:footer="0" w:header="0"/>
        </w:sectPr>
      </w:pPr>
    </w:p>
    <w:bookmarkStart w:id="7" w:name="page8"/>
    <w:bookmarkEnd w:id="7"/>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u w:val="single" w:color="auto"/>
          <w:color w:val="auto"/>
        </w:rPr>
        <w:t>Ownership</w:t>
      </w:r>
      <w:r>
        <w:rPr>
          <w:rFonts w:ascii="Arial" w:cs="Arial" w:eastAsia="Arial" w:hAnsi="Arial"/>
          <w:sz w:val="15"/>
          <w:szCs w:val="15"/>
          <w:b w:val="1"/>
          <w:bCs w:val="1"/>
          <w:color w:val="auto"/>
        </w:rPr>
        <w:t>:</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information is as of September 30, 2002:</w:t>
      </w:r>
    </w:p>
    <w:p>
      <w:pPr>
        <w:spacing w:after="0" w:line="158" w:lineRule="exact"/>
        <w:rPr>
          <w:sz w:val="20"/>
          <w:szCs w:val="20"/>
          <w:color w:val="auto"/>
        </w:rPr>
      </w:pPr>
    </w:p>
    <w:p>
      <w:pPr>
        <w:ind w:left="1260" w:hanging="357"/>
        <w:spacing w:after="0"/>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 Beneficially Owned:  256,055,600</w:t>
      </w:r>
    </w:p>
    <w:p>
      <w:pPr>
        <w:spacing w:after="0" w:line="157" w:lineRule="exact"/>
        <w:rPr>
          <w:rFonts w:ascii="Arial" w:cs="Arial" w:eastAsia="Arial" w:hAnsi="Arial"/>
          <w:sz w:val="18"/>
          <w:szCs w:val="18"/>
          <w:color w:val="auto"/>
        </w:rPr>
      </w:pPr>
    </w:p>
    <w:p>
      <w:pPr>
        <w:ind w:left="1280" w:hanging="377"/>
        <w:spacing w:after="0"/>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Percent of Class: 8.3%</w:t>
      </w:r>
      <w:r>
        <w:rPr>
          <w:rFonts w:ascii="Arial" w:cs="Arial" w:eastAsia="Arial" w:hAnsi="Arial"/>
          <w:sz w:val="22"/>
          <w:szCs w:val="22"/>
          <w:color w:val="auto"/>
          <w:vertAlign w:val="superscript"/>
        </w:rPr>
        <w:t>1</w:t>
      </w:r>
    </w:p>
    <w:p>
      <w:pPr>
        <w:spacing w:after="0" w:line="111" w:lineRule="exact"/>
        <w:rPr>
          <w:rFonts w:ascii="Arial" w:cs="Arial" w:eastAsia="Arial" w:hAnsi="Arial"/>
          <w:sz w:val="18"/>
          <w:szCs w:val="18"/>
          <w:color w:val="auto"/>
        </w:rPr>
      </w:pPr>
    </w:p>
    <w:p>
      <w:pPr>
        <w:ind w:left="1280" w:hanging="377"/>
        <w:spacing w:after="0"/>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57" w:lineRule="exact"/>
        <w:rPr>
          <w:rFonts w:ascii="Arial" w:cs="Arial" w:eastAsia="Arial" w:hAnsi="Arial"/>
          <w:sz w:val="18"/>
          <w:szCs w:val="18"/>
          <w:color w:val="auto"/>
        </w:rPr>
      </w:pPr>
    </w:p>
    <w:p>
      <w:pPr>
        <w:ind w:left="2160" w:hanging="680"/>
        <w:spacing w:after="0"/>
        <w:tabs>
          <w:tab w:leader="none" w:pos="2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sole power to vote or to direct the vote:  256,055,600</w:t>
      </w:r>
    </w:p>
    <w:p>
      <w:pPr>
        <w:spacing w:after="0" w:line="157" w:lineRule="exact"/>
        <w:rPr>
          <w:rFonts w:ascii="Arial" w:cs="Arial" w:eastAsia="Arial" w:hAnsi="Arial"/>
          <w:sz w:val="18"/>
          <w:szCs w:val="18"/>
          <w:color w:val="auto"/>
        </w:rPr>
      </w:pPr>
    </w:p>
    <w:p>
      <w:pPr>
        <w:ind w:left="2160" w:hanging="680"/>
        <w:spacing w:after="0"/>
        <w:tabs>
          <w:tab w:leader="none" w:pos="2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57" w:lineRule="exact"/>
        <w:rPr>
          <w:rFonts w:ascii="Arial" w:cs="Arial" w:eastAsia="Arial" w:hAnsi="Arial"/>
          <w:sz w:val="18"/>
          <w:szCs w:val="18"/>
          <w:color w:val="auto"/>
        </w:rPr>
      </w:pPr>
    </w:p>
    <w:p>
      <w:pPr>
        <w:ind w:left="2160" w:hanging="680"/>
        <w:spacing w:after="0"/>
        <w:tabs>
          <w:tab w:leader="none" w:pos="2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256,055,600</w:t>
      </w:r>
    </w:p>
    <w:p>
      <w:pPr>
        <w:spacing w:after="0" w:line="157" w:lineRule="exact"/>
        <w:rPr>
          <w:rFonts w:ascii="Arial" w:cs="Arial" w:eastAsia="Arial" w:hAnsi="Arial"/>
          <w:sz w:val="18"/>
          <w:szCs w:val="18"/>
          <w:color w:val="auto"/>
        </w:rPr>
      </w:pPr>
    </w:p>
    <w:p>
      <w:pPr>
        <w:ind w:left="2160" w:hanging="680"/>
        <w:spacing w:after="0"/>
        <w:tabs>
          <w:tab w:leader="none" w:pos="2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158" w:lineRule="exact"/>
        <w:rPr>
          <w:sz w:val="20"/>
          <w:szCs w:val="20"/>
          <w:color w:val="auto"/>
        </w:rPr>
      </w:pPr>
    </w:p>
    <w:p>
      <w:pPr>
        <w:ind w:left="920" w:right="120"/>
        <w:spacing w:after="0" w:line="259" w:lineRule="auto"/>
        <w:rPr>
          <w:sz w:val="20"/>
          <w:szCs w:val="20"/>
          <w:color w:val="auto"/>
        </w:rPr>
      </w:pPr>
      <w:r>
        <w:rPr>
          <w:rFonts w:ascii="Arial" w:cs="Arial" w:eastAsia="Arial" w:hAnsi="Arial"/>
          <w:sz w:val="18"/>
          <w:szCs w:val="18"/>
          <w:color w:val="auto"/>
        </w:rPr>
        <w:t>Best Alliance Profits Limited is the direct owner of 256,055,600 Ordinary Shares of the Issuer and Newscorp Cayman International Limited is the direct beneficial owner of 256,055,600 Ordinary Shares of the Issuer. As News Corporation indirectly controls Best Alliance Profits Limited, News Corporation may be deemed to own beneficially the ordinary shares of the Issuer reported herein.</w:t>
      </w:r>
    </w:p>
    <w:p>
      <w:pPr>
        <w:spacing w:after="0" w:line="127" w:lineRule="exact"/>
        <w:rPr>
          <w:sz w:val="20"/>
          <w:szCs w:val="20"/>
          <w:color w:val="auto"/>
        </w:rPr>
      </w:pPr>
    </w:p>
    <w:p>
      <w:pPr>
        <w:ind w:left="920"/>
        <w:spacing w:after="0" w:line="254" w:lineRule="auto"/>
        <w:rPr>
          <w:sz w:val="20"/>
          <w:szCs w:val="20"/>
          <w:color w:val="auto"/>
        </w:rPr>
      </w:pPr>
      <w:r>
        <w:rPr>
          <w:rFonts w:ascii="Arial" w:cs="Arial" w:eastAsia="Arial" w:hAnsi="Arial"/>
          <w:sz w:val="18"/>
          <w:szCs w:val="18"/>
          <w:color w:val="auto"/>
        </w:rPr>
        <w:t>Approximately 30% of the voting stock of News Corporation is owned by (i) Mr. Murdoch, (ii) Cruden Investments Pty. Limited, a private Australian investment company owned by Mr. Murdoch, members of his family and various corporations and trusts, the beneficiaries of which include Mr. Murdoch, members of his family and certain charities; and (iii) corporations which are controlled by trustees of settlements and trusts set up for the benefit of the Murdoch family, certain charities and other persons. By virtue of the shares of News Corporation owned by such persons and entities, and Mr. Murdoch’s positions as Chairman and Chief Executive of News Corporation, Mr. Murdoch may be deemed to control the operations of News Corporation.</w:t>
      </w:r>
    </w:p>
    <w:p>
      <w:pPr>
        <w:spacing w:after="0" w:line="1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u w:val="single" w:color="auto"/>
          <w:color w:val="auto"/>
        </w:rPr>
        <w:t>Ownership of Five Percent or Less of a Class</w:t>
      </w:r>
      <w:r>
        <w:rPr>
          <w:rFonts w:ascii="Arial" w:cs="Arial" w:eastAsia="Arial" w:hAnsi="Arial"/>
          <w:sz w:val="15"/>
          <w:szCs w:val="15"/>
          <w:b w:val="1"/>
          <w:bCs w:val="1"/>
          <w:color w:val="auto"/>
        </w:rPr>
        <w:t>:</w:t>
      </w:r>
    </w:p>
    <w:p>
      <w:pPr>
        <w:spacing w:after="0" w:line="164" w:lineRule="exact"/>
        <w:rPr>
          <w:sz w:val="20"/>
          <w:szCs w:val="20"/>
          <w:color w:val="auto"/>
        </w:rPr>
      </w:pPr>
    </w:p>
    <w:p>
      <w:pPr>
        <w:ind w:left="920" w:right="40"/>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 xml:space="preserve"> {__}</w:t>
      </w:r>
    </w:p>
    <w:p>
      <w:pPr>
        <w:spacing w:after="0" w:line="11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u w:val="single" w:color="auto"/>
          <w:color w:val="auto"/>
        </w:rPr>
        <w:t>Ownership of More than Five Percent on Behalf of Another Person</w:t>
      </w:r>
      <w:r>
        <w:rPr>
          <w:rFonts w:ascii="Arial" w:cs="Arial" w:eastAsia="Arial" w:hAnsi="Arial"/>
          <w:sz w:val="15"/>
          <w:szCs w:val="15"/>
          <w:b w:val="1"/>
          <w:bCs w:val="1"/>
          <w:color w:val="auto"/>
        </w:rPr>
        <w:t>:</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u w:val="single" w:color="auto"/>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a Group</w:t>
      </w:r>
      <w:r>
        <w:rPr>
          <w:rFonts w:ascii="Arial" w:cs="Arial" w:eastAsia="Arial" w:hAnsi="Arial"/>
          <w:sz w:val="16"/>
          <w:szCs w:val="16"/>
          <w:b w:val="1"/>
          <w:bCs w:val="1"/>
          <w:color w:val="auto"/>
        </w:rPr>
        <w:t>:</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00"/>
          </w:cols>
          <w:pgMar w:left="240" w:top="422" w:right="259" w:bottom="1440" w:gutter="0" w:footer="0" w:header="0"/>
        </w:sectPr>
      </w:pPr>
    </w:p>
    <w:bookmarkStart w:id="8" w:name="page9"/>
    <w:bookmarkEnd w:id="8"/>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w:t>
      </w:r>
      <w:r>
        <w:rPr>
          <w:sz w:val="20"/>
          <w:szCs w:val="20"/>
          <w:color w:val="auto"/>
        </w:rPr>
        <w:tab/>
      </w:r>
      <w:r>
        <w:rPr>
          <w:rFonts w:ascii="Arial" w:cs="Arial" w:eastAsia="Arial" w:hAnsi="Arial"/>
          <w:sz w:val="15"/>
          <w:szCs w:val="15"/>
          <w:b w:val="1"/>
          <w:bCs w:val="1"/>
          <w:color w:val="auto"/>
        </w:rPr>
        <w:t>N</w:t>
      </w:r>
      <w:r>
        <w:rPr>
          <w:rFonts w:ascii="Arial" w:cs="Arial" w:eastAsia="Arial" w:hAnsi="Arial"/>
          <w:sz w:val="15"/>
          <w:szCs w:val="15"/>
          <w:b w:val="1"/>
          <w:bCs w:val="1"/>
          <w:u w:val="single" w:color="auto"/>
          <w:color w:val="auto"/>
        </w:rPr>
        <w:t>otice of Dissolution of Group</w:t>
      </w:r>
      <w:r>
        <w:rPr>
          <w:rFonts w:ascii="Arial" w:cs="Arial" w:eastAsia="Arial" w:hAnsi="Arial"/>
          <w:sz w:val="15"/>
          <w:szCs w:val="15"/>
          <w:b w:val="1"/>
          <w:bCs w:val="1"/>
          <w:color w:val="auto"/>
        </w:rPr>
        <w:t>:</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Item 10(a) and (b).</w:t>
      </w:r>
      <w:r>
        <w:rPr>
          <w:sz w:val="20"/>
          <w:szCs w:val="20"/>
          <w:color w:val="auto"/>
        </w:rPr>
        <w:tab/>
      </w:r>
      <w:r>
        <w:rPr>
          <w:rFonts w:ascii="Arial" w:cs="Arial" w:eastAsia="Arial" w:hAnsi="Arial"/>
          <w:sz w:val="16"/>
          <w:szCs w:val="16"/>
          <w:b w:val="1"/>
          <w:bCs w:val="1"/>
          <w:u w:val="single" w:color="auto"/>
          <w:color w:val="auto"/>
        </w:rPr>
        <w:t>Certification</w:t>
      </w:r>
      <w:r>
        <w:rPr>
          <w:rFonts w:ascii="Arial" w:cs="Arial" w:eastAsia="Arial" w:hAnsi="Arial"/>
          <w:sz w:val="16"/>
          <w:szCs w:val="16"/>
          <w:b w:val="1"/>
          <w:bCs w:val="1"/>
          <w:color w:val="auto"/>
        </w:rPr>
        <w:t>:</w:t>
      </w:r>
    </w:p>
    <w:p>
      <w:pPr>
        <w:spacing w:after="0" w:line="16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219"/>
          </w:cols>
          <w:pgMar w:left="240" w:top="422" w:right="1440" w:bottom="1440" w:gutter="0" w:footer="0" w:header="0"/>
        </w:sectPr>
      </w:pPr>
    </w:p>
    <w:bookmarkStart w:id="9" w:name="page10"/>
    <w:bookmarkEnd w:id="9"/>
    <w:p>
      <w:pPr>
        <w:jc w:val="center"/>
        <w:ind w:right="-1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58" w:lineRule="exact"/>
        <w:rPr>
          <w:sz w:val="20"/>
          <w:szCs w:val="20"/>
          <w:color w:val="auto"/>
        </w:rPr>
      </w:pPr>
    </w:p>
    <w:p>
      <w:pPr>
        <w:ind w:firstLine="456"/>
        <w:spacing w:after="0" w:line="411"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Dated: January 30, 2003</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22"/>
          <w:szCs w:val="22"/>
          <w:b w:val="1"/>
          <w:bCs w:val="1"/>
          <w:color w:val="auto"/>
        </w:rPr>
        <w:t>BEST ALLIANCE PROFITS LIMITED</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Bruce B. Churchill</w:t>
      </w:r>
    </w:p>
    <w:p>
      <w:pPr>
        <w:spacing w:after="0" w:line="158"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Bruce B. Churchill</w:t>
      </w:r>
    </w:p>
    <w:p>
      <w:pPr>
        <w:spacing w:after="0" w:line="1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Title: Director</w:t>
      </w: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240"/>
          </w:cols>
          <w:pgMar w:left="240" w:top="409" w:right="419" w:bottom="1440" w:gutter="0" w:footer="0" w:header="0"/>
        </w:sectPr>
      </w:pPr>
    </w:p>
    <w:bookmarkStart w:id="10" w:name="page11"/>
    <w:bookmarkEnd w:id="10"/>
    <w:p>
      <w:pPr>
        <w:jc w:val="center"/>
        <w:ind w:right="-1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58" w:lineRule="exact"/>
        <w:rPr>
          <w:sz w:val="20"/>
          <w:szCs w:val="20"/>
          <w:color w:val="auto"/>
        </w:rPr>
      </w:pPr>
    </w:p>
    <w:p>
      <w:pPr>
        <w:ind w:firstLine="456"/>
        <w:spacing w:after="0" w:line="411"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Dated: January 30, 2003</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22"/>
          <w:szCs w:val="22"/>
          <w:b w:val="1"/>
          <w:bCs w:val="1"/>
          <w:color w:val="auto"/>
        </w:rPr>
        <w:t>NEWSCORP CAYMAN</w:t>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22"/>
          <w:szCs w:val="22"/>
          <w:b w:val="1"/>
          <w:bCs w:val="1"/>
          <w:color w:val="auto"/>
        </w:rPr>
        <w:t>INTERNATIONAL LIMITED</w:t>
      </w:r>
    </w:p>
    <w:p>
      <w:pPr>
        <w:spacing w:after="0" w:line="13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Arthur M. Siskind</w:t>
      </w:r>
    </w:p>
    <w:p>
      <w:pPr>
        <w:spacing w:after="0" w:line="1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Arthur M. Siskind</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Title: Director</w:t>
      </w: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240"/>
          </w:cols>
          <w:pgMar w:left="240" w:top="409" w:right="419" w:bottom="1440" w:gutter="0" w:footer="0" w:header="0"/>
        </w:sectPr>
      </w:pPr>
    </w:p>
    <w:bookmarkStart w:id="11" w:name="page12"/>
    <w:bookmarkEnd w:id="11"/>
    <w:p>
      <w:pPr>
        <w:jc w:val="center"/>
        <w:ind w:right="-1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58" w:lineRule="exact"/>
        <w:rPr>
          <w:sz w:val="20"/>
          <w:szCs w:val="20"/>
          <w:color w:val="auto"/>
        </w:rPr>
      </w:pPr>
    </w:p>
    <w:p>
      <w:pPr>
        <w:ind w:firstLine="456"/>
        <w:spacing w:after="0" w:line="411"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Dated: January 30, 2003</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22"/>
          <w:szCs w:val="22"/>
          <w:b w:val="1"/>
          <w:bCs w:val="1"/>
          <w:color w:val="auto"/>
        </w:rPr>
        <w:t>THE NEWS CORPORATION LIMITED</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Arthur M. Siskind</w:t>
      </w:r>
    </w:p>
    <w:p>
      <w:pPr>
        <w:spacing w:after="0" w:line="1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Name: Arthur M. Siskind</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Title: Director</w:t>
      </w: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240"/>
          </w:cols>
          <w:pgMar w:left="240" w:top="409" w:right="419" w:bottom="1440" w:gutter="0" w:footer="0" w:header="0"/>
        </w:sectPr>
      </w:pPr>
    </w:p>
    <w:bookmarkStart w:id="12" w:name="page13"/>
    <w:bookmarkEnd w:id="12"/>
    <w:p>
      <w:pPr>
        <w:jc w:val="center"/>
        <w:ind w:right="-1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58" w:lineRule="exact"/>
        <w:rPr>
          <w:sz w:val="20"/>
          <w:szCs w:val="20"/>
          <w:color w:val="auto"/>
        </w:rPr>
      </w:pPr>
    </w:p>
    <w:p>
      <w:pPr>
        <w:ind w:firstLine="456"/>
        <w:spacing w:after="0" w:line="422"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Dated: January 30, 2003</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/s/ K. Rupert Murdoch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 Rupert Murdoch</w:t>
      </w: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240"/>
          </w:cols>
          <w:pgMar w:left="240" w:top="409" w:right="41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color w:val="auto"/>
        </w:rPr>
        <w:t>Exhibit 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15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Best Alliance Profits Limited, Newscorp Cayman International Limited, The News Corporation Limited and K. Rupert Murdoch (the “Reporting Persons”) hereby agree to file jointly the Schedule 13G to which this Joint Filing Agreement is attached and any amendments thereto, as permitted by Rule 13d-1 promulgated under the Securities Exchange Act of 1934, as amended. This Joint Filing Agreement hereby supersedes and replaces any Joint Filing Agreement previously executed by any of the Reporting Persons with respect to the ordinary shares of Netease.com, Inc. Each of the Reporting Persons agrees that the information set forth in such Schedule 13G and any amendments thereto with respect to that Reporting Person will be true, complete and correct as of the date of that Schedule 13G or that amendment, to the best of that Reporting Person’s knowledge and belief, after reasonable inquiry. Each of the Reporting Persons makes no representations as to the accuracy or adequacy of the information set forth in the Schedule 13G or any amendments thereto with respect to any other Reporting Person. Each of the Reporting Persons shall notify the other Reporting Persons promptly if any of the information set forth in the Schedule 13G or any amendments thereto becomes inaccurate in any material respect or if that person learns of information which would require an amendment to the Schedule 13G.</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have executed this Joint Filing Agreement as of the 30th day of January, 2003.</w:t>
      </w:r>
    </w:p>
    <w:p>
      <w:pPr>
        <w:spacing w:after="0" w:line="139" w:lineRule="exact"/>
        <w:rPr>
          <w:sz w:val="20"/>
          <w:szCs w:val="20"/>
          <w:color w:val="auto"/>
        </w:rPr>
      </w:pPr>
    </w:p>
    <w:p>
      <w:pPr>
        <w:ind w:left="6060"/>
        <w:spacing w:after="0"/>
        <w:rPr>
          <w:sz w:val="20"/>
          <w:szCs w:val="20"/>
          <w:color w:val="auto"/>
        </w:rPr>
      </w:pPr>
      <w:r>
        <w:rPr>
          <w:rFonts w:ascii="Arial" w:cs="Arial" w:eastAsia="Arial" w:hAnsi="Arial"/>
          <w:sz w:val="22"/>
          <w:szCs w:val="22"/>
          <w:b w:val="1"/>
          <w:bCs w:val="1"/>
          <w:color w:val="auto"/>
        </w:rPr>
        <w:t>BEST ALLIANCE PROFITS LIMITED</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Bruce B. Churchill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4040505</wp:posOffset>
            </wp:positionH>
            <wp:positionV relativeFrom="paragraph">
              <wp:posOffset>-13970</wp:posOffset>
            </wp:positionV>
            <wp:extent cx="13131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13180" cy="8890"/>
                    </a:xfrm>
                    <a:prstGeom prst="rect">
                      <a:avLst/>
                    </a:prstGeom>
                    <a:noFill/>
                  </pic:spPr>
                </pic:pic>
              </a:graphicData>
            </a:graphic>
          </wp:anchor>
        </w:drawing>
      </w:r>
    </w:p>
    <w:p>
      <w:pPr>
        <w:ind w:left="6420"/>
        <w:spacing w:after="0"/>
        <w:rPr>
          <w:sz w:val="20"/>
          <w:szCs w:val="20"/>
          <w:color w:val="auto"/>
        </w:rPr>
      </w:pPr>
      <w:r>
        <w:rPr>
          <w:rFonts w:ascii="Arial" w:cs="Arial" w:eastAsia="Arial" w:hAnsi="Arial"/>
          <w:sz w:val="18"/>
          <w:szCs w:val="18"/>
          <w:color w:val="auto"/>
        </w:rPr>
        <w:t>Name: Bruce B. Churchill</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Title: Director</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22"/>
          <w:szCs w:val="22"/>
          <w:b w:val="1"/>
          <w:bCs w:val="1"/>
          <w:color w:val="auto"/>
        </w:rPr>
        <w:t>NEWSCORP CAYMAN</w:t>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22"/>
          <w:szCs w:val="22"/>
          <w:b w:val="1"/>
          <w:bCs w:val="1"/>
          <w:color w:val="auto"/>
        </w:rPr>
        <w:t>INTERNATIONAL LIMITED</w:t>
      </w:r>
    </w:p>
    <w:p>
      <w:pPr>
        <w:spacing w:after="0" w:line="13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Arthur M. Siskind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4040505</wp:posOffset>
            </wp:positionH>
            <wp:positionV relativeFrom="paragraph">
              <wp:posOffset>-13970</wp:posOffset>
            </wp:positionV>
            <wp:extent cx="12820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2065" cy="8890"/>
                    </a:xfrm>
                    <a:prstGeom prst="rect">
                      <a:avLst/>
                    </a:prstGeom>
                    <a:noFill/>
                  </pic:spPr>
                </pic:pic>
              </a:graphicData>
            </a:graphic>
          </wp:anchor>
        </w:drawing>
      </w:r>
    </w:p>
    <w:p>
      <w:pPr>
        <w:ind w:left="6420"/>
        <w:spacing w:after="0"/>
        <w:rPr>
          <w:sz w:val="20"/>
          <w:szCs w:val="20"/>
          <w:color w:val="auto"/>
        </w:rPr>
      </w:pPr>
      <w:r>
        <w:rPr>
          <w:rFonts w:ascii="Arial" w:cs="Arial" w:eastAsia="Arial" w:hAnsi="Arial"/>
          <w:sz w:val="18"/>
          <w:szCs w:val="18"/>
          <w:color w:val="auto"/>
        </w:rPr>
        <w:t>Name: Arthur M. Siskind</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Title: Director</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22"/>
          <w:szCs w:val="22"/>
          <w:b w:val="1"/>
          <w:bCs w:val="1"/>
          <w:color w:val="auto"/>
        </w:rPr>
        <w:t>THE NEWS CORPORATION LIMITED</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Arthur M. Siskind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4040505</wp:posOffset>
            </wp:positionH>
            <wp:positionV relativeFrom="paragraph">
              <wp:posOffset>-13970</wp:posOffset>
            </wp:positionV>
            <wp:extent cx="12820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2065" cy="8890"/>
                    </a:xfrm>
                    <a:prstGeom prst="rect">
                      <a:avLst/>
                    </a:prstGeom>
                    <a:noFill/>
                  </pic:spPr>
                </pic:pic>
              </a:graphicData>
            </a:graphic>
          </wp:anchor>
        </w:drawing>
      </w:r>
    </w:p>
    <w:p>
      <w:pPr>
        <w:ind w:left="6420"/>
        <w:spacing w:after="0"/>
        <w:rPr>
          <w:sz w:val="20"/>
          <w:szCs w:val="20"/>
          <w:color w:val="auto"/>
        </w:rPr>
      </w:pPr>
      <w:r>
        <w:rPr>
          <w:rFonts w:ascii="Arial" w:cs="Arial" w:eastAsia="Arial" w:hAnsi="Arial"/>
          <w:sz w:val="18"/>
          <w:szCs w:val="18"/>
          <w:color w:val="auto"/>
        </w:rPr>
        <w:t>Name: Arthur M. Siskind</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Title: Director</w:t>
      </w:r>
    </w:p>
    <w:p>
      <w:pPr>
        <w:spacing w:after="0" w:line="151"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K. Rupert Murdoch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-13970</wp:posOffset>
            </wp:positionV>
            <wp:extent cx="12325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32535"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K. Rupert Murdoch</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lvl w:ilvl="1">
      <w:lvlJc w:val="left"/>
      <w:lvlText w:val="☒"/>
      <w:numFmt w:val="bullet"/>
      <w:start w:val="1"/>
    </w:lvl>
  </w:abstractNum>
  <w:abstractNum w:abstractNumId="2">
    <w:nsid w:val="721DA317"/>
    <w:multiLevelType w:val="hybridMultilevel"/>
    <w:lvl w:ilvl="0">
      <w:lvlJc w:val="left"/>
      <w:lvlText w:val="1"/>
      <w:numFmt w:val="bullet"/>
      <w:start w:val="1"/>
    </w:lvl>
  </w:abstractNum>
  <w:abstractNum w:abstractNumId="3">
    <w:nsid w:val="2443A858"/>
    <w:multiLevelType w:val="hybridMultilevel"/>
    <w:lvl w:ilvl="0">
      <w:lvlJc w:val="left"/>
      <w:lvlText w:val="(%1)"/>
      <w:numFmt w:val="lowerLetter"/>
      <w:start w:val="2"/>
    </w:lvl>
  </w:abstractNum>
  <w:abstractNum w:abstractNumId="4">
    <w:nsid w:val="2D1D5AE9"/>
    <w:multiLevelType w:val="hybridMultilevel"/>
    <w:lvl w:ilvl="0">
      <w:lvlJc w:val="left"/>
      <w:lvlText w:val="3"/>
      <w:numFmt w:val="bullet"/>
      <w:start w:val="1"/>
    </w:lvl>
  </w:abstractNum>
  <w:abstractNum w:abstractNumId="5">
    <w:nsid w:val="6763845E"/>
    <w:multiLevelType w:val="hybridMultilevel"/>
    <w:lvl w:ilvl="0">
      <w:lvlJc w:val="left"/>
      <w:lvlText w:val="4"/>
      <w:numFmt w:val="bullet"/>
      <w:start w:val="1"/>
    </w:lvl>
  </w:abstractNum>
  <w:abstractNum w:abstractNumId="6">
    <w:nsid w:val="75A2A8D4"/>
    <w:multiLevelType w:val="hybridMultilevel"/>
    <w:lvl w:ilvl="0">
      <w:lvlJc w:val="left"/>
      <w:lvlText w:val="6"/>
      <w:numFmt w:val="bullet"/>
      <w:start w:val="1"/>
    </w:lvl>
  </w:abstractNum>
  <w:abstractNum w:abstractNumId="7">
    <w:nsid w:val="8EDBDAB"/>
    <w:multiLevelType w:val="hybridMultilevel"/>
    <w:lvl w:ilvl="0">
      <w:lvlJc w:val="left"/>
      <w:lvlText w:val="7"/>
      <w:numFmt w:val="bullet"/>
      <w:start w:val="1"/>
    </w:lvl>
  </w:abstractNum>
  <w:abstractNum w:abstractNumId="8">
    <w:nsid w:val="79838CB2"/>
    <w:multiLevelType w:val="hybridMultilevel"/>
    <w:lvl w:ilvl="0">
      <w:lvlJc w:val="left"/>
      <w:lvlText w:val="8"/>
      <w:numFmt w:val="bullet"/>
      <w:start w:val="1"/>
    </w:lvl>
  </w:abstractNum>
  <w:abstractNum w:abstractNumId="9">
    <w:nsid w:val="4353D0CD"/>
    <w:multiLevelType w:val="hybridMultilevel"/>
    <w:lvl w:ilvl="0">
      <w:lvlJc w:val="left"/>
      <w:lvlText w:val="9"/>
      <w:numFmt w:val="bullet"/>
      <w:start w:val="1"/>
    </w:lvl>
  </w:abstractNum>
  <w:abstractNum w:abstractNumId="10">
    <w:nsid w:val="B03E0C6"/>
    <w:multiLevelType w:val="hybridMultilevel"/>
    <w:lvl w:ilvl="0">
      <w:lvlJc w:val="left"/>
      <w:lvlText w:val="%1"/>
      <w:numFmt w:val="decimal"/>
      <w:start w:val="11"/>
    </w:lvl>
  </w:abstractNum>
  <w:abstractNum w:abstractNumId="11">
    <w:nsid w:val="189A769B"/>
    <w:multiLevelType w:val="hybridMultilevel"/>
    <w:lvl w:ilvl="0">
      <w:lvlJc w:val="left"/>
      <w:lvlText w:val="1"/>
      <w:numFmt w:val="bullet"/>
      <w:start w:val="1"/>
    </w:lvl>
  </w:abstractNum>
  <w:abstractNum w:abstractNumId="12">
    <w:nsid w:val="54E49EB4"/>
    <w:multiLevelType w:val="hybridMultilevel"/>
    <w:lvl w:ilvl="0">
      <w:lvlJc w:val="left"/>
      <w:lvlText w:val="1"/>
      <w:numFmt w:val="bullet"/>
      <w:start w:val="1"/>
    </w:lvl>
  </w:abstractNum>
  <w:abstractNum w:abstractNumId="13">
    <w:nsid w:val="71F32454"/>
    <w:multiLevelType w:val="hybridMultilevel"/>
    <w:lvl w:ilvl="0">
      <w:lvlJc w:val="left"/>
      <w:lvlText w:val="(%1)"/>
      <w:numFmt w:val="lowerLetter"/>
      <w:start w:val="2"/>
    </w:lvl>
  </w:abstractNum>
  <w:abstractNum w:abstractNumId="14">
    <w:nsid w:val="2CA88611"/>
    <w:multiLevelType w:val="hybridMultilevel"/>
    <w:lvl w:ilvl="0">
      <w:lvlJc w:val="left"/>
      <w:lvlText w:val="3"/>
      <w:numFmt w:val="bullet"/>
      <w:start w:val="1"/>
    </w:lvl>
  </w:abstractNum>
  <w:abstractNum w:abstractNumId="15">
    <w:nsid w:val="836C40E"/>
    <w:multiLevelType w:val="hybridMultilevel"/>
    <w:lvl w:ilvl="0">
      <w:lvlJc w:val="left"/>
      <w:lvlText w:val="4"/>
      <w:numFmt w:val="bullet"/>
      <w:start w:val="1"/>
    </w:lvl>
  </w:abstractNum>
  <w:abstractNum w:abstractNumId="16">
    <w:nsid w:val="2901D82"/>
    <w:multiLevelType w:val="hybridMultilevel"/>
    <w:lvl w:ilvl="0">
      <w:lvlJc w:val="left"/>
      <w:lvlText w:val="6"/>
      <w:numFmt w:val="bullet"/>
      <w:start w:val="1"/>
    </w:lvl>
  </w:abstractNum>
  <w:abstractNum w:abstractNumId="17">
    <w:nsid w:val="3A95F874"/>
    <w:multiLevelType w:val="hybridMultilevel"/>
    <w:lvl w:ilvl="0">
      <w:lvlJc w:val="left"/>
      <w:lvlText w:val="7"/>
      <w:numFmt w:val="bullet"/>
      <w:start w:val="1"/>
    </w:lvl>
  </w:abstractNum>
  <w:abstractNum w:abstractNumId="18">
    <w:nsid w:val="8138641"/>
    <w:multiLevelType w:val="hybridMultilevel"/>
    <w:lvl w:ilvl="0">
      <w:lvlJc w:val="left"/>
      <w:lvlText w:val="8"/>
      <w:numFmt w:val="bullet"/>
      <w:start w:val="1"/>
    </w:lvl>
  </w:abstractNum>
  <w:abstractNum w:abstractNumId="19">
    <w:nsid w:val="1E7FF521"/>
    <w:multiLevelType w:val="hybridMultilevel"/>
    <w:lvl w:ilvl="0">
      <w:lvlJc w:val="left"/>
      <w:lvlText w:val="9"/>
      <w:numFmt w:val="bullet"/>
      <w:start w:val="1"/>
    </w:lvl>
  </w:abstractNum>
  <w:abstractNum w:abstractNumId="20">
    <w:nsid w:val="7C3DBD3D"/>
    <w:multiLevelType w:val="hybridMultilevel"/>
    <w:lvl w:ilvl="0">
      <w:lvlJc w:val="left"/>
      <w:lvlText w:val="%1"/>
      <w:numFmt w:val="decimal"/>
      <w:start w:val="11"/>
    </w:lvl>
  </w:abstractNum>
  <w:abstractNum w:abstractNumId="21">
    <w:nsid w:val="737B8DDC"/>
    <w:multiLevelType w:val="hybridMultilevel"/>
    <w:lvl w:ilvl="0">
      <w:lvlJc w:val="left"/>
      <w:lvlText w:val="1"/>
      <w:numFmt w:val="bullet"/>
      <w:start w:val="1"/>
    </w:lvl>
  </w:abstractNum>
  <w:abstractNum w:abstractNumId="22">
    <w:nsid w:val="6CEAF087"/>
    <w:multiLevelType w:val="hybridMultilevel"/>
    <w:lvl w:ilvl="0">
      <w:lvlJc w:val="left"/>
      <w:lvlText w:val="(%1)"/>
      <w:numFmt w:val="lowerLetter"/>
      <w:start w:val="2"/>
    </w:lvl>
  </w:abstractNum>
  <w:abstractNum w:abstractNumId="23">
    <w:nsid w:val="22221A70"/>
    <w:multiLevelType w:val="hybridMultilevel"/>
    <w:lvl w:ilvl="0">
      <w:lvlJc w:val="left"/>
      <w:lvlText w:val="3"/>
      <w:numFmt w:val="bullet"/>
      <w:start w:val="1"/>
    </w:lvl>
  </w:abstractNum>
  <w:abstractNum w:abstractNumId="24">
    <w:nsid w:val="4516DDE9"/>
    <w:multiLevelType w:val="hybridMultilevel"/>
    <w:lvl w:ilvl="0">
      <w:lvlJc w:val="left"/>
      <w:lvlText w:val="4"/>
      <w:numFmt w:val="bullet"/>
      <w:start w:val="1"/>
    </w:lvl>
  </w:abstractNum>
  <w:abstractNum w:abstractNumId="25">
    <w:nsid w:val="3006C83E"/>
    <w:multiLevelType w:val="hybridMultilevel"/>
    <w:lvl w:ilvl="0">
      <w:lvlJc w:val="left"/>
      <w:lvlText w:val="6"/>
      <w:numFmt w:val="bullet"/>
      <w:start w:val="1"/>
    </w:lvl>
  </w:abstractNum>
  <w:abstractNum w:abstractNumId="26">
    <w:nsid w:val="614FD4A1"/>
    <w:multiLevelType w:val="hybridMultilevel"/>
    <w:lvl w:ilvl="0">
      <w:lvlJc w:val="left"/>
      <w:lvlText w:val="7"/>
      <w:numFmt w:val="bullet"/>
      <w:start w:val="1"/>
    </w:lvl>
  </w:abstractNum>
  <w:abstractNum w:abstractNumId="27">
    <w:nsid w:val="419AC241"/>
    <w:multiLevelType w:val="hybridMultilevel"/>
    <w:lvl w:ilvl="0">
      <w:lvlJc w:val="left"/>
      <w:lvlText w:val="8"/>
      <w:numFmt w:val="bullet"/>
      <w:start w:val="1"/>
    </w:lvl>
  </w:abstractNum>
  <w:abstractNum w:abstractNumId="28">
    <w:nsid w:val="5577F8E1"/>
    <w:multiLevelType w:val="hybridMultilevel"/>
    <w:lvl w:ilvl="0">
      <w:lvlJc w:val="left"/>
      <w:lvlText w:val="9"/>
      <w:numFmt w:val="bullet"/>
      <w:start w:val="1"/>
    </w:lvl>
  </w:abstractNum>
  <w:abstractNum w:abstractNumId="29">
    <w:nsid w:val="440BADFC"/>
    <w:multiLevelType w:val="hybridMultilevel"/>
    <w:lvl w:ilvl="0">
      <w:lvlJc w:val="left"/>
      <w:lvlText w:val="%1"/>
      <w:numFmt w:val="decimal"/>
      <w:start w:val="11"/>
    </w:lvl>
  </w:abstractNum>
  <w:abstractNum w:abstractNumId="30">
    <w:nsid w:val="5072367"/>
    <w:multiLevelType w:val="hybridMultilevel"/>
    <w:lvl w:ilvl="0">
      <w:lvlJc w:val="left"/>
      <w:lvlText w:val="1"/>
      <w:numFmt w:val="bullet"/>
      <w:start w:val="1"/>
    </w:lvl>
  </w:abstractNum>
  <w:abstractNum w:abstractNumId="31">
    <w:nsid w:val="3804823E"/>
    <w:multiLevelType w:val="hybridMultilevel"/>
    <w:lvl w:ilvl="0">
      <w:lvlJc w:val="left"/>
      <w:lvlText w:val="(%1)"/>
      <w:numFmt w:val="lowerLetter"/>
      <w:start w:val="2"/>
    </w:lvl>
  </w:abstractNum>
  <w:abstractNum w:abstractNumId="32">
    <w:nsid w:val="77465F01"/>
    <w:multiLevelType w:val="hybridMultilevel"/>
    <w:lvl w:ilvl="0">
      <w:lvlJc w:val="left"/>
      <w:lvlText w:val="3"/>
      <w:numFmt w:val="bullet"/>
      <w:start w:val="1"/>
    </w:lvl>
  </w:abstractNum>
  <w:abstractNum w:abstractNumId="33">
    <w:nsid w:val="7724C67E"/>
    <w:multiLevelType w:val="hybridMultilevel"/>
    <w:lvl w:ilvl="0">
      <w:lvlJc w:val="left"/>
      <w:lvlText w:val="4"/>
      <w:numFmt w:val="bullet"/>
      <w:start w:val="1"/>
    </w:lvl>
  </w:abstractNum>
  <w:abstractNum w:abstractNumId="34">
    <w:nsid w:val="5C482A97"/>
    <w:multiLevelType w:val="hybridMultilevel"/>
    <w:lvl w:ilvl="0">
      <w:lvlJc w:val="left"/>
      <w:lvlText w:val="6"/>
      <w:numFmt w:val="bullet"/>
      <w:start w:val="1"/>
    </w:lvl>
  </w:abstractNum>
  <w:abstractNum w:abstractNumId="35">
    <w:nsid w:val="2463B9EA"/>
    <w:multiLevelType w:val="hybridMultilevel"/>
    <w:lvl w:ilvl="0">
      <w:lvlJc w:val="left"/>
      <w:lvlText w:val="7"/>
      <w:numFmt w:val="bullet"/>
      <w:start w:val="1"/>
    </w:lvl>
  </w:abstractNum>
  <w:abstractNum w:abstractNumId="36">
    <w:nsid w:val="5E884ADC"/>
    <w:multiLevelType w:val="hybridMultilevel"/>
    <w:lvl w:ilvl="0">
      <w:lvlJc w:val="left"/>
      <w:lvlText w:val="8"/>
      <w:numFmt w:val="bullet"/>
      <w:start w:val="1"/>
    </w:lvl>
  </w:abstractNum>
  <w:abstractNum w:abstractNumId="37">
    <w:nsid w:val="51EAD36B"/>
    <w:multiLevelType w:val="hybridMultilevel"/>
    <w:lvl w:ilvl="0">
      <w:lvlJc w:val="left"/>
      <w:lvlText w:val="9"/>
      <w:numFmt w:val="bullet"/>
      <w:start w:val="1"/>
    </w:lvl>
  </w:abstractNum>
  <w:abstractNum w:abstractNumId="38">
    <w:nsid w:val="2D517796"/>
    <w:multiLevelType w:val="hybridMultilevel"/>
    <w:lvl w:ilvl="0">
      <w:lvlJc w:val="left"/>
      <w:lvlText w:val="%1"/>
      <w:numFmt w:val="decimal"/>
      <w:start w:val="11"/>
    </w:lvl>
  </w:abstractNum>
  <w:abstractNum w:abstractNumId="39">
    <w:nsid w:val="580BD78F"/>
    <w:multiLevelType w:val="hybridMultilevel"/>
    <w:lvl w:ilvl="0">
      <w:lvlJc w:val="left"/>
      <w:lvlText w:val="(%1)"/>
      <w:numFmt w:val="lowerLetter"/>
      <w:start w:val="1"/>
    </w:lvl>
    <w:lvl w:ilvl="1">
      <w:lvlJc w:val="left"/>
      <w:lvlText w:val="-"/>
      <w:numFmt w:val="bullet"/>
      <w:start w:val="1"/>
    </w:lvl>
  </w:abstractNum>
  <w:abstractNum w:abstractNumId="40">
    <w:nsid w:val="153EA43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2019-12-12T02:47:35Z</dcterms:created>
  <dcterms:modified xsi:type="dcterms:W3CDTF">2019-12-12T02:47:35Z</dcterms:modified>
</cp:coreProperties>
</file>