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NETEASE.COM,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$0.00001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64110W10200</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MARCH 23, 2009</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4" w:lineRule="exact"/>
        <w:rPr>
          <w:sz w:val="24"/>
          <w:szCs w:val="24"/>
          <w:color w:val="auto"/>
        </w:rPr>
      </w:pPr>
    </w:p>
    <w:p>
      <w:pPr>
        <w:jc w:val="both"/>
        <w:ind w:left="640" w:right="7579"/>
        <w:spacing w:after="0" w:line="290" w:lineRule="auto"/>
        <w:tabs>
          <w:tab w:leader="none" w:pos="127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170"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CUSIP</w:t>
      </w:r>
      <w:r>
        <w:rPr>
          <w:sz w:val="20"/>
          <w:szCs w:val="20"/>
          <w:color w:val="auto"/>
        </w:rPr>
        <w:tab/>
      </w:r>
      <w:r>
        <w:rPr>
          <w:rFonts w:ascii="Courier New" w:cs="Courier New" w:eastAsia="Courier New" w:hAnsi="Courier New"/>
          <w:sz w:val="16"/>
          <w:szCs w:val="16"/>
          <w:color w:val="auto"/>
        </w:rPr>
        <w:t>No. 64110W10200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740" w:hanging="732"/>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740"/>
        <w:spacing w:after="0"/>
        <w:rPr>
          <w:sz w:val="20"/>
          <w:szCs w:val="20"/>
          <w:color w:val="auto"/>
        </w:rPr>
      </w:pPr>
      <w:r>
        <w:rPr>
          <w:rFonts w:ascii="Courier New" w:cs="Courier New" w:eastAsia="Courier New" w:hAnsi="Courier New"/>
          <w:sz w:val="18"/>
          <w:szCs w:val="18"/>
          <w:color w:val="auto"/>
        </w:rPr>
        <w:t>YONG PING DUAN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p>
      <w:pPr>
        <w:spacing w:after="0" w:line="224" w:lineRule="exact"/>
        <w:rPr>
          <w:sz w:val="24"/>
          <w:szCs w:val="24"/>
          <w:color w:val="auto"/>
        </w:rPr>
      </w:pPr>
    </w:p>
    <w:p>
      <w:pPr>
        <w:ind w:left="740" w:right="960" w:hanging="739"/>
        <w:spacing w:after="0" w:line="235" w:lineRule="auto"/>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 (See Instructions)</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[X]</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w:t>
      </w:r>
    </w:p>
    <w:p>
      <w:pPr>
        <w:spacing w:after="0" w:line="215" w:lineRule="exact"/>
        <w:rPr>
          <w:sz w:val="24"/>
          <w:szCs w:val="24"/>
          <w:color w:val="auto"/>
        </w:rPr>
      </w:pPr>
    </w:p>
    <w:p>
      <w:pPr>
        <w:sectPr>
          <w:pgSz w:w="11900" w:h="16838" w:orient="portrait"/>
          <w:cols w:equalWidth="0" w:num="2">
            <w:col w:w="6760" w:space="720"/>
            <w:col w:w="2739"/>
          </w:cols>
          <w:pgMar w:left="240" w:top="244" w:right="1440" w:bottom="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740"/>
        <w:spacing w:after="0" w:line="238" w:lineRule="auto"/>
        <w:rPr>
          <w:sz w:val="20"/>
          <w:szCs w:val="20"/>
          <w:color w:val="auto"/>
        </w:rPr>
      </w:pPr>
      <w:r>
        <w:rPr>
          <w:rFonts w:ascii="Courier New" w:cs="Courier New" w:eastAsia="Courier New" w:hAnsi="Courier New"/>
          <w:sz w:val="18"/>
          <w:szCs w:val="18"/>
          <w:color w:val="auto"/>
        </w:rPr>
        <w:t>U.S.A.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of</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Shares</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620" w:type="dxa"/>
            <w:vAlign w:val="bottom"/>
          </w:tcPr>
          <w:p>
            <w:pPr>
              <w:spacing w:after="0"/>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Voting Power</w:t>
            </w:r>
          </w:p>
        </w:tc>
        <w:tc>
          <w:tcPr>
            <w:tcW w:w="840" w:type="dxa"/>
            <w:vAlign w:val="bottom"/>
          </w:tcPr>
          <w:p>
            <w:pPr>
              <w:spacing w:after="0"/>
              <w:rPr>
                <w:sz w:val="17"/>
                <w:szCs w:val="17"/>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4,040,243</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620" w:type="dxa"/>
            <w:vAlign w:val="bottom"/>
            <w:gridSpan w:val="2"/>
          </w:tcPr>
          <w:p>
            <w:pPr>
              <w:ind w:left="260"/>
              <w:spacing w:after="0"/>
              <w:rPr>
                <w:sz w:val="20"/>
                <w:szCs w:val="20"/>
                <w:color w:val="auto"/>
              </w:rPr>
            </w:pPr>
            <w:r>
              <w:rPr>
                <w:rFonts w:ascii="Courier New" w:cs="Courier New" w:eastAsia="Courier New" w:hAnsi="Courier New"/>
                <w:sz w:val="5"/>
                <w:szCs w:val="5"/>
                <w:color w:val="auto"/>
                <w:w w:val="85"/>
              </w:rPr>
              <w:t>----------------------------------------------------</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Each</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Shared</w:t>
            </w:r>
          </w:p>
        </w:tc>
        <w:tc>
          <w:tcPr>
            <w:tcW w:w="2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spacing w:after="0"/>
              <w:rPr>
                <w:sz w:val="17"/>
                <w:szCs w:val="17"/>
                <w:color w:val="auto"/>
              </w:rPr>
            </w:pPr>
          </w:p>
        </w:tc>
      </w:tr>
      <w:tr>
        <w:trPr>
          <w:trHeight w:val="203"/>
        </w:trPr>
        <w:tc>
          <w:tcPr>
            <w:tcW w:w="1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spacing w:after="0"/>
              <w:rPr>
                <w:sz w:val="17"/>
                <w:szCs w:val="17"/>
                <w:color w:val="auto"/>
              </w:rPr>
            </w:pPr>
          </w:p>
        </w:tc>
        <w:tc>
          <w:tcPr>
            <w:tcW w:w="1620" w:type="dxa"/>
            <w:vAlign w:val="bottom"/>
            <w:gridSpan w:val="2"/>
          </w:tcPr>
          <w:p>
            <w:pPr>
              <w:ind w:left="260"/>
              <w:spacing w:after="0"/>
              <w:rPr>
                <w:sz w:val="20"/>
                <w:szCs w:val="20"/>
                <w:color w:val="auto"/>
              </w:rPr>
            </w:pPr>
            <w:r>
              <w:rPr>
                <w:rFonts w:ascii="Courier New" w:cs="Courier New" w:eastAsia="Courier New" w:hAnsi="Courier New"/>
                <w:sz w:val="5"/>
                <w:szCs w:val="5"/>
                <w:color w:val="auto"/>
                <w:w w:val="85"/>
              </w:rPr>
              <w:t>----------------------------------------------------</w:t>
            </w: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Dispositive</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4,040,243</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740" w:type="dxa"/>
            <w:vAlign w:val="bottom"/>
            <w:gridSpan w:val="6"/>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Shared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Dispositive</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4,720,055 SHARES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ind w:left="740"/>
        <w:spacing w:after="0"/>
        <w:tabs>
          <w:tab w:leader="none" w:pos="1680" w:val="left"/>
          <w:tab w:leader="none" w:pos="2520" w:val="left"/>
          <w:tab w:leader="none" w:pos="3140" w:val="left"/>
          <w:tab w:leader="none" w:pos="7780" w:val="left"/>
        </w:tabs>
        <w:rPr>
          <w:sz w:val="20"/>
          <w:szCs w:val="20"/>
          <w:color w:val="auto"/>
        </w:rPr>
      </w:pPr>
      <w:r>
        <w:rPr>
          <w:rFonts w:ascii="Courier New" w:cs="Courier New" w:eastAsia="Courier New" w:hAnsi="Courier New"/>
          <w:sz w:val="18"/>
          <w:szCs w:val="18"/>
          <w:color w:val="auto"/>
        </w:rPr>
        <w:t>Certain</w:t>
        <w:tab/>
        <w:t>Shares</w:t>
        <w:tab/>
        <w:t>(See</w:t>
        <w:tab/>
        <w:t>Instructions)</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740" w:hanging="732"/>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Item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3.69%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720" w:val="left"/>
          <w:tab w:leader="none" w:pos="1360" w:val="left"/>
          <w:tab w:leader="none" w:pos="1780" w:val="left"/>
          <w:tab w:leader="none" w:pos="2940" w:val="left"/>
          <w:tab w:leader="none" w:pos="3780" w:val="left"/>
          <w:tab w:leader="none" w:pos="44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w:t>
        <w:tab/>
        <w:t>of</w:t>
        <w:tab/>
        <w:t>Reporting</w:t>
        <w:tab/>
        <w:t>Person</w:t>
        <w:tab/>
        <w:t>(See</w:t>
      </w:r>
      <w:r>
        <w:rPr>
          <w:sz w:val="20"/>
          <w:szCs w:val="20"/>
          <w:color w:val="auto"/>
        </w:rPr>
        <w:tab/>
      </w:r>
      <w:r>
        <w:rPr>
          <w:rFonts w:ascii="Courier New" w:cs="Courier New" w:eastAsia="Courier New" w:hAnsi="Courier New"/>
          <w:sz w:val="16"/>
          <w:szCs w:val="16"/>
          <w:color w:val="auto"/>
        </w:rPr>
        <w:t>Instructions)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620" w:val="left"/>
        </w:tabs>
        <w:rPr>
          <w:sz w:val="20"/>
          <w:szCs w:val="20"/>
          <w:color w:val="auto"/>
        </w:rPr>
      </w:pPr>
      <w:r>
        <w:rPr>
          <w:rFonts w:ascii="Courier New" w:cs="Courier New" w:eastAsia="Courier New" w:hAnsi="Courier New"/>
          <w:sz w:val="18"/>
          <w:szCs w:val="18"/>
          <w:color w:val="auto"/>
        </w:rPr>
        <w:t>ITEM</w:t>
        <w:tab/>
        <w:t>1.</w:t>
      </w:r>
    </w:p>
    <w:p>
      <w:pPr>
        <w:spacing w:after="0" w:line="207" w:lineRule="exact"/>
        <w:rPr>
          <w:sz w:val="20"/>
          <w:szCs w:val="20"/>
          <w:color w:val="auto"/>
        </w:rPr>
      </w:pPr>
    </w:p>
    <w:p>
      <w:pPr>
        <w:jc w:val="both"/>
        <w:ind w:left="740" w:right="7779" w:hanging="732"/>
        <w:spacing w:after="0" w:line="290" w:lineRule="auto"/>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NETEASE.COM, INC</w:t>
      </w:r>
    </w:p>
    <w:p>
      <w:pPr>
        <w:spacing w:after="0" w:line="169" w:lineRule="exact"/>
        <w:rPr>
          <w:rFonts w:ascii="Courier New" w:cs="Courier New" w:eastAsia="Courier New" w:hAnsi="Courier New"/>
          <w:sz w:val="16"/>
          <w:szCs w:val="16"/>
          <w:color w:val="auto"/>
        </w:rPr>
      </w:pPr>
    </w:p>
    <w:p>
      <w:pPr>
        <w:ind w:left="740" w:right="4099" w:hanging="732"/>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 26TH FLOOR, TSINGHUA SCIENCE PARK BLDG.</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NO. 1, ZHONGGUANCUN E. RD.</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HAIDIAN DIST., BEJING. CHINA</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2.</w:t>
      </w:r>
    </w:p>
    <w:p>
      <w:pPr>
        <w:spacing w:after="0" w:line="207" w:lineRule="exact"/>
        <w:rPr>
          <w:sz w:val="20"/>
          <w:szCs w:val="20"/>
          <w:color w:val="auto"/>
        </w:rPr>
      </w:pPr>
    </w:p>
    <w:p>
      <w:pPr>
        <w:ind w:left="640" w:right="725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 YONG PING DUAN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347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C/O SY, LEE &amp; CHEN</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362 W. GARVEY AVE., MONTEREY PARK, CA 91754</w:t>
      </w:r>
    </w:p>
    <w:p>
      <w:pPr>
        <w:spacing w:after="0" w:line="207" w:lineRule="exact"/>
        <w:rPr>
          <w:rFonts w:ascii="Courier New" w:cs="Courier New" w:eastAsia="Courier New" w:hAnsi="Courier New"/>
          <w:sz w:val="18"/>
          <w:szCs w:val="18"/>
          <w:color w:val="auto"/>
        </w:rPr>
      </w:pPr>
    </w:p>
    <w:p>
      <w:pPr>
        <w:ind w:left="640" w:right="8419" w:hanging="632"/>
        <w:spacing w:after="0" w:line="290"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U.S.A.</w:t>
      </w:r>
    </w:p>
    <w:p>
      <w:pPr>
        <w:spacing w:after="0" w:line="164"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0.00001 PER SHARE</w:t>
      </w:r>
    </w:p>
    <w:p>
      <w:pPr>
        <w:spacing w:after="0" w:line="207" w:lineRule="exact"/>
        <w:rPr>
          <w:rFonts w:ascii="Courier New" w:cs="Courier New" w:eastAsia="Courier New" w:hAnsi="Courier New"/>
          <w:sz w:val="18"/>
          <w:szCs w:val="18"/>
          <w:color w:val="auto"/>
        </w:rPr>
      </w:pPr>
    </w:p>
    <w:p>
      <w:pPr>
        <w:ind w:left="640" w:right="8319" w:hanging="632"/>
        <w:spacing w:after="0" w:line="290"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64110W10200</w:t>
      </w:r>
    </w:p>
    <w:p>
      <w:pPr>
        <w:spacing w:after="0" w:line="16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3.</w:t>
      </w: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If this statement is filed pursuant to rule 240.13d- 1(b), or 240.13d-2(b)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280" w:right="2319" w:hanging="640"/>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Bank as defined in section 3(a)(6) of the Act (15 U.S.C. 78c).</w:t>
      </w:r>
    </w:p>
    <w:p>
      <w:pPr>
        <w:spacing w:after="0" w:line="206"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280" w:right="3359" w:hanging="640"/>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An investment adviser in accordance with 240.13d-1(b)(1)(ii)(E).</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A parent holding company or control person in accordance with 240.13d-1(b)(1)(ii)(G)</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ITEM</w:t>
        <w:tab/>
        <w:t>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419" w:firstLine="632"/>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 4,040,243</w:t>
      </w:r>
    </w:p>
    <w:p>
      <w:pPr>
        <w:sectPr>
          <w:pgSz w:w="11900" w:h="16838" w:orient="portrait"/>
          <w:cols w:equalWidth="0" w:num="1">
            <w:col w:w="10219"/>
          </w:cols>
          <w:pgMar w:left="240" w:top="717" w:right="1440" w:bottom="1440" w:gutter="0" w:footer="0" w:header="0"/>
        </w:sectPr>
      </w:pPr>
    </w:p>
    <w:bookmarkStart w:id="3" w:name="page4"/>
    <w:bookmarkEnd w:id="3"/>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3.16%</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4,040,243</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4,040,243</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tabs>
          <w:tab w:leader="none" w:pos="620" w:val="left"/>
          <w:tab w:leader="none" w:pos="1040" w:val="left"/>
          <w:tab w:leader="none" w:pos="2200" w:val="left"/>
          <w:tab w:leader="none" w:pos="2620" w:val="left"/>
          <w:tab w:leader="none" w:pos="3260" w:val="left"/>
          <w:tab w:leader="none" w:pos="4200" w:val="left"/>
          <w:tab w:leader="none" w:pos="4620" w:val="left"/>
          <w:tab w:leader="none" w:pos="5260" w:val="left"/>
          <w:tab w:leader="none" w:pos="5680" w:val="left"/>
          <w:tab w:leader="none" w:pos="6000" w:val="left"/>
        </w:tabs>
        <w:rPr>
          <w:sz w:val="20"/>
          <w:szCs w:val="20"/>
          <w:color w:val="auto"/>
        </w:rPr>
      </w:pPr>
      <w:r>
        <w:rPr>
          <w:rFonts w:ascii="Courier New" w:cs="Courier New" w:eastAsia="Courier New" w:hAnsi="Courier New"/>
          <w:sz w:val="18"/>
          <w:szCs w:val="18"/>
          <w:color w:val="auto"/>
        </w:rPr>
        <w:t>ITEM</w:t>
        <w:tab/>
        <w:t>5.</w:t>
        <w:tab/>
        <w:t>OWNERSHIP</w:t>
        <w:tab/>
        <w:t>OF</w:t>
        <w:tab/>
        <w:t>FIVE</w:t>
        <w:tab/>
        <w:t>PERCENT</w:t>
        <w:tab/>
        <w:t>OR</w:t>
        <w:tab/>
        <w:t>LESS</w:t>
        <w:tab/>
        <w:t>OF</w:t>
        <w:tab/>
        <w:t>A</w:t>
      </w:r>
      <w:r>
        <w:rPr>
          <w:sz w:val="20"/>
          <w:szCs w:val="20"/>
          <w:color w:val="auto"/>
        </w:rPr>
        <w:tab/>
      </w:r>
      <w:r>
        <w:rPr>
          <w:rFonts w:ascii="Courier New" w:cs="Courier New" w:eastAsia="Courier New" w:hAnsi="Courier New"/>
          <w:sz w:val="16"/>
          <w:szCs w:val="16"/>
          <w:color w:val="auto"/>
        </w:rPr>
        <w:t>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MORE  THAN</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w w:val="97"/>
              </w:rPr>
              <w:t>FIVE PERCENT ON BEHALF OF</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ANOTHER PERSON</w:t>
            </w:r>
          </w:p>
        </w:tc>
      </w:tr>
      <w:tr>
        <w:trPr>
          <w:trHeight w:val="405"/>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N/A</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162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IDENTIFICATION</w:t>
            </w:r>
          </w:p>
        </w:tc>
        <w:tc>
          <w:tcPr>
            <w:tcW w:w="4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AND CLASSIFICATION OF THE SUBSIDIARY</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WHICH ACQUIRED</w:t>
            </w:r>
          </w:p>
        </w:tc>
      </w:tr>
      <w:tr>
        <w:trPr>
          <w:trHeight w:val="203"/>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THE  SECURITY  BEING  REPORTED  ON  BY  THE  PARENT</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HOLDING  COMPANY</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7380" w:type="dxa"/>
            <w:vAlign w:val="bottom"/>
            <w:gridSpan w:val="6"/>
          </w:tcPr>
          <w:p>
            <w:pPr>
              <w:ind w:left="10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EXHIBIT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NOTICE</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7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DISSOLUTION  OF</w:t>
            </w:r>
          </w:p>
        </w:tc>
        <w:tc>
          <w:tcPr>
            <w:tcW w:w="2700" w:type="dxa"/>
            <w:vAlign w:val="bottom"/>
          </w:tcPr>
          <w:p>
            <w:pPr>
              <w:jc w:val="right"/>
              <w:ind w:right="1872"/>
              <w:spacing w:after="0"/>
              <w:rPr>
                <w:sz w:val="20"/>
                <w:szCs w:val="20"/>
                <w:color w:val="auto"/>
              </w:rPr>
            </w:pPr>
            <w:r>
              <w:rPr>
                <w:rFonts w:ascii="Courier New" w:cs="Courier New" w:eastAsia="Courier New" w:hAnsi="Courier New"/>
                <w:sz w:val="18"/>
                <w:szCs w:val="18"/>
                <w:color w:val="auto"/>
              </w:rPr>
              <w:t>GROUP</w:t>
            </w:r>
          </w:p>
        </w:tc>
        <w:tc>
          <w:tcPr>
            <w:tcW w:w="17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ITEM</w:t>
        <w:tab/>
        <w:t>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23, 2009</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Yong Ping Duan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Name: YONG PING DUAN</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1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ITEM 4: OWNERSHIP</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1. YONG PING DUAN</w:t>
            </w:r>
          </w:p>
        </w:tc>
        <w:tc>
          <w:tcPr>
            <w:tcW w:w="27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2. ENLIGHT FOUNDATION</w:t>
            </w:r>
          </w:p>
        </w:tc>
      </w:tr>
      <w:tr>
        <w:trPr>
          <w:trHeight w:val="203"/>
        </w:trPr>
        <w:tc>
          <w:tcPr>
            <w:tcW w:w="1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4,040,243 SH</w:t>
            </w:r>
          </w:p>
        </w:tc>
        <w:tc>
          <w:tcPr>
            <w:tcW w:w="158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a)</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679,812</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w:t>
            </w:r>
          </w:p>
        </w:tc>
      </w:tr>
      <w:tr>
        <w:trPr>
          <w:trHeight w:val="203"/>
        </w:trPr>
        <w:tc>
          <w:tcPr>
            <w:tcW w:w="1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3.16%</w:t>
            </w:r>
          </w:p>
        </w:tc>
        <w:tc>
          <w:tcPr>
            <w:tcW w:w="158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b)</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0.53%</w:t>
            </w:r>
          </w:p>
        </w:tc>
        <w:tc>
          <w:tcPr>
            <w:tcW w:w="280" w:type="dxa"/>
            <w:vAlign w:val="bottom"/>
          </w:tcPr>
          <w:p>
            <w:pPr>
              <w:spacing w:after="0"/>
              <w:rPr>
                <w:sz w:val="17"/>
                <w:szCs w:val="17"/>
                <w:color w:val="auto"/>
              </w:rPr>
            </w:pPr>
          </w:p>
        </w:tc>
      </w:tr>
      <w:tr>
        <w:trPr>
          <w:trHeight w:val="203"/>
        </w:trPr>
        <w:tc>
          <w:tcPr>
            <w:tcW w:w="1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4,040,243 SH</w:t>
            </w:r>
          </w:p>
        </w:tc>
        <w:tc>
          <w:tcPr>
            <w:tcW w:w="158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c)</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679,812</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w:t>
            </w:r>
          </w:p>
        </w:tc>
      </w:tr>
      <w:tr>
        <w:trPr>
          <w:trHeight w:val="203"/>
        </w:trPr>
        <w:tc>
          <w:tcPr>
            <w:tcW w:w="1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4,040,243 SH</w:t>
            </w:r>
          </w:p>
        </w:tc>
        <w:tc>
          <w:tcPr>
            <w:tcW w:w="158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i)</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679,812</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w:t>
            </w:r>
          </w:p>
        </w:tc>
      </w:tr>
      <w:tr>
        <w:trPr>
          <w:trHeight w:val="203"/>
        </w:trPr>
        <w:tc>
          <w:tcPr>
            <w:tcW w:w="1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ii)</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w:t>
            </w:r>
          </w:p>
        </w:tc>
        <w:tc>
          <w:tcPr>
            <w:tcW w:w="158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ii)</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w:t>
            </w:r>
          </w:p>
        </w:tc>
        <w:tc>
          <w:tcPr>
            <w:tcW w:w="280" w:type="dxa"/>
            <w:vAlign w:val="bottom"/>
          </w:tcPr>
          <w:p>
            <w:pPr>
              <w:spacing w:after="0"/>
              <w:rPr>
                <w:sz w:val="17"/>
                <w:szCs w:val="17"/>
                <w:color w:val="auto"/>
              </w:rPr>
            </w:pPr>
          </w:p>
        </w:tc>
      </w:tr>
      <w:tr>
        <w:trPr>
          <w:trHeight w:val="203"/>
        </w:trPr>
        <w:tc>
          <w:tcPr>
            <w:tcW w:w="1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iii)</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4,040,243 SH</w:t>
            </w:r>
          </w:p>
        </w:tc>
        <w:tc>
          <w:tcPr>
            <w:tcW w:w="158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iii)</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679,812</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w:t>
            </w:r>
          </w:p>
        </w:tc>
      </w:tr>
      <w:tr>
        <w:trPr>
          <w:trHeight w:val="203"/>
        </w:trPr>
        <w:tc>
          <w:tcPr>
            <w:tcW w:w="1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iv)</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w:t>
            </w:r>
          </w:p>
        </w:tc>
        <w:tc>
          <w:tcPr>
            <w:tcW w:w="158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iv)</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w:t>
            </w:r>
          </w:p>
        </w:tc>
        <w:tc>
          <w:tcPr>
            <w:tcW w:w="28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Mr. Yong Ping Duan has the power to direct the affairs of Enlight Foundation.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Duan is the president of Enlight Foundation.</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9"/>
    </w:lvl>
  </w:abstractNum>
  <w:abstractNum w:abstractNumId="5">
    <w:nsid w:val="5BD062C2"/>
    <w:multiLevelType w:val="hybridMultilevel"/>
    <w:lvl w:ilvl="0">
      <w:lvlJc w:val="left"/>
      <w:lvlText w:val="%1)"/>
      <w:numFmt w:val="decimal"/>
      <w:start w:val="10"/>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upperLetter"/>
      <w:start w:val="1"/>
    </w:lvl>
  </w:abstractNum>
  <w:abstractNum w:abstractNumId="8">
    <w:nsid w:val="216231B"/>
    <w:multiLevelType w:val="hybridMultilevel"/>
    <w:lvl w:ilvl="0">
      <w:lvlJc w:val="left"/>
      <w:lvlText w:val="(%1)"/>
      <w:numFmt w:val="upp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2019-12-10T19:29:27Z</dcterms:created>
  <dcterms:modified xsi:type="dcterms:W3CDTF">2019-12-10T19:29:27Z</dcterms:modified>
</cp:coreProperties>
</file>